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6D706" w14:textId="26F732AC" w:rsidR="00C8324B" w:rsidRPr="001407B6" w:rsidRDefault="00EA133D" w:rsidP="00DE6F66">
      <w:pPr>
        <w:ind w:right="2"/>
        <w:jc w:val="center"/>
        <w:rPr>
          <w:b/>
          <w:lang w:val="sr-Latn-ME"/>
        </w:rPr>
      </w:pPr>
      <w:r w:rsidRPr="001407B6">
        <w:rPr>
          <w:b/>
          <w:u w:val="single"/>
          <w:lang w:val="sr-Latn-ME"/>
        </w:rPr>
        <w:t>SAŽETAK</w:t>
      </w:r>
      <w:r w:rsidRPr="001407B6">
        <w:rPr>
          <w:b/>
          <w:spacing w:val="-4"/>
          <w:u w:val="single"/>
          <w:lang w:val="sr-Latn-ME"/>
        </w:rPr>
        <w:t xml:space="preserve"> </w:t>
      </w:r>
      <w:r w:rsidRPr="001407B6">
        <w:rPr>
          <w:b/>
          <w:u w:val="single"/>
          <w:lang w:val="sr-Latn-ME"/>
        </w:rPr>
        <w:t>KARAKT</w:t>
      </w:r>
      <w:bookmarkStart w:id="0" w:name="_GoBack"/>
      <w:bookmarkEnd w:id="0"/>
      <w:r w:rsidRPr="001407B6">
        <w:rPr>
          <w:b/>
          <w:u w:val="single"/>
          <w:lang w:val="sr-Latn-ME"/>
        </w:rPr>
        <w:t>ERISTIKA</w:t>
      </w:r>
      <w:r w:rsidRPr="001407B6">
        <w:rPr>
          <w:b/>
          <w:spacing w:val="-4"/>
          <w:u w:val="single"/>
          <w:lang w:val="sr-Latn-ME"/>
        </w:rPr>
        <w:t xml:space="preserve"> </w:t>
      </w:r>
      <w:r w:rsidR="00D41A5F" w:rsidRPr="001407B6">
        <w:rPr>
          <w:b/>
          <w:u w:val="single"/>
          <w:lang w:val="sr-Latn-ME"/>
        </w:rPr>
        <w:t>LIJEK</w:t>
      </w:r>
      <w:r w:rsidRPr="001407B6">
        <w:rPr>
          <w:b/>
          <w:u w:val="single"/>
          <w:lang w:val="sr-Latn-ME"/>
        </w:rPr>
        <w:t>A</w:t>
      </w:r>
    </w:p>
    <w:p w14:paraId="7CE63E4E" w14:textId="77777777" w:rsidR="00D41A5F" w:rsidRPr="001407B6" w:rsidRDefault="00D41A5F" w:rsidP="00DE6F66">
      <w:pPr>
        <w:pStyle w:val="BodyText"/>
        <w:ind w:left="0"/>
        <w:jc w:val="both"/>
        <w:rPr>
          <w:b/>
          <w:sz w:val="20"/>
          <w:lang w:val="sr-Latn-ME"/>
        </w:rPr>
      </w:pPr>
    </w:p>
    <w:p w14:paraId="25A7D7D7" w14:textId="77777777" w:rsidR="00C8324B" w:rsidRPr="001407B6" w:rsidRDefault="00C8324B" w:rsidP="00DE6F66">
      <w:pPr>
        <w:pStyle w:val="BodyText"/>
        <w:ind w:left="0"/>
        <w:jc w:val="both"/>
        <w:rPr>
          <w:b/>
          <w:sz w:val="19"/>
          <w:lang w:val="sr-Latn-ME"/>
        </w:rPr>
      </w:pPr>
    </w:p>
    <w:p w14:paraId="33102B99" w14:textId="36A19339" w:rsidR="00C8324B" w:rsidRPr="001407B6" w:rsidRDefault="00EA133D" w:rsidP="00DE6F66">
      <w:pPr>
        <w:pStyle w:val="Heading1"/>
        <w:numPr>
          <w:ilvl w:val="0"/>
          <w:numId w:val="1"/>
        </w:numPr>
        <w:spacing w:before="0"/>
        <w:ind w:left="284" w:hanging="284"/>
        <w:jc w:val="both"/>
        <w:rPr>
          <w:lang w:val="sr-Latn-ME"/>
        </w:rPr>
      </w:pPr>
      <w:r w:rsidRPr="001407B6">
        <w:rPr>
          <w:lang w:val="sr-Latn-ME"/>
        </w:rPr>
        <w:t>IME</w:t>
      </w:r>
      <w:r w:rsidRPr="001407B6">
        <w:rPr>
          <w:spacing w:val="1"/>
          <w:lang w:val="sr-Latn-ME"/>
        </w:rPr>
        <w:t xml:space="preserve"> </w:t>
      </w:r>
      <w:r w:rsidR="00D41A5F" w:rsidRPr="001407B6">
        <w:rPr>
          <w:lang w:val="sr-Latn-ME"/>
        </w:rPr>
        <w:t>LIJEK</w:t>
      </w:r>
      <w:r w:rsidRPr="001407B6">
        <w:rPr>
          <w:lang w:val="sr-Latn-ME"/>
        </w:rPr>
        <w:t>A</w:t>
      </w:r>
    </w:p>
    <w:p w14:paraId="1FCCFEBB" w14:textId="77777777" w:rsidR="00456450" w:rsidRPr="001407B6" w:rsidRDefault="00456450">
      <w:pPr>
        <w:pStyle w:val="Heading2"/>
        <w:spacing w:line="249" w:lineRule="exact"/>
        <w:ind w:left="0" w:firstLine="0"/>
        <w:jc w:val="both"/>
        <w:rPr>
          <w:lang w:val="sr-Latn-ME"/>
        </w:rPr>
      </w:pPr>
    </w:p>
    <w:p w14:paraId="0E6553EB" w14:textId="79BB4182" w:rsidR="00C8324B" w:rsidRPr="001407B6" w:rsidRDefault="00EA133D">
      <w:pPr>
        <w:pStyle w:val="Heading2"/>
        <w:spacing w:line="249" w:lineRule="exact"/>
        <w:ind w:left="0" w:firstLine="0"/>
        <w:jc w:val="both"/>
        <w:rPr>
          <w:b w:val="0"/>
          <w:lang w:val="sr-Latn-ME"/>
        </w:rPr>
      </w:pPr>
      <w:r w:rsidRPr="001407B6">
        <w:rPr>
          <w:b w:val="0"/>
          <w:lang w:val="sr-Latn-ME"/>
        </w:rPr>
        <w:t>Renvela</w:t>
      </w:r>
      <w:r w:rsidRPr="001407B6">
        <w:rPr>
          <w:b w:val="0"/>
          <w:spacing w:val="-3"/>
          <w:lang w:val="sr-Latn-ME"/>
        </w:rPr>
        <w:t xml:space="preserve"> </w:t>
      </w:r>
      <w:r w:rsidRPr="001407B6">
        <w:rPr>
          <w:b w:val="0"/>
          <w:lang w:val="sr-Latn-ME"/>
        </w:rPr>
        <w:t>800</w:t>
      </w:r>
      <w:r w:rsidRPr="001407B6">
        <w:rPr>
          <w:b w:val="0"/>
          <w:spacing w:val="-2"/>
          <w:lang w:val="sr-Latn-ME"/>
        </w:rPr>
        <w:t xml:space="preserve"> </w:t>
      </w:r>
      <w:r w:rsidRPr="001407B6">
        <w:rPr>
          <w:b w:val="0"/>
          <w:lang w:val="sr-Latn-ME"/>
        </w:rPr>
        <w:t>mg,</w:t>
      </w:r>
      <w:r w:rsidRPr="001407B6">
        <w:rPr>
          <w:b w:val="0"/>
          <w:spacing w:val="-4"/>
          <w:lang w:val="sr-Latn-ME"/>
        </w:rPr>
        <w:t xml:space="preserve"> </w:t>
      </w:r>
      <w:r w:rsidRPr="001407B6">
        <w:rPr>
          <w:b w:val="0"/>
          <w:lang w:val="sr-Latn-ME"/>
        </w:rPr>
        <w:t>film</w:t>
      </w:r>
      <w:r w:rsidRPr="001407B6">
        <w:rPr>
          <w:b w:val="0"/>
          <w:spacing w:val="-3"/>
          <w:lang w:val="sr-Latn-ME"/>
        </w:rPr>
        <w:t xml:space="preserve"> </w:t>
      </w:r>
      <w:r w:rsidRPr="001407B6">
        <w:rPr>
          <w:b w:val="0"/>
          <w:lang w:val="sr-Latn-ME"/>
        </w:rPr>
        <w:t>tablete</w:t>
      </w:r>
    </w:p>
    <w:p w14:paraId="70264B6A" w14:textId="3C348A2D" w:rsidR="00456450" w:rsidRPr="001407B6" w:rsidRDefault="00EA133D">
      <w:pPr>
        <w:pStyle w:val="BodyText"/>
        <w:spacing w:line="249" w:lineRule="exact"/>
        <w:ind w:left="0"/>
        <w:jc w:val="both"/>
        <w:rPr>
          <w:lang w:val="sr-Latn-ME"/>
        </w:rPr>
      </w:pPr>
      <w:r w:rsidRPr="001407B6">
        <w:rPr>
          <w:lang w:val="sr-Latn-ME"/>
        </w:rPr>
        <w:t>INN:</w:t>
      </w:r>
      <w:r w:rsidRPr="001407B6">
        <w:rPr>
          <w:spacing w:val="-7"/>
          <w:lang w:val="sr-Latn-ME"/>
        </w:rPr>
        <w:t xml:space="preserve"> </w:t>
      </w:r>
      <w:r w:rsidRPr="001407B6">
        <w:rPr>
          <w:lang w:val="sr-Latn-ME"/>
        </w:rPr>
        <w:t>sevelamer</w:t>
      </w:r>
    </w:p>
    <w:p w14:paraId="15C34E4C" w14:textId="77777777" w:rsidR="00456450" w:rsidRPr="001407B6" w:rsidRDefault="00456450">
      <w:pPr>
        <w:pStyle w:val="BodyText"/>
        <w:spacing w:line="249" w:lineRule="exact"/>
        <w:ind w:left="0"/>
        <w:jc w:val="both"/>
        <w:rPr>
          <w:lang w:val="sr-Latn-ME"/>
        </w:rPr>
      </w:pPr>
    </w:p>
    <w:p w14:paraId="6F3FF10C" w14:textId="77777777" w:rsidR="00456450" w:rsidRPr="001407B6" w:rsidRDefault="00456450" w:rsidP="00DE6F66">
      <w:pPr>
        <w:pStyle w:val="BodyText"/>
        <w:spacing w:line="249" w:lineRule="exact"/>
        <w:ind w:left="0"/>
        <w:jc w:val="both"/>
        <w:rPr>
          <w:lang w:val="sr-Latn-ME"/>
        </w:rPr>
      </w:pPr>
    </w:p>
    <w:p w14:paraId="20B388AE" w14:textId="2B23E1A7" w:rsidR="00C8324B" w:rsidRPr="001407B6" w:rsidRDefault="00EA133D" w:rsidP="00DE6F66">
      <w:pPr>
        <w:pStyle w:val="Heading1"/>
        <w:numPr>
          <w:ilvl w:val="0"/>
          <w:numId w:val="1"/>
        </w:numPr>
        <w:spacing w:before="0"/>
        <w:ind w:left="284" w:hanging="284"/>
        <w:jc w:val="both"/>
        <w:rPr>
          <w:lang w:val="sr-Latn-ME"/>
        </w:rPr>
      </w:pPr>
      <w:r w:rsidRPr="001407B6">
        <w:rPr>
          <w:lang w:val="sr-Latn-ME"/>
        </w:rPr>
        <w:t>KVALITATIVNI</w:t>
      </w:r>
      <w:r w:rsidRPr="001407B6">
        <w:rPr>
          <w:spacing w:val="-4"/>
          <w:lang w:val="sr-Latn-ME"/>
        </w:rPr>
        <w:t xml:space="preserve"> </w:t>
      </w:r>
      <w:r w:rsidRPr="001407B6">
        <w:rPr>
          <w:lang w:val="sr-Latn-ME"/>
        </w:rPr>
        <w:t>I</w:t>
      </w:r>
      <w:r w:rsidRPr="001407B6">
        <w:rPr>
          <w:spacing w:val="-4"/>
          <w:lang w:val="sr-Latn-ME"/>
        </w:rPr>
        <w:t xml:space="preserve"> </w:t>
      </w:r>
      <w:r w:rsidRPr="001407B6">
        <w:rPr>
          <w:lang w:val="sr-Latn-ME"/>
        </w:rPr>
        <w:t>KVANTITATIVNI</w:t>
      </w:r>
      <w:r w:rsidRPr="001407B6">
        <w:rPr>
          <w:spacing w:val="-4"/>
          <w:lang w:val="sr-Latn-ME"/>
        </w:rPr>
        <w:t xml:space="preserve"> </w:t>
      </w:r>
      <w:r w:rsidRPr="001407B6">
        <w:rPr>
          <w:lang w:val="sr-Latn-ME"/>
        </w:rPr>
        <w:t>SASTAV</w:t>
      </w:r>
    </w:p>
    <w:p w14:paraId="1A9485E8" w14:textId="77777777" w:rsidR="00456450" w:rsidRPr="001407B6" w:rsidRDefault="00456450" w:rsidP="00DE6F66">
      <w:pPr>
        <w:pStyle w:val="Heading1"/>
        <w:spacing w:before="0"/>
        <w:ind w:left="0" w:firstLine="0"/>
        <w:jc w:val="both"/>
        <w:rPr>
          <w:lang w:val="sr-Latn-ME"/>
        </w:rPr>
      </w:pPr>
    </w:p>
    <w:p w14:paraId="228F39A1" w14:textId="20617F65" w:rsidR="00C8324B" w:rsidRPr="001407B6" w:rsidRDefault="00EA133D" w:rsidP="00DE6F66">
      <w:pPr>
        <w:pStyle w:val="BodyText"/>
        <w:ind w:left="0"/>
        <w:jc w:val="both"/>
        <w:rPr>
          <w:lang w:val="sr-Latn-ME"/>
        </w:rPr>
      </w:pPr>
      <w:r w:rsidRPr="001407B6">
        <w:rPr>
          <w:lang w:val="sr-Latn-ME"/>
        </w:rPr>
        <w:t>Jedna</w:t>
      </w:r>
      <w:r w:rsidRPr="001407B6">
        <w:rPr>
          <w:spacing w:val="1"/>
          <w:lang w:val="sr-Latn-ME"/>
        </w:rPr>
        <w:t xml:space="preserve"> </w:t>
      </w:r>
      <w:r w:rsidRPr="001407B6">
        <w:rPr>
          <w:lang w:val="sr-Latn-ME"/>
        </w:rPr>
        <w:t>film</w:t>
      </w:r>
      <w:r w:rsidRPr="001407B6">
        <w:rPr>
          <w:spacing w:val="-4"/>
          <w:lang w:val="sr-Latn-ME"/>
        </w:rPr>
        <w:t xml:space="preserve"> </w:t>
      </w:r>
      <w:r w:rsidRPr="001407B6">
        <w:rPr>
          <w:lang w:val="sr-Latn-ME"/>
        </w:rPr>
        <w:t>tableta</w:t>
      </w:r>
      <w:r w:rsidRPr="001407B6">
        <w:rPr>
          <w:spacing w:val="-4"/>
          <w:lang w:val="sr-Latn-ME"/>
        </w:rPr>
        <w:t xml:space="preserve"> </w:t>
      </w:r>
      <w:r w:rsidRPr="001407B6">
        <w:rPr>
          <w:lang w:val="sr-Latn-ME"/>
        </w:rPr>
        <w:t>sadrži</w:t>
      </w:r>
      <w:r w:rsidRPr="001407B6">
        <w:rPr>
          <w:spacing w:val="-4"/>
          <w:lang w:val="sr-Latn-ME"/>
        </w:rPr>
        <w:t xml:space="preserve"> </w:t>
      </w:r>
      <w:r w:rsidRPr="001407B6">
        <w:rPr>
          <w:lang w:val="sr-Latn-ME"/>
        </w:rPr>
        <w:t>800</w:t>
      </w:r>
      <w:r w:rsidRPr="001407B6">
        <w:rPr>
          <w:spacing w:val="-4"/>
          <w:lang w:val="sr-Latn-ME"/>
        </w:rPr>
        <w:t xml:space="preserve"> </w:t>
      </w:r>
      <w:r w:rsidRPr="001407B6">
        <w:rPr>
          <w:lang w:val="sr-Latn-ME"/>
        </w:rPr>
        <w:t>mg</w:t>
      </w:r>
      <w:r w:rsidRPr="001407B6">
        <w:rPr>
          <w:spacing w:val="-5"/>
          <w:lang w:val="sr-Latn-ME"/>
        </w:rPr>
        <w:t xml:space="preserve"> </w:t>
      </w:r>
      <w:r w:rsidRPr="001407B6">
        <w:rPr>
          <w:lang w:val="sr-Latn-ME"/>
        </w:rPr>
        <w:t>sevelamer</w:t>
      </w:r>
      <w:r w:rsidR="00385747" w:rsidRPr="001407B6">
        <w:rPr>
          <w:lang w:val="sr-Latn-ME"/>
        </w:rPr>
        <w:t xml:space="preserve"> </w:t>
      </w:r>
      <w:r w:rsidRPr="001407B6">
        <w:rPr>
          <w:lang w:val="sr-Latn-ME"/>
        </w:rPr>
        <w:t>karbonata.</w:t>
      </w:r>
    </w:p>
    <w:p w14:paraId="6BA294BA" w14:textId="3FCD8693" w:rsidR="00C8324B" w:rsidRPr="001407B6" w:rsidRDefault="00EA133D" w:rsidP="00DE6F66">
      <w:pPr>
        <w:pStyle w:val="BodyText"/>
        <w:ind w:left="0"/>
        <w:jc w:val="both"/>
        <w:rPr>
          <w:lang w:val="sr-Latn-ME"/>
        </w:rPr>
      </w:pPr>
      <w:r w:rsidRPr="001407B6">
        <w:rPr>
          <w:lang w:val="sr-Latn-ME"/>
        </w:rPr>
        <w:t>Za</w:t>
      </w:r>
      <w:r w:rsidRPr="001407B6">
        <w:rPr>
          <w:spacing w:val="1"/>
          <w:lang w:val="sr-Latn-ME"/>
        </w:rPr>
        <w:t xml:space="preserve"> </w:t>
      </w:r>
      <w:r w:rsidRPr="001407B6">
        <w:rPr>
          <w:lang w:val="sr-Latn-ME"/>
        </w:rPr>
        <w:t>kompletnu</w:t>
      </w:r>
      <w:r w:rsidRPr="001407B6">
        <w:rPr>
          <w:spacing w:val="-4"/>
          <w:lang w:val="sr-Latn-ME"/>
        </w:rPr>
        <w:t xml:space="preserve"> </w:t>
      </w:r>
      <w:r w:rsidRPr="001407B6">
        <w:rPr>
          <w:lang w:val="sr-Latn-ME"/>
        </w:rPr>
        <w:t>listu</w:t>
      </w:r>
      <w:r w:rsidRPr="001407B6">
        <w:rPr>
          <w:spacing w:val="1"/>
          <w:lang w:val="sr-Latn-ME"/>
        </w:rPr>
        <w:t xml:space="preserve"> </w:t>
      </w:r>
      <w:r w:rsidRPr="001407B6">
        <w:rPr>
          <w:lang w:val="sr-Latn-ME"/>
        </w:rPr>
        <w:t>svih</w:t>
      </w:r>
      <w:r w:rsidRPr="001407B6">
        <w:rPr>
          <w:spacing w:val="-2"/>
          <w:lang w:val="sr-Latn-ME"/>
        </w:rPr>
        <w:t xml:space="preserve"> </w:t>
      </w:r>
      <w:r w:rsidRPr="001407B6">
        <w:rPr>
          <w:lang w:val="sr-Latn-ME"/>
        </w:rPr>
        <w:t>pomoćnih</w:t>
      </w:r>
      <w:r w:rsidRPr="001407B6">
        <w:rPr>
          <w:spacing w:val="-2"/>
          <w:lang w:val="sr-Latn-ME"/>
        </w:rPr>
        <w:t xml:space="preserve"> </w:t>
      </w:r>
      <w:r w:rsidRPr="001407B6">
        <w:rPr>
          <w:lang w:val="sr-Latn-ME"/>
        </w:rPr>
        <w:t>supstanci,</w:t>
      </w:r>
      <w:r w:rsidRPr="001407B6">
        <w:rPr>
          <w:spacing w:val="-3"/>
          <w:lang w:val="sr-Latn-ME"/>
        </w:rPr>
        <w:t xml:space="preserve"> </w:t>
      </w:r>
      <w:r w:rsidR="00D41A5F" w:rsidRPr="001407B6">
        <w:rPr>
          <w:lang w:val="sr-Latn-ME"/>
        </w:rPr>
        <w:t>vidjeti</w:t>
      </w:r>
      <w:r w:rsidRPr="001407B6">
        <w:rPr>
          <w:spacing w:val="1"/>
          <w:lang w:val="sr-Latn-ME"/>
        </w:rPr>
        <w:t xml:space="preserve"> </w:t>
      </w:r>
      <w:r w:rsidR="00456450" w:rsidRPr="001407B6">
        <w:rPr>
          <w:lang w:val="sr-Latn-ME"/>
        </w:rPr>
        <w:t>dio</w:t>
      </w:r>
      <w:r w:rsidRPr="001407B6">
        <w:rPr>
          <w:lang w:val="sr-Latn-ME"/>
        </w:rPr>
        <w:t xml:space="preserve"> 6.1.</w:t>
      </w:r>
    </w:p>
    <w:p w14:paraId="5EDC05EA" w14:textId="43F59EEB" w:rsidR="00310119" w:rsidRPr="001407B6" w:rsidRDefault="00310119" w:rsidP="00DE6F66">
      <w:pPr>
        <w:pStyle w:val="BodyText"/>
        <w:ind w:left="0" w:right="3621"/>
        <w:jc w:val="both"/>
        <w:rPr>
          <w:lang w:val="sr-Latn-ME"/>
        </w:rPr>
      </w:pPr>
    </w:p>
    <w:p w14:paraId="40DE7F9A" w14:textId="77777777" w:rsidR="00456450" w:rsidRPr="001407B6" w:rsidRDefault="00456450" w:rsidP="00DE6F66">
      <w:pPr>
        <w:pStyle w:val="BodyText"/>
        <w:ind w:left="0" w:right="3621"/>
        <w:jc w:val="both"/>
        <w:rPr>
          <w:lang w:val="sr-Latn-ME"/>
        </w:rPr>
      </w:pPr>
    </w:p>
    <w:p w14:paraId="57308919" w14:textId="77777777" w:rsidR="00C8324B" w:rsidRPr="001407B6" w:rsidRDefault="00EA133D" w:rsidP="00DE6F66">
      <w:pPr>
        <w:pStyle w:val="Heading1"/>
        <w:numPr>
          <w:ilvl w:val="0"/>
          <w:numId w:val="1"/>
        </w:numPr>
        <w:spacing w:before="0"/>
        <w:ind w:left="284" w:hanging="284"/>
        <w:jc w:val="both"/>
        <w:rPr>
          <w:lang w:val="sr-Latn-ME"/>
        </w:rPr>
      </w:pPr>
      <w:r w:rsidRPr="001407B6">
        <w:rPr>
          <w:lang w:val="sr-Latn-ME"/>
        </w:rPr>
        <w:t>FARMACEUTSKI</w:t>
      </w:r>
      <w:r w:rsidRPr="001407B6">
        <w:rPr>
          <w:spacing w:val="-4"/>
          <w:lang w:val="sr-Latn-ME"/>
        </w:rPr>
        <w:t xml:space="preserve"> </w:t>
      </w:r>
      <w:r w:rsidRPr="001407B6">
        <w:rPr>
          <w:lang w:val="sr-Latn-ME"/>
        </w:rPr>
        <w:t>OBLIK</w:t>
      </w:r>
    </w:p>
    <w:p w14:paraId="0769D01E" w14:textId="77777777" w:rsidR="00456450" w:rsidRPr="001407B6" w:rsidRDefault="00456450" w:rsidP="00DE6F66">
      <w:pPr>
        <w:pStyle w:val="BodyText"/>
        <w:ind w:left="0"/>
        <w:jc w:val="both"/>
        <w:rPr>
          <w:lang w:val="sr-Latn-ME"/>
        </w:rPr>
      </w:pPr>
    </w:p>
    <w:p w14:paraId="7C0862B7" w14:textId="077AA71E" w:rsidR="00C8324B" w:rsidRPr="001407B6" w:rsidRDefault="00EA133D" w:rsidP="00DE6F66">
      <w:pPr>
        <w:pStyle w:val="BodyText"/>
        <w:ind w:left="0"/>
        <w:jc w:val="both"/>
        <w:rPr>
          <w:lang w:val="sr-Latn-ME"/>
        </w:rPr>
      </w:pPr>
      <w:r w:rsidRPr="001407B6">
        <w:rPr>
          <w:lang w:val="sr-Latn-ME"/>
        </w:rPr>
        <w:t>Film tableta</w:t>
      </w:r>
    </w:p>
    <w:p w14:paraId="68BFF021" w14:textId="793A8D6F" w:rsidR="00C8324B" w:rsidRPr="001407B6" w:rsidRDefault="00EA133D" w:rsidP="00DE6F66">
      <w:pPr>
        <w:pStyle w:val="BodyText"/>
        <w:ind w:left="0"/>
        <w:jc w:val="both"/>
        <w:rPr>
          <w:lang w:val="sr-Latn-ME"/>
        </w:rPr>
      </w:pPr>
      <w:r w:rsidRPr="001407B6">
        <w:rPr>
          <w:lang w:val="sr-Latn-ME"/>
        </w:rPr>
        <w:t>B</w:t>
      </w:r>
      <w:r w:rsidR="009F22EA" w:rsidRPr="001407B6">
        <w:rPr>
          <w:lang w:val="sr-Latn-ME"/>
        </w:rPr>
        <w:t>ij</w:t>
      </w:r>
      <w:r w:rsidRPr="001407B6">
        <w:rPr>
          <w:lang w:val="sr-Latn-ME"/>
        </w:rPr>
        <w:t>ele do skoro b</w:t>
      </w:r>
      <w:r w:rsidR="009F22EA" w:rsidRPr="001407B6">
        <w:rPr>
          <w:lang w:val="sr-Latn-ME"/>
        </w:rPr>
        <w:t>ij</w:t>
      </w:r>
      <w:r w:rsidRPr="001407B6">
        <w:rPr>
          <w:lang w:val="sr-Latn-ME"/>
        </w:rPr>
        <w:t xml:space="preserve">ele </w:t>
      </w:r>
      <w:r w:rsidR="00E05714" w:rsidRPr="001407B6">
        <w:rPr>
          <w:lang w:val="sr-Latn-ME"/>
        </w:rPr>
        <w:t>ovalne tablete, sa utisnutom oznakom “RV800” sa jedne strane tablete.</w:t>
      </w:r>
    </w:p>
    <w:p w14:paraId="0E33AFAB" w14:textId="71D69D52" w:rsidR="00310119" w:rsidRPr="001407B6" w:rsidRDefault="00310119" w:rsidP="00DE6F66">
      <w:pPr>
        <w:pStyle w:val="BodyText"/>
        <w:ind w:left="0"/>
        <w:jc w:val="both"/>
        <w:rPr>
          <w:lang w:val="sr-Latn-ME"/>
        </w:rPr>
      </w:pPr>
    </w:p>
    <w:p w14:paraId="515E50BE" w14:textId="77777777" w:rsidR="00456450" w:rsidRPr="001407B6" w:rsidRDefault="00456450" w:rsidP="00DE6F66">
      <w:pPr>
        <w:pStyle w:val="BodyText"/>
        <w:ind w:left="0"/>
        <w:jc w:val="both"/>
        <w:rPr>
          <w:lang w:val="sr-Latn-ME"/>
        </w:rPr>
      </w:pPr>
    </w:p>
    <w:p w14:paraId="41659B9A" w14:textId="1545684C" w:rsidR="00310119" w:rsidRPr="001407B6" w:rsidRDefault="00EA133D" w:rsidP="00DE6F66">
      <w:pPr>
        <w:pStyle w:val="Heading1"/>
        <w:numPr>
          <w:ilvl w:val="0"/>
          <w:numId w:val="1"/>
        </w:numPr>
        <w:spacing w:before="0"/>
        <w:ind w:left="284" w:hanging="284"/>
        <w:jc w:val="both"/>
        <w:rPr>
          <w:lang w:val="sr-Latn-ME"/>
        </w:rPr>
      </w:pPr>
      <w:r w:rsidRPr="001407B6">
        <w:rPr>
          <w:lang w:val="sr-Latn-ME"/>
        </w:rPr>
        <w:t>KLINIČKI</w:t>
      </w:r>
      <w:r w:rsidRPr="001407B6">
        <w:rPr>
          <w:spacing w:val="-4"/>
          <w:lang w:val="sr-Latn-ME"/>
        </w:rPr>
        <w:t xml:space="preserve"> </w:t>
      </w:r>
      <w:r w:rsidRPr="001407B6">
        <w:rPr>
          <w:lang w:val="sr-Latn-ME"/>
        </w:rPr>
        <w:t>PODACI</w:t>
      </w:r>
    </w:p>
    <w:p w14:paraId="3243EF57" w14:textId="77777777" w:rsidR="008F20F2" w:rsidRPr="001407B6" w:rsidRDefault="008F20F2" w:rsidP="00DE6F66">
      <w:pPr>
        <w:pStyle w:val="Heading1"/>
        <w:tabs>
          <w:tab w:val="left" w:pos="453"/>
        </w:tabs>
        <w:spacing w:before="0"/>
        <w:ind w:left="231" w:firstLine="0"/>
        <w:jc w:val="both"/>
        <w:rPr>
          <w:lang w:val="sr-Latn-ME"/>
        </w:rPr>
      </w:pPr>
    </w:p>
    <w:p w14:paraId="18553DEE" w14:textId="77777777" w:rsidR="00C8324B" w:rsidRPr="001407B6" w:rsidRDefault="00EA133D" w:rsidP="00DE6F66">
      <w:pPr>
        <w:pStyle w:val="Heading2"/>
        <w:numPr>
          <w:ilvl w:val="1"/>
          <w:numId w:val="1"/>
        </w:numPr>
        <w:ind w:left="426" w:hanging="426"/>
        <w:jc w:val="both"/>
        <w:rPr>
          <w:lang w:val="sr-Latn-ME"/>
        </w:rPr>
      </w:pPr>
      <w:r w:rsidRPr="001407B6">
        <w:rPr>
          <w:lang w:val="sr-Latn-ME"/>
        </w:rPr>
        <w:t>Terapijske</w:t>
      </w:r>
      <w:r w:rsidRPr="001407B6">
        <w:rPr>
          <w:spacing w:val="-7"/>
          <w:lang w:val="sr-Latn-ME"/>
        </w:rPr>
        <w:t xml:space="preserve"> </w:t>
      </w:r>
      <w:r w:rsidRPr="001407B6">
        <w:rPr>
          <w:lang w:val="sr-Latn-ME"/>
        </w:rPr>
        <w:t>indikacije</w:t>
      </w:r>
    </w:p>
    <w:p w14:paraId="5016738A" w14:textId="77777777" w:rsidR="00456450" w:rsidRPr="001407B6" w:rsidRDefault="00456450" w:rsidP="00DE6F66">
      <w:pPr>
        <w:pStyle w:val="BodyText"/>
        <w:ind w:left="0"/>
        <w:jc w:val="both"/>
        <w:rPr>
          <w:lang w:val="sr-Latn-ME"/>
        </w:rPr>
      </w:pPr>
    </w:p>
    <w:p w14:paraId="19359BC5" w14:textId="6EB926E8" w:rsidR="00C8324B" w:rsidRPr="001407B6" w:rsidRDefault="00D41A5F" w:rsidP="00DE6F66">
      <w:pPr>
        <w:pStyle w:val="BodyText"/>
        <w:ind w:left="0"/>
        <w:jc w:val="both"/>
        <w:rPr>
          <w:lang w:val="sr-Latn-ME"/>
        </w:rPr>
      </w:pPr>
      <w:r w:rsidRPr="001407B6">
        <w:rPr>
          <w:lang w:val="sr-Latn-ME"/>
        </w:rPr>
        <w:t>Lijek</w:t>
      </w:r>
      <w:r w:rsidR="00EA133D" w:rsidRPr="001407B6">
        <w:rPr>
          <w:lang w:val="sr-Latn-ME"/>
        </w:rPr>
        <w:t xml:space="preserve"> Renvela je indikovan za kontrolu hiperfosfatemije kod odraslih pacijenata na hemodijalizi ili peritonealnoj dijalizi.</w:t>
      </w:r>
    </w:p>
    <w:p w14:paraId="328FBC39" w14:textId="77777777" w:rsidR="00A755B7" w:rsidRPr="001407B6" w:rsidRDefault="00A755B7" w:rsidP="00E97649">
      <w:pPr>
        <w:pStyle w:val="BodyText"/>
        <w:ind w:left="0"/>
        <w:jc w:val="both"/>
        <w:rPr>
          <w:lang w:val="sr-Latn-ME"/>
        </w:rPr>
      </w:pPr>
    </w:p>
    <w:p w14:paraId="38A592E8" w14:textId="050BD8FB" w:rsidR="00C8324B" w:rsidRPr="001407B6" w:rsidRDefault="00D41A5F" w:rsidP="00E97649">
      <w:pPr>
        <w:pStyle w:val="BodyText"/>
        <w:ind w:left="0"/>
        <w:jc w:val="both"/>
        <w:rPr>
          <w:lang w:val="sr-Latn-ME"/>
        </w:rPr>
      </w:pPr>
      <w:r w:rsidRPr="001407B6">
        <w:rPr>
          <w:lang w:val="sr-Latn-ME"/>
        </w:rPr>
        <w:t>Lijek</w:t>
      </w:r>
      <w:r w:rsidR="00EA133D" w:rsidRPr="001407B6">
        <w:rPr>
          <w:lang w:val="sr-Latn-ME"/>
        </w:rPr>
        <w:t xml:space="preserve"> Renvela je takođe indikovan za kontrolu hiperfosfatemije kod odraslih pacijenata sa hroničnom bolešću bubrega, koji </w:t>
      </w:r>
      <w:r w:rsidR="00603339" w:rsidRPr="001407B6">
        <w:rPr>
          <w:lang w:val="sr-Latn-ME"/>
        </w:rPr>
        <w:t>nijesu</w:t>
      </w:r>
      <w:r w:rsidR="00EA133D" w:rsidRPr="001407B6">
        <w:rPr>
          <w:lang w:val="sr-Latn-ME"/>
        </w:rPr>
        <w:t xml:space="preserve"> na dijalizi, sa serumskim fosforom ≥ 1,78 mmol</w:t>
      </w:r>
      <w:r w:rsidR="00456450" w:rsidRPr="001407B6">
        <w:rPr>
          <w:lang w:val="sr-Latn-ME"/>
        </w:rPr>
        <w:t>/l</w:t>
      </w:r>
      <w:r w:rsidR="00EA133D" w:rsidRPr="001407B6">
        <w:rPr>
          <w:lang w:val="sr-Latn-ME"/>
        </w:rPr>
        <w:t>.</w:t>
      </w:r>
    </w:p>
    <w:p w14:paraId="314C34B7" w14:textId="77777777" w:rsidR="00A755B7" w:rsidRPr="001407B6" w:rsidRDefault="00A755B7" w:rsidP="00E97649">
      <w:pPr>
        <w:pStyle w:val="BodyText"/>
        <w:ind w:left="0"/>
        <w:jc w:val="both"/>
        <w:rPr>
          <w:lang w:val="sr-Latn-ME"/>
        </w:rPr>
      </w:pPr>
    </w:p>
    <w:p w14:paraId="4301ACEA" w14:textId="4F34A289" w:rsidR="00C8324B" w:rsidRPr="001407B6" w:rsidRDefault="00D41A5F" w:rsidP="00E97649">
      <w:pPr>
        <w:pStyle w:val="BodyText"/>
        <w:ind w:left="0"/>
        <w:jc w:val="both"/>
        <w:rPr>
          <w:lang w:val="sr-Latn-ME"/>
        </w:rPr>
      </w:pPr>
      <w:r w:rsidRPr="001407B6">
        <w:rPr>
          <w:lang w:val="sr-Latn-ME"/>
        </w:rPr>
        <w:t>Lijek</w:t>
      </w:r>
      <w:r w:rsidR="00EA133D" w:rsidRPr="001407B6">
        <w:rPr>
          <w:lang w:val="sr-Latn-ME"/>
        </w:rPr>
        <w:t xml:space="preserve"> Renvela se </w:t>
      </w:r>
      <w:r w:rsidRPr="001407B6">
        <w:rPr>
          <w:lang w:val="sr-Latn-ME"/>
        </w:rPr>
        <w:t>primjen</w:t>
      </w:r>
      <w:r w:rsidR="00EA133D" w:rsidRPr="001407B6">
        <w:rPr>
          <w:lang w:val="sr-Latn-ME"/>
        </w:rPr>
        <w:t>juje u okviru multiplog terapijskog pristupa, koji može da uključi dodatak kalcijuma, 1,25-dihidroksi vitamina D3 ili nekog od njegovih analoga, u cilju kontrole razvoja renalne osteodistrofije.</w:t>
      </w:r>
    </w:p>
    <w:p w14:paraId="325376A8" w14:textId="77777777" w:rsidR="00C8324B" w:rsidRPr="001407B6" w:rsidRDefault="00C8324B" w:rsidP="00E97649">
      <w:pPr>
        <w:pStyle w:val="BodyText"/>
        <w:ind w:left="0"/>
        <w:jc w:val="both"/>
        <w:rPr>
          <w:lang w:val="sr-Latn-ME"/>
        </w:rPr>
      </w:pPr>
    </w:p>
    <w:p w14:paraId="46FBE937" w14:textId="180F9D74" w:rsidR="00C8324B" w:rsidRPr="001407B6" w:rsidRDefault="00EA133D" w:rsidP="00E97649">
      <w:pPr>
        <w:pStyle w:val="Heading2"/>
        <w:numPr>
          <w:ilvl w:val="1"/>
          <w:numId w:val="1"/>
        </w:numPr>
        <w:ind w:left="426" w:hanging="426"/>
        <w:jc w:val="both"/>
        <w:rPr>
          <w:lang w:val="sr-Latn-ME"/>
        </w:rPr>
      </w:pPr>
      <w:r w:rsidRPr="001407B6">
        <w:rPr>
          <w:lang w:val="sr-Latn-ME"/>
        </w:rPr>
        <w:t>Doziranje</w:t>
      </w:r>
      <w:r w:rsidRPr="001407B6">
        <w:rPr>
          <w:spacing w:val="-4"/>
          <w:lang w:val="sr-Latn-ME"/>
        </w:rPr>
        <w:t xml:space="preserve"> </w:t>
      </w:r>
      <w:r w:rsidRPr="001407B6">
        <w:rPr>
          <w:lang w:val="sr-Latn-ME"/>
        </w:rPr>
        <w:t>i</w:t>
      </w:r>
      <w:r w:rsidRPr="001407B6">
        <w:rPr>
          <w:spacing w:val="-3"/>
          <w:lang w:val="sr-Latn-ME"/>
        </w:rPr>
        <w:t xml:space="preserve"> </w:t>
      </w:r>
      <w:r w:rsidRPr="001407B6">
        <w:rPr>
          <w:lang w:val="sr-Latn-ME"/>
        </w:rPr>
        <w:t>način</w:t>
      </w:r>
      <w:r w:rsidRPr="001407B6">
        <w:rPr>
          <w:spacing w:val="-4"/>
          <w:lang w:val="sr-Latn-ME"/>
        </w:rPr>
        <w:t xml:space="preserve"> </w:t>
      </w:r>
      <w:r w:rsidR="00D41A5F" w:rsidRPr="001407B6">
        <w:rPr>
          <w:lang w:val="sr-Latn-ME"/>
        </w:rPr>
        <w:t>primjen</w:t>
      </w:r>
      <w:r w:rsidRPr="001407B6">
        <w:rPr>
          <w:lang w:val="sr-Latn-ME"/>
        </w:rPr>
        <w:t>e</w:t>
      </w:r>
    </w:p>
    <w:p w14:paraId="492EC92F" w14:textId="77777777" w:rsidR="00C8324B" w:rsidRPr="001407B6" w:rsidRDefault="00C8324B" w:rsidP="00E97649">
      <w:pPr>
        <w:pStyle w:val="BodyText"/>
        <w:ind w:left="0"/>
        <w:jc w:val="both"/>
        <w:rPr>
          <w:b/>
          <w:sz w:val="21"/>
          <w:lang w:val="sr-Latn-ME"/>
        </w:rPr>
      </w:pPr>
    </w:p>
    <w:p w14:paraId="22E8E0A0" w14:textId="77777777" w:rsidR="00C8324B" w:rsidRPr="001407B6" w:rsidRDefault="00EA133D" w:rsidP="00E97649">
      <w:pPr>
        <w:pStyle w:val="BodyText"/>
        <w:ind w:left="0"/>
        <w:jc w:val="both"/>
        <w:rPr>
          <w:lang w:val="sr-Latn-ME"/>
        </w:rPr>
      </w:pPr>
      <w:r w:rsidRPr="001407B6">
        <w:rPr>
          <w:u w:val="single"/>
          <w:lang w:val="sr-Latn-ME"/>
        </w:rPr>
        <w:t>Doziranje</w:t>
      </w:r>
    </w:p>
    <w:p w14:paraId="5DA32521" w14:textId="77777777" w:rsidR="008F20F2" w:rsidRPr="001407B6" w:rsidRDefault="008F20F2" w:rsidP="00E97649">
      <w:pPr>
        <w:jc w:val="both"/>
        <w:rPr>
          <w:i/>
          <w:u w:val="single"/>
          <w:lang w:val="sr-Latn-ME"/>
        </w:rPr>
      </w:pPr>
    </w:p>
    <w:p w14:paraId="5AFE17B7" w14:textId="728118D9" w:rsidR="00C8324B" w:rsidRPr="001407B6" w:rsidRDefault="00EA133D" w:rsidP="00E97649">
      <w:pPr>
        <w:jc w:val="both"/>
        <w:rPr>
          <w:i/>
          <w:lang w:val="sr-Latn-ME"/>
        </w:rPr>
      </w:pPr>
      <w:r w:rsidRPr="001407B6">
        <w:rPr>
          <w:i/>
          <w:u w:val="single"/>
          <w:lang w:val="sr-Latn-ME"/>
        </w:rPr>
        <w:t>Inicijalna</w:t>
      </w:r>
      <w:r w:rsidRPr="001407B6">
        <w:rPr>
          <w:i/>
          <w:spacing w:val="-4"/>
          <w:u w:val="single"/>
          <w:lang w:val="sr-Latn-ME"/>
        </w:rPr>
        <w:t xml:space="preserve"> </w:t>
      </w:r>
      <w:r w:rsidRPr="001407B6">
        <w:rPr>
          <w:i/>
          <w:u w:val="single"/>
          <w:lang w:val="sr-Latn-ME"/>
        </w:rPr>
        <w:t>doza</w:t>
      </w:r>
    </w:p>
    <w:p w14:paraId="60E0AD28" w14:textId="405ADC9A" w:rsidR="00C8324B" w:rsidRPr="001407B6" w:rsidRDefault="00EA133D" w:rsidP="00E97649">
      <w:pPr>
        <w:pStyle w:val="BodyText"/>
        <w:ind w:left="0"/>
        <w:jc w:val="both"/>
        <w:rPr>
          <w:lang w:val="sr-Latn-ME"/>
        </w:rPr>
      </w:pPr>
      <w:r w:rsidRPr="001407B6">
        <w:rPr>
          <w:lang w:val="sr-Latn-ME"/>
        </w:rPr>
        <w:t xml:space="preserve">Preporučena početna doza sevelamer karbonata je 2,4 g ili 4,8 g dnevno, u zavisnosti od kliničkih potreba i </w:t>
      </w:r>
      <w:r w:rsidR="00833755" w:rsidRPr="001407B6">
        <w:rPr>
          <w:lang w:val="sr-Latn-ME"/>
        </w:rPr>
        <w:t>vrijedno</w:t>
      </w:r>
      <w:r w:rsidRPr="001407B6">
        <w:rPr>
          <w:lang w:val="sr-Latn-ME"/>
        </w:rPr>
        <w:t>sti fosfora u serumu. Renvela se mora uzimati tri puta dnevno uz obrok.</w:t>
      </w:r>
    </w:p>
    <w:p w14:paraId="265FC408" w14:textId="77777777" w:rsidR="00C8324B" w:rsidRPr="001407B6" w:rsidRDefault="00C8324B" w:rsidP="00E97649">
      <w:pPr>
        <w:pStyle w:val="BodyText"/>
        <w:ind w:left="0"/>
        <w:jc w:val="both"/>
        <w:rPr>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6"/>
        <w:gridCol w:w="4628"/>
      </w:tblGrid>
      <w:tr w:rsidR="00C8324B" w:rsidRPr="001407B6" w14:paraId="433E01A8" w14:textId="77777777" w:rsidTr="00E97649">
        <w:trPr>
          <w:trHeight w:val="503"/>
        </w:trPr>
        <w:tc>
          <w:tcPr>
            <w:tcW w:w="2447" w:type="pct"/>
          </w:tcPr>
          <w:p w14:paraId="42F01AFB" w14:textId="0CA46022" w:rsidR="00C8324B" w:rsidRPr="001407B6" w:rsidRDefault="00833755" w:rsidP="00E97649">
            <w:pPr>
              <w:pStyle w:val="TableParagraph"/>
              <w:spacing w:line="244" w:lineRule="exact"/>
              <w:ind w:left="110"/>
              <w:jc w:val="both"/>
              <w:rPr>
                <w:u w:val="none"/>
                <w:lang w:val="sr-Latn-ME"/>
              </w:rPr>
            </w:pPr>
            <w:r w:rsidRPr="001407B6">
              <w:rPr>
                <w:u w:val="none"/>
                <w:lang w:val="sr-Latn-ME"/>
              </w:rPr>
              <w:t>Vrijedno</w:t>
            </w:r>
            <w:r w:rsidR="00EA133D" w:rsidRPr="001407B6">
              <w:rPr>
                <w:u w:val="none"/>
                <w:lang w:val="sr-Latn-ME"/>
              </w:rPr>
              <w:t>st fosfora</w:t>
            </w:r>
            <w:r w:rsidR="00EA133D" w:rsidRPr="001407B6">
              <w:rPr>
                <w:spacing w:val="-5"/>
                <w:u w:val="none"/>
                <w:lang w:val="sr-Latn-ME"/>
              </w:rPr>
              <w:t xml:space="preserve"> </w:t>
            </w:r>
            <w:r w:rsidR="00EA133D" w:rsidRPr="001407B6">
              <w:rPr>
                <w:u w:val="none"/>
                <w:lang w:val="sr-Latn-ME"/>
              </w:rPr>
              <w:t>u</w:t>
            </w:r>
            <w:r w:rsidR="00EA133D" w:rsidRPr="001407B6">
              <w:rPr>
                <w:spacing w:val="-4"/>
                <w:u w:val="none"/>
                <w:lang w:val="sr-Latn-ME"/>
              </w:rPr>
              <w:t xml:space="preserve"> </w:t>
            </w:r>
            <w:r w:rsidR="00EA133D" w:rsidRPr="001407B6">
              <w:rPr>
                <w:u w:val="none"/>
                <w:lang w:val="sr-Latn-ME"/>
              </w:rPr>
              <w:t>serumu</w:t>
            </w:r>
            <w:r w:rsidR="00EA133D" w:rsidRPr="001407B6">
              <w:rPr>
                <w:spacing w:val="-5"/>
                <w:u w:val="none"/>
                <w:lang w:val="sr-Latn-ME"/>
              </w:rPr>
              <w:t xml:space="preserve"> </w:t>
            </w:r>
            <w:r w:rsidR="00EA133D" w:rsidRPr="001407B6">
              <w:rPr>
                <w:u w:val="none"/>
                <w:lang w:val="sr-Latn-ME"/>
              </w:rPr>
              <w:t>kod</w:t>
            </w:r>
          </w:p>
          <w:p w14:paraId="1047F23E" w14:textId="77777777" w:rsidR="00C8324B" w:rsidRPr="001407B6" w:rsidRDefault="00EA133D" w:rsidP="00E97649">
            <w:pPr>
              <w:pStyle w:val="TableParagraph"/>
              <w:spacing w:line="238" w:lineRule="exact"/>
              <w:ind w:left="110"/>
              <w:jc w:val="both"/>
              <w:rPr>
                <w:u w:val="none"/>
                <w:lang w:val="sr-Latn-ME"/>
              </w:rPr>
            </w:pPr>
            <w:r w:rsidRPr="001407B6">
              <w:rPr>
                <w:u w:val="none"/>
                <w:lang w:val="sr-Latn-ME"/>
              </w:rPr>
              <w:t>pacijenata</w:t>
            </w:r>
          </w:p>
        </w:tc>
        <w:tc>
          <w:tcPr>
            <w:tcW w:w="2553" w:type="pct"/>
          </w:tcPr>
          <w:p w14:paraId="2AA2D123" w14:textId="5B498D60" w:rsidR="00C8324B" w:rsidRPr="001407B6" w:rsidRDefault="00EA133D" w:rsidP="00E97649">
            <w:pPr>
              <w:pStyle w:val="TableParagraph"/>
              <w:spacing w:line="244" w:lineRule="exact"/>
              <w:ind w:left="109"/>
              <w:jc w:val="both"/>
              <w:rPr>
                <w:u w:val="none"/>
                <w:lang w:val="sr-Latn-ME"/>
              </w:rPr>
            </w:pPr>
            <w:r w:rsidRPr="001407B6">
              <w:rPr>
                <w:u w:val="none"/>
                <w:lang w:val="sr-Latn-ME"/>
              </w:rPr>
              <w:t>Dnevna</w:t>
            </w:r>
            <w:r w:rsidRPr="001407B6">
              <w:rPr>
                <w:spacing w:val="1"/>
                <w:u w:val="none"/>
                <w:lang w:val="sr-Latn-ME"/>
              </w:rPr>
              <w:t xml:space="preserve"> </w:t>
            </w:r>
            <w:r w:rsidRPr="001407B6">
              <w:rPr>
                <w:u w:val="none"/>
                <w:lang w:val="sr-Latn-ME"/>
              </w:rPr>
              <w:t>doza</w:t>
            </w:r>
            <w:r w:rsidRPr="001407B6">
              <w:rPr>
                <w:spacing w:val="2"/>
                <w:u w:val="none"/>
                <w:lang w:val="sr-Latn-ME"/>
              </w:rPr>
              <w:t xml:space="preserve"> </w:t>
            </w:r>
            <w:r w:rsidRPr="001407B6">
              <w:rPr>
                <w:u w:val="none"/>
                <w:lang w:val="sr-Latn-ME"/>
              </w:rPr>
              <w:t>sevelamer</w:t>
            </w:r>
            <w:r w:rsidRPr="001407B6">
              <w:rPr>
                <w:spacing w:val="1"/>
                <w:u w:val="none"/>
                <w:lang w:val="sr-Latn-ME"/>
              </w:rPr>
              <w:t xml:space="preserve"> </w:t>
            </w:r>
            <w:r w:rsidRPr="001407B6">
              <w:rPr>
                <w:u w:val="none"/>
                <w:lang w:val="sr-Latn-ME"/>
              </w:rPr>
              <w:t>karbonata</w:t>
            </w:r>
            <w:r w:rsidRPr="001407B6">
              <w:rPr>
                <w:spacing w:val="6"/>
                <w:u w:val="none"/>
                <w:lang w:val="sr-Latn-ME"/>
              </w:rPr>
              <w:t xml:space="preserve"> </w:t>
            </w:r>
            <w:r w:rsidRPr="001407B6">
              <w:rPr>
                <w:u w:val="none"/>
                <w:lang w:val="sr-Latn-ME"/>
              </w:rPr>
              <w:t>koja</w:t>
            </w:r>
            <w:r w:rsidRPr="001407B6">
              <w:rPr>
                <w:spacing w:val="2"/>
                <w:u w:val="none"/>
                <w:lang w:val="sr-Latn-ME"/>
              </w:rPr>
              <w:t xml:space="preserve"> </w:t>
            </w:r>
            <w:r w:rsidRPr="001407B6">
              <w:rPr>
                <w:u w:val="none"/>
                <w:lang w:val="sr-Latn-ME"/>
              </w:rPr>
              <w:t>se</w:t>
            </w:r>
            <w:r w:rsidRPr="001407B6">
              <w:rPr>
                <w:spacing w:val="2"/>
                <w:u w:val="none"/>
                <w:lang w:val="sr-Latn-ME"/>
              </w:rPr>
              <w:t xml:space="preserve"> </w:t>
            </w:r>
            <w:r w:rsidRPr="001407B6">
              <w:rPr>
                <w:u w:val="none"/>
                <w:lang w:val="sr-Latn-ME"/>
              </w:rPr>
              <w:t>uzima</w:t>
            </w:r>
            <w:r w:rsidRPr="001407B6">
              <w:rPr>
                <w:spacing w:val="1"/>
                <w:u w:val="none"/>
                <w:lang w:val="sr-Latn-ME"/>
              </w:rPr>
              <w:t xml:space="preserve"> </w:t>
            </w:r>
            <w:r w:rsidRPr="001407B6">
              <w:rPr>
                <w:u w:val="none"/>
                <w:lang w:val="sr-Latn-ME"/>
              </w:rPr>
              <w:t>uz</w:t>
            </w:r>
            <w:r w:rsidR="00E07A8F" w:rsidRPr="001407B6">
              <w:rPr>
                <w:u w:val="none"/>
                <w:lang w:val="sr-Latn-ME"/>
              </w:rPr>
              <w:t xml:space="preserve"> </w:t>
            </w:r>
            <w:r w:rsidRPr="001407B6">
              <w:rPr>
                <w:u w:val="none"/>
                <w:lang w:val="sr-Latn-ME"/>
              </w:rPr>
              <w:t>tri</w:t>
            </w:r>
            <w:r w:rsidRPr="001407B6">
              <w:rPr>
                <w:spacing w:val="-3"/>
                <w:u w:val="none"/>
                <w:lang w:val="sr-Latn-ME"/>
              </w:rPr>
              <w:t xml:space="preserve"> </w:t>
            </w:r>
            <w:r w:rsidRPr="001407B6">
              <w:rPr>
                <w:u w:val="none"/>
                <w:lang w:val="sr-Latn-ME"/>
              </w:rPr>
              <w:t>obroka</w:t>
            </w:r>
            <w:r w:rsidRPr="001407B6">
              <w:rPr>
                <w:spacing w:val="-2"/>
                <w:u w:val="none"/>
                <w:lang w:val="sr-Latn-ME"/>
              </w:rPr>
              <w:t xml:space="preserve"> </w:t>
            </w:r>
            <w:r w:rsidRPr="001407B6">
              <w:rPr>
                <w:u w:val="none"/>
                <w:lang w:val="sr-Latn-ME"/>
              </w:rPr>
              <w:t>na</w:t>
            </w:r>
            <w:r w:rsidRPr="001407B6">
              <w:rPr>
                <w:spacing w:val="-3"/>
                <w:u w:val="none"/>
                <w:lang w:val="sr-Latn-ME"/>
              </w:rPr>
              <w:t xml:space="preserve"> </w:t>
            </w:r>
            <w:r w:rsidRPr="001407B6">
              <w:rPr>
                <w:u w:val="none"/>
                <w:lang w:val="sr-Latn-ME"/>
              </w:rPr>
              <w:t>dan</w:t>
            </w:r>
          </w:p>
        </w:tc>
      </w:tr>
      <w:tr w:rsidR="00C8324B" w:rsidRPr="001407B6" w14:paraId="2B43FCD5" w14:textId="77777777" w:rsidTr="00E97649">
        <w:trPr>
          <w:trHeight w:val="253"/>
        </w:trPr>
        <w:tc>
          <w:tcPr>
            <w:tcW w:w="2447" w:type="pct"/>
          </w:tcPr>
          <w:p w14:paraId="3CD270FC" w14:textId="4710EA93" w:rsidR="00C8324B" w:rsidRPr="001407B6" w:rsidRDefault="00EA133D" w:rsidP="00E97649">
            <w:pPr>
              <w:pStyle w:val="TableParagraph"/>
              <w:spacing w:line="234" w:lineRule="exact"/>
              <w:ind w:left="110"/>
              <w:jc w:val="both"/>
              <w:rPr>
                <w:u w:val="none"/>
                <w:lang w:val="sr-Latn-ME"/>
              </w:rPr>
            </w:pPr>
            <w:r w:rsidRPr="001407B6">
              <w:rPr>
                <w:u w:val="none"/>
                <w:lang w:val="sr-Latn-ME"/>
              </w:rPr>
              <w:t>1,78 -</w:t>
            </w:r>
            <w:r w:rsidRPr="001407B6">
              <w:rPr>
                <w:spacing w:val="-6"/>
                <w:u w:val="none"/>
                <w:lang w:val="sr-Latn-ME"/>
              </w:rPr>
              <w:t xml:space="preserve"> </w:t>
            </w:r>
            <w:r w:rsidRPr="001407B6">
              <w:rPr>
                <w:u w:val="none"/>
                <w:lang w:val="sr-Latn-ME"/>
              </w:rPr>
              <w:t>2,42</w:t>
            </w:r>
            <w:r w:rsidRPr="001407B6">
              <w:rPr>
                <w:spacing w:val="-5"/>
                <w:u w:val="none"/>
                <w:lang w:val="sr-Latn-ME"/>
              </w:rPr>
              <w:t xml:space="preserve"> </w:t>
            </w:r>
            <w:r w:rsidRPr="001407B6">
              <w:rPr>
                <w:u w:val="none"/>
                <w:lang w:val="sr-Latn-ME"/>
              </w:rPr>
              <w:t>mmol</w:t>
            </w:r>
            <w:r w:rsidR="00456450" w:rsidRPr="001407B6">
              <w:rPr>
                <w:u w:val="none"/>
                <w:lang w:val="sr-Latn-ME"/>
              </w:rPr>
              <w:t>/l</w:t>
            </w:r>
            <w:r w:rsidRPr="001407B6">
              <w:rPr>
                <w:spacing w:val="-1"/>
                <w:u w:val="none"/>
                <w:lang w:val="sr-Latn-ME"/>
              </w:rPr>
              <w:t xml:space="preserve"> </w:t>
            </w:r>
            <w:r w:rsidRPr="001407B6">
              <w:rPr>
                <w:u w:val="none"/>
                <w:lang w:val="sr-Latn-ME"/>
              </w:rPr>
              <w:t>(5,5 -</w:t>
            </w:r>
            <w:r w:rsidRPr="001407B6">
              <w:rPr>
                <w:spacing w:val="-2"/>
                <w:u w:val="none"/>
                <w:lang w:val="sr-Latn-ME"/>
              </w:rPr>
              <w:t xml:space="preserve"> </w:t>
            </w:r>
            <w:r w:rsidRPr="001407B6">
              <w:rPr>
                <w:u w:val="none"/>
                <w:lang w:val="sr-Latn-ME"/>
              </w:rPr>
              <w:t>7,5</w:t>
            </w:r>
            <w:r w:rsidRPr="001407B6">
              <w:rPr>
                <w:spacing w:val="-4"/>
                <w:u w:val="none"/>
                <w:lang w:val="sr-Latn-ME"/>
              </w:rPr>
              <w:t xml:space="preserve"> </w:t>
            </w:r>
            <w:r w:rsidRPr="001407B6">
              <w:rPr>
                <w:u w:val="none"/>
                <w:lang w:val="sr-Latn-ME"/>
              </w:rPr>
              <w:t>mg</w:t>
            </w:r>
            <w:r w:rsidR="00385747" w:rsidRPr="001407B6">
              <w:rPr>
                <w:u w:val="none"/>
                <w:lang w:val="sr-Latn-ME"/>
              </w:rPr>
              <w:t>/dl</w:t>
            </w:r>
            <w:r w:rsidRPr="001407B6">
              <w:rPr>
                <w:u w:val="none"/>
                <w:lang w:val="sr-Latn-ME"/>
              </w:rPr>
              <w:t>)</w:t>
            </w:r>
          </w:p>
        </w:tc>
        <w:tc>
          <w:tcPr>
            <w:tcW w:w="2553" w:type="pct"/>
          </w:tcPr>
          <w:p w14:paraId="70453D0D" w14:textId="77777777" w:rsidR="00C8324B" w:rsidRPr="001407B6" w:rsidRDefault="00EA133D" w:rsidP="00E97649">
            <w:pPr>
              <w:pStyle w:val="TableParagraph"/>
              <w:spacing w:line="234" w:lineRule="exact"/>
              <w:ind w:left="109"/>
              <w:jc w:val="both"/>
              <w:rPr>
                <w:u w:val="none"/>
                <w:lang w:val="sr-Latn-ME"/>
              </w:rPr>
            </w:pPr>
            <w:r w:rsidRPr="001407B6">
              <w:rPr>
                <w:u w:val="none"/>
                <w:lang w:val="sr-Latn-ME"/>
              </w:rPr>
              <w:t>2,4</w:t>
            </w:r>
            <w:r w:rsidRPr="001407B6">
              <w:rPr>
                <w:spacing w:val="2"/>
                <w:u w:val="none"/>
                <w:lang w:val="sr-Latn-ME"/>
              </w:rPr>
              <w:t xml:space="preserve"> </w:t>
            </w:r>
            <w:r w:rsidRPr="001407B6">
              <w:rPr>
                <w:u w:val="none"/>
                <w:lang w:val="sr-Latn-ME"/>
              </w:rPr>
              <w:t>g*</w:t>
            </w:r>
          </w:p>
        </w:tc>
      </w:tr>
      <w:tr w:rsidR="00C8324B" w:rsidRPr="001407B6" w14:paraId="2BF3EB15" w14:textId="77777777" w:rsidTr="00E97649">
        <w:trPr>
          <w:trHeight w:val="253"/>
        </w:trPr>
        <w:tc>
          <w:tcPr>
            <w:tcW w:w="2447" w:type="pct"/>
          </w:tcPr>
          <w:p w14:paraId="6A473A70" w14:textId="03F7EA47" w:rsidR="00C8324B" w:rsidRPr="001407B6" w:rsidRDefault="00EA133D" w:rsidP="00E97649">
            <w:pPr>
              <w:pStyle w:val="TableParagraph"/>
              <w:spacing w:line="234" w:lineRule="exact"/>
              <w:ind w:left="110"/>
              <w:jc w:val="both"/>
              <w:rPr>
                <w:u w:val="none"/>
                <w:lang w:val="sr-Latn-ME"/>
              </w:rPr>
            </w:pPr>
            <w:r w:rsidRPr="001407B6">
              <w:rPr>
                <w:u w:val="none"/>
                <w:lang w:val="sr-Latn-ME"/>
              </w:rPr>
              <w:t>&gt;2,42</w:t>
            </w:r>
            <w:r w:rsidRPr="001407B6">
              <w:rPr>
                <w:spacing w:val="-5"/>
                <w:u w:val="none"/>
                <w:lang w:val="sr-Latn-ME"/>
              </w:rPr>
              <w:t xml:space="preserve"> </w:t>
            </w:r>
            <w:r w:rsidRPr="001407B6">
              <w:rPr>
                <w:u w:val="none"/>
                <w:lang w:val="sr-Latn-ME"/>
              </w:rPr>
              <w:t>mmol</w:t>
            </w:r>
            <w:r w:rsidR="00456450" w:rsidRPr="001407B6">
              <w:rPr>
                <w:u w:val="none"/>
                <w:lang w:val="sr-Latn-ME"/>
              </w:rPr>
              <w:t>/l</w:t>
            </w:r>
            <w:r w:rsidRPr="001407B6">
              <w:rPr>
                <w:spacing w:val="-2"/>
                <w:u w:val="none"/>
                <w:lang w:val="sr-Latn-ME"/>
              </w:rPr>
              <w:t xml:space="preserve"> </w:t>
            </w:r>
            <w:r w:rsidRPr="001407B6">
              <w:rPr>
                <w:u w:val="none"/>
                <w:lang w:val="sr-Latn-ME"/>
              </w:rPr>
              <w:t>(&gt;7,5</w:t>
            </w:r>
            <w:r w:rsidRPr="001407B6">
              <w:rPr>
                <w:spacing w:val="-3"/>
                <w:u w:val="none"/>
                <w:lang w:val="sr-Latn-ME"/>
              </w:rPr>
              <w:t xml:space="preserve"> </w:t>
            </w:r>
            <w:r w:rsidRPr="001407B6">
              <w:rPr>
                <w:u w:val="none"/>
                <w:lang w:val="sr-Latn-ME"/>
              </w:rPr>
              <w:t>mg</w:t>
            </w:r>
            <w:r w:rsidR="00385747" w:rsidRPr="001407B6">
              <w:rPr>
                <w:u w:val="none"/>
                <w:lang w:val="sr-Latn-ME"/>
              </w:rPr>
              <w:t>/dl</w:t>
            </w:r>
            <w:r w:rsidRPr="001407B6">
              <w:rPr>
                <w:u w:val="none"/>
                <w:lang w:val="sr-Latn-ME"/>
              </w:rPr>
              <w:t>)</w:t>
            </w:r>
          </w:p>
        </w:tc>
        <w:tc>
          <w:tcPr>
            <w:tcW w:w="2553" w:type="pct"/>
          </w:tcPr>
          <w:p w14:paraId="4999CA55" w14:textId="77777777" w:rsidR="00C8324B" w:rsidRPr="001407B6" w:rsidRDefault="00EA133D" w:rsidP="00E97649">
            <w:pPr>
              <w:pStyle w:val="TableParagraph"/>
              <w:spacing w:line="234" w:lineRule="exact"/>
              <w:ind w:left="109"/>
              <w:jc w:val="both"/>
              <w:rPr>
                <w:u w:val="none"/>
                <w:lang w:val="sr-Latn-ME"/>
              </w:rPr>
            </w:pPr>
            <w:r w:rsidRPr="001407B6">
              <w:rPr>
                <w:u w:val="none"/>
                <w:lang w:val="sr-Latn-ME"/>
              </w:rPr>
              <w:t>4,8</w:t>
            </w:r>
            <w:r w:rsidRPr="001407B6">
              <w:rPr>
                <w:spacing w:val="2"/>
                <w:u w:val="none"/>
                <w:lang w:val="sr-Latn-ME"/>
              </w:rPr>
              <w:t xml:space="preserve"> </w:t>
            </w:r>
            <w:r w:rsidRPr="001407B6">
              <w:rPr>
                <w:u w:val="none"/>
                <w:lang w:val="sr-Latn-ME"/>
              </w:rPr>
              <w:t>g*</w:t>
            </w:r>
          </w:p>
        </w:tc>
      </w:tr>
    </w:tbl>
    <w:p w14:paraId="478E540E" w14:textId="1967FE86" w:rsidR="00C8324B" w:rsidRPr="001407B6" w:rsidRDefault="00EA133D" w:rsidP="00E97649">
      <w:pPr>
        <w:pStyle w:val="BodyText"/>
        <w:ind w:left="0"/>
        <w:jc w:val="both"/>
        <w:rPr>
          <w:lang w:val="sr-Latn-ME"/>
        </w:rPr>
      </w:pPr>
      <w:r w:rsidRPr="001407B6">
        <w:rPr>
          <w:lang w:val="sr-Latn-ME"/>
        </w:rPr>
        <w:t>*plus</w:t>
      </w:r>
      <w:r w:rsidRPr="001407B6">
        <w:rPr>
          <w:spacing w:val="-4"/>
          <w:lang w:val="sr-Latn-ME"/>
        </w:rPr>
        <w:t xml:space="preserve"> </w:t>
      </w:r>
      <w:r w:rsidRPr="001407B6">
        <w:rPr>
          <w:lang w:val="sr-Latn-ME"/>
        </w:rPr>
        <w:t>naknadna</w:t>
      </w:r>
      <w:r w:rsidRPr="001407B6">
        <w:rPr>
          <w:spacing w:val="-4"/>
          <w:lang w:val="sr-Latn-ME"/>
        </w:rPr>
        <w:t xml:space="preserve"> </w:t>
      </w:r>
      <w:r w:rsidRPr="001407B6">
        <w:rPr>
          <w:lang w:val="sr-Latn-ME"/>
        </w:rPr>
        <w:t>titracija</w:t>
      </w:r>
      <w:r w:rsidRPr="001407B6">
        <w:rPr>
          <w:spacing w:val="-4"/>
          <w:lang w:val="sr-Latn-ME"/>
        </w:rPr>
        <w:t xml:space="preserve"> </w:t>
      </w:r>
      <w:r w:rsidRPr="001407B6">
        <w:rPr>
          <w:lang w:val="sr-Latn-ME"/>
        </w:rPr>
        <w:t>ako</w:t>
      </w:r>
      <w:r w:rsidRPr="001407B6">
        <w:rPr>
          <w:spacing w:val="-4"/>
          <w:lang w:val="sr-Latn-ME"/>
        </w:rPr>
        <w:t xml:space="preserve"> </w:t>
      </w:r>
      <w:r w:rsidRPr="001407B6">
        <w:rPr>
          <w:lang w:val="sr-Latn-ME"/>
        </w:rPr>
        <w:t>je</w:t>
      </w:r>
      <w:r w:rsidRPr="001407B6">
        <w:rPr>
          <w:spacing w:val="-4"/>
          <w:lang w:val="sr-Latn-ME"/>
        </w:rPr>
        <w:t xml:space="preserve"> </w:t>
      </w:r>
      <w:r w:rsidRPr="001407B6">
        <w:rPr>
          <w:lang w:val="sr-Latn-ME"/>
        </w:rPr>
        <w:t>propisano</w:t>
      </w:r>
      <w:r w:rsidR="003B0772" w:rsidRPr="001407B6">
        <w:rPr>
          <w:lang w:val="sr-Latn-ME"/>
        </w:rPr>
        <w:t>, vid</w:t>
      </w:r>
      <w:r w:rsidR="001407B6">
        <w:rPr>
          <w:lang w:val="sr-Latn-ME"/>
        </w:rPr>
        <w:t>j</w:t>
      </w:r>
      <w:r w:rsidR="003B0772" w:rsidRPr="001407B6">
        <w:rPr>
          <w:lang w:val="sr-Latn-ME"/>
        </w:rPr>
        <w:t>eti dio “</w:t>
      </w:r>
      <w:r w:rsidR="003B0772" w:rsidRPr="001407B6">
        <w:rPr>
          <w:i/>
          <w:iCs/>
          <w:lang w:val="sr-Latn-ME"/>
        </w:rPr>
        <w:t>Titracija i doza održavanja</w:t>
      </w:r>
      <w:r w:rsidR="003B0772" w:rsidRPr="001407B6">
        <w:rPr>
          <w:lang w:val="sr-Latn-ME"/>
        </w:rPr>
        <w:t>“</w:t>
      </w:r>
    </w:p>
    <w:p w14:paraId="3A3B653E" w14:textId="77777777" w:rsidR="00C8324B" w:rsidRPr="001407B6" w:rsidRDefault="00C8324B" w:rsidP="00E97649">
      <w:pPr>
        <w:pStyle w:val="BodyText"/>
        <w:ind w:left="0"/>
        <w:jc w:val="both"/>
        <w:rPr>
          <w:sz w:val="21"/>
          <w:lang w:val="sr-Latn-ME"/>
        </w:rPr>
      </w:pPr>
    </w:p>
    <w:p w14:paraId="13A7D24B" w14:textId="7ED6DD1D" w:rsidR="00C8324B" w:rsidRPr="001407B6" w:rsidRDefault="00EA133D">
      <w:pPr>
        <w:pStyle w:val="BodyText"/>
        <w:ind w:left="0"/>
        <w:jc w:val="both"/>
        <w:rPr>
          <w:lang w:val="sr-Latn-ME"/>
        </w:rPr>
      </w:pPr>
      <w:r w:rsidRPr="001407B6">
        <w:rPr>
          <w:lang w:val="sr-Latn-ME"/>
        </w:rPr>
        <w:t xml:space="preserve">Za pacijente koji su prethodno primali </w:t>
      </w:r>
      <w:r w:rsidR="00D41A5F" w:rsidRPr="001407B6">
        <w:rPr>
          <w:lang w:val="sr-Latn-ME"/>
        </w:rPr>
        <w:t>ljekov</w:t>
      </w:r>
      <w:r w:rsidRPr="001407B6">
        <w:rPr>
          <w:lang w:val="sr-Latn-ME"/>
        </w:rPr>
        <w:t xml:space="preserve">e za vezivanje fosfata (sevelamer hidrohlorid ili na bazi kalcijuma), doza </w:t>
      </w:r>
      <w:r w:rsidR="00D41A5F" w:rsidRPr="001407B6">
        <w:rPr>
          <w:lang w:val="sr-Latn-ME"/>
        </w:rPr>
        <w:t>lijek</w:t>
      </w:r>
      <w:r w:rsidRPr="001407B6">
        <w:rPr>
          <w:lang w:val="sr-Latn-ME"/>
        </w:rPr>
        <w:t xml:space="preserve">a Renvela određuje se po principu „gram za gram“ i uz praćenje </w:t>
      </w:r>
      <w:r w:rsidR="00833755" w:rsidRPr="001407B6">
        <w:rPr>
          <w:lang w:val="sr-Latn-ME"/>
        </w:rPr>
        <w:t>vrijedno</w:t>
      </w:r>
      <w:r w:rsidRPr="001407B6">
        <w:rPr>
          <w:lang w:val="sr-Latn-ME"/>
        </w:rPr>
        <w:t>sti fosfora u serumu, da bi se o</w:t>
      </w:r>
      <w:r w:rsidR="00833755" w:rsidRPr="001407B6">
        <w:rPr>
          <w:lang w:val="sr-Latn-ME"/>
        </w:rPr>
        <w:t>bezbjed</w:t>
      </w:r>
      <w:r w:rsidRPr="001407B6">
        <w:rPr>
          <w:lang w:val="sr-Latn-ME"/>
        </w:rPr>
        <w:t>ila optimalna dnevna doza.</w:t>
      </w:r>
    </w:p>
    <w:p w14:paraId="283B47C3" w14:textId="77777777" w:rsidR="00C8324B" w:rsidRPr="001407B6" w:rsidRDefault="00C8324B" w:rsidP="00E97649">
      <w:pPr>
        <w:pStyle w:val="BodyText"/>
        <w:ind w:left="0"/>
        <w:jc w:val="both"/>
        <w:rPr>
          <w:lang w:val="sr-Latn-ME"/>
        </w:rPr>
      </w:pPr>
    </w:p>
    <w:p w14:paraId="053CC661" w14:textId="77777777" w:rsidR="00C8324B" w:rsidRPr="001407B6" w:rsidRDefault="00EA133D">
      <w:pPr>
        <w:pStyle w:val="Heading3"/>
        <w:spacing w:before="0"/>
        <w:ind w:left="0"/>
        <w:rPr>
          <w:b w:val="0"/>
          <w:bCs w:val="0"/>
          <w:u w:val="none"/>
          <w:lang w:val="sr-Latn-ME"/>
        </w:rPr>
      </w:pPr>
      <w:r w:rsidRPr="001407B6">
        <w:rPr>
          <w:b w:val="0"/>
          <w:bCs w:val="0"/>
          <w:lang w:val="sr-Latn-ME"/>
        </w:rPr>
        <w:t>Titracija</w:t>
      </w:r>
      <w:r w:rsidRPr="001407B6">
        <w:rPr>
          <w:b w:val="0"/>
          <w:bCs w:val="0"/>
          <w:spacing w:val="-4"/>
          <w:lang w:val="sr-Latn-ME"/>
        </w:rPr>
        <w:t xml:space="preserve"> </w:t>
      </w:r>
      <w:r w:rsidRPr="001407B6">
        <w:rPr>
          <w:b w:val="0"/>
          <w:bCs w:val="0"/>
          <w:lang w:val="sr-Latn-ME"/>
        </w:rPr>
        <w:t>i</w:t>
      </w:r>
      <w:r w:rsidRPr="001407B6">
        <w:rPr>
          <w:b w:val="0"/>
          <w:bCs w:val="0"/>
          <w:spacing w:val="-4"/>
          <w:lang w:val="sr-Latn-ME"/>
        </w:rPr>
        <w:t xml:space="preserve"> </w:t>
      </w:r>
      <w:r w:rsidRPr="001407B6">
        <w:rPr>
          <w:b w:val="0"/>
          <w:bCs w:val="0"/>
          <w:lang w:val="sr-Latn-ME"/>
        </w:rPr>
        <w:t>doza</w:t>
      </w:r>
      <w:r w:rsidRPr="001407B6">
        <w:rPr>
          <w:b w:val="0"/>
          <w:bCs w:val="0"/>
          <w:spacing w:val="-4"/>
          <w:lang w:val="sr-Latn-ME"/>
        </w:rPr>
        <w:t xml:space="preserve"> </w:t>
      </w:r>
      <w:r w:rsidRPr="001407B6">
        <w:rPr>
          <w:b w:val="0"/>
          <w:bCs w:val="0"/>
          <w:lang w:val="sr-Latn-ME"/>
        </w:rPr>
        <w:t>održavanja</w:t>
      </w:r>
    </w:p>
    <w:p w14:paraId="0793361B" w14:textId="75E3E338" w:rsidR="00C8324B" w:rsidRPr="001407B6" w:rsidRDefault="00EA133D">
      <w:pPr>
        <w:pStyle w:val="BodyText"/>
        <w:ind w:left="0"/>
        <w:jc w:val="both"/>
        <w:rPr>
          <w:lang w:val="sr-Latn-ME"/>
        </w:rPr>
      </w:pPr>
      <w:r w:rsidRPr="001407B6">
        <w:rPr>
          <w:lang w:val="sr-Latn-ME"/>
        </w:rPr>
        <w:t>Vr</w:t>
      </w:r>
      <w:r w:rsidR="009F22EA" w:rsidRPr="001407B6">
        <w:rPr>
          <w:lang w:val="sr-Latn-ME"/>
        </w:rPr>
        <w:t>ij</w:t>
      </w:r>
      <w:r w:rsidRPr="001407B6">
        <w:rPr>
          <w:lang w:val="sr-Latn-ME"/>
        </w:rPr>
        <w:t>ednosti fosfora u serumu moraju se pažljivo pratiti i dozu sevelamer</w:t>
      </w:r>
      <w:r w:rsidR="00833755" w:rsidRPr="001407B6">
        <w:rPr>
          <w:lang w:val="sr-Latn-ME"/>
        </w:rPr>
        <w:t xml:space="preserve"> </w:t>
      </w:r>
      <w:r w:rsidRPr="001407B6">
        <w:rPr>
          <w:lang w:val="sr-Latn-ME"/>
        </w:rPr>
        <w:t>karbonata treba titrirati sa 0,8g tri puta na dan (2,4g na dan) svake 2-4 ned</w:t>
      </w:r>
      <w:r w:rsidR="009F22EA" w:rsidRPr="001407B6">
        <w:rPr>
          <w:lang w:val="sr-Latn-ME"/>
        </w:rPr>
        <w:t>j</w:t>
      </w:r>
      <w:r w:rsidRPr="001407B6">
        <w:rPr>
          <w:lang w:val="sr-Latn-ME"/>
        </w:rPr>
        <w:t>elje, sve dok se ne postigne prihvatljiva vr</w:t>
      </w:r>
      <w:r w:rsidR="009F22EA" w:rsidRPr="001407B6">
        <w:rPr>
          <w:lang w:val="sr-Latn-ME"/>
        </w:rPr>
        <w:t>ij</w:t>
      </w:r>
      <w:r w:rsidRPr="001407B6">
        <w:rPr>
          <w:lang w:val="sr-Latn-ME"/>
        </w:rPr>
        <w:t>ednost koncentracije fosfora u serumu, kao i redovno posl</w:t>
      </w:r>
      <w:r w:rsidR="009F22EA" w:rsidRPr="001407B6">
        <w:rPr>
          <w:lang w:val="sr-Latn-ME"/>
        </w:rPr>
        <w:t>ij</w:t>
      </w:r>
      <w:r w:rsidRPr="001407B6">
        <w:rPr>
          <w:lang w:val="sr-Latn-ME"/>
        </w:rPr>
        <w:t>e toga.</w:t>
      </w:r>
    </w:p>
    <w:p w14:paraId="2F4F4BCF" w14:textId="77777777" w:rsidR="005C4F6B" w:rsidRPr="001407B6" w:rsidRDefault="005C4F6B" w:rsidP="001407B6">
      <w:pPr>
        <w:pStyle w:val="BodyText"/>
        <w:ind w:left="0"/>
        <w:jc w:val="both"/>
        <w:rPr>
          <w:lang w:val="sr-Latn-ME"/>
        </w:rPr>
      </w:pPr>
    </w:p>
    <w:p w14:paraId="358F6C7F" w14:textId="6F551D3B" w:rsidR="00C8324B" w:rsidRPr="001407B6" w:rsidRDefault="00EA133D" w:rsidP="001407B6">
      <w:pPr>
        <w:pStyle w:val="BodyText"/>
        <w:ind w:left="0"/>
        <w:jc w:val="both"/>
        <w:rPr>
          <w:lang w:val="sr-Latn-ME"/>
        </w:rPr>
      </w:pPr>
      <w:r w:rsidRPr="001407B6">
        <w:rPr>
          <w:lang w:val="sr-Latn-ME"/>
        </w:rPr>
        <w:t xml:space="preserve">Pacijent koji uzima </w:t>
      </w:r>
      <w:r w:rsidR="003B0772" w:rsidRPr="001407B6">
        <w:rPr>
          <w:lang w:val="sr-Latn-ME"/>
        </w:rPr>
        <w:t>sevelamer karbonat</w:t>
      </w:r>
      <w:r w:rsidRPr="001407B6">
        <w:rPr>
          <w:lang w:val="sr-Latn-ME"/>
        </w:rPr>
        <w:t xml:space="preserve"> mora da se pridržava svoje propisane dijete.</w:t>
      </w:r>
    </w:p>
    <w:p w14:paraId="5A4210F0" w14:textId="1BF5BD58" w:rsidR="00C8324B" w:rsidRPr="001407B6" w:rsidRDefault="00EA133D" w:rsidP="001407B6">
      <w:pPr>
        <w:pStyle w:val="BodyText"/>
        <w:ind w:left="0"/>
        <w:jc w:val="both"/>
        <w:rPr>
          <w:lang w:val="sr-Latn-ME"/>
        </w:rPr>
      </w:pPr>
      <w:r w:rsidRPr="001407B6">
        <w:rPr>
          <w:lang w:val="sr-Latn-ME"/>
        </w:rPr>
        <w:t xml:space="preserve">U kliničkoj praksi, terapija će biti nastavljena u zavisnosti od potrebe da se kontroliše </w:t>
      </w:r>
      <w:r w:rsidR="00833755" w:rsidRPr="001407B6">
        <w:rPr>
          <w:lang w:val="sr-Latn-ME"/>
        </w:rPr>
        <w:t>vrijedno</w:t>
      </w:r>
      <w:r w:rsidRPr="001407B6">
        <w:rPr>
          <w:lang w:val="sr-Latn-ME"/>
        </w:rPr>
        <w:t>st fosfora u serumu i očekuje se da prosečna dnevna doza bude oko 6 g na dan.</w:t>
      </w:r>
    </w:p>
    <w:p w14:paraId="2642CDA4" w14:textId="18DD331D" w:rsidR="00E26330" w:rsidRPr="001407B6" w:rsidRDefault="00E26330" w:rsidP="001407B6">
      <w:pPr>
        <w:pStyle w:val="BodyText"/>
        <w:ind w:left="0"/>
        <w:jc w:val="both"/>
        <w:rPr>
          <w:lang w:val="sr-Latn-ME"/>
        </w:rPr>
      </w:pPr>
    </w:p>
    <w:p w14:paraId="3E5533F2" w14:textId="77777777" w:rsidR="00E26330" w:rsidRPr="001407B6" w:rsidRDefault="00E26330" w:rsidP="001407B6">
      <w:pPr>
        <w:pStyle w:val="BodyText"/>
        <w:ind w:left="0"/>
        <w:jc w:val="both"/>
        <w:rPr>
          <w:iCs/>
          <w:u w:val="single"/>
          <w:lang w:val="sr-Latn-ME"/>
        </w:rPr>
      </w:pPr>
      <w:r w:rsidRPr="001407B6">
        <w:rPr>
          <w:iCs/>
          <w:u w:val="single"/>
          <w:lang w:val="sr-Latn-ME"/>
        </w:rPr>
        <w:t>Posebne populacije</w:t>
      </w:r>
    </w:p>
    <w:p w14:paraId="1DA8A61F" w14:textId="77777777" w:rsidR="005C4F6B" w:rsidRPr="001407B6" w:rsidRDefault="005C4F6B" w:rsidP="001407B6">
      <w:pPr>
        <w:pStyle w:val="BodyText"/>
        <w:ind w:left="0"/>
        <w:jc w:val="both"/>
        <w:rPr>
          <w:i/>
          <w:lang w:val="sr-Latn-ME"/>
        </w:rPr>
      </w:pPr>
    </w:p>
    <w:p w14:paraId="65B69CE2" w14:textId="101C02EB" w:rsidR="00E26330" w:rsidRPr="001407B6" w:rsidRDefault="00E26330" w:rsidP="001407B6">
      <w:pPr>
        <w:pStyle w:val="BodyText"/>
        <w:ind w:left="0"/>
        <w:jc w:val="both"/>
        <w:rPr>
          <w:i/>
          <w:lang w:val="sr-Latn-ME"/>
        </w:rPr>
      </w:pPr>
      <w:r w:rsidRPr="001407B6">
        <w:rPr>
          <w:i/>
          <w:lang w:val="sr-Latn-ME"/>
        </w:rPr>
        <w:t>Starije osobe</w:t>
      </w:r>
    </w:p>
    <w:p w14:paraId="29AD7F5E" w14:textId="77777777" w:rsidR="00E26330" w:rsidRPr="001407B6" w:rsidRDefault="00E26330" w:rsidP="001407B6">
      <w:pPr>
        <w:pStyle w:val="BodyText"/>
        <w:ind w:left="0"/>
        <w:jc w:val="both"/>
        <w:rPr>
          <w:lang w:val="sr-Latn-ME"/>
        </w:rPr>
      </w:pPr>
      <w:r w:rsidRPr="001407B6">
        <w:rPr>
          <w:lang w:val="sr-Latn-ME"/>
        </w:rPr>
        <w:t>Nije potrebno prilagođavanje doze u starijih osoba.</w:t>
      </w:r>
    </w:p>
    <w:p w14:paraId="5153946E" w14:textId="77777777" w:rsidR="00E26330" w:rsidRPr="001407B6" w:rsidRDefault="00E26330" w:rsidP="001407B6">
      <w:pPr>
        <w:pStyle w:val="BodyText"/>
        <w:ind w:left="0"/>
        <w:jc w:val="both"/>
        <w:rPr>
          <w:i/>
          <w:lang w:val="sr-Latn-ME"/>
        </w:rPr>
      </w:pPr>
    </w:p>
    <w:p w14:paraId="7FFBF6E3" w14:textId="03A6EF84" w:rsidR="00E26330" w:rsidRPr="001407B6" w:rsidRDefault="003B0772" w:rsidP="001407B6">
      <w:pPr>
        <w:pStyle w:val="BodyText"/>
        <w:ind w:left="0"/>
        <w:jc w:val="both"/>
        <w:rPr>
          <w:i/>
          <w:lang w:val="sr-Latn-ME"/>
        </w:rPr>
      </w:pPr>
      <w:r w:rsidRPr="001407B6">
        <w:rPr>
          <w:i/>
          <w:lang w:val="sr-Latn-ME"/>
        </w:rPr>
        <w:t>Pacijent</w:t>
      </w:r>
      <w:r w:rsidR="00E26330" w:rsidRPr="001407B6">
        <w:rPr>
          <w:i/>
          <w:lang w:val="sr-Latn-ME"/>
        </w:rPr>
        <w:t>i sa oštećenjem funkcije jetre</w:t>
      </w:r>
    </w:p>
    <w:p w14:paraId="78FEA840" w14:textId="563EA4F3" w:rsidR="00E26330" w:rsidRPr="001407B6" w:rsidRDefault="00E26330" w:rsidP="001407B6">
      <w:pPr>
        <w:pStyle w:val="BodyText"/>
        <w:ind w:left="0"/>
        <w:jc w:val="both"/>
        <w:rPr>
          <w:lang w:val="sr-Latn-ME"/>
        </w:rPr>
      </w:pPr>
      <w:r w:rsidRPr="001407B6">
        <w:rPr>
          <w:lang w:val="sr-Latn-ME"/>
        </w:rPr>
        <w:t xml:space="preserve">Nisu </w:t>
      </w:r>
      <w:r w:rsidR="003B0772" w:rsidRPr="001407B6">
        <w:rPr>
          <w:lang w:val="sr-Latn-ME"/>
        </w:rPr>
        <w:t>s</w:t>
      </w:r>
      <w:r w:rsidRPr="001407B6">
        <w:rPr>
          <w:lang w:val="sr-Latn-ME"/>
        </w:rPr>
        <w:t xml:space="preserve">provedena ispitivanja </w:t>
      </w:r>
      <w:r w:rsidR="003B0772" w:rsidRPr="001407B6">
        <w:rPr>
          <w:lang w:val="sr-Latn-ME"/>
        </w:rPr>
        <w:t>kod pacijenata</w:t>
      </w:r>
      <w:r w:rsidRPr="001407B6">
        <w:rPr>
          <w:lang w:val="sr-Latn-ME"/>
        </w:rPr>
        <w:t xml:space="preserve"> s</w:t>
      </w:r>
      <w:r w:rsidR="003B0772" w:rsidRPr="001407B6">
        <w:rPr>
          <w:lang w:val="sr-Latn-ME"/>
        </w:rPr>
        <w:t>a</w:t>
      </w:r>
      <w:r w:rsidRPr="001407B6">
        <w:rPr>
          <w:lang w:val="sr-Latn-ME"/>
        </w:rPr>
        <w:t xml:space="preserve"> oštećenjem funkcije jetre.</w:t>
      </w:r>
    </w:p>
    <w:p w14:paraId="2AF66EF3" w14:textId="77777777" w:rsidR="00E26330" w:rsidRPr="001407B6" w:rsidRDefault="00E26330" w:rsidP="001407B6">
      <w:pPr>
        <w:pStyle w:val="BodyText"/>
        <w:ind w:left="0"/>
        <w:jc w:val="both"/>
        <w:rPr>
          <w:lang w:val="sr-Latn-ME"/>
        </w:rPr>
      </w:pPr>
    </w:p>
    <w:p w14:paraId="4F89AF30" w14:textId="77777777" w:rsidR="00C8324B" w:rsidRPr="001407B6" w:rsidRDefault="00EA133D" w:rsidP="001407B6">
      <w:pPr>
        <w:jc w:val="both"/>
        <w:rPr>
          <w:i/>
          <w:lang w:val="sr-Latn-ME"/>
        </w:rPr>
      </w:pPr>
      <w:r w:rsidRPr="001407B6">
        <w:rPr>
          <w:i/>
          <w:lang w:val="sr-Latn-ME"/>
        </w:rPr>
        <w:t>Pedijatrijska</w:t>
      </w:r>
      <w:r w:rsidRPr="001407B6">
        <w:rPr>
          <w:i/>
          <w:spacing w:val="-8"/>
          <w:lang w:val="sr-Latn-ME"/>
        </w:rPr>
        <w:t xml:space="preserve"> </w:t>
      </w:r>
      <w:r w:rsidRPr="001407B6">
        <w:rPr>
          <w:i/>
          <w:lang w:val="sr-Latn-ME"/>
        </w:rPr>
        <w:t>populacija</w:t>
      </w:r>
    </w:p>
    <w:p w14:paraId="154BFB99" w14:textId="79B097CE" w:rsidR="00C8324B" w:rsidRPr="001407B6" w:rsidRDefault="00EA133D" w:rsidP="001407B6">
      <w:pPr>
        <w:pStyle w:val="BodyText"/>
        <w:ind w:left="0"/>
        <w:jc w:val="both"/>
        <w:rPr>
          <w:lang w:val="sr-Latn-ME"/>
        </w:rPr>
      </w:pPr>
      <w:r w:rsidRPr="001407B6">
        <w:rPr>
          <w:lang w:val="sr-Latn-ME"/>
        </w:rPr>
        <w:t>Bezb</w:t>
      </w:r>
      <w:r w:rsidR="009F22EA" w:rsidRPr="001407B6">
        <w:rPr>
          <w:lang w:val="sr-Latn-ME"/>
        </w:rPr>
        <w:t>j</w:t>
      </w:r>
      <w:r w:rsidRPr="001407B6">
        <w:rPr>
          <w:lang w:val="sr-Latn-ME"/>
        </w:rPr>
        <w:t xml:space="preserve">ednost i efikasnost </w:t>
      </w:r>
      <w:r w:rsidR="00D41A5F" w:rsidRPr="001407B6">
        <w:rPr>
          <w:lang w:val="sr-Latn-ME"/>
        </w:rPr>
        <w:t>lijek</w:t>
      </w:r>
      <w:r w:rsidRPr="001407B6">
        <w:rPr>
          <w:lang w:val="sr-Latn-ME"/>
        </w:rPr>
        <w:t xml:space="preserve">a Renvela </w:t>
      </w:r>
      <w:r w:rsidR="00603339" w:rsidRPr="001407B6">
        <w:rPr>
          <w:lang w:val="sr-Latn-ME"/>
        </w:rPr>
        <w:t>nijesu</w:t>
      </w:r>
      <w:r w:rsidRPr="001407B6">
        <w:rPr>
          <w:lang w:val="sr-Latn-ME"/>
        </w:rPr>
        <w:t xml:space="preserve"> utvrđeni kod d</w:t>
      </w:r>
      <w:r w:rsidR="00833755" w:rsidRPr="001407B6">
        <w:rPr>
          <w:lang w:val="sr-Latn-ME"/>
        </w:rPr>
        <w:t>j</w:t>
      </w:r>
      <w:r w:rsidRPr="001407B6">
        <w:rPr>
          <w:lang w:val="sr-Latn-ME"/>
        </w:rPr>
        <w:t>ece uzrasta ispod 6 godina i t</w:t>
      </w:r>
      <w:r w:rsidR="00833755" w:rsidRPr="001407B6">
        <w:rPr>
          <w:lang w:val="sr-Latn-ME"/>
        </w:rPr>
        <w:t>j</w:t>
      </w:r>
      <w:r w:rsidRPr="001407B6">
        <w:rPr>
          <w:lang w:val="sr-Latn-ME"/>
        </w:rPr>
        <w:t>elesne površine manje</w:t>
      </w:r>
      <w:r w:rsidR="00833755" w:rsidRPr="001407B6">
        <w:rPr>
          <w:lang w:val="sr-Latn-ME"/>
        </w:rPr>
        <w:t xml:space="preserve"> </w:t>
      </w:r>
      <w:r w:rsidRPr="001407B6">
        <w:rPr>
          <w:lang w:val="sr-Latn-ME"/>
        </w:rPr>
        <w:t>od 0,75 m</w:t>
      </w:r>
      <w:r w:rsidRPr="001407B6">
        <w:rPr>
          <w:vertAlign w:val="superscript"/>
          <w:lang w:val="sr-Latn-ME"/>
        </w:rPr>
        <w:t>2</w:t>
      </w:r>
      <w:r w:rsidRPr="001407B6">
        <w:rPr>
          <w:lang w:val="sr-Latn-ME"/>
        </w:rPr>
        <w:t>.</w:t>
      </w:r>
      <w:r w:rsidR="003B0772" w:rsidRPr="001407B6">
        <w:rPr>
          <w:lang w:val="sr-Latn-ME"/>
        </w:rPr>
        <w:t xml:space="preserve"> Nema dostupnih podataka.</w:t>
      </w:r>
    </w:p>
    <w:p w14:paraId="251A2315" w14:textId="510C63EA" w:rsidR="00E26330" w:rsidRPr="001407B6" w:rsidRDefault="00E26330" w:rsidP="001407B6">
      <w:pPr>
        <w:pStyle w:val="BodyText"/>
        <w:ind w:left="0"/>
        <w:jc w:val="both"/>
        <w:rPr>
          <w:lang w:val="sr-Latn-ME"/>
        </w:rPr>
      </w:pPr>
    </w:p>
    <w:p w14:paraId="6361EC69" w14:textId="5A34FB93" w:rsidR="00E26330" w:rsidRPr="001407B6" w:rsidRDefault="00E26330" w:rsidP="001407B6">
      <w:pPr>
        <w:pStyle w:val="BodyText"/>
        <w:ind w:left="0"/>
        <w:jc w:val="both"/>
        <w:rPr>
          <w:lang w:val="sr-Latn-ME"/>
        </w:rPr>
      </w:pPr>
      <w:r w:rsidRPr="001407B6">
        <w:rPr>
          <w:lang w:val="sr-Latn-ME"/>
        </w:rPr>
        <w:t>Bezbijednost i efikasnost lijeka Renvela</w:t>
      </w:r>
      <w:r w:rsidR="005C4F6B" w:rsidRPr="001407B6">
        <w:rPr>
          <w:lang w:val="sr-Latn-ME"/>
        </w:rPr>
        <w:t xml:space="preserve"> </w:t>
      </w:r>
      <w:r w:rsidRPr="001407B6">
        <w:rPr>
          <w:lang w:val="sr-Latn-ME"/>
        </w:rPr>
        <w:t>utvrđeni su  kod djece uzrasta iznad 6 godina i tjelesne površine manje</w:t>
      </w:r>
      <w:r w:rsidR="005C4F6B" w:rsidRPr="001407B6">
        <w:rPr>
          <w:lang w:val="sr-Latn-ME"/>
        </w:rPr>
        <w:t xml:space="preserve"> </w:t>
      </w:r>
      <w:r w:rsidRPr="001407B6">
        <w:rPr>
          <w:lang w:val="sr-Latn-ME"/>
        </w:rPr>
        <w:t>od 0,75 m</w:t>
      </w:r>
      <w:r w:rsidRPr="001407B6">
        <w:rPr>
          <w:vertAlign w:val="superscript"/>
          <w:lang w:val="sr-Latn-ME"/>
        </w:rPr>
        <w:t>2</w:t>
      </w:r>
      <w:r w:rsidRPr="001407B6">
        <w:rPr>
          <w:lang w:val="sr-Latn-ME"/>
        </w:rPr>
        <w:t>. Trenutno dostupni podaci opisani su u dijelu 5.1.</w:t>
      </w:r>
    </w:p>
    <w:p w14:paraId="53E0B84C" w14:textId="77777777" w:rsidR="00E26330" w:rsidRPr="001407B6" w:rsidRDefault="00E26330" w:rsidP="001407B6">
      <w:pPr>
        <w:pStyle w:val="BodyText"/>
        <w:ind w:left="0"/>
        <w:jc w:val="both"/>
        <w:rPr>
          <w:lang w:val="sr-Latn-ME"/>
        </w:rPr>
      </w:pPr>
    </w:p>
    <w:p w14:paraId="7C323500" w14:textId="62501C35" w:rsidR="00E26330" w:rsidRPr="001407B6" w:rsidRDefault="00EA133D" w:rsidP="001407B6">
      <w:pPr>
        <w:pStyle w:val="BodyText"/>
        <w:ind w:left="0"/>
        <w:jc w:val="both"/>
        <w:rPr>
          <w:lang w:val="sr-Latn-ME"/>
        </w:rPr>
      </w:pPr>
      <w:r w:rsidRPr="001407B6">
        <w:rPr>
          <w:lang w:val="sr-Latn-ME"/>
        </w:rPr>
        <w:t>Za pedijatrijske pacijente treba koristiti oralnu suspenziju, dok upotreba tableta nije</w:t>
      </w:r>
      <w:r w:rsidR="00833755" w:rsidRPr="001407B6">
        <w:rPr>
          <w:lang w:val="sr-Latn-ME"/>
        </w:rPr>
        <w:t xml:space="preserve"> </w:t>
      </w:r>
      <w:r w:rsidRPr="001407B6">
        <w:rPr>
          <w:lang w:val="sr-Latn-ME"/>
        </w:rPr>
        <w:t>prikladna za ovu populaciju.</w:t>
      </w:r>
    </w:p>
    <w:p w14:paraId="6FD04BFC" w14:textId="77777777" w:rsidR="00456450" w:rsidRPr="001407B6" w:rsidRDefault="00456450" w:rsidP="001407B6">
      <w:pPr>
        <w:spacing w:line="251" w:lineRule="exact"/>
        <w:jc w:val="both"/>
        <w:rPr>
          <w:iCs/>
          <w:u w:val="single"/>
          <w:lang w:val="sr-Latn-ME"/>
        </w:rPr>
      </w:pPr>
    </w:p>
    <w:p w14:paraId="576D5AA7" w14:textId="3C2EF095" w:rsidR="00C8324B" w:rsidRPr="001407B6" w:rsidRDefault="00EA133D" w:rsidP="001407B6">
      <w:pPr>
        <w:spacing w:line="251" w:lineRule="exact"/>
        <w:jc w:val="both"/>
        <w:rPr>
          <w:iCs/>
          <w:lang w:val="sr-Latn-ME"/>
        </w:rPr>
      </w:pPr>
      <w:r w:rsidRPr="001407B6">
        <w:rPr>
          <w:iCs/>
          <w:u w:val="single"/>
          <w:lang w:val="sr-Latn-ME"/>
        </w:rPr>
        <w:t>Način</w:t>
      </w:r>
      <w:r w:rsidRPr="001407B6">
        <w:rPr>
          <w:iCs/>
          <w:spacing w:val="-4"/>
          <w:u w:val="single"/>
          <w:lang w:val="sr-Latn-ME"/>
        </w:rPr>
        <w:t xml:space="preserve"> </w:t>
      </w:r>
      <w:r w:rsidR="00D41A5F" w:rsidRPr="001407B6">
        <w:rPr>
          <w:iCs/>
          <w:u w:val="single"/>
          <w:lang w:val="sr-Latn-ME"/>
        </w:rPr>
        <w:t>primjen</w:t>
      </w:r>
      <w:r w:rsidRPr="001407B6">
        <w:rPr>
          <w:iCs/>
          <w:u w:val="single"/>
          <w:lang w:val="sr-Latn-ME"/>
        </w:rPr>
        <w:t>e</w:t>
      </w:r>
    </w:p>
    <w:p w14:paraId="193BAA30" w14:textId="2A23755A" w:rsidR="00C8324B" w:rsidRPr="001407B6" w:rsidRDefault="00EA133D" w:rsidP="001407B6">
      <w:pPr>
        <w:pStyle w:val="BodyText"/>
        <w:ind w:left="0"/>
        <w:jc w:val="both"/>
        <w:rPr>
          <w:lang w:val="sr-Latn-ME"/>
        </w:rPr>
      </w:pPr>
      <w:r w:rsidRPr="001407B6">
        <w:rPr>
          <w:lang w:val="sr-Latn-ME"/>
        </w:rPr>
        <w:t xml:space="preserve">Oralna </w:t>
      </w:r>
      <w:r w:rsidR="00D41A5F" w:rsidRPr="001407B6">
        <w:rPr>
          <w:lang w:val="sr-Latn-ME"/>
        </w:rPr>
        <w:t>primjen</w:t>
      </w:r>
      <w:r w:rsidRPr="001407B6">
        <w:rPr>
          <w:lang w:val="sr-Latn-ME"/>
        </w:rPr>
        <w:t>a.</w:t>
      </w:r>
    </w:p>
    <w:p w14:paraId="20FCAE09" w14:textId="69AC31C9" w:rsidR="00C8324B" w:rsidRPr="001407B6" w:rsidRDefault="00EA133D" w:rsidP="001407B6">
      <w:pPr>
        <w:pStyle w:val="BodyText"/>
        <w:ind w:left="0"/>
        <w:jc w:val="both"/>
        <w:rPr>
          <w:lang w:val="sr-Latn-ME"/>
        </w:rPr>
      </w:pPr>
      <w:r w:rsidRPr="001407B6">
        <w:rPr>
          <w:lang w:val="sr-Latn-ME"/>
        </w:rPr>
        <w:t>Tablete se moraju progutati c</w:t>
      </w:r>
      <w:r w:rsidR="00833755" w:rsidRPr="001407B6">
        <w:rPr>
          <w:lang w:val="sr-Latn-ME"/>
        </w:rPr>
        <w:t>ij</w:t>
      </w:r>
      <w:r w:rsidRPr="001407B6">
        <w:rPr>
          <w:lang w:val="sr-Latn-ME"/>
        </w:rPr>
        <w:t>ele i ne treba ih gnječiti, žvakati, ili lomiti na d</w:t>
      </w:r>
      <w:r w:rsidR="00833755" w:rsidRPr="001407B6">
        <w:rPr>
          <w:lang w:val="sr-Latn-ME"/>
        </w:rPr>
        <w:t>ij</w:t>
      </w:r>
      <w:r w:rsidRPr="001407B6">
        <w:rPr>
          <w:lang w:val="sr-Latn-ME"/>
        </w:rPr>
        <w:t>elove pr</w:t>
      </w:r>
      <w:r w:rsidR="00833755" w:rsidRPr="001407B6">
        <w:rPr>
          <w:lang w:val="sr-Latn-ME"/>
        </w:rPr>
        <w:t>ij</w:t>
      </w:r>
      <w:r w:rsidRPr="001407B6">
        <w:rPr>
          <w:lang w:val="sr-Latn-ME"/>
        </w:rPr>
        <w:t xml:space="preserve">e upotrebe. </w:t>
      </w:r>
      <w:r w:rsidR="00D41A5F" w:rsidRPr="001407B6">
        <w:rPr>
          <w:lang w:val="sr-Latn-ME"/>
        </w:rPr>
        <w:t>Lijek</w:t>
      </w:r>
      <w:r w:rsidRPr="001407B6">
        <w:rPr>
          <w:lang w:val="sr-Latn-ME"/>
        </w:rPr>
        <w:t xml:space="preserve"> Renvela treba uzimati uz obrok i nikako na</w:t>
      </w:r>
      <w:r w:rsidR="00283355" w:rsidRPr="001407B6">
        <w:rPr>
          <w:lang w:val="sr-Latn-ME"/>
        </w:rPr>
        <w:t xml:space="preserve"> prazan želudac</w:t>
      </w:r>
      <w:r w:rsidRPr="001407B6">
        <w:rPr>
          <w:lang w:val="sr-Latn-ME"/>
        </w:rPr>
        <w:t>.</w:t>
      </w:r>
    </w:p>
    <w:p w14:paraId="18AD4465" w14:textId="77777777" w:rsidR="00C8324B" w:rsidRPr="001407B6" w:rsidRDefault="00C8324B" w:rsidP="001407B6">
      <w:pPr>
        <w:pStyle w:val="BodyText"/>
        <w:ind w:left="0"/>
        <w:jc w:val="both"/>
        <w:rPr>
          <w:lang w:val="sr-Latn-ME"/>
        </w:rPr>
      </w:pPr>
    </w:p>
    <w:p w14:paraId="4A25A837" w14:textId="15DE0E58" w:rsidR="00C8324B" w:rsidRPr="001407B6" w:rsidRDefault="00EA133D" w:rsidP="001407B6">
      <w:pPr>
        <w:pStyle w:val="Heading2"/>
        <w:numPr>
          <w:ilvl w:val="1"/>
          <w:numId w:val="1"/>
        </w:numPr>
        <w:spacing w:line="251" w:lineRule="exact"/>
        <w:ind w:left="426" w:hanging="426"/>
        <w:jc w:val="both"/>
        <w:rPr>
          <w:lang w:val="sr-Latn-ME"/>
        </w:rPr>
      </w:pPr>
      <w:r w:rsidRPr="001407B6">
        <w:rPr>
          <w:lang w:val="sr-Latn-ME"/>
        </w:rPr>
        <w:t>Kontraindikacije</w:t>
      </w:r>
    </w:p>
    <w:p w14:paraId="02D90AFB" w14:textId="77777777" w:rsidR="00456450" w:rsidRPr="001407B6" w:rsidRDefault="00456450" w:rsidP="001407B6">
      <w:pPr>
        <w:pStyle w:val="Heading2"/>
        <w:spacing w:line="251" w:lineRule="exact"/>
        <w:ind w:left="426" w:firstLine="0"/>
        <w:jc w:val="both"/>
        <w:rPr>
          <w:lang w:val="sr-Latn-ME"/>
        </w:rPr>
      </w:pPr>
    </w:p>
    <w:p w14:paraId="21B3116F" w14:textId="227799AD" w:rsidR="00C8324B" w:rsidRPr="001407B6" w:rsidRDefault="00EA133D" w:rsidP="001407B6">
      <w:pPr>
        <w:pStyle w:val="ListParagraph"/>
        <w:numPr>
          <w:ilvl w:val="2"/>
          <w:numId w:val="1"/>
        </w:numPr>
        <w:spacing w:line="267" w:lineRule="exact"/>
        <w:ind w:left="709" w:hanging="361"/>
        <w:jc w:val="both"/>
        <w:rPr>
          <w:lang w:val="sr-Latn-ME"/>
        </w:rPr>
      </w:pPr>
      <w:r w:rsidRPr="001407B6">
        <w:rPr>
          <w:lang w:val="sr-Latn-ME"/>
        </w:rPr>
        <w:t>Preos</w:t>
      </w:r>
      <w:r w:rsidR="00833755" w:rsidRPr="001407B6">
        <w:rPr>
          <w:lang w:val="sr-Latn-ME"/>
        </w:rPr>
        <w:t>j</w:t>
      </w:r>
      <w:r w:rsidRPr="001407B6">
        <w:rPr>
          <w:lang w:val="sr-Latn-ME"/>
        </w:rPr>
        <w:t>etljivost</w:t>
      </w:r>
      <w:r w:rsidRPr="001407B6">
        <w:rPr>
          <w:spacing w:val="-4"/>
          <w:lang w:val="sr-Latn-ME"/>
        </w:rPr>
        <w:t xml:space="preserve"> </w:t>
      </w:r>
      <w:r w:rsidRPr="001407B6">
        <w:rPr>
          <w:lang w:val="sr-Latn-ME"/>
        </w:rPr>
        <w:t>na</w:t>
      </w:r>
      <w:r w:rsidRPr="001407B6">
        <w:rPr>
          <w:spacing w:val="-3"/>
          <w:lang w:val="sr-Latn-ME"/>
        </w:rPr>
        <w:t xml:space="preserve"> </w:t>
      </w:r>
      <w:r w:rsidRPr="001407B6">
        <w:rPr>
          <w:lang w:val="sr-Latn-ME"/>
        </w:rPr>
        <w:t>aktivnu</w:t>
      </w:r>
      <w:r w:rsidRPr="001407B6">
        <w:rPr>
          <w:spacing w:val="-3"/>
          <w:lang w:val="sr-Latn-ME"/>
        </w:rPr>
        <w:t xml:space="preserve"> </w:t>
      </w:r>
      <w:r w:rsidRPr="001407B6">
        <w:rPr>
          <w:lang w:val="sr-Latn-ME"/>
        </w:rPr>
        <w:t>supstancu</w:t>
      </w:r>
      <w:r w:rsidRPr="001407B6">
        <w:rPr>
          <w:spacing w:val="-3"/>
          <w:lang w:val="sr-Latn-ME"/>
        </w:rPr>
        <w:t xml:space="preserve"> </w:t>
      </w:r>
      <w:r w:rsidRPr="001407B6">
        <w:rPr>
          <w:lang w:val="sr-Latn-ME"/>
        </w:rPr>
        <w:t>ili na</w:t>
      </w:r>
      <w:r w:rsidRPr="001407B6">
        <w:rPr>
          <w:spacing w:val="-1"/>
          <w:lang w:val="sr-Latn-ME"/>
        </w:rPr>
        <w:t xml:space="preserve"> </w:t>
      </w:r>
      <w:r w:rsidRPr="001407B6">
        <w:rPr>
          <w:lang w:val="sr-Latn-ME"/>
        </w:rPr>
        <w:t>bilo</w:t>
      </w:r>
      <w:r w:rsidRPr="001407B6">
        <w:rPr>
          <w:spacing w:val="-3"/>
          <w:lang w:val="sr-Latn-ME"/>
        </w:rPr>
        <w:t xml:space="preserve"> </w:t>
      </w:r>
      <w:r w:rsidRPr="001407B6">
        <w:rPr>
          <w:lang w:val="sr-Latn-ME"/>
        </w:rPr>
        <w:t>koju</w:t>
      </w:r>
      <w:r w:rsidRPr="001407B6">
        <w:rPr>
          <w:spacing w:val="-4"/>
          <w:lang w:val="sr-Latn-ME"/>
        </w:rPr>
        <w:t xml:space="preserve"> </w:t>
      </w:r>
      <w:r w:rsidRPr="001407B6">
        <w:rPr>
          <w:lang w:val="sr-Latn-ME"/>
        </w:rPr>
        <w:t>od</w:t>
      </w:r>
      <w:r w:rsidRPr="001407B6">
        <w:rPr>
          <w:spacing w:val="-3"/>
          <w:lang w:val="sr-Latn-ME"/>
        </w:rPr>
        <w:t xml:space="preserve"> </w:t>
      </w:r>
      <w:r w:rsidRPr="001407B6">
        <w:rPr>
          <w:lang w:val="sr-Latn-ME"/>
        </w:rPr>
        <w:t>pomoćnih</w:t>
      </w:r>
      <w:r w:rsidRPr="001407B6">
        <w:rPr>
          <w:spacing w:val="-3"/>
          <w:lang w:val="sr-Latn-ME"/>
        </w:rPr>
        <w:t xml:space="preserve"> </w:t>
      </w:r>
      <w:r w:rsidRPr="001407B6">
        <w:rPr>
          <w:lang w:val="sr-Latn-ME"/>
        </w:rPr>
        <w:t>supstanci</w:t>
      </w:r>
      <w:r w:rsidRPr="001407B6">
        <w:rPr>
          <w:spacing w:val="4"/>
          <w:lang w:val="sr-Latn-ME"/>
        </w:rPr>
        <w:t xml:space="preserve"> </w:t>
      </w:r>
      <w:r w:rsidRPr="001407B6">
        <w:rPr>
          <w:lang w:val="sr-Latn-ME"/>
        </w:rPr>
        <w:t>navedenih</w:t>
      </w:r>
      <w:r w:rsidRPr="001407B6">
        <w:rPr>
          <w:spacing w:val="-3"/>
          <w:lang w:val="sr-Latn-ME"/>
        </w:rPr>
        <w:t xml:space="preserve"> </w:t>
      </w:r>
      <w:r w:rsidRPr="001407B6">
        <w:rPr>
          <w:lang w:val="sr-Latn-ME"/>
        </w:rPr>
        <w:t>u</w:t>
      </w:r>
      <w:r w:rsidRPr="001407B6">
        <w:rPr>
          <w:spacing w:val="-3"/>
          <w:lang w:val="sr-Latn-ME"/>
        </w:rPr>
        <w:t xml:space="preserve"> </w:t>
      </w:r>
      <w:r w:rsidR="00385747" w:rsidRPr="001407B6">
        <w:rPr>
          <w:lang w:val="sr-Latn-ME"/>
        </w:rPr>
        <w:t>dijelu</w:t>
      </w:r>
      <w:r w:rsidRPr="001407B6">
        <w:rPr>
          <w:spacing w:val="-1"/>
          <w:lang w:val="sr-Latn-ME"/>
        </w:rPr>
        <w:t xml:space="preserve"> </w:t>
      </w:r>
      <w:r w:rsidRPr="001407B6">
        <w:rPr>
          <w:lang w:val="sr-Latn-ME"/>
        </w:rPr>
        <w:t>6.1</w:t>
      </w:r>
    </w:p>
    <w:p w14:paraId="6DB0A5CA" w14:textId="77777777" w:rsidR="00C8324B" w:rsidRPr="001407B6" w:rsidRDefault="00EA133D" w:rsidP="001407B6">
      <w:pPr>
        <w:pStyle w:val="ListParagraph"/>
        <w:numPr>
          <w:ilvl w:val="2"/>
          <w:numId w:val="1"/>
        </w:numPr>
        <w:spacing w:line="269" w:lineRule="exact"/>
        <w:ind w:left="709" w:hanging="361"/>
        <w:jc w:val="both"/>
        <w:rPr>
          <w:lang w:val="sr-Latn-ME"/>
        </w:rPr>
      </w:pPr>
      <w:r w:rsidRPr="001407B6">
        <w:rPr>
          <w:lang w:val="sr-Latn-ME"/>
        </w:rPr>
        <w:t>Hipofosfatemija</w:t>
      </w:r>
    </w:p>
    <w:p w14:paraId="2CD527C0" w14:textId="6F011F3F" w:rsidR="00C8324B" w:rsidRPr="001407B6" w:rsidRDefault="00EA133D" w:rsidP="001407B6">
      <w:pPr>
        <w:pStyle w:val="ListParagraph"/>
        <w:numPr>
          <w:ilvl w:val="2"/>
          <w:numId w:val="1"/>
        </w:numPr>
        <w:spacing w:line="269" w:lineRule="exact"/>
        <w:ind w:left="709" w:hanging="361"/>
        <w:jc w:val="both"/>
        <w:rPr>
          <w:lang w:val="sr-Latn-ME"/>
        </w:rPr>
      </w:pPr>
      <w:r w:rsidRPr="001407B6">
        <w:rPr>
          <w:lang w:val="sr-Latn-ME"/>
        </w:rPr>
        <w:t>Opstrukcija</w:t>
      </w:r>
      <w:r w:rsidRPr="001407B6">
        <w:rPr>
          <w:spacing w:val="-6"/>
          <w:lang w:val="sr-Latn-ME"/>
        </w:rPr>
        <w:t xml:space="preserve"> </w:t>
      </w:r>
      <w:r w:rsidRPr="001407B6">
        <w:rPr>
          <w:lang w:val="sr-Latn-ME"/>
        </w:rPr>
        <w:t>cr</w:t>
      </w:r>
      <w:r w:rsidR="00833755" w:rsidRPr="001407B6">
        <w:rPr>
          <w:lang w:val="sr-Latn-ME"/>
        </w:rPr>
        <w:t>ij</w:t>
      </w:r>
      <w:r w:rsidRPr="001407B6">
        <w:rPr>
          <w:lang w:val="sr-Latn-ME"/>
        </w:rPr>
        <w:t>eva</w:t>
      </w:r>
    </w:p>
    <w:p w14:paraId="0862C3D9" w14:textId="77777777" w:rsidR="00C8324B" w:rsidRPr="001407B6" w:rsidRDefault="00C8324B" w:rsidP="001407B6">
      <w:pPr>
        <w:pStyle w:val="BodyText"/>
        <w:ind w:left="0"/>
        <w:jc w:val="both"/>
        <w:rPr>
          <w:lang w:val="sr-Latn-ME"/>
        </w:rPr>
      </w:pPr>
    </w:p>
    <w:p w14:paraId="5000202A" w14:textId="1918AE3F" w:rsidR="00C8324B" w:rsidRPr="001407B6" w:rsidRDefault="00EA133D" w:rsidP="001407B6">
      <w:pPr>
        <w:pStyle w:val="Heading2"/>
        <w:numPr>
          <w:ilvl w:val="1"/>
          <w:numId w:val="1"/>
        </w:numPr>
        <w:spacing w:line="251" w:lineRule="exact"/>
        <w:ind w:left="426" w:hanging="426"/>
        <w:jc w:val="both"/>
        <w:rPr>
          <w:lang w:val="sr-Latn-ME"/>
        </w:rPr>
      </w:pPr>
      <w:r w:rsidRPr="001407B6">
        <w:rPr>
          <w:lang w:val="sr-Latn-ME"/>
        </w:rPr>
        <w:t>Posebna</w:t>
      </w:r>
      <w:r w:rsidRPr="001407B6">
        <w:rPr>
          <w:spacing w:val="-4"/>
          <w:lang w:val="sr-Latn-ME"/>
        </w:rPr>
        <w:t xml:space="preserve"> </w:t>
      </w:r>
      <w:r w:rsidRPr="001407B6">
        <w:rPr>
          <w:lang w:val="sr-Latn-ME"/>
        </w:rPr>
        <w:t>upozorenja</w:t>
      </w:r>
      <w:r w:rsidRPr="001407B6">
        <w:rPr>
          <w:spacing w:val="-3"/>
          <w:lang w:val="sr-Latn-ME"/>
        </w:rPr>
        <w:t xml:space="preserve"> </w:t>
      </w:r>
      <w:r w:rsidRPr="001407B6">
        <w:rPr>
          <w:lang w:val="sr-Latn-ME"/>
        </w:rPr>
        <w:t>i</w:t>
      </w:r>
      <w:r w:rsidRPr="001407B6">
        <w:rPr>
          <w:spacing w:val="-4"/>
          <w:lang w:val="sr-Latn-ME"/>
        </w:rPr>
        <w:t xml:space="preserve"> </w:t>
      </w:r>
      <w:r w:rsidRPr="001407B6">
        <w:rPr>
          <w:lang w:val="sr-Latn-ME"/>
        </w:rPr>
        <w:t>m</w:t>
      </w:r>
      <w:r w:rsidR="00833755" w:rsidRPr="001407B6">
        <w:rPr>
          <w:lang w:val="sr-Latn-ME"/>
        </w:rPr>
        <w:t>j</w:t>
      </w:r>
      <w:r w:rsidRPr="001407B6">
        <w:rPr>
          <w:lang w:val="sr-Latn-ME"/>
        </w:rPr>
        <w:t>ere</w:t>
      </w:r>
      <w:r w:rsidRPr="001407B6">
        <w:rPr>
          <w:spacing w:val="-3"/>
          <w:lang w:val="sr-Latn-ME"/>
        </w:rPr>
        <w:t xml:space="preserve"> </w:t>
      </w:r>
      <w:r w:rsidRPr="001407B6">
        <w:rPr>
          <w:lang w:val="sr-Latn-ME"/>
        </w:rPr>
        <w:t>opreza</w:t>
      </w:r>
      <w:r w:rsidRPr="001407B6">
        <w:rPr>
          <w:spacing w:val="-3"/>
          <w:lang w:val="sr-Latn-ME"/>
        </w:rPr>
        <w:t xml:space="preserve"> </w:t>
      </w:r>
      <w:r w:rsidRPr="001407B6">
        <w:rPr>
          <w:lang w:val="sr-Latn-ME"/>
        </w:rPr>
        <w:t>pri</w:t>
      </w:r>
      <w:r w:rsidRPr="001407B6">
        <w:rPr>
          <w:spacing w:val="-4"/>
          <w:lang w:val="sr-Latn-ME"/>
        </w:rPr>
        <w:t xml:space="preserve"> </w:t>
      </w:r>
      <w:r w:rsidRPr="001407B6">
        <w:rPr>
          <w:lang w:val="sr-Latn-ME"/>
        </w:rPr>
        <w:t>upotrebi</w:t>
      </w:r>
      <w:r w:rsidRPr="001407B6">
        <w:rPr>
          <w:spacing w:val="-3"/>
          <w:lang w:val="sr-Latn-ME"/>
        </w:rPr>
        <w:t xml:space="preserve"> </w:t>
      </w:r>
      <w:r w:rsidR="00D41A5F" w:rsidRPr="001407B6">
        <w:rPr>
          <w:lang w:val="sr-Latn-ME"/>
        </w:rPr>
        <w:t>lijek</w:t>
      </w:r>
      <w:r w:rsidRPr="001407B6">
        <w:rPr>
          <w:lang w:val="sr-Latn-ME"/>
        </w:rPr>
        <w:t>a</w:t>
      </w:r>
    </w:p>
    <w:p w14:paraId="391D1701" w14:textId="77777777" w:rsidR="00456450" w:rsidRPr="001407B6" w:rsidRDefault="00456450" w:rsidP="001407B6">
      <w:pPr>
        <w:pStyle w:val="BodyText"/>
        <w:ind w:left="0"/>
        <w:jc w:val="both"/>
        <w:rPr>
          <w:lang w:val="sr-Latn-ME"/>
        </w:rPr>
      </w:pPr>
    </w:p>
    <w:p w14:paraId="2FDEDE46" w14:textId="37D73627" w:rsidR="00C8324B" w:rsidRPr="001407B6" w:rsidRDefault="00EA133D" w:rsidP="001407B6">
      <w:pPr>
        <w:pStyle w:val="BodyText"/>
        <w:ind w:left="0"/>
        <w:jc w:val="both"/>
        <w:rPr>
          <w:lang w:val="sr-Latn-ME"/>
        </w:rPr>
      </w:pPr>
      <w:r w:rsidRPr="001407B6">
        <w:rPr>
          <w:lang w:val="sr-Latn-ME"/>
        </w:rPr>
        <w:t>Bezb</w:t>
      </w:r>
      <w:r w:rsidR="00833755" w:rsidRPr="001407B6">
        <w:rPr>
          <w:lang w:val="sr-Latn-ME"/>
        </w:rPr>
        <w:t>j</w:t>
      </w:r>
      <w:r w:rsidRPr="001407B6">
        <w:rPr>
          <w:lang w:val="sr-Latn-ME"/>
        </w:rPr>
        <w:t xml:space="preserve">ednost i efikasnost </w:t>
      </w:r>
      <w:r w:rsidR="00D41A5F" w:rsidRPr="001407B6">
        <w:rPr>
          <w:lang w:val="sr-Latn-ME"/>
        </w:rPr>
        <w:t>lijek</w:t>
      </w:r>
      <w:r w:rsidRPr="001407B6">
        <w:rPr>
          <w:lang w:val="sr-Latn-ME"/>
        </w:rPr>
        <w:t xml:space="preserve">a Renvela </w:t>
      </w:r>
      <w:r w:rsidR="00603339" w:rsidRPr="001407B6">
        <w:rPr>
          <w:lang w:val="sr-Latn-ME"/>
        </w:rPr>
        <w:t>nijesu</w:t>
      </w:r>
      <w:r w:rsidRPr="001407B6">
        <w:rPr>
          <w:lang w:val="sr-Latn-ME"/>
        </w:rPr>
        <w:t xml:space="preserve"> utvrđeni kod odraslih pacijenata sa hroničnom insuficijencijom bubrega koji </w:t>
      </w:r>
      <w:r w:rsidR="00603339" w:rsidRPr="001407B6">
        <w:rPr>
          <w:lang w:val="sr-Latn-ME"/>
        </w:rPr>
        <w:t>nijesu</w:t>
      </w:r>
      <w:r w:rsidRPr="001407B6">
        <w:rPr>
          <w:lang w:val="sr-Latn-ME"/>
        </w:rPr>
        <w:t xml:space="preserve"> na dijalizi sa serumskim fosforom &lt;</w:t>
      </w:r>
      <w:r w:rsidR="00385747" w:rsidRPr="001407B6">
        <w:rPr>
          <w:lang w:val="sr-Latn-ME"/>
        </w:rPr>
        <w:t xml:space="preserve"> </w:t>
      </w:r>
      <w:r w:rsidRPr="001407B6">
        <w:rPr>
          <w:lang w:val="sr-Latn-ME"/>
        </w:rPr>
        <w:t>1,78 mmol</w:t>
      </w:r>
      <w:r w:rsidR="00456450" w:rsidRPr="001407B6">
        <w:rPr>
          <w:lang w:val="sr-Latn-ME"/>
        </w:rPr>
        <w:t>/l</w:t>
      </w:r>
      <w:r w:rsidRPr="001407B6">
        <w:rPr>
          <w:lang w:val="sr-Latn-ME"/>
        </w:rPr>
        <w:t xml:space="preserve">. Zbog toga, </w:t>
      </w:r>
      <w:r w:rsidR="00D41A5F" w:rsidRPr="001407B6">
        <w:rPr>
          <w:lang w:val="sr-Latn-ME"/>
        </w:rPr>
        <w:t>lijek</w:t>
      </w:r>
      <w:r w:rsidRPr="001407B6">
        <w:rPr>
          <w:lang w:val="sr-Latn-ME"/>
        </w:rPr>
        <w:t xml:space="preserve"> Renvela se za sada ne preporučuje za </w:t>
      </w:r>
      <w:r w:rsidR="00D41A5F" w:rsidRPr="001407B6">
        <w:rPr>
          <w:lang w:val="sr-Latn-ME"/>
        </w:rPr>
        <w:t>primjen</w:t>
      </w:r>
      <w:r w:rsidRPr="001407B6">
        <w:rPr>
          <w:lang w:val="sr-Latn-ME"/>
        </w:rPr>
        <w:t>u kod ovih pacijenata.</w:t>
      </w:r>
    </w:p>
    <w:p w14:paraId="5A8B86A2" w14:textId="77777777" w:rsidR="005C4F6B" w:rsidRPr="001407B6" w:rsidRDefault="005C4F6B" w:rsidP="001407B6">
      <w:pPr>
        <w:pStyle w:val="BodyText"/>
        <w:ind w:left="0"/>
        <w:jc w:val="both"/>
        <w:rPr>
          <w:lang w:val="sr-Latn-ME"/>
        </w:rPr>
      </w:pPr>
    </w:p>
    <w:p w14:paraId="1401F64E" w14:textId="3DA41377" w:rsidR="00C8324B" w:rsidRPr="001407B6" w:rsidRDefault="00EA133D" w:rsidP="001407B6">
      <w:pPr>
        <w:pStyle w:val="BodyText"/>
        <w:ind w:left="0"/>
        <w:jc w:val="both"/>
        <w:rPr>
          <w:lang w:val="sr-Latn-ME"/>
        </w:rPr>
      </w:pPr>
      <w:r w:rsidRPr="001407B6">
        <w:rPr>
          <w:lang w:val="sr-Latn-ME"/>
        </w:rPr>
        <w:t>Efikasnost i bezb</w:t>
      </w:r>
      <w:r w:rsidR="00833755" w:rsidRPr="001407B6">
        <w:rPr>
          <w:lang w:val="sr-Latn-ME"/>
        </w:rPr>
        <w:t>j</w:t>
      </w:r>
      <w:r w:rsidRPr="001407B6">
        <w:rPr>
          <w:lang w:val="sr-Latn-ME"/>
        </w:rPr>
        <w:t xml:space="preserve">ednost </w:t>
      </w:r>
      <w:r w:rsidR="00D41A5F" w:rsidRPr="001407B6">
        <w:rPr>
          <w:lang w:val="sr-Latn-ME"/>
        </w:rPr>
        <w:t>lijek</w:t>
      </w:r>
      <w:r w:rsidRPr="001407B6">
        <w:rPr>
          <w:lang w:val="sr-Latn-ME"/>
        </w:rPr>
        <w:t xml:space="preserve">a Renvela </w:t>
      </w:r>
      <w:r w:rsidR="00603339" w:rsidRPr="001407B6">
        <w:rPr>
          <w:lang w:val="sr-Latn-ME"/>
        </w:rPr>
        <w:t>nijesu</w:t>
      </w:r>
      <w:r w:rsidRPr="001407B6">
        <w:rPr>
          <w:lang w:val="sr-Latn-ME"/>
        </w:rPr>
        <w:t xml:space="preserve"> utvrđeni kod pacijenata sa sl</w:t>
      </w:r>
      <w:r w:rsidR="00833755" w:rsidRPr="001407B6">
        <w:rPr>
          <w:lang w:val="sr-Latn-ME"/>
        </w:rPr>
        <w:t>j</w:t>
      </w:r>
      <w:r w:rsidRPr="001407B6">
        <w:rPr>
          <w:lang w:val="sr-Latn-ME"/>
        </w:rPr>
        <w:t>edećim oboljenjima:</w:t>
      </w:r>
    </w:p>
    <w:p w14:paraId="2A52BDC4" w14:textId="77777777" w:rsidR="00C8324B" w:rsidRPr="001407B6" w:rsidRDefault="00EA133D" w:rsidP="001407B6">
      <w:pPr>
        <w:pStyle w:val="ListParagraph"/>
        <w:numPr>
          <w:ilvl w:val="2"/>
          <w:numId w:val="1"/>
        </w:numPr>
        <w:spacing w:line="269" w:lineRule="exact"/>
        <w:ind w:left="709" w:hanging="361"/>
        <w:jc w:val="both"/>
        <w:rPr>
          <w:lang w:val="sr-Latn-ME"/>
        </w:rPr>
      </w:pPr>
      <w:r w:rsidRPr="001407B6">
        <w:rPr>
          <w:lang w:val="sr-Latn-ME"/>
        </w:rPr>
        <w:t>disfagija</w:t>
      </w:r>
    </w:p>
    <w:p w14:paraId="4346E138" w14:textId="77777777" w:rsidR="00C8324B" w:rsidRPr="001407B6" w:rsidRDefault="00EA133D" w:rsidP="001407B6">
      <w:pPr>
        <w:pStyle w:val="ListParagraph"/>
        <w:numPr>
          <w:ilvl w:val="2"/>
          <w:numId w:val="1"/>
        </w:numPr>
        <w:spacing w:line="269" w:lineRule="exact"/>
        <w:ind w:left="709" w:hanging="361"/>
        <w:jc w:val="both"/>
        <w:rPr>
          <w:lang w:val="sr-Latn-ME"/>
        </w:rPr>
      </w:pPr>
      <w:r w:rsidRPr="001407B6">
        <w:rPr>
          <w:lang w:val="sr-Latn-ME"/>
        </w:rPr>
        <w:t>poremećaji</w:t>
      </w:r>
      <w:r w:rsidRPr="001407B6">
        <w:rPr>
          <w:spacing w:val="-5"/>
          <w:lang w:val="sr-Latn-ME"/>
        </w:rPr>
        <w:t xml:space="preserve"> </w:t>
      </w:r>
      <w:r w:rsidRPr="001407B6">
        <w:rPr>
          <w:lang w:val="sr-Latn-ME"/>
        </w:rPr>
        <w:t>gutanja</w:t>
      </w:r>
    </w:p>
    <w:p w14:paraId="113AF318" w14:textId="26778D06" w:rsidR="00C8324B" w:rsidRPr="001407B6" w:rsidRDefault="00EA133D" w:rsidP="001407B6">
      <w:pPr>
        <w:pStyle w:val="ListParagraph"/>
        <w:numPr>
          <w:ilvl w:val="2"/>
          <w:numId w:val="1"/>
        </w:numPr>
        <w:ind w:left="709" w:right="111"/>
        <w:jc w:val="both"/>
        <w:rPr>
          <w:lang w:val="sr-Latn-ME"/>
        </w:rPr>
      </w:pPr>
      <w:r w:rsidRPr="001407B6">
        <w:rPr>
          <w:lang w:val="sr-Latn-ME"/>
        </w:rPr>
        <w:t>teške</w:t>
      </w:r>
      <w:r w:rsidRPr="001407B6">
        <w:rPr>
          <w:spacing w:val="41"/>
          <w:lang w:val="sr-Latn-ME"/>
        </w:rPr>
        <w:t xml:space="preserve"> </w:t>
      </w:r>
      <w:r w:rsidRPr="001407B6">
        <w:rPr>
          <w:lang w:val="sr-Latn-ME"/>
        </w:rPr>
        <w:t>bolesti</w:t>
      </w:r>
      <w:r w:rsidRPr="001407B6">
        <w:rPr>
          <w:spacing w:val="48"/>
          <w:lang w:val="sr-Latn-ME"/>
        </w:rPr>
        <w:t xml:space="preserve"> </w:t>
      </w:r>
      <w:r w:rsidRPr="001407B6">
        <w:rPr>
          <w:lang w:val="sr-Latn-ME"/>
        </w:rPr>
        <w:t>gastrointestinalnog</w:t>
      </w:r>
      <w:r w:rsidRPr="001407B6">
        <w:rPr>
          <w:spacing w:val="47"/>
          <w:lang w:val="sr-Latn-ME"/>
        </w:rPr>
        <w:t xml:space="preserve"> </w:t>
      </w:r>
      <w:r w:rsidRPr="001407B6">
        <w:rPr>
          <w:lang w:val="sr-Latn-ME"/>
        </w:rPr>
        <w:t>motiliteta,</w:t>
      </w:r>
      <w:r w:rsidRPr="001407B6">
        <w:rPr>
          <w:spacing w:val="42"/>
          <w:lang w:val="sr-Latn-ME"/>
        </w:rPr>
        <w:t xml:space="preserve"> </w:t>
      </w:r>
      <w:r w:rsidRPr="001407B6">
        <w:rPr>
          <w:lang w:val="sr-Latn-ME"/>
        </w:rPr>
        <w:t>uključujući</w:t>
      </w:r>
      <w:r w:rsidRPr="001407B6">
        <w:rPr>
          <w:spacing w:val="48"/>
          <w:lang w:val="sr-Latn-ME"/>
        </w:rPr>
        <w:t xml:space="preserve"> </w:t>
      </w:r>
      <w:r w:rsidRPr="001407B6">
        <w:rPr>
          <w:lang w:val="sr-Latn-ME"/>
        </w:rPr>
        <w:t>nel</w:t>
      </w:r>
      <w:r w:rsidR="00833755" w:rsidRPr="001407B6">
        <w:rPr>
          <w:lang w:val="sr-Latn-ME"/>
        </w:rPr>
        <w:t>ij</w:t>
      </w:r>
      <w:r w:rsidRPr="001407B6">
        <w:rPr>
          <w:lang w:val="sr-Latn-ME"/>
        </w:rPr>
        <w:t>ečenu</w:t>
      </w:r>
      <w:r w:rsidRPr="001407B6">
        <w:rPr>
          <w:spacing w:val="42"/>
          <w:lang w:val="sr-Latn-ME"/>
        </w:rPr>
        <w:t xml:space="preserve"> </w:t>
      </w:r>
      <w:r w:rsidRPr="001407B6">
        <w:rPr>
          <w:lang w:val="sr-Latn-ME"/>
        </w:rPr>
        <w:t>ili</w:t>
      </w:r>
      <w:r w:rsidRPr="001407B6">
        <w:rPr>
          <w:spacing w:val="43"/>
          <w:lang w:val="sr-Latn-ME"/>
        </w:rPr>
        <w:t xml:space="preserve"> </w:t>
      </w:r>
      <w:r w:rsidRPr="001407B6">
        <w:rPr>
          <w:lang w:val="sr-Latn-ME"/>
        </w:rPr>
        <w:t>tešku</w:t>
      </w:r>
      <w:r w:rsidRPr="001407B6">
        <w:rPr>
          <w:spacing w:val="46"/>
          <w:lang w:val="sr-Latn-ME"/>
        </w:rPr>
        <w:t xml:space="preserve"> </w:t>
      </w:r>
      <w:r w:rsidRPr="001407B6">
        <w:rPr>
          <w:lang w:val="sr-Latn-ME"/>
        </w:rPr>
        <w:t>gastroparezu,</w:t>
      </w:r>
      <w:r w:rsidRPr="001407B6">
        <w:rPr>
          <w:spacing w:val="47"/>
          <w:lang w:val="sr-Latn-ME"/>
        </w:rPr>
        <w:t xml:space="preserve"> </w:t>
      </w:r>
      <w:r w:rsidRPr="001407B6">
        <w:rPr>
          <w:lang w:val="sr-Latn-ME"/>
        </w:rPr>
        <w:t>retenci</w:t>
      </w:r>
      <w:r w:rsidR="00833755" w:rsidRPr="001407B6">
        <w:rPr>
          <w:lang w:val="sr-Latn-ME"/>
        </w:rPr>
        <w:t xml:space="preserve">ju </w:t>
      </w:r>
      <w:r w:rsidRPr="001407B6">
        <w:rPr>
          <w:lang w:val="sr-Latn-ME"/>
        </w:rPr>
        <w:t>želudačnog</w:t>
      </w:r>
      <w:r w:rsidRPr="001407B6">
        <w:rPr>
          <w:spacing w:val="-2"/>
          <w:lang w:val="sr-Latn-ME"/>
        </w:rPr>
        <w:t xml:space="preserve"> </w:t>
      </w:r>
      <w:r w:rsidRPr="001407B6">
        <w:rPr>
          <w:lang w:val="sr-Latn-ME"/>
        </w:rPr>
        <w:t>sadržaja</w:t>
      </w:r>
      <w:r w:rsidRPr="001407B6">
        <w:rPr>
          <w:spacing w:val="-1"/>
          <w:lang w:val="sr-Latn-ME"/>
        </w:rPr>
        <w:t xml:space="preserve"> </w:t>
      </w:r>
      <w:r w:rsidRPr="001407B6">
        <w:rPr>
          <w:lang w:val="sr-Latn-ME"/>
        </w:rPr>
        <w:t>i</w:t>
      </w:r>
      <w:r w:rsidRPr="001407B6">
        <w:rPr>
          <w:spacing w:val="-2"/>
          <w:lang w:val="sr-Latn-ME"/>
        </w:rPr>
        <w:t xml:space="preserve"> </w:t>
      </w:r>
      <w:r w:rsidRPr="001407B6">
        <w:rPr>
          <w:lang w:val="sr-Latn-ME"/>
        </w:rPr>
        <w:t>poremećen,</w:t>
      </w:r>
      <w:r w:rsidRPr="001407B6">
        <w:rPr>
          <w:spacing w:val="-1"/>
          <w:lang w:val="sr-Latn-ME"/>
        </w:rPr>
        <w:t xml:space="preserve"> </w:t>
      </w:r>
      <w:r w:rsidRPr="001407B6">
        <w:rPr>
          <w:lang w:val="sr-Latn-ME"/>
        </w:rPr>
        <w:t>neregularan</w:t>
      </w:r>
      <w:r w:rsidRPr="001407B6">
        <w:rPr>
          <w:spacing w:val="-2"/>
          <w:lang w:val="sr-Latn-ME"/>
        </w:rPr>
        <w:t xml:space="preserve"> </w:t>
      </w:r>
      <w:r w:rsidRPr="001407B6">
        <w:rPr>
          <w:lang w:val="sr-Latn-ME"/>
        </w:rPr>
        <w:t>motilitet</w:t>
      </w:r>
      <w:r w:rsidRPr="001407B6">
        <w:rPr>
          <w:spacing w:val="-1"/>
          <w:lang w:val="sr-Latn-ME"/>
        </w:rPr>
        <w:t xml:space="preserve"> </w:t>
      </w:r>
      <w:r w:rsidRPr="001407B6">
        <w:rPr>
          <w:lang w:val="sr-Latn-ME"/>
        </w:rPr>
        <w:t>cr</w:t>
      </w:r>
      <w:r w:rsidR="00833755" w:rsidRPr="001407B6">
        <w:rPr>
          <w:lang w:val="sr-Latn-ME"/>
        </w:rPr>
        <w:t>ij</w:t>
      </w:r>
      <w:r w:rsidRPr="001407B6">
        <w:rPr>
          <w:lang w:val="sr-Latn-ME"/>
        </w:rPr>
        <w:t>eva</w:t>
      </w:r>
    </w:p>
    <w:p w14:paraId="1D8C99B7" w14:textId="205E2AB4" w:rsidR="00C8324B" w:rsidRPr="001407B6" w:rsidRDefault="00EA133D" w:rsidP="001407B6">
      <w:pPr>
        <w:pStyle w:val="ListParagraph"/>
        <w:numPr>
          <w:ilvl w:val="2"/>
          <w:numId w:val="1"/>
        </w:numPr>
        <w:spacing w:line="265" w:lineRule="exact"/>
        <w:ind w:left="709" w:hanging="361"/>
        <w:jc w:val="both"/>
        <w:rPr>
          <w:lang w:val="sr-Latn-ME"/>
        </w:rPr>
      </w:pPr>
      <w:r w:rsidRPr="001407B6">
        <w:rPr>
          <w:lang w:val="sr-Latn-ME"/>
        </w:rPr>
        <w:t>aktivna</w:t>
      </w:r>
      <w:r w:rsidRPr="001407B6">
        <w:rPr>
          <w:spacing w:val="-6"/>
          <w:lang w:val="sr-Latn-ME"/>
        </w:rPr>
        <w:t xml:space="preserve"> </w:t>
      </w:r>
      <w:r w:rsidRPr="001407B6">
        <w:rPr>
          <w:lang w:val="sr-Latn-ME"/>
        </w:rPr>
        <w:t>inflamatorna</w:t>
      </w:r>
      <w:r w:rsidRPr="001407B6">
        <w:rPr>
          <w:spacing w:val="-5"/>
          <w:lang w:val="sr-Latn-ME"/>
        </w:rPr>
        <w:t xml:space="preserve"> </w:t>
      </w:r>
      <w:r w:rsidRPr="001407B6">
        <w:rPr>
          <w:lang w:val="sr-Latn-ME"/>
        </w:rPr>
        <w:t>oboljenja</w:t>
      </w:r>
      <w:r w:rsidRPr="001407B6">
        <w:rPr>
          <w:spacing w:val="-5"/>
          <w:lang w:val="sr-Latn-ME"/>
        </w:rPr>
        <w:t xml:space="preserve"> </w:t>
      </w:r>
      <w:r w:rsidR="00833755" w:rsidRPr="001407B6">
        <w:rPr>
          <w:lang w:val="sr-Latn-ME"/>
        </w:rPr>
        <w:t>crijeva</w:t>
      </w:r>
    </w:p>
    <w:p w14:paraId="35F1CB96" w14:textId="77777777" w:rsidR="00C8324B" w:rsidRPr="001407B6" w:rsidRDefault="00EA133D" w:rsidP="001407B6">
      <w:pPr>
        <w:pStyle w:val="ListParagraph"/>
        <w:numPr>
          <w:ilvl w:val="2"/>
          <w:numId w:val="1"/>
        </w:numPr>
        <w:spacing w:line="269" w:lineRule="exact"/>
        <w:ind w:left="709" w:hanging="361"/>
        <w:jc w:val="both"/>
        <w:rPr>
          <w:lang w:val="sr-Latn-ME"/>
        </w:rPr>
      </w:pPr>
      <w:r w:rsidRPr="001407B6">
        <w:rPr>
          <w:lang w:val="sr-Latn-ME"/>
        </w:rPr>
        <w:t>veća</w:t>
      </w:r>
      <w:r w:rsidRPr="001407B6">
        <w:rPr>
          <w:spacing w:val="-7"/>
          <w:lang w:val="sr-Latn-ME"/>
        </w:rPr>
        <w:t xml:space="preserve"> </w:t>
      </w:r>
      <w:r w:rsidRPr="001407B6">
        <w:rPr>
          <w:lang w:val="sr-Latn-ME"/>
        </w:rPr>
        <w:t>gastrointestinalna</w:t>
      </w:r>
      <w:r w:rsidRPr="001407B6">
        <w:rPr>
          <w:spacing w:val="-7"/>
          <w:lang w:val="sr-Latn-ME"/>
        </w:rPr>
        <w:t xml:space="preserve"> </w:t>
      </w:r>
      <w:r w:rsidRPr="001407B6">
        <w:rPr>
          <w:lang w:val="sr-Latn-ME"/>
        </w:rPr>
        <w:t>hirurška</w:t>
      </w:r>
      <w:r w:rsidRPr="001407B6">
        <w:rPr>
          <w:spacing w:val="-7"/>
          <w:lang w:val="sr-Latn-ME"/>
        </w:rPr>
        <w:t xml:space="preserve"> </w:t>
      </w:r>
      <w:r w:rsidRPr="001407B6">
        <w:rPr>
          <w:lang w:val="sr-Latn-ME"/>
        </w:rPr>
        <w:t>intervencija</w:t>
      </w:r>
    </w:p>
    <w:p w14:paraId="181C059F" w14:textId="07227C07" w:rsidR="00C8324B" w:rsidRPr="001407B6" w:rsidRDefault="00EA133D" w:rsidP="001407B6">
      <w:pPr>
        <w:pStyle w:val="BodyText"/>
        <w:ind w:left="0"/>
        <w:jc w:val="both"/>
        <w:rPr>
          <w:lang w:val="sr-Latn-ME"/>
        </w:rPr>
      </w:pPr>
      <w:r w:rsidRPr="001407B6">
        <w:rPr>
          <w:lang w:val="sr-Latn-ME"/>
        </w:rPr>
        <w:t xml:space="preserve">Terapiju </w:t>
      </w:r>
      <w:r w:rsidR="00D41A5F" w:rsidRPr="001407B6">
        <w:rPr>
          <w:lang w:val="sr-Latn-ME"/>
        </w:rPr>
        <w:t>lijek</w:t>
      </w:r>
      <w:r w:rsidRPr="001407B6">
        <w:rPr>
          <w:lang w:val="sr-Latn-ME"/>
        </w:rPr>
        <w:t>om Renvela kod ovih pacijenata treba započeti samo nakon pažljive proc</w:t>
      </w:r>
      <w:r w:rsidR="00833755" w:rsidRPr="001407B6">
        <w:rPr>
          <w:lang w:val="sr-Latn-ME"/>
        </w:rPr>
        <w:t>j</w:t>
      </w:r>
      <w:r w:rsidRPr="001407B6">
        <w:rPr>
          <w:lang w:val="sr-Latn-ME"/>
        </w:rPr>
        <w:t xml:space="preserve">ene koristi i rizika. Ako se sa terapijom započne, pacijente sa gore navedenim oboljenjima treba pratiti. Kod pacijenata kod kojih se pojavi ozbiljna opstipacija ili se razviju drugi ozbiljni simptomi od strane gastrointestinalnog trakta, terapiju </w:t>
      </w:r>
      <w:r w:rsidR="00D41A5F" w:rsidRPr="001407B6">
        <w:rPr>
          <w:lang w:val="sr-Latn-ME"/>
        </w:rPr>
        <w:t>lijek</w:t>
      </w:r>
      <w:r w:rsidRPr="001407B6">
        <w:rPr>
          <w:lang w:val="sr-Latn-ME"/>
        </w:rPr>
        <w:t>om Renvela treba ponovo proceniti</w:t>
      </w:r>
    </w:p>
    <w:p w14:paraId="06106D39" w14:textId="77777777" w:rsidR="00C8324B" w:rsidRPr="001407B6" w:rsidRDefault="00C8324B" w:rsidP="001407B6">
      <w:pPr>
        <w:pStyle w:val="BodyText"/>
        <w:ind w:left="0" w:right="2"/>
        <w:jc w:val="both"/>
        <w:rPr>
          <w:lang w:val="sr-Latn-ME"/>
        </w:rPr>
      </w:pPr>
    </w:p>
    <w:p w14:paraId="3F3AC99F" w14:textId="77777777" w:rsidR="00C8324B" w:rsidRPr="001407B6" w:rsidRDefault="00EA133D" w:rsidP="001407B6">
      <w:pPr>
        <w:ind w:right="2"/>
        <w:jc w:val="both"/>
        <w:rPr>
          <w:iCs/>
          <w:lang w:val="sr-Latn-ME"/>
        </w:rPr>
      </w:pPr>
      <w:r w:rsidRPr="001407B6">
        <w:rPr>
          <w:iCs/>
          <w:u w:val="single"/>
          <w:lang w:val="sr-Latn-ME"/>
        </w:rPr>
        <w:t>Intestinalna</w:t>
      </w:r>
      <w:r w:rsidRPr="001407B6">
        <w:rPr>
          <w:iCs/>
          <w:spacing w:val="-7"/>
          <w:u w:val="single"/>
          <w:lang w:val="sr-Latn-ME"/>
        </w:rPr>
        <w:t xml:space="preserve"> </w:t>
      </w:r>
      <w:r w:rsidRPr="001407B6">
        <w:rPr>
          <w:iCs/>
          <w:u w:val="single"/>
          <w:lang w:val="sr-Latn-ME"/>
        </w:rPr>
        <w:t>opstrukcija</w:t>
      </w:r>
      <w:r w:rsidRPr="001407B6">
        <w:rPr>
          <w:iCs/>
          <w:spacing w:val="-6"/>
          <w:u w:val="single"/>
          <w:lang w:val="sr-Latn-ME"/>
        </w:rPr>
        <w:t xml:space="preserve"> </w:t>
      </w:r>
      <w:r w:rsidRPr="001407B6">
        <w:rPr>
          <w:iCs/>
          <w:u w:val="single"/>
          <w:lang w:val="sr-Latn-ME"/>
        </w:rPr>
        <w:t>i</w:t>
      </w:r>
      <w:r w:rsidRPr="001407B6">
        <w:rPr>
          <w:iCs/>
          <w:spacing w:val="-6"/>
          <w:u w:val="single"/>
          <w:lang w:val="sr-Latn-ME"/>
        </w:rPr>
        <w:t xml:space="preserve"> </w:t>
      </w:r>
      <w:r w:rsidRPr="001407B6">
        <w:rPr>
          <w:iCs/>
          <w:u w:val="single"/>
          <w:lang w:val="sr-Latn-ME"/>
        </w:rPr>
        <w:t>ileus/subileus</w:t>
      </w:r>
    </w:p>
    <w:p w14:paraId="4D55AF27" w14:textId="76282434" w:rsidR="00C8324B" w:rsidRPr="001407B6" w:rsidRDefault="00EA133D" w:rsidP="001407B6">
      <w:pPr>
        <w:pStyle w:val="BodyText"/>
        <w:ind w:left="0"/>
        <w:jc w:val="both"/>
        <w:rPr>
          <w:lang w:val="sr-Latn-ME"/>
        </w:rPr>
      </w:pPr>
      <w:r w:rsidRPr="001407B6">
        <w:rPr>
          <w:lang w:val="sr-Latn-ME"/>
        </w:rPr>
        <w:t>U veoma r</w:t>
      </w:r>
      <w:r w:rsidR="00833755" w:rsidRPr="001407B6">
        <w:rPr>
          <w:lang w:val="sr-Latn-ME"/>
        </w:rPr>
        <w:t>ij</w:t>
      </w:r>
      <w:r w:rsidRPr="001407B6">
        <w:rPr>
          <w:lang w:val="sr-Latn-ME"/>
        </w:rPr>
        <w:t>etkim slučajevima, kod pacijenata tokom terapije sevelamer hidrohloridom, koji sadrži isti aktivni d</w:t>
      </w:r>
      <w:r w:rsidR="00833755" w:rsidRPr="001407B6">
        <w:rPr>
          <w:lang w:val="sr-Latn-ME"/>
        </w:rPr>
        <w:t>i</w:t>
      </w:r>
      <w:r w:rsidRPr="001407B6">
        <w:rPr>
          <w:lang w:val="sr-Latn-ME"/>
        </w:rPr>
        <w:t>o supstance kao i sevelamer karbonat, zab</w:t>
      </w:r>
      <w:r w:rsidR="00833755" w:rsidRPr="001407B6">
        <w:rPr>
          <w:lang w:val="sr-Latn-ME"/>
        </w:rPr>
        <w:t>i</w:t>
      </w:r>
      <w:r w:rsidRPr="001407B6">
        <w:rPr>
          <w:lang w:val="sr-Latn-ME"/>
        </w:rPr>
        <w:t>l</w:t>
      </w:r>
      <w:r w:rsidR="00833755" w:rsidRPr="001407B6">
        <w:rPr>
          <w:lang w:val="sr-Latn-ME"/>
        </w:rPr>
        <w:t>j</w:t>
      </w:r>
      <w:r w:rsidRPr="001407B6">
        <w:rPr>
          <w:lang w:val="sr-Latn-ME"/>
        </w:rPr>
        <w:t xml:space="preserve">eženi su opstrukcija </w:t>
      </w:r>
      <w:r w:rsidR="00833755" w:rsidRPr="001407B6">
        <w:rPr>
          <w:lang w:val="sr-Latn-ME"/>
        </w:rPr>
        <w:t>crijeva</w:t>
      </w:r>
      <w:r w:rsidRPr="001407B6">
        <w:rPr>
          <w:lang w:val="sr-Latn-ME"/>
        </w:rPr>
        <w:t xml:space="preserve"> i ileus/</w:t>
      </w:r>
      <w:r w:rsidR="00833755" w:rsidRPr="001407B6">
        <w:rPr>
          <w:lang w:val="sr-Latn-ME"/>
        </w:rPr>
        <w:t xml:space="preserve"> </w:t>
      </w:r>
      <w:r w:rsidRPr="001407B6">
        <w:rPr>
          <w:lang w:val="sr-Latn-ME"/>
        </w:rPr>
        <w:t xml:space="preserve">subileus. Konstipacija može da bude upozoravajući simptom. Pacijente sa konstipacijom treba pažljivo pratiti </w:t>
      </w:r>
      <w:r w:rsidRPr="001407B6">
        <w:rPr>
          <w:lang w:val="sr-Latn-ME"/>
        </w:rPr>
        <w:lastRenderedPageBreak/>
        <w:t xml:space="preserve">tokom terapije </w:t>
      </w:r>
      <w:r w:rsidR="00D41A5F" w:rsidRPr="001407B6">
        <w:rPr>
          <w:lang w:val="sr-Latn-ME"/>
        </w:rPr>
        <w:t>lijek</w:t>
      </w:r>
      <w:r w:rsidRPr="001407B6">
        <w:rPr>
          <w:lang w:val="sr-Latn-ME"/>
        </w:rPr>
        <w:t xml:space="preserve">om Renvela. Kod pacijenata sa teškom konstipacijom ili sa drugim teškim gastrointestinalnim simptomima terapiju </w:t>
      </w:r>
      <w:r w:rsidR="00D41A5F" w:rsidRPr="001407B6">
        <w:rPr>
          <w:lang w:val="sr-Latn-ME"/>
        </w:rPr>
        <w:t>lijek</w:t>
      </w:r>
      <w:r w:rsidRPr="001407B6">
        <w:rPr>
          <w:lang w:val="sr-Latn-ME"/>
        </w:rPr>
        <w:t>om Renvela treba ponovo evaluirati.</w:t>
      </w:r>
    </w:p>
    <w:p w14:paraId="6B2D5590" w14:textId="77777777" w:rsidR="00C8324B" w:rsidRPr="001407B6" w:rsidRDefault="00C8324B" w:rsidP="001407B6">
      <w:pPr>
        <w:pStyle w:val="BodyText"/>
        <w:ind w:left="0" w:right="2"/>
        <w:jc w:val="both"/>
        <w:rPr>
          <w:sz w:val="21"/>
          <w:lang w:val="sr-Latn-ME"/>
        </w:rPr>
      </w:pPr>
    </w:p>
    <w:p w14:paraId="453872D1" w14:textId="77777777" w:rsidR="00C8324B" w:rsidRPr="001407B6" w:rsidRDefault="00EA133D" w:rsidP="001407B6">
      <w:pPr>
        <w:ind w:right="2"/>
        <w:jc w:val="both"/>
        <w:rPr>
          <w:iCs/>
          <w:lang w:val="sr-Latn-ME"/>
        </w:rPr>
      </w:pPr>
      <w:r w:rsidRPr="001407B6">
        <w:rPr>
          <w:iCs/>
          <w:u w:val="single"/>
          <w:lang w:val="sr-Latn-ME"/>
        </w:rPr>
        <w:t>Liposolubilni</w:t>
      </w:r>
      <w:r w:rsidRPr="001407B6">
        <w:rPr>
          <w:iCs/>
          <w:spacing w:val="-4"/>
          <w:u w:val="single"/>
          <w:lang w:val="sr-Latn-ME"/>
        </w:rPr>
        <w:t xml:space="preserve"> </w:t>
      </w:r>
      <w:r w:rsidRPr="001407B6">
        <w:rPr>
          <w:iCs/>
          <w:u w:val="single"/>
          <w:lang w:val="sr-Latn-ME"/>
        </w:rPr>
        <w:t>vitamini</w:t>
      </w:r>
      <w:r w:rsidRPr="001407B6">
        <w:rPr>
          <w:iCs/>
          <w:spacing w:val="-4"/>
          <w:u w:val="single"/>
          <w:lang w:val="sr-Latn-ME"/>
        </w:rPr>
        <w:t xml:space="preserve"> </w:t>
      </w:r>
      <w:r w:rsidRPr="001407B6">
        <w:rPr>
          <w:iCs/>
          <w:u w:val="single"/>
          <w:lang w:val="sr-Latn-ME"/>
        </w:rPr>
        <w:t>i</w:t>
      </w:r>
      <w:r w:rsidRPr="001407B6">
        <w:rPr>
          <w:iCs/>
          <w:spacing w:val="-2"/>
          <w:u w:val="single"/>
          <w:lang w:val="sr-Latn-ME"/>
        </w:rPr>
        <w:t xml:space="preserve"> </w:t>
      </w:r>
      <w:r w:rsidRPr="001407B6">
        <w:rPr>
          <w:iCs/>
          <w:u w:val="single"/>
          <w:lang w:val="sr-Latn-ME"/>
        </w:rPr>
        <w:t>deficit</w:t>
      </w:r>
      <w:r w:rsidRPr="001407B6">
        <w:rPr>
          <w:iCs/>
          <w:spacing w:val="-3"/>
          <w:u w:val="single"/>
          <w:lang w:val="sr-Latn-ME"/>
        </w:rPr>
        <w:t xml:space="preserve"> </w:t>
      </w:r>
      <w:r w:rsidRPr="001407B6">
        <w:rPr>
          <w:iCs/>
          <w:u w:val="single"/>
          <w:lang w:val="sr-Latn-ME"/>
        </w:rPr>
        <w:t>folata</w:t>
      </w:r>
    </w:p>
    <w:p w14:paraId="4F6DC9C5" w14:textId="75C57A2E" w:rsidR="00C8324B" w:rsidRPr="001407B6" w:rsidRDefault="00EA133D" w:rsidP="001407B6">
      <w:pPr>
        <w:pStyle w:val="BodyText"/>
        <w:ind w:left="0"/>
        <w:jc w:val="both"/>
        <w:rPr>
          <w:lang w:val="sr-Latn-ME"/>
        </w:rPr>
      </w:pPr>
      <w:r w:rsidRPr="001407B6">
        <w:rPr>
          <w:lang w:val="sr-Latn-ME"/>
        </w:rPr>
        <w:t>Zavisno od unosa hrane i težine bolesti, pacijenti sa hroničnom insuficijencijom bubrega mogu imati niske vr</w:t>
      </w:r>
      <w:r w:rsidR="00833755" w:rsidRPr="001407B6">
        <w:rPr>
          <w:lang w:val="sr-Latn-ME"/>
        </w:rPr>
        <w:t>ij</w:t>
      </w:r>
      <w:r w:rsidRPr="001407B6">
        <w:rPr>
          <w:lang w:val="sr-Latn-ME"/>
        </w:rPr>
        <w:t xml:space="preserve">ednosti liposolubilnih vitamina A, D, E i K. Ne može se isključiti mogućnost da sevelamer karbonat vezuje liposolubilne vitamine koji se nalaze u unetoj hrani. Kod pacijenata koji ne uzimaju ove vitamine, ali su na terapiji sevelamerom, treba pratiti </w:t>
      </w:r>
      <w:r w:rsidR="00833755" w:rsidRPr="001407B6">
        <w:rPr>
          <w:lang w:val="sr-Latn-ME"/>
        </w:rPr>
        <w:t>vrijedno</w:t>
      </w:r>
      <w:r w:rsidRPr="001407B6">
        <w:rPr>
          <w:lang w:val="sr-Latn-ME"/>
        </w:rPr>
        <w:t>sti vitamina A, D i E, kao i proc</w:t>
      </w:r>
      <w:r w:rsidR="00833755" w:rsidRPr="001407B6">
        <w:rPr>
          <w:lang w:val="sr-Latn-ME"/>
        </w:rPr>
        <w:t>j</w:t>
      </w:r>
      <w:r w:rsidRPr="001407B6">
        <w:rPr>
          <w:lang w:val="sr-Latn-ME"/>
        </w:rPr>
        <w:t>enu statusa vitamina K. Preporučeno je da se vitaminski suplementi daju ukoliko je to neophodno.</w:t>
      </w:r>
      <w:r w:rsidR="005C4F6B" w:rsidRPr="001407B6">
        <w:rPr>
          <w:lang w:val="sr-Latn-ME"/>
        </w:rPr>
        <w:t xml:space="preserve"> </w:t>
      </w:r>
      <w:r w:rsidRPr="001407B6">
        <w:rPr>
          <w:lang w:val="sr-Latn-ME"/>
        </w:rPr>
        <w:t>Preporučeno je da se pacijentima sa hroničnom insuficijencijom bubrega koji ni</w:t>
      </w:r>
      <w:r w:rsidR="00603339" w:rsidRPr="001407B6">
        <w:rPr>
          <w:lang w:val="sr-Latn-ME"/>
        </w:rPr>
        <w:t>je</w:t>
      </w:r>
      <w:r w:rsidRPr="001407B6">
        <w:rPr>
          <w:lang w:val="sr-Latn-ME"/>
        </w:rPr>
        <w:t xml:space="preserve">su na dijalizi, daju suplementi vitamina D (oko 400 IJ prirodnog vitamina D dnevno), koji može biti sastojak multivitaminskog preparata koji se uzima odvojeno od doze </w:t>
      </w:r>
      <w:r w:rsidR="0028409C" w:rsidRPr="001407B6">
        <w:rPr>
          <w:lang w:val="sr-Latn-ME"/>
        </w:rPr>
        <w:t>sevelamer karbonata</w:t>
      </w:r>
      <w:r w:rsidRPr="001407B6">
        <w:rPr>
          <w:lang w:val="sr-Latn-ME"/>
        </w:rPr>
        <w:t>.</w:t>
      </w:r>
      <w:r w:rsidR="0028409C" w:rsidRPr="001407B6">
        <w:rPr>
          <w:lang w:val="sr-Latn-ME"/>
        </w:rPr>
        <w:t xml:space="preserve"> </w:t>
      </w:r>
      <w:r w:rsidRPr="001407B6">
        <w:rPr>
          <w:lang w:val="sr-Latn-ME"/>
        </w:rPr>
        <w:t xml:space="preserve">Dodatno praćenje </w:t>
      </w:r>
      <w:r w:rsidR="00833755" w:rsidRPr="001407B6">
        <w:rPr>
          <w:lang w:val="sr-Latn-ME"/>
        </w:rPr>
        <w:t>vrijedno</w:t>
      </w:r>
      <w:r w:rsidRPr="001407B6">
        <w:rPr>
          <w:lang w:val="sr-Latn-ME"/>
        </w:rPr>
        <w:t>sti liposolubilnih vitamina i folne kiseline se preporučuje kod pacijenata na peritonealnoj dijalizi, s obzirom da u kliničkim ispitivanjima ni</w:t>
      </w:r>
      <w:r w:rsidR="00603339" w:rsidRPr="001407B6">
        <w:rPr>
          <w:lang w:val="sr-Latn-ME"/>
        </w:rPr>
        <w:t>je</w:t>
      </w:r>
      <w:r w:rsidRPr="001407B6">
        <w:rPr>
          <w:lang w:val="sr-Latn-ME"/>
        </w:rPr>
        <w:t xml:space="preserve">su praćene </w:t>
      </w:r>
      <w:r w:rsidR="00833755" w:rsidRPr="001407B6">
        <w:rPr>
          <w:lang w:val="sr-Latn-ME"/>
        </w:rPr>
        <w:t>vrijedno</w:t>
      </w:r>
      <w:r w:rsidRPr="001407B6">
        <w:rPr>
          <w:lang w:val="sr-Latn-ME"/>
        </w:rPr>
        <w:t>sti vitamina A, D, E i K kod ovih pacijenata.</w:t>
      </w:r>
    </w:p>
    <w:p w14:paraId="2ADFA91B" w14:textId="77777777" w:rsidR="0028409C" w:rsidRPr="001407B6" w:rsidRDefault="0028409C" w:rsidP="001407B6">
      <w:pPr>
        <w:pStyle w:val="BodyText"/>
        <w:ind w:left="0"/>
        <w:jc w:val="both"/>
        <w:rPr>
          <w:lang w:val="sr-Latn-ME"/>
        </w:rPr>
      </w:pPr>
    </w:p>
    <w:p w14:paraId="41E26262" w14:textId="33ED1F89" w:rsidR="00C8324B" w:rsidRPr="001407B6" w:rsidRDefault="00EA133D" w:rsidP="001407B6">
      <w:pPr>
        <w:pStyle w:val="BodyText"/>
        <w:ind w:left="0"/>
        <w:jc w:val="both"/>
        <w:rPr>
          <w:lang w:val="sr-Latn-ME"/>
        </w:rPr>
      </w:pPr>
      <w:r w:rsidRPr="001407B6">
        <w:rPr>
          <w:lang w:val="sr-Latn-ME"/>
        </w:rPr>
        <w:t xml:space="preserve">Za sada nema dovoljno podataka da bi se isključio mogući nedostatak folata tokom dugotrajne terapije </w:t>
      </w:r>
      <w:r w:rsidR="0072165D" w:rsidRPr="001407B6">
        <w:rPr>
          <w:lang w:val="sr-Latn-ME"/>
        </w:rPr>
        <w:t>sevelamer karbonatom</w:t>
      </w:r>
      <w:r w:rsidRPr="001407B6">
        <w:rPr>
          <w:lang w:val="sr-Latn-ME"/>
        </w:rPr>
        <w:t>. Kod pacijenata koji ne uzimaju folnu kiselinu, ali su na terapiji sevelamerom, treba redovno pratiti nivo folne kiseline.</w:t>
      </w:r>
    </w:p>
    <w:p w14:paraId="658B0002" w14:textId="77777777" w:rsidR="00456450" w:rsidRPr="001407B6" w:rsidRDefault="00456450" w:rsidP="001407B6">
      <w:pPr>
        <w:ind w:right="2"/>
        <w:jc w:val="both"/>
        <w:rPr>
          <w:i/>
          <w:u w:val="single"/>
          <w:lang w:val="sr-Latn-ME"/>
        </w:rPr>
      </w:pPr>
    </w:p>
    <w:p w14:paraId="24E51EF2" w14:textId="37DE485E" w:rsidR="00C8324B" w:rsidRPr="001407B6" w:rsidRDefault="00EA133D" w:rsidP="001407B6">
      <w:pPr>
        <w:ind w:right="2"/>
        <w:jc w:val="both"/>
        <w:rPr>
          <w:iCs/>
          <w:lang w:val="sr-Latn-ME"/>
        </w:rPr>
      </w:pPr>
      <w:r w:rsidRPr="001407B6">
        <w:rPr>
          <w:iCs/>
          <w:u w:val="single"/>
          <w:lang w:val="sr-Latn-ME"/>
        </w:rPr>
        <w:t>Hipokalcemija/hiperkalcemija</w:t>
      </w:r>
    </w:p>
    <w:p w14:paraId="46B5FC28" w14:textId="4528DC64" w:rsidR="00C8324B" w:rsidRPr="001407B6" w:rsidRDefault="00EA133D" w:rsidP="001407B6">
      <w:pPr>
        <w:pStyle w:val="BodyText"/>
        <w:ind w:left="0"/>
        <w:jc w:val="both"/>
        <w:rPr>
          <w:lang w:val="sr-Latn-ME"/>
        </w:rPr>
      </w:pPr>
      <w:r w:rsidRPr="001407B6">
        <w:rPr>
          <w:lang w:val="sr-Latn-ME"/>
        </w:rPr>
        <w:t xml:space="preserve">Kod pacijenata sa hroničnom insuficijencijom bubrega može se razviti hipokalcemija ili hiperkalcemija. </w:t>
      </w:r>
      <w:r w:rsidR="002F5E0A" w:rsidRPr="001407B6">
        <w:rPr>
          <w:lang w:val="sr-Latn-ME"/>
        </w:rPr>
        <w:t>Sevelamer karbonat</w:t>
      </w:r>
      <w:r w:rsidRPr="001407B6">
        <w:rPr>
          <w:lang w:val="sr-Latn-ME"/>
        </w:rPr>
        <w:t xml:space="preserve"> ne sadrži kalcijum. </w:t>
      </w:r>
      <w:r w:rsidR="00833755" w:rsidRPr="001407B6">
        <w:rPr>
          <w:lang w:val="sr-Latn-ME"/>
        </w:rPr>
        <w:t>Vrijedno</w:t>
      </w:r>
      <w:r w:rsidRPr="001407B6">
        <w:rPr>
          <w:lang w:val="sr-Latn-ME"/>
        </w:rPr>
        <w:t xml:space="preserve">sti kalcijuma u serumu treba pratiti redovno i </w:t>
      </w:r>
      <w:r w:rsidR="00D41A5F" w:rsidRPr="001407B6">
        <w:rPr>
          <w:lang w:val="sr-Latn-ME"/>
        </w:rPr>
        <w:t>prim</w:t>
      </w:r>
      <w:r w:rsidR="00603339" w:rsidRPr="001407B6">
        <w:rPr>
          <w:lang w:val="sr-Latn-ME"/>
        </w:rPr>
        <w:t>i</w:t>
      </w:r>
      <w:r w:rsidR="00D41A5F" w:rsidRPr="001407B6">
        <w:rPr>
          <w:lang w:val="sr-Latn-ME"/>
        </w:rPr>
        <w:t>jen</w:t>
      </w:r>
      <w:r w:rsidRPr="001407B6">
        <w:rPr>
          <w:lang w:val="sr-Latn-ME"/>
        </w:rPr>
        <w:t>iti elementarni kalcijum, ukoliko je potrebno.</w:t>
      </w:r>
    </w:p>
    <w:p w14:paraId="4B843E6C" w14:textId="77777777" w:rsidR="00456450" w:rsidRPr="001407B6" w:rsidRDefault="00456450" w:rsidP="001407B6">
      <w:pPr>
        <w:spacing w:line="251" w:lineRule="exact"/>
        <w:ind w:right="2"/>
        <w:jc w:val="both"/>
        <w:rPr>
          <w:i/>
          <w:u w:val="single"/>
          <w:lang w:val="sr-Latn-ME"/>
        </w:rPr>
      </w:pPr>
    </w:p>
    <w:p w14:paraId="4E9768A4" w14:textId="37C995CA" w:rsidR="00C8324B" w:rsidRPr="001407B6" w:rsidRDefault="00EA133D" w:rsidP="001407B6">
      <w:pPr>
        <w:spacing w:line="251" w:lineRule="exact"/>
        <w:ind w:right="2"/>
        <w:jc w:val="both"/>
        <w:rPr>
          <w:iCs/>
          <w:lang w:val="sr-Latn-ME"/>
        </w:rPr>
      </w:pPr>
      <w:r w:rsidRPr="001407B6">
        <w:rPr>
          <w:iCs/>
          <w:u w:val="single"/>
          <w:lang w:val="sr-Latn-ME"/>
        </w:rPr>
        <w:t>Metabolička</w:t>
      </w:r>
      <w:r w:rsidRPr="001407B6">
        <w:rPr>
          <w:iCs/>
          <w:spacing w:val="-6"/>
          <w:u w:val="single"/>
          <w:lang w:val="sr-Latn-ME"/>
        </w:rPr>
        <w:t xml:space="preserve"> </w:t>
      </w:r>
      <w:r w:rsidRPr="001407B6">
        <w:rPr>
          <w:iCs/>
          <w:u w:val="single"/>
          <w:lang w:val="sr-Latn-ME"/>
        </w:rPr>
        <w:t>acidoza</w:t>
      </w:r>
    </w:p>
    <w:p w14:paraId="21963AD0" w14:textId="07C41B47" w:rsidR="00C8324B" w:rsidRPr="001407B6" w:rsidRDefault="00EA133D" w:rsidP="001407B6">
      <w:pPr>
        <w:pStyle w:val="BodyText"/>
        <w:ind w:left="0"/>
        <w:jc w:val="both"/>
        <w:rPr>
          <w:lang w:val="sr-Latn-ME"/>
        </w:rPr>
      </w:pPr>
      <w:r w:rsidRPr="001407B6">
        <w:rPr>
          <w:lang w:val="sr-Latn-ME"/>
        </w:rPr>
        <w:t>Pacijenti sa hroničnom bubrežnom insuficijencijom imaju predispoziciju za razvoj metaboličke acidoze. Stoga se kao d</w:t>
      </w:r>
      <w:r w:rsidR="00603339" w:rsidRPr="001407B6">
        <w:rPr>
          <w:lang w:val="sr-Latn-ME"/>
        </w:rPr>
        <w:t>i</w:t>
      </w:r>
      <w:r w:rsidRPr="001407B6">
        <w:rPr>
          <w:lang w:val="sr-Latn-ME"/>
        </w:rPr>
        <w:t xml:space="preserve">o dobre kliničke prakse, preporučuje praćenje </w:t>
      </w:r>
      <w:r w:rsidR="00833755" w:rsidRPr="001407B6">
        <w:rPr>
          <w:lang w:val="sr-Latn-ME"/>
        </w:rPr>
        <w:t>vrijedno</w:t>
      </w:r>
      <w:r w:rsidRPr="001407B6">
        <w:rPr>
          <w:lang w:val="sr-Latn-ME"/>
        </w:rPr>
        <w:t>sti bikarbonata u serumu.</w:t>
      </w:r>
    </w:p>
    <w:p w14:paraId="1DCD3155" w14:textId="77777777" w:rsidR="00456450" w:rsidRPr="001407B6" w:rsidRDefault="00456450" w:rsidP="001407B6">
      <w:pPr>
        <w:spacing w:line="251" w:lineRule="exact"/>
        <w:ind w:right="2"/>
        <w:jc w:val="both"/>
        <w:rPr>
          <w:i/>
          <w:u w:val="single"/>
          <w:lang w:val="sr-Latn-ME"/>
        </w:rPr>
      </w:pPr>
    </w:p>
    <w:p w14:paraId="1B5B123C" w14:textId="7D4366D7" w:rsidR="00C8324B" w:rsidRPr="001407B6" w:rsidRDefault="00EA133D" w:rsidP="001407B6">
      <w:pPr>
        <w:spacing w:line="251" w:lineRule="exact"/>
        <w:ind w:right="2"/>
        <w:jc w:val="both"/>
        <w:rPr>
          <w:iCs/>
          <w:lang w:val="sr-Latn-ME"/>
        </w:rPr>
      </w:pPr>
      <w:r w:rsidRPr="001407B6">
        <w:rPr>
          <w:iCs/>
          <w:u w:val="single"/>
          <w:lang w:val="sr-Latn-ME"/>
        </w:rPr>
        <w:t>Peritonitis</w:t>
      </w:r>
    </w:p>
    <w:p w14:paraId="0FD74504" w14:textId="317DD25F" w:rsidR="00C8324B" w:rsidRPr="001407B6" w:rsidRDefault="00EA133D" w:rsidP="001407B6">
      <w:pPr>
        <w:pStyle w:val="BodyText"/>
        <w:ind w:left="0"/>
        <w:jc w:val="both"/>
        <w:rPr>
          <w:lang w:val="sr-Latn-ME"/>
        </w:rPr>
      </w:pPr>
      <w:r w:rsidRPr="001407B6">
        <w:rPr>
          <w:lang w:val="sr-Latn-ME"/>
        </w:rPr>
        <w:t xml:space="preserve">Pacijenti na hemodijalizi su izloženi određenom riziku od infekcija koje su specifične za terapiju hemodijalizom. Peritonitis je poznata komplikacija kod pacijenata koji su na peritonealnoj dijalizi i u kliničkim ispitivanjima sa sevelamer hidrohloridom </w:t>
      </w:r>
      <w:r w:rsidR="00603339" w:rsidRPr="001407B6">
        <w:rPr>
          <w:lang w:val="sr-Latn-ME"/>
        </w:rPr>
        <w:t>zabiljež</w:t>
      </w:r>
      <w:r w:rsidRPr="001407B6">
        <w:rPr>
          <w:lang w:val="sr-Latn-ME"/>
        </w:rPr>
        <w:t xml:space="preserve">en je veći broj slučajeva peritonitisa u sevelamer grupi nego u kontrolnoj grupi. Pacijente na peritonealnoj dijalizi trebalo bi pažljivo pratiti kako bi se osigurala </w:t>
      </w:r>
      <w:r w:rsidR="00D41A5F" w:rsidRPr="001407B6">
        <w:rPr>
          <w:lang w:val="sr-Latn-ME"/>
        </w:rPr>
        <w:t>primjen</w:t>
      </w:r>
      <w:r w:rsidRPr="001407B6">
        <w:rPr>
          <w:lang w:val="sr-Latn-ME"/>
        </w:rPr>
        <w:t>a odgovarajuće aseptične tehnike sa trenutnim prepoznavanjem i zbrinjavanjem bilo kojih znakova i simptoma koji su povezani sa peritonitisom.</w:t>
      </w:r>
    </w:p>
    <w:p w14:paraId="799B3A3D" w14:textId="77777777" w:rsidR="00456450" w:rsidRPr="001407B6" w:rsidRDefault="00456450" w:rsidP="00E97649">
      <w:pPr>
        <w:pStyle w:val="BodyText"/>
        <w:ind w:left="0"/>
        <w:jc w:val="both"/>
        <w:rPr>
          <w:lang w:val="sr-Latn-ME"/>
        </w:rPr>
      </w:pPr>
    </w:p>
    <w:p w14:paraId="507F6D4A" w14:textId="478CA4CD" w:rsidR="00C8324B" w:rsidRPr="001407B6" w:rsidRDefault="00EA133D">
      <w:pPr>
        <w:spacing w:line="251" w:lineRule="exact"/>
        <w:ind w:right="2"/>
        <w:jc w:val="both"/>
        <w:rPr>
          <w:iCs/>
          <w:lang w:val="sr-Latn-ME"/>
        </w:rPr>
      </w:pPr>
      <w:r w:rsidRPr="001407B6">
        <w:rPr>
          <w:iCs/>
          <w:u w:val="single"/>
          <w:lang w:val="sr-Latn-ME"/>
        </w:rPr>
        <w:t>Problemi</w:t>
      </w:r>
      <w:r w:rsidRPr="001407B6">
        <w:rPr>
          <w:iCs/>
          <w:spacing w:val="-4"/>
          <w:u w:val="single"/>
          <w:lang w:val="sr-Latn-ME"/>
        </w:rPr>
        <w:t xml:space="preserve"> </w:t>
      </w:r>
      <w:r w:rsidRPr="001407B6">
        <w:rPr>
          <w:iCs/>
          <w:u w:val="single"/>
          <w:lang w:val="sr-Latn-ME"/>
        </w:rPr>
        <w:t>sa</w:t>
      </w:r>
      <w:r w:rsidRPr="001407B6">
        <w:rPr>
          <w:iCs/>
          <w:spacing w:val="-3"/>
          <w:u w:val="single"/>
          <w:lang w:val="sr-Latn-ME"/>
        </w:rPr>
        <w:t xml:space="preserve"> </w:t>
      </w:r>
      <w:r w:rsidRPr="001407B6">
        <w:rPr>
          <w:iCs/>
          <w:u w:val="single"/>
          <w:lang w:val="sr-Latn-ME"/>
        </w:rPr>
        <w:t>gutanjem</w:t>
      </w:r>
      <w:r w:rsidRPr="001407B6">
        <w:rPr>
          <w:iCs/>
          <w:spacing w:val="-4"/>
          <w:u w:val="single"/>
          <w:lang w:val="sr-Latn-ME"/>
        </w:rPr>
        <w:t xml:space="preserve"> </w:t>
      </w:r>
      <w:r w:rsidRPr="001407B6">
        <w:rPr>
          <w:iCs/>
          <w:u w:val="single"/>
          <w:lang w:val="sr-Latn-ME"/>
        </w:rPr>
        <w:t>i</w:t>
      </w:r>
      <w:r w:rsidRPr="001407B6">
        <w:rPr>
          <w:iCs/>
          <w:spacing w:val="-3"/>
          <w:u w:val="single"/>
          <w:lang w:val="sr-Latn-ME"/>
        </w:rPr>
        <w:t xml:space="preserve"> </w:t>
      </w:r>
      <w:r w:rsidRPr="001407B6">
        <w:rPr>
          <w:iCs/>
          <w:u w:val="single"/>
          <w:lang w:val="sr-Latn-ME"/>
        </w:rPr>
        <w:t>gušenjem</w:t>
      </w:r>
    </w:p>
    <w:p w14:paraId="43908A9F" w14:textId="182D6F88" w:rsidR="00C8324B" w:rsidRPr="001407B6" w:rsidRDefault="00EA133D" w:rsidP="00E97649">
      <w:pPr>
        <w:pStyle w:val="BodyText"/>
        <w:ind w:left="0"/>
        <w:jc w:val="both"/>
        <w:rPr>
          <w:lang w:val="sr-Latn-ME"/>
        </w:rPr>
      </w:pPr>
      <w:r w:rsidRPr="001407B6">
        <w:rPr>
          <w:lang w:val="sr-Latn-ME"/>
        </w:rPr>
        <w:t xml:space="preserve">Povremeno su prijavljene teškoće sa gutanjem film tableta </w:t>
      </w:r>
      <w:r w:rsidR="00D41A5F" w:rsidRPr="001407B6">
        <w:rPr>
          <w:lang w:val="sr-Latn-ME"/>
        </w:rPr>
        <w:t>lijek</w:t>
      </w:r>
      <w:r w:rsidRPr="001407B6">
        <w:rPr>
          <w:lang w:val="sr-Latn-ME"/>
        </w:rPr>
        <w:t xml:space="preserve">a Renvela. Mnogi od ovih slučajeva uključuju pacijente sa stanjima komorbiditeta, kao što su poremećaji gutanja ili abnormalnosti jednjaka. </w:t>
      </w:r>
      <w:r w:rsidR="002F5E0A" w:rsidRPr="001407B6">
        <w:rPr>
          <w:lang w:val="sr-Latn-ME"/>
        </w:rPr>
        <w:t xml:space="preserve"> Sposobnost normalnog gutanja se mora pažljivo pratiti kod pacijenata sa popratnim bolestima. </w:t>
      </w:r>
      <w:r w:rsidRPr="001407B6">
        <w:rPr>
          <w:lang w:val="sr-Latn-ME"/>
        </w:rPr>
        <w:t xml:space="preserve">Kod pacijenata sa otežanim gutanjem u anamnezi trebalo bi razmotriti </w:t>
      </w:r>
      <w:r w:rsidR="00D41A5F" w:rsidRPr="001407B6">
        <w:rPr>
          <w:lang w:val="sr-Latn-ME"/>
        </w:rPr>
        <w:t>primjen</w:t>
      </w:r>
      <w:r w:rsidRPr="001407B6">
        <w:rPr>
          <w:lang w:val="sr-Latn-ME"/>
        </w:rPr>
        <w:t>u sevelamer karbonata u obliku praška za oralnu suspenziju.</w:t>
      </w:r>
    </w:p>
    <w:p w14:paraId="4845260F" w14:textId="77777777" w:rsidR="00456450" w:rsidRPr="001407B6" w:rsidRDefault="00456450" w:rsidP="00E97649">
      <w:pPr>
        <w:ind w:right="2"/>
        <w:jc w:val="both"/>
        <w:rPr>
          <w:i/>
          <w:u w:val="single"/>
          <w:lang w:val="sr-Latn-ME"/>
        </w:rPr>
      </w:pPr>
    </w:p>
    <w:p w14:paraId="6AA736A5" w14:textId="17E1B0B7" w:rsidR="00C8324B" w:rsidRPr="001407B6" w:rsidRDefault="00EA133D" w:rsidP="00E97649">
      <w:pPr>
        <w:ind w:right="2"/>
        <w:jc w:val="both"/>
        <w:rPr>
          <w:iCs/>
          <w:lang w:val="sr-Latn-ME"/>
        </w:rPr>
      </w:pPr>
      <w:r w:rsidRPr="001407B6">
        <w:rPr>
          <w:iCs/>
          <w:u w:val="single"/>
          <w:lang w:val="sr-Latn-ME"/>
        </w:rPr>
        <w:t>Hipotireoidizam</w:t>
      </w:r>
    </w:p>
    <w:p w14:paraId="2BE8462A" w14:textId="77645CAD" w:rsidR="00C8324B" w:rsidRPr="001407B6" w:rsidRDefault="00EA133D" w:rsidP="00E97649">
      <w:pPr>
        <w:pStyle w:val="BodyText"/>
        <w:ind w:left="0"/>
        <w:jc w:val="both"/>
        <w:rPr>
          <w:lang w:val="sr-Latn-ME"/>
        </w:rPr>
      </w:pPr>
      <w:r w:rsidRPr="001407B6">
        <w:rPr>
          <w:lang w:val="sr-Latn-ME"/>
        </w:rPr>
        <w:t xml:space="preserve">Potrebno je pažljivo praćenje pacijenata sa hipotireoidizmom kod kojih je propisana istovremena </w:t>
      </w:r>
      <w:r w:rsidR="00D41A5F" w:rsidRPr="001407B6">
        <w:rPr>
          <w:lang w:val="sr-Latn-ME"/>
        </w:rPr>
        <w:t>primjen</w:t>
      </w:r>
      <w:r w:rsidRPr="001407B6">
        <w:rPr>
          <w:lang w:val="sr-Latn-ME"/>
        </w:rPr>
        <w:t xml:space="preserve">a </w:t>
      </w:r>
      <w:r w:rsidR="00D41A5F" w:rsidRPr="001407B6">
        <w:rPr>
          <w:lang w:val="sr-Latn-ME"/>
        </w:rPr>
        <w:t>ljekov</w:t>
      </w:r>
      <w:r w:rsidRPr="001407B6">
        <w:rPr>
          <w:lang w:val="sr-Latn-ME"/>
        </w:rPr>
        <w:t>a sevelamer karbonat i levotiroksin (</w:t>
      </w:r>
      <w:r w:rsidR="00D41A5F" w:rsidRPr="001407B6">
        <w:rPr>
          <w:lang w:val="sr-Latn-ME"/>
        </w:rPr>
        <w:t>vidjeti</w:t>
      </w:r>
      <w:r w:rsidRPr="001407B6">
        <w:rPr>
          <w:lang w:val="sr-Latn-ME"/>
        </w:rPr>
        <w:t xml:space="preserve"> </w:t>
      </w:r>
      <w:r w:rsidR="00456450" w:rsidRPr="001407B6">
        <w:rPr>
          <w:lang w:val="sr-Latn-ME"/>
        </w:rPr>
        <w:t>dio</w:t>
      </w:r>
      <w:r w:rsidRPr="001407B6">
        <w:rPr>
          <w:lang w:val="sr-Latn-ME"/>
        </w:rPr>
        <w:t xml:space="preserve"> 4.5).</w:t>
      </w:r>
    </w:p>
    <w:p w14:paraId="0D37BB72" w14:textId="77777777" w:rsidR="00456450" w:rsidRPr="001407B6" w:rsidRDefault="00456450" w:rsidP="00E97649">
      <w:pPr>
        <w:pStyle w:val="BodyText"/>
        <w:ind w:left="0"/>
        <w:jc w:val="both"/>
        <w:rPr>
          <w:lang w:val="sr-Latn-ME"/>
        </w:rPr>
      </w:pPr>
    </w:p>
    <w:p w14:paraId="08D87428" w14:textId="00DBD99B" w:rsidR="00C8324B" w:rsidRPr="001407B6" w:rsidRDefault="00EA133D" w:rsidP="00E97649">
      <w:pPr>
        <w:ind w:right="2"/>
        <w:jc w:val="both"/>
        <w:rPr>
          <w:iCs/>
          <w:lang w:val="sr-Latn-ME"/>
        </w:rPr>
      </w:pPr>
      <w:r w:rsidRPr="001407B6">
        <w:rPr>
          <w:iCs/>
          <w:u w:val="single"/>
          <w:lang w:val="sr-Latn-ME"/>
        </w:rPr>
        <w:t>Hiperparatireoidizam</w:t>
      </w:r>
    </w:p>
    <w:p w14:paraId="72ECCD2A" w14:textId="7656A0B0" w:rsidR="00C8324B" w:rsidRPr="001407B6" w:rsidRDefault="00D41A5F" w:rsidP="00E97649">
      <w:pPr>
        <w:pStyle w:val="BodyText"/>
        <w:ind w:left="0"/>
        <w:jc w:val="both"/>
        <w:rPr>
          <w:lang w:val="sr-Latn-ME"/>
        </w:rPr>
      </w:pPr>
      <w:r w:rsidRPr="001407B6">
        <w:rPr>
          <w:lang w:val="sr-Latn-ME"/>
        </w:rPr>
        <w:t>Primjen</w:t>
      </w:r>
      <w:r w:rsidR="00EA133D" w:rsidRPr="001407B6">
        <w:rPr>
          <w:lang w:val="sr-Latn-ME"/>
        </w:rPr>
        <w:t xml:space="preserve">a </w:t>
      </w:r>
      <w:r w:rsidRPr="001407B6">
        <w:rPr>
          <w:lang w:val="sr-Latn-ME"/>
        </w:rPr>
        <w:t>lijek</w:t>
      </w:r>
      <w:r w:rsidR="00EA133D" w:rsidRPr="001407B6">
        <w:rPr>
          <w:lang w:val="sr-Latn-ME"/>
        </w:rPr>
        <w:t xml:space="preserve">a Renvela nije indikovana za kontrolu hiperparatiroidizma. Kod pacijenata sa sekundarnim hiperparatiroidizmom, </w:t>
      </w:r>
      <w:r w:rsidRPr="001407B6">
        <w:rPr>
          <w:lang w:val="sr-Latn-ME"/>
        </w:rPr>
        <w:t>lijek</w:t>
      </w:r>
      <w:r w:rsidR="00EA133D" w:rsidRPr="001407B6">
        <w:rPr>
          <w:lang w:val="sr-Latn-ME"/>
        </w:rPr>
        <w:t xml:space="preserve"> Renvela treba koristiti u okviru multiplog terapijskog pristupa koji može da uključi suplemente kalcijuma, 1,25-dihidroksi vitamin D3 ili neki njegov analog, u cilju smanjenja </w:t>
      </w:r>
      <w:r w:rsidR="00833755" w:rsidRPr="001407B6">
        <w:rPr>
          <w:lang w:val="sr-Latn-ME"/>
        </w:rPr>
        <w:t>vrijedno</w:t>
      </w:r>
      <w:r w:rsidR="00EA133D" w:rsidRPr="001407B6">
        <w:rPr>
          <w:lang w:val="sr-Latn-ME"/>
        </w:rPr>
        <w:t>sti intaktnog paratireoidnog hormona (iPTH).</w:t>
      </w:r>
    </w:p>
    <w:p w14:paraId="3F9E093A" w14:textId="77777777" w:rsidR="00456450" w:rsidRPr="001407B6" w:rsidRDefault="00456450">
      <w:pPr>
        <w:pStyle w:val="Heading3"/>
        <w:spacing w:before="0"/>
        <w:ind w:left="0" w:right="2"/>
        <w:rPr>
          <w:b w:val="0"/>
          <w:bCs w:val="0"/>
          <w:lang w:val="sr-Latn-ME"/>
        </w:rPr>
      </w:pPr>
    </w:p>
    <w:p w14:paraId="0187ABAA" w14:textId="77A993F5" w:rsidR="00C8324B" w:rsidRPr="001407B6" w:rsidRDefault="00EA133D" w:rsidP="0028409C">
      <w:pPr>
        <w:pStyle w:val="Heading3"/>
        <w:spacing w:before="0"/>
        <w:ind w:left="0" w:right="2"/>
        <w:jc w:val="left"/>
        <w:rPr>
          <w:b w:val="0"/>
          <w:bCs w:val="0"/>
          <w:i w:val="0"/>
          <w:iCs w:val="0"/>
          <w:u w:val="none"/>
          <w:lang w:val="sr-Latn-ME"/>
        </w:rPr>
      </w:pPr>
      <w:r w:rsidRPr="001407B6">
        <w:rPr>
          <w:b w:val="0"/>
          <w:bCs w:val="0"/>
          <w:i w:val="0"/>
          <w:iCs w:val="0"/>
          <w:lang w:val="sr-Latn-ME"/>
        </w:rPr>
        <w:t>Inflamatorni</w:t>
      </w:r>
      <w:r w:rsidRPr="001407B6">
        <w:rPr>
          <w:b w:val="0"/>
          <w:bCs w:val="0"/>
          <w:i w:val="0"/>
          <w:iCs w:val="0"/>
          <w:spacing w:val="-9"/>
          <w:lang w:val="sr-Latn-ME"/>
        </w:rPr>
        <w:t xml:space="preserve"> </w:t>
      </w:r>
      <w:r w:rsidRPr="001407B6">
        <w:rPr>
          <w:b w:val="0"/>
          <w:bCs w:val="0"/>
          <w:i w:val="0"/>
          <w:iCs w:val="0"/>
          <w:lang w:val="sr-Latn-ME"/>
        </w:rPr>
        <w:t>gastrointestinalni</w:t>
      </w:r>
      <w:r w:rsidRPr="001407B6">
        <w:rPr>
          <w:b w:val="0"/>
          <w:bCs w:val="0"/>
          <w:i w:val="0"/>
          <w:iCs w:val="0"/>
          <w:spacing w:val="-8"/>
          <w:lang w:val="sr-Latn-ME"/>
        </w:rPr>
        <w:t xml:space="preserve"> </w:t>
      </w:r>
      <w:r w:rsidRPr="001407B6">
        <w:rPr>
          <w:b w:val="0"/>
          <w:bCs w:val="0"/>
          <w:i w:val="0"/>
          <w:iCs w:val="0"/>
          <w:lang w:val="sr-Latn-ME"/>
        </w:rPr>
        <w:t>poremećaji</w:t>
      </w:r>
    </w:p>
    <w:p w14:paraId="127801B8" w14:textId="60444DF5" w:rsidR="00C8324B" w:rsidRPr="001407B6" w:rsidRDefault="00107497" w:rsidP="001407B6">
      <w:pPr>
        <w:pStyle w:val="BodyText"/>
        <w:ind w:left="0"/>
        <w:jc w:val="both"/>
        <w:rPr>
          <w:lang w:val="sr-Latn-ME"/>
        </w:rPr>
      </w:pPr>
      <w:r w:rsidRPr="001407B6">
        <w:rPr>
          <w:lang w:val="sr-Latn-ME"/>
        </w:rPr>
        <w:t xml:space="preserve">Prijavljeni su slučajevi ozbiljnih inflamatornih poremećaja različitih dijelova gastrointestinalnog trakta (uključujući ozbiljne komplikacije kao što su hemoragija, perforacija, ulceracija, nekroza, kolitis i masa u crijevima/cekumu) povezani sa prisutnošću kristala sevelamera (vidjeti </w:t>
      </w:r>
      <w:r w:rsidR="00456450" w:rsidRPr="001407B6">
        <w:rPr>
          <w:lang w:val="sr-Latn-ME"/>
        </w:rPr>
        <w:t>dio</w:t>
      </w:r>
      <w:r w:rsidRPr="001407B6">
        <w:rPr>
          <w:lang w:val="sr-Latn-ME"/>
        </w:rPr>
        <w:t xml:space="preserve"> 4.8). Inflamatorni </w:t>
      </w:r>
      <w:r w:rsidRPr="001407B6">
        <w:rPr>
          <w:lang w:val="sr-Latn-ME"/>
        </w:rPr>
        <w:lastRenderedPageBreak/>
        <w:t>poremećaji mogu da se povuku nakon prekida primjene sevelamera. Kod pacijenata koji razviju teške gastrointestinalne simptome, treba ponovo razmotriti terapiju sevelamerom.</w:t>
      </w:r>
    </w:p>
    <w:p w14:paraId="0FD20A8A" w14:textId="77777777" w:rsidR="00456450" w:rsidRPr="001407B6" w:rsidRDefault="00456450" w:rsidP="001407B6">
      <w:pPr>
        <w:pStyle w:val="Heading3"/>
        <w:spacing w:before="0"/>
        <w:ind w:left="0" w:right="2"/>
        <w:rPr>
          <w:b w:val="0"/>
          <w:bCs w:val="0"/>
          <w:lang w:val="sr-Latn-ME"/>
        </w:rPr>
      </w:pPr>
    </w:p>
    <w:p w14:paraId="20E69A41" w14:textId="5F490858" w:rsidR="00C8324B" w:rsidRPr="001407B6" w:rsidRDefault="00EA133D" w:rsidP="001407B6">
      <w:pPr>
        <w:pStyle w:val="Heading3"/>
        <w:spacing w:before="0"/>
        <w:ind w:left="0" w:right="2"/>
        <w:rPr>
          <w:b w:val="0"/>
          <w:bCs w:val="0"/>
          <w:i w:val="0"/>
          <w:iCs w:val="0"/>
          <w:u w:val="none"/>
          <w:lang w:val="sr-Latn-ME"/>
        </w:rPr>
      </w:pPr>
      <w:r w:rsidRPr="001407B6">
        <w:rPr>
          <w:b w:val="0"/>
          <w:bCs w:val="0"/>
          <w:i w:val="0"/>
          <w:iCs w:val="0"/>
          <w:lang w:val="sr-Latn-ME"/>
        </w:rPr>
        <w:t>Pomoćne</w:t>
      </w:r>
      <w:r w:rsidRPr="001407B6">
        <w:rPr>
          <w:b w:val="0"/>
          <w:bCs w:val="0"/>
          <w:i w:val="0"/>
          <w:iCs w:val="0"/>
          <w:spacing w:val="-4"/>
          <w:lang w:val="sr-Latn-ME"/>
        </w:rPr>
        <w:t xml:space="preserve"> </w:t>
      </w:r>
      <w:r w:rsidRPr="001407B6">
        <w:rPr>
          <w:b w:val="0"/>
          <w:bCs w:val="0"/>
          <w:i w:val="0"/>
          <w:iCs w:val="0"/>
          <w:lang w:val="sr-Latn-ME"/>
        </w:rPr>
        <w:t>supstance</w:t>
      </w:r>
    </w:p>
    <w:p w14:paraId="49B8821C" w14:textId="22C00EA0" w:rsidR="00C8324B" w:rsidRPr="001407B6" w:rsidRDefault="00EA133D" w:rsidP="001407B6">
      <w:pPr>
        <w:pStyle w:val="BodyText"/>
        <w:ind w:left="0"/>
        <w:jc w:val="both"/>
        <w:rPr>
          <w:lang w:val="sr-Latn-ME"/>
        </w:rPr>
      </w:pPr>
      <w:r w:rsidRPr="001407B6">
        <w:rPr>
          <w:lang w:val="sr-Latn-ME"/>
        </w:rPr>
        <w:t xml:space="preserve">Ovaj </w:t>
      </w:r>
      <w:r w:rsidR="00D41A5F" w:rsidRPr="001407B6">
        <w:rPr>
          <w:lang w:val="sr-Latn-ME"/>
        </w:rPr>
        <w:t>lijek</w:t>
      </w:r>
      <w:r w:rsidRPr="001407B6">
        <w:rPr>
          <w:lang w:val="sr-Latn-ME"/>
        </w:rPr>
        <w:t xml:space="preserve"> sadrži manje od 1 mmol natrijuma (23</w:t>
      </w:r>
      <w:r w:rsidR="00385747" w:rsidRPr="001407B6">
        <w:rPr>
          <w:lang w:val="sr-Latn-ME"/>
        </w:rPr>
        <w:t xml:space="preserve"> </w:t>
      </w:r>
      <w:r w:rsidRPr="001407B6">
        <w:rPr>
          <w:lang w:val="sr-Latn-ME"/>
        </w:rPr>
        <w:t>mg) po tableti, tako da se može smatrati da je “suštinski bez natrijuma”.</w:t>
      </w:r>
    </w:p>
    <w:p w14:paraId="0FCA93AC" w14:textId="77777777" w:rsidR="00C8324B" w:rsidRPr="001407B6" w:rsidRDefault="00C8324B" w:rsidP="001407B6">
      <w:pPr>
        <w:pStyle w:val="BodyText"/>
        <w:ind w:left="0"/>
        <w:jc w:val="both"/>
        <w:rPr>
          <w:lang w:val="sr-Latn-ME"/>
        </w:rPr>
      </w:pPr>
    </w:p>
    <w:p w14:paraId="698FD6FE" w14:textId="7BCD7684" w:rsidR="00C8324B" w:rsidRPr="001407B6" w:rsidRDefault="00EA133D" w:rsidP="001407B6">
      <w:pPr>
        <w:pStyle w:val="Heading2"/>
        <w:numPr>
          <w:ilvl w:val="1"/>
          <w:numId w:val="1"/>
        </w:numPr>
        <w:ind w:left="426" w:hanging="426"/>
        <w:jc w:val="both"/>
        <w:rPr>
          <w:lang w:val="sr-Latn-ME"/>
        </w:rPr>
      </w:pPr>
      <w:r w:rsidRPr="001407B6">
        <w:rPr>
          <w:lang w:val="sr-Latn-ME"/>
        </w:rPr>
        <w:t>Interakcije</w:t>
      </w:r>
      <w:r w:rsidRPr="001407B6">
        <w:rPr>
          <w:spacing w:val="-4"/>
          <w:lang w:val="sr-Latn-ME"/>
        </w:rPr>
        <w:t xml:space="preserve"> </w:t>
      </w:r>
      <w:r w:rsidRPr="001407B6">
        <w:rPr>
          <w:lang w:val="sr-Latn-ME"/>
        </w:rPr>
        <w:t>sa</w:t>
      </w:r>
      <w:r w:rsidRPr="001407B6">
        <w:rPr>
          <w:spacing w:val="-4"/>
          <w:lang w:val="sr-Latn-ME"/>
        </w:rPr>
        <w:t xml:space="preserve"> </w:t>
      </w:r>
      <w:r w:rsidRPr="001407B6">
        <w:rPr>
          <w:lang w:val="sr-Latn-ME"/>
        </w:rPr>
        <w:t>drugim</w:t>
      </w:r>
      <w:r w:rsidRPr="001407B6">
        <w:rPr>
          <w:spacing w:val="-2"/>
          <w:lang w:val="sr-Latn-ME"/>
        </w:rPr>
        <w:t xml:space="preserve"> </w:t>
      </w:r>
      <w:r w:rsidR="00D41A5F" w:rsidRPr="001407B6">
        <w:rPr>
          <w:lang w:val="sr-Latn-ME"/>
        </w:rPr>
        <w:t>ljekov</w:t>
      </w:r>
      <w:r w:rsidRPr="001407B6">
        <w:rPr>
          <w:lang w:val="sr-Latn-ME"/>
        </w:rPr>
        <w:t>ima</w:t>
      </w:r>
      <w:r w:rsidRPr="001407B6">
        <w:rPr>
          <w:spacing w:val="-4"/>
          <w:lang w:val="sr-Latn-ME"/>
        </w:rPr>
        <w:t xml:space="preserve"> </w:t>
      </w:r>
      <w:r w:rsidRPr="001407B6">
        <w:rPr>
          <w:lang w:val="sr-Latn-ME"/>
        </w:rPr>
        <w:t>i</w:t>
      </w:r>
      <w:r w:rsidRPr="001407B6">
        <w:rPr>
          <w:spacing w:val="-4"/>
          <w:lang w:val="sr-Latn-ME"/>
        </w:rPr>
        <w:t xml:space="preserve"> </w:t>
      </w:r>
      <w:r w:rsidRPr="001407B6">
        <w:rPr>
          <w:lang w:val="sr-Latn-ME"/>
        </w:rPr>
        <w:t>druge</w:t>
      </w:r>
      <w:r w:rsidRPr="001407B6">
        <w:rPr>
          <w:spacing w:val="-4"/>
          <w:lang w:val="sr-Latn-ME"/>
        </w:rPr>
        <w:t xml:space="preserve"> </w:t>
      </w:r>
      <w:r w:rsidRPr="001407B6">
        <w:rPr>
          <w:lang w:val="sr-Latn-ME"/>
        </w:rPr>
        <w:t>vrste</w:t>
      </w:r>
      <w:r w:rsidRPr="001407B6">
        <w:rPr>
          <w:spacing w:val="-4"/>
          <w:lang w:val="sr-Latn-ME"/>
        </w:rPr>
        <w:t xml:space="preserve"> </w:t>
      </w:r>
      <w:r w:rsidRPr="001407B6">
        <w:rPr>
          <w:lang w:val="sr-Latn-ME"/>
        </w:rPr>
        <w:t>interakcija</w:t>
      </w:r>
    </w:p>
    <w:p w14:paraId="657AD8BC" w14:textId="77777777" w:rsidR="00456450" w:rsidRPr="001407B6" w:rsidRDefault="00456450" w:rsidP="001407B6">
      <w:pPr>
        <w:pStyle w:val="BodyText"/>
        <w:ind w:left="0"/>
        <w:jc w:val="both"/>
        <w:rPr>
          <w:u w:val="single"/>
          <w:lang w:val="sr-Latn-ME"/>
        </w:rPr>
      </w:pPr>
    </w:p>
    <w:p w14:paraId="4E37C03D" w14:textId="129B28D9" w:rsidR="00C8324B" w:rsidRPr="001407B6" w:rsidRDefault="00EA133D" w:rsidP="001407B6">
      <w:pPr>
        <w:pStyle w:val="BodyText"/>
        <w:ind w:left="0"/>
        <w:jc w:val="both"/>
        <w:rPr>
          <w:lang w:val="sr-Latn-ME"/>
        </w:rPr>
      </w:pPr>
      <w:r w:rsidRPr="001407B6">
        <w:rPr>
          <w:u w:val="single"/>
          <w:lang w:val="sr-Latn-ME"/>
        </w:rPr>
        <w:t>Dijaliza</w:t>
      </w:r>
    </w:p>
    <w:p w14:paraId="4BD6C890" w14:textId="71580376" w:rsidR="00C8324B" w:rsidRPr="001407B6" w:rsidRDefault="00EA133D" w:rsidP="001407B6">
      <w:pPr>
        <w:pStyle w:val="BodyText"/>
        <w:ind w:left="0"/>
        <w:jc w:val="both"/>
        <w:rPr>
          <w:lang w:val="sr-Latn-ME"/>
        </w:rPr>
      </w:pPr>
      <w:r w:rsidRPr="001407B6">
        <w:rPr>
          <w:lang w:val="sr-Latn-ME"/>
        </w:rPr>
        <w:t>Kod pacijenata na dijalizi ni</w:t>
      </w:r>
      <w:r w:rsidR="00603339" w:rsidRPr="001407B6">
        <w:rPr>
          <w:lang w:val="sr-Latn-ME"/>
        </w:rPr>
        <w:t>je</w:t>
      </w:r>
      <w:r w:rsidRPr="001407B6">
        <w:rPr>
          <w:lang w:val="sr-Latn-ME"/>
        </w:rPr>
        <w:t>su rađena ispitivanja interakcija.</w:t>
      </w:r>
    </w:p>
    <w:p w14:paraId="5EA63D3A" w14:textId="77777777" w:rsidR="00456450" w:rsidRPr="001407B6" w:rsidRDefault="00456450" w:rsidP="001407B6">
      <w:pPr>
        <w:pStyle w:val="BodyText"/>
        <w:spacing w:line="251" w:lineRule="exact"/>
        <w:ind w:left="0"/>
        <w:jc w:val="both"/>
        <w:rPr>
          <w:u w:val="single"/>
          <w:lang w:val="sr-Latn-ME"/>
        </w:rPr>
      </w:pPr>
    </w:p>
    <w:p w14:paraId="09D92571" w14:textId="2E6E75B4" w:rsidR="00C8324B" w:rsidRPr="001407B6" w:rsidRDefault="00EA133D" w:rsidP="001407B6">
      <w:pPr>
        <w:pStyle w:val="BodyText"/>
        <w:spacing w:line="251" w:lineRule="exact"/>
        <w:ind w:left="0"/>
        <w:jc w:val="both"/>
        <w:rPr>
          <w:lang w:val="sr-Latn-ME"/>
        </w:rPr>
      </w:pPr>
      <w:r w:rsidRPr="001407B6">
        <w:rPr>
          <w:u w:val="single"/>
          <w:lang w:val="sr-Latn-ME"/>
        </w:rPr>
        <w:t>Ciprofloksacin</w:t>
      </w:r>
    </w:p>
    <w:p w14:paraId="6A7E0D74" w14:textId="45575E13" w:rsidR="00C8324B" w:rsidRPr="001407B6" w:rsidRDefault="00EA133D" w:rsidP="001407B6">
      <w:pPr>
        <w:pStyle w:val="BodyText"/>
        <w:ind w:left="0"/>
        <w:jc w:val="both"/>
        <w:rPr>
          <w:lang w:val="sr-Latn-ME"/>
        </w:rPr>
      </w:pPr>
      <w:r w:rsidRPr="001407B6">
        <w:rPr>
          <w:lang w:val="sr-Latn-ME"/>
        </w:rPr>
        <w:t>U</w:t>
      </w:r>
      <w:r w:rsidRPr="001407B6">
        <w:rPr>
          <w:spacing w:val="1"/>
          <w:lang w:val="sr-Latn-ME"/>
        </w:rPr>
        <w:t xml:space="preserve"> </w:t>
      </w:r>
      <w:r w:rsidRPr="001407B6">
        <w:rPr>
          <w:lang w:val="sr-Latn-ME"/>
        </w:rPr>
        <w:t>studijama interakcija na zdravim dobrovoljcima, sevelamer hidrohlorid (koji sadrži isti aktivni d</w:t>
      </w:r>
      <w:r w:rsidR="00603339" w:rsidRPr="001407B6">
        <w:rPr>
          <w:lang w:val="sr-Latn-ME"/>
        </w:rPr>
        <w:t>i</w:t>
      </w:r>
      <w:r w:rsidRPr="001407B6">
        <w:rPr>
          <w:lang w:val="sr-Latn-ME"/>
        </w:rPr>
        <w:t xml:space="preserve">o supstance kao i </w:t>
      </w:r>
      <w:r w:rsidR="00D41A5F" w:rsidRPr="001407B6">
        <w:rPr>
          <w:lang w:val="sr-Latn-ME"/>
        </w:rPr>
        <w:t>lijek</w:t>
      </w:r>
      <w:r w:rsidRPr="001407B6">
        <w:rPr>
          <w:lang w:val="sr-Latn-ME"/>
        </w:rPr>
        <w:t xml:space="preserve"> Renvela,) je u studiji pojedinačne doze smanjio bioraspoloživost ciprofloksacina za oko 50% pri istovremenoj </w:t>
      </w:r>
      <w:r w:rsidR="00D41A5F" w:rsidRPr="001407B6">
        <w:rPr>
          <w:lang w:val="sr-Latn-ME"/>
        </w:rPr>
        <w:t>primjen</w:t>
      </w:r>
      <w:r w:rsidRPr="001407B6">
        <w:rPr>
          <w:lang w:val="sr-Latn-ME"/>
        </w:rPr>
        <w:t xml:space="preserve">i. Zbog toga, </w:t>
      </w:r>
      <w:r w:rsidR="002F5E0A" w:rsidRPr="001407B6">
        <w:rPr>
          <w:lang w:val="sr-Latn-ME"/>
        </w:rPr>
        <w:t>sevelamer karbonat</w:t>
      </w:r>
      <w:r w:rsidRPr="001407B6">
        <w:rPr>
          <w:lang w:val="sr-Latn-ME"/>
        </w:rPr>
        <w:t xml:space="preserve"> ne treba </w:t>
      </w:r>
      <w:r w:rsidR="00D41A5F" w:rsidRPr="001407B6">
        <w:rPr>
          <w:lang w:val="sr-Latn-ME"/>
        </w:rPr>
        <w:t>primjen</w:t>
      </w:r>
      <w:r w:rsidRPr="001407B6">
        <w:rPr>
          <w:lang w:val="sr-Latn-ME"/>
        </w:rPr>
        <w:t>jivati istovremeno sa ciprofloksacinom.</w:t>
      </w:r>
    </w:p>
    <w:p w14:paraId="323D51B0" w14:textId="77777777" w:rsidR="00456450" w:rsidRPr="001407B6" w:rsidRDefault="00456450" w:rsidP="001407B6">
      <w:pPr>
        <w:pStyle w:val="BodyText"/>
        <w:ind w:left="0"/>
        <w:jc w:val="both"/>
        <w:rPr>
          <w:u w:val="single"/>
          <w:lang w:val="sr-Latn-ME"/>
        </w:rPr>
      </w:pPr>
    </w:p>
    <w:p w14:paraId="00D71E32" w14:textId="16AE27E6" w:rsidR="00C8324B" w:rsidRPr="001407B6" w:rsidRDefault="00EA133D" w:rsidP="001407B6">
      <w:pPr>
        <w:pStyle w:val="BodyText"/>
        <w:ind w:left="0"/>
        <w:jc w:val="both"/>
        <w:rPr>
          <w:lang w:val="sr-Latn-ME"/>
        </w:rPr>
      </w:pPr>
      <w:r w:rsidRPr="001407B6">
        <w:rPr>
          <w:u w:val="single"/>
          <w:lang w:val="sr-Latn-ME"/>
        </w:rPr>
        <w:t>Ciklosporin,</w:t>
      </w:r>
      <w:r w:rsidRPr="001407B6">
        <w:rPr>
          <w:spacing w:val="-5"/>
          <w:u w:val="single"/>
          <w:lang w:val="sr-Latn-ME"/>
        </w:rPr>
        <w:t xml:space="preserve"> </w:t>
      </w:r>
      <w:r w:rsidRPr="001407B6">
        <w:rPr>
          <w:u w:val="single"/>
          <w:lang w:val="sr-Latn-ME"/>
        </w:rPr>
        <w:t>mikofenolat</w:t>
      </w:r>
      <w:r w:rsidRPr="001407B6">
        <w:rPr>
          <w:spacing w:val="-5"/>
          <w:u w:val="single"/>
          <w:lang w:val="sr-Latn-ME"/>
        </w:rPr>
        <w:t xml:space="preserve"> </w:t>
      </w:r>
      <w:r w:rsidRPr="001407B6">
        <w:rPr>
          <w:u w:val="single"/>
          <w:lang w:val="sr-Latn-ME"/>
        </w:rPr>
        <w:t>mofetil</w:t>
      </w:r>
      <w:r w:rsidRPr="001407B6">
        <w:rPr>
          <w:spacing w:val="-5"/>
          <w:u w:val="single"/>
          <w:lang w:val="sr-Latn-ME"/>
        </w:rPr>
        <w:t xml:space="preserve"> </w:t>
      </w:r>
      <w:r w:rsidRPr="001407B6">
        <w:rPr>
          <w:u w:val="single"/>
          <w:lang w:val="sr-Latn-ME"/>
        </w:rPr>
        <w:t>i</w:t>
      </w:r>
      <w:r w:rsidRPr="001407B6">
        <w:rPr>
          <w:spacing w:val="-5"/>
          <w:u w:val="single"/>
          <w:lang w:val="sr-Latn-ME"/>
        </w:rPr>
        <w:t xml:space="preserve"> </w:t>
      </w:r>
      <w:r w:rsidRPr="001407B6">
        <w:rPr>
          <w:u w:val="single"/>
          <w:lang w:val="sr-Latn-ME"/>
        </w:rPr>
        <w:t>takrolimus</w:t>
      </w:r>
      <w:r w:rsidRPr="001407B6">
        <w:rPr>
          <w:spacing w:val="1"/>
          <w:u w:val="single"/>
          <w:lang w:val="sr-Latn-ME"/>
        </w:rPr>
        <w:t xml:space="preserve"> </w:t>
      </w:r>
      <w:r w:rsidRPr="001407B6">
        <w:rPr>
          <w:u w:val="single"/>
          <w:lang w:val="sr-Latn-ME"/>
        </w:rPr>
        <w:t>kod</w:t>
      </w:r>
      <w:r w:rsidRPr="001407B6">
        <w:rPr>
          <w:spacing w:val="-5"/>
          <w:u w:val="single"/>
          <w:lang w:val="sr-Latn-ME"/>
        </w:rPr>
        <w:t xml:space="preserve"> </w:t>
      </w:r>
      <w:r w:rsidRPr="001407B6">
        <w:rPr>
          <w:u w:val="single"/>
          <w:lang w:val="sr-Latn-ME"/>
        </w:rPr>
        <w:t>pacijenata</w:t>
      </w:r>
      <w:r w:rsidRPr="001407B6">
        <w:rPr>
          <w:spacing w:val="-4"/>
          <w:u w:val="single"/>
          <w:lang w:val="sr-Latn-ME"/>
        </w:rPr>
        <w:t xml:space="preserve"> </w:t>
      </w:r>
      <w:r w:rsidRPr="001407B6">
        <w:rPr>
          <w:u w:val="single"/>
          <w:lang w:val="sr-Latn-ME"/>
        </w:rPr>
        <w:t>kod</w:t>
      </w:r>
      <w:r w:rsidRPr="001407B6">
        <w:rPr>
          <w:spacing w:val="-5"/>
          <w:u w:val="single"/>
          <w:lang w:val="sr-Latn-ME"/>
        </w:rPr>
        <w:t xml:space="preserve"> </w:t>
      </w:r>
      <w:r w:rsidRPr="001407B6">
        <w:rPr>
          <w:u w:val="single"/>
          <w:lang w:val="sr-Latn-ME"/>
        </w:rPr>
        <w:t>kojih</w:t>
      </w:r>
      <w:r w:rsidRPr="001407B6">
        <w:rPr>
          <w:spacing w:val="-5"/>
          <w:u w:val="single"/>
          <w:lang w:val="sr-Latn-ME"/>
        </w:rPr>
        <w:t xml:space="preserve"> </w:t>
      </w:r>
      <w:r w:rsidRPr="001407B6">
        <w:rPr>
          <w:u w:val="single"/>
          <w:lang w:val="sr-Latn-ME"/>
        </w:rPr>
        <w:t>je</w:t>
      </w:r>
      <w:r w:rsidRPr="001407B6">
        <w:rPr>
          <w:spacing w:val="-5"/>
          <w:u w:val="single"/>
          <w:lang w:val="sr-Latn-ME"/>
        </w:rPr>
        <w:t xml:space="preserve"> </w:t>
      </w:r>
      <w:r w:rsidRPr="001407B6">
        <w:rPr>
          <w:u w:val="single"/>
          <w:lang w:val="sr-Latn-ME"/>
        </w:rPr>
        <w:t>izvršena</w:t>
      </w:r>
      <w:r w:rsidRPr="001407B6">
        <w:rPr>
          <w:spacing w:val="-4"/>
          <w:u w:val="single"/>
          <w:lang w:val="sr-Latn-ME"/>
        </w:rPr>
        <w:t xml:space="preserve"> </w:t>
      </w:r>
      <w:r w:rsidRPr="001407B6">
        <w:rPr>
          <w:u w:val="single"/>
          <w:lang w:val="sr-Latn-ME"/>
        </w:rPr>
        <w:t>transplantacija</w:t>
      </w:r>
    </w:p>
    <w:p w14:paraId="4B04B4D0" w14:textId="42FC4261" w:rsidR="00C8324B" w:rsidRPr="001407B6" w:rsidRDefault="00EA133D" w:rsidP="001407B6">
      <w:pPr>
        <w:pStyle w:val="BodyText"/>
        <w:ind w:left="0"/>
        <w:jc w:val="both"/>
        <w:rPr>
          <w:lang w:val="sr-Latn-ME"/>
        </w:rPr>
      </w:pPr>
      <w:r w:rsidRPr="001407B6">
        <w:rPr>
          <w:lang w:val="sr-Latn-ME"/>
        </w:rPr>
        <w:t xml:space="preserve">Smanjene </w:t>
      </w:r>
      <w:r w:rsidR="00833755" w:rsidRPr="001407B6">
        <w:rPr>
          <w:lang w:val="sr-Latn-ME"/>
        </w:rPr>
        <w:t>vrijedno</w:t>
      </w:r>
      <w:r w:rsidRPr="001407B6">
        <w:rPr>
          <w:lang w:val="sr-Latn-ME"/>
        </w:rPr>
        <w:t xml:space="preserve">sti ciklosporina, mikofenolat mofetila i takrolimusa su </w:t>
      </w:r>
      <w:r w:rsidR="00603339" w:rsidRPr="001407B6">
        <w:rPr>
          <w:lang w:val="sr-Latn-ME"/>
        </w:rPr>
        <w:t>zabiljež</w:t>
      </w:r>
      <w:r w:rsidRPr="001407B6">
        <w:rPr>
          <w:lang w:val="sr-Latn-ME"/>
        </w:rPr>
        <w:t xml:space="preserve">eni kod pacijenata nakon transplantacije, pri njihovoj istovremenoj </w:t>
      </w:r>
      <w:r w:rsidR="00D41A5F" w:rsidRPr="001407B6">
        <w:rPr>
          <w:lang w:val="sr-Latn-ME"/>
        </w:rPr>
        <w:t>primjen</w:t>
      </w:r>
      <w:r w:rsidRPr="001407B6">
        <w:rPr>
          <w:lang w:val="sr-Latn-ME"/>
        </w:rPr>
        <w:t>i sa sevelamer hidrohloridom, ali bez bilo kakvih kliničkih posl</w:t>
      </w:r>
      <w:r w:rsidR="00603339" w:rsidRPr="001407B6">
        <w:rPr>
          <w:lang w:val="sr-Latn-ME"/>
        </w:rPr>
        <w:t>j</w:t>
      </w:r>
      <w:r w:rsidRPr="001407B6">
        <w:rPr>
          <w:lang w:val="sr-Latn-ME"/>
        </w:rPr>
        <w:t xml:space="preserve">edica (tj. bez odbacivanja transplantata). Mogućnost interakcije ne može biti isključena, pa bi trebalo pažljivo pratiti koncentracije ciklosporina, mikofenolat mofetila i takrolimusa u krvi, kako u toku same </w:t>
      </w:r>
      <w:r w:rsidR="00D41A5F" w:rsidRPr="001407B6">
        <w:rPr>
          <w:lang w:val="sr-Latn-ME"/>
        </w:rPr>
        <w:t>primjen</w:t>
      </w:r>
      <w:r w:rsidRPr="001407B6">
        <w:rPr>
          <w:lang w:val="sr-Latn-ME"/>
        </w:rPr>
        <w:t>e ove kombinovane terapije, tako i po njenom završetku.</w:t>
      </w:r>
    </w:p>
    <w:p w14:paraId="52874E98" w14:textId="77777777" w:rsidR="00456450" w:rsidRPr="001407B6" w:rsidRDefault="00456450" w:rsidP="001407B6">
      <w:pPr>
        <w:pStyle w:val="BodyText"/>
        <w:ind w:left="0"/>
        <w:jc w:val="both"/>
        <w:rPr>
          <w:u w:val="single"/>
          <w:lang w:val="sr-Latn-ME"/>
        </w:rPr>
      </w:pPr>
    </w:p>
    <w:p w14:paraId="0E99777E" w14:textId="3D431B9E" w:rsidR="00C8324B" w:rsidRPr="001407B6" w:rsidRDefault="00EA133D" w:rsidP="001407B6">
      <w:pPr>
        <w:pStyle w:val="BodyText"/>
        <w:ind w:left="0"/>
        <w:jc w:val="both"/>
        <w:rPr>
          <w:lang w:val="sr-Latn-ME"/>
        </w:rPr>
      </w:pPr>
      <w:r w:rsidRPr="001407B6">
        <w:rPr>
          <w:u w:val="single"/>
          <w:lang w:val="sr-Latn-ME"/>
        </w:rPr>
        <w:t>Levotiroksin</w:t>
      </w:r>
    </w:p>
    <w:p w14:paraId="3089CDC7" w14:textId="2812AA94" w:rsidR="00C8324B" w:rsidRPr="001407B6" w:rsidRDefault="00EA133D" w:rsidP="001407B6">
      <w:pPr>
        <w:pStyle w:val="BodyText"/>
        <w:ind w:left="0"/>
        <w:jc w:val="both"/>
        <w:rPr>
          <w:lang w:val="sr-Latn-ME"/>
        </w:rPr>
      </w:pPr>
      <w:r w:rsidRPr="001407B6">
        <w:rPr>
          <w:lang w:val="sr-Latn-ME"/>
        </w:rPr>
        <w:t>Prijavljeni su veoma r</w:t>
      </w:r>
      <w:r w:rsidR="00603339" w:rsidRPr="001407B6">
        <w:rPr>
          <w:lang w:val="sr-Latn-ME"/>
        </w:rPr>
        <w:t>ij</w:t>
      </w:r>
      <w:r w:rsidRPr="001407B6">
        <w:rPr>
          <w:lang w:val="sr-Latn-ME"/>
        </w:rPr>
        <w:t>etki slučajevi hipotiroidizma kod pacijenata koji su istovremeno uzimali sevelamer hidrohlorid (koji sadrži isti aktivni d</w:t>
      </w:r>
      <w:r w:rsidR="00603339" w:rsidRPr="001407B6">
        <w:rPr>
          <w:lang w:val="sr-Latn-ME"/>
        </w:rPr>
        <w:t>i</w:t>
      </w:r>
      <w:r w:rsidRPr="001407B6">
        <w:rPr>
          <w:lang w:val="sr-Latn-ME"/>
        </w:rPr>
        <w:t xml:space="preserve">o supstance kao i sevelamer karbonat) i levotiroksin. Iz tih razloga, preporučuje se pažljiviji monitoring (češće praćenje) </w:t>
      </w:r>
      <w:r w:rsidR="00833755" w:rsidRPr="001407B6">
        <w:rPr>
          <w:lang w:val="sr-Latn-ME"/>
        </w:rPr>
        <w:t>vrijedno</w:t>
      </w:r>
      <w:r w:rsidRPr="001407B6">
        <w:rPr>
          <w:lang w:val="sr-Latn-ME"/>
        </w:rPr>
        <w:t>sti tireoidnog-stimulišućeg hormona (TSH) kod pacijenata koji primaju sevelamer karbonat i levotiroksin.</w:t>
      </w:r>
    </w:p>
    <w:p w14:paraId="42296713" w14:textId="77777777" w:rsidR="00456450" w:rsidRPr="001407B6" w:rsidRDefault="00456450" w:rsidP="001407B6">
      <w:pPr>
        <w:pStyle w:val="BodyText"/>
        <w:ind w:left="0"/>
        <w:jc w:val="both"/>
        <w:rPr>
          <w:lang w:val="sr-Latn-ME"/>
        </w:rPr>
      </w:pPr>
    </w:p>
    <w:p w14:paraId="31A81D31" w14:textId="1675D998" w:rsidR="00C8324B" w:rsidRPr="001407B6" w:rsidRDefault="00EA133D" w:rsidP="001407B6">
      <w:pPr>
        <w:pStyle w:val="BodyText"/>
        <w:spacing w:line="251" w:lineRule="exact"/>
        <w:ind w:left="0" w:right="2"/>
        <w:jc w:val="both"/>
        <w:rPr>
          <w:lang w:val="sr-Latn-ME"/>
        </w:rPr>
      </w:pPr>
      <w:r w:rsidRPr="001407B6">
        <w:rPr>
          <w:u w:val="single"/>
          <w:lang w:val="sr-Latn-ME"/>
        </w:rPr>
        <w:t>Antiaritmici</w:t>
      </w:r>
      <w:r w:rsidRPr="001407B6">
        <w:rPr>
          <w:spacing w:val="-6"/>
          <w:u w:val="single"/>
          <w:lang w:val="sr-Latn-ME"/>
        </w:rPr>
        <w:t xml:space="preserve"> </w:t>
      </w:r>
      <w:r w:rsidRPr="001407B6">
        <w:rPr>
          <w:u w:val="single"/>
          <w:lang w:val="sr-Latn-ME"/>
        </w:rPr>
        <w:t>i</w:t>
      </w:r>
      <w:r w:rsidRPr="001407B6">
        <w:rPr>
          <w:spacing w:val="-6"/>
          <w:u w:val="single"/>
          <w:lang w:val="sr-Latn-ME"/>
        </w:rPr>
        <w:t xml:space="preserve"> </w:t>
      </w:r>
      <w:r w:rsidRPr="001407B6">
        <w:rPr>
          <w:u w:val="single"/>
          <w:lang w:val="sr-Latn-ME"/>
        </w:rPr>
        <w:t>antikonvulzivi</w:t>
      </w:r>
    </w:p>
    <w:p w14:paraId="1974A8BC" w14:textId="14C3BC5A" w:rsidR="00C8324B" w:rsidRPr="001407B6" w:rsidRDefault="00EA133D" w:rsidP="001407B6">
      <w:pPr>
        <w:pStyle w:val="BodyText"/>
        <w:ind w:left="0"/>
        <w:jc w:val="both"/>
        <w:rPr>
          <w:lang w:val="sr-Latn-ME"/>
        </w:rPr>
      </w:pPr>
      <w:r w:rsidRPr="001407B6">
        <w:rPr>
          <w:lang w:val="sr-Latn-ME"/>
        </w:rPr>
        <w:t xml:space="preserve">Pacijenti koji uzimaju antiaritmike za kontrolu aritmija i pacijenti koji uzimaju antikonvulzive za kontrolu epileptičnih napada, </w:t>
      </w:r>
      <w:r w:rsidR="00603339" w:rsidRPr="001407B6">
        <w:rPr>
          <w:lang w:val="sr-Latn-ME"/>
        </w:rPr>
        <w:t>nijesu</w:t>
      </w:r>
      <w:r w:rsidRPr="001407B6">
        <w:rPr>
          <w:lang w:val="sr-Latn-ME"/>
        </w:rPr>
        <w:t xml:space="preserve"> bili uključeni u kliničke studije. Stoga se ne može isključiti mogućnost smanjene resorpcije. Antiaritmike treba uzeti najmanje sat pr</w:t>
      </w:r>
      <w:r w:rsidR="00603339" w:rsidRPr="001407B6">
        <w:rPr>
          <w:lang w:val="sr-Latn-ME"/>
        </w:rPr>
        <w:t>ij</w:t>
      </w:r>
      <w:r w:rsidRPr="001407B6">
        <w:rPr>
          <w:lang w:val="sr-Latn-ME"/>
        </w:rPr>
        <w:t>e ili tri sata posl</w:t>
      </w:r>
      <w:r w:rsidR="00603339" w:rsidRPr="001407B6">
        <w:rPr>
          <w:lang w:val="sr-Latn-ME"/>
        </w:rPr>
        <w:t>ij</w:t>
      </w:r>
      <w:r w:rsidRPr="001407B6">
        <w:rPr>
          <w:lang w:val="sr-Latn-ME"/>
        </w:rPr>
        <w:t xml:space="preserve">e uzimanja </w:t>
      </w:r>
      <w:r w:rsidR="00D41A5F" w:rsidRPr="001407B6">
        <w:rPr>
          <w:lang w:val="sr-Latn-ME"/>
        </w:rPr>
        <w:t>lijek</w:t>
      </w:r>
      <w:r w:rsidRPr="001407B6">
        <w:rPr>
          <w:lang w:val="sr-Latn-ME"/>
        </w:rPr>
        <w:t xml:space="preserve">a Renvela, a treba razmotriti i praćenje koncentracije </w:t>
      </w:r>
      <w:r w:rsidR="00D41A5F" w:rsidRPr="001407B6">
        <w:rPr>
          <w:lang w:val="sr-Latn-ME"/>
        </w:rPr>
        <w:t>ljekov</w:t>
      </w:r>
      <w:r w:rsidRPr="001407B6">
        <w:rPr>
          <w:lang w:val="sr-Latn-ME"/>
        </w:rPr>
        <w:t>a u krvi.</w:t>
      </w:r>
    </w:p>
    <w:p w14:paraId="2F6EA1B0" w14:textId="77777777" w:rsidR="00456450" w:rsidRPr="001407B6" w:rsidRDefault="00456450">
      <w:pPr>
        <w:pStyle w:val="BodyText"/>
        <w:ind w:left="0" w:right="2"/>
        <w:jc w:val="both"/>
        <w:rPr>
          <w:u w:val="single"/>
          <w:lang w:val="sr-Latn-ME"/>
        </w:rPr>
      </w:pPr>
    </w:p>
    <w:p w14:paraId="2B79F629" w14:textId="2A057BE4" w:rsidR="00C8324B" w:rsidRPr="001407B6" w:rsidRDefault="00EA133D">
      <w:pPr>
        <w:pStyle w:val="BodyText"/>
        <w:ind w:left="0" w:right="2"/>
        <w:jc w:val="both"/>
        <w:rPr>
          <w:lang w:val="sr-Latn-ME"/>
        </w:rPr>
      </w:pPr>
      <w:r w:rsidRPr="001407B6">
        <w:rPr>
          <w:u w:val="single"/>
          <w:lang w:val="sr-Latn-ME"/>
        </w:rPr>
        <w:t>Inhibitori</w:t>
      </w:r>
      <w:r w:rsidRPr="001407B6">
        <w:rPr>
          <w:spacing w:val="-6"/>
          <w:u w:val="single"/>
          <w:lang w:val="sr-Latn-ME"/>
        </w:rPr>
        <w:t xml:space="preserve"> </w:t>
      </w:r>
      <w:r w:rsidRPr="001407B6">
        <w:rPr>
          <w:u w:val="single"/>
          <w:lang w:val="sr-Latn-ME"/>
        </w:rPr>
        <w:t>protonske</w:t>
      </w:r>
      <w:r w:rsidRPr="001407B6">
        <w:rPr>
          <w:spacing w:val="-5"/>
          <w:u w:val="single"/>
          <w:lang w:val="sr-Latn-ME"/>
        </w:rPr>
        <w:t xml:space="preserve"> </w:t>
      </w:r>
      <w:r w:rsidRPr="001407B6">
        <w:rPr>
          <w:u w:val="single"/>
          <w:lang w:val="sr-Latn-ME"/>
        </w:rPr>
        <w:t>pumpe</w:t>
      </w:r>
    </w:p>
    <w:p w14:paraId="00E54FC6" w14:textId="376FAC9C" w:rsidR="00C8324B" w:rsidRPr="001407B6" w:rsidRDefault="00EA133D" w:rsidP="00E97649">
      <w:pPr>
        <w:pStyle w:val="BodyText"/>
        <w:ind w:left="0"/>
        <w:jc w:val="both"/>
        <w:rPr>
          <w:lang w:val="sr-Latn-ME"/>
        </w:rPr>
      </w:pPr>
      <w:r w:rsidRPr="001407B6">
        <w:rPr>
          <w:lang w:val="sr-Latn-ME"/>
        </w:rPr>
        <w:t xml:space="preserve">Tokom postmarketinškog praćenja, </w:t>
      </w:r>
      <w:r w:rsidR="00603339" w:rsidRPr="001407B6">
        <w:rPr>
          <w:lang w:val="sr-Latn-ME"/>
        </w:rPr>
        <w:t>zabiljež</w:t>
      </w:r>
      <w:r w:rsidRPr="001407B6">
        <w:rPr>
          <w:lang w:val="sr-Latn-ME"/>
        </w:rPr>
        <w:t>eni su veoma r</w:t>
      </w:r>
      <w:r w:rsidR="00344A27" w:rsidRPr="001407B6">
        <w:rPr>
          <w:lang w:val="sr-Latn-ME"/>
        </w:rPr>
        <w:t>ij</w:t>
      </w:r>
      <w:r w:rsidRPr="001407B6">
        <w:rPr>
          <w:lang w:val="sr-Latn-ME"/>
        </w:rPr>
        <w:t xml:space="preserve">etki slučajevi povećanja </w:t>
      </w:r>
      <w:r w:rsidR="00833755" w:rsidRPr="001407B6">
        <w:rPr>
          <w:lang w:val="sr-Latn-ME"/>
        </w:rPr>
        <w:t>vrijedno</w:t>
      </w:r>
      <w:r w:rsidRPr="001407B6">
        <w:rPr>
          <w:lang w:val="sr-Latn-ME"/>
        </w:rPr>
        <w:t xml:space="preserve">sti fosfata kod pacijenata koji su istovremeno bili na terapiji inhibitorima protonske pumpe i sevelamer-karbonatom. Treba biti oprezan prilikom propisivanja inhibitora protonske pumpe pacijentima koji su na terapiji </w:t>
      </w:r>
      <w:r w:rsidR="00D41A5F" w:rsidRPr="001407B6">
        <w:rPr>
          <w:lang w:val="sr-Latn-ME"/>
        </w:rPr>
        <w:t>lijek</w:t>
      </w:r>
      <w:r w:rsidRPr="001407B6">
        <w:rPr>
          <w:lang w:val="sr-Latn-ME"/>
        </w:rPr>
        <w:t>om Renvela.</w:t>
      </w:r>
      <w:r w:rsidR="00344A27" w:rsidRPr="001407B6">
        <w:rPr>
          <w:lang w:val="sr-Latn-ME"/>
        </w:rPr>
        <w:t xml:space="preserve"> </w:t>
      </w:r>
      <w:r w:rsidRPr="001407B6">
        <w:rPr>
          <w:lang w:val="sr-Latn-ME"/>
        </w:rPr>
        <w:t xml:space="preserve">Treba pratiti </w:t>
      </w:r>
      <w:r w:rsidR="00833755" w:rsidRPr="001407B6">
        <w:rPr>
          <w:lang w:val="sr-Latn-ME"/>
        </w:rPr>
        <w:t>vrijedno</w:t>
      </w:r>
      <w:r w:rsidRPr="001407B6">
        <w:rPr>
          <w:lang w:val="sr-Latn-ME"/>
        </w:rPr>
        <w:t xml:space="preserve">sti fosfata u serumu i s obzirom na to prilagoditi dozu </w:t>
      </w:r>
      <w:r w:rsidR="00D41A5F" w:rsidRPr="001407B6">
        <w:rPr>
          <w:lang w:val="sr-Latn-ME"/>
        </w:rPr>
        <w:t>lijek</w:t>
      </w:r>
      <w:r w:rsidRPr="001407B6">
        <w:rPr>
          <w:lang w:val="sr-Latn-ME"/>
        </w:rPr>
        <w:t>a Renvela.</w:t>
      </w:r>
    </w:p>
    <w:p w14:paraId="7F578DC3" w14:textId="77777777" w:rsidR="00456450" w:rsidRPr="001407B6" w:rsidRDefault="00456450">
      <w:pPr>
        <w:pStyle w:val="BodyText"/>
        <w:spacing w:line="251" w:lineRule="exact"/>
        <w:ind w:left="0" w:right="2"/>
        <w:jc w:val="both"/>
        <w:rPr>
          <w:u w:val="single"/>
          <w:lang w:val="sr-Latn-ME"/>
        </w:rPr>
      </w:pPr>
    </w:p>
    <w:p w14:paraId="3E53F801" w14:textId="77777777" w:rsidR="00B53C44" w:rsidRPr="001407B6" w:rsidRDefault="00B53C44" w:rsidP="00B53C44">
      <w:pPr>
        <w:pStyle w:val="BodyText"/>
        <w:ind w:left="0" w:right="2"/>
        <w:jc w:val="both"/>
        <w:rPr>
          <w:lang w:val="sr-Latn-ME"/>
        </w:rPr>
      </w:pPr>
      <w:r w:rsidRPr="001407B6">
        <w:rPr>
          <w:u w:val="single"/>
          <w:lang w:val="sr-Latn-ME"/>
        </w:rPr>
        <w:t>Bioraspoloživost</w:t>
      </w:r>
    </w:p>
    <w:p w14:paraId="365E0CE4" w14:textId="0C35452F" w:rsidR="00B53C44" w:rsidRPr="001407B6" w:rsidRDefault="00B53C44" w:rsidP="00B53C44">
      <w:pPr>
        <w:pStyle w:val="BodyText"/>
        <w:ind w:left="0"/>
        <w:jc w:val="both"/>
        <w:rPr>
          <w:lang w:val="sr-Latn-ME"/>
        </w:rPr>
      </w:pPr>
      <w:r w:rsidRPr="001407B6">
        <w:rPr>
          <w:lang w:val="sr-Latn-ME"/>
        </w:rPr>
        <w:t>Sevelamer karbonat se ne resorbuje i zbog toga može uticati na bioraspoloživost drugih ljekova. Kada se primjenjuje bilo koji drugi lijek čije smanjenje biološke raspoloživosti može imati klinički značajne posljedice na bezbjednost ili efikasnost terapije, ovaj lijek treba primjeniti najmanje jedan sat prije, ili tri sata poslije uzimanja sevelamer karbonata, ili ljekar treba da razmotri praćenje koncentracije tog lijeka u krvi.</w:t>
      </w:r>
    </w:p>
    <w:p w14:paraId="2627B2D7" w14:textId="77777777" w:rsidR="00B53C44" w:rsidRPr="001407B6" w:rsidRDefault="00B53C44">
      <w:pPr>
        <w:pStyle w:val="BodyText"/>
        <w:spacing w:line="251" w:lineRule="exact"/>
        <w:ind w:left="0" w:right="2"/>
        <w:jc w:val="both"/>
        <w:rPr>
          <w:u w:val="single"/>
          <w:lang w:val="sr-Latn-ME"/>
        </w:rPr>
      </w:pPr>
    </w:p>
    <w:p w14:paraId="78322057" w14:textId="23238EBD" w:rsidR="00C8324B" w:rsidRPr="001407B6" w:rsidRDefault="00EA133D">
      <w:pPr>
        <w:pStyle w:val="BodyText"/>
        <w:spacing w:line="251" w:lineRule="exact"/>
        <w:ind w:left="0" w:right="2"/>
        <w:jc w:val="both"/>
        <w:rPr>
          <w:lang w:val="sr-Latn-ME"/>
        </w:rPr>
      </w:pPr>
      <w:r w:rsidRPr="001407B6">
        <w:rPr>
          <w:u w:val="single"/>
          <w:lang w:val="sr-Latn-ME"/>
        </w:rPr>
        <w:t>Digoksin,</w:t>
      </w:r>
      <w:r w:rsidRPr="001407B6">
        <w:rPr>
          <w:spacing w:val="-6"/>
          <w:u w:val="single"/>
          <w:lang w:val="sr-Latn-ME"/>
        </w:rPr>
        <w:t xml:space="preserve"> </w:t>
      </w:r>
      <w:r w:rsidRPr="001407B6">
        <w:rPr>
          <w:u w:val="single"/>
          <w:lang w:val="sr-Latn-ME"/>
        </w:rPr>
        <w:t>varfarin,</w:t>
      </w:r>
      <w:r w:rsidRPr="001407B6">
        <w:rPr>
          <w:spacing w:val="-5"/>
          <w:u w:val="single"/>
          <w:lang w:val="sr-Latn-ME"/>
        </w:rPr>
        <w:t xml:space="preserve"> </w:t>
      </w:r>
      <w:r w:rsidRPr="001407B6">
        <w:rPr>
          <w:u w:val="single"/>
          <w:lang w:val="sr-Latn-ME"/>
        </w:rPr>
        <w:t>enalapril</w:t>
      </w:r>
      <w:r w:rsidRPr="001407B6">
        <w:rPr>
          <w:spacing w:val="-5"/>
          <w:u w:val="single"/>
          <w:lang w:val="sr-Latn-ME"/>
        </w:rPr>
        <w:t xml:space="preserve"> </w:t>
      </w:r>
      <w:r w:rsidRPr="001407B6">
        <w:rPr>
          <w:u w:val="single"/>
          <w:lang w:val="sr-Latn-ME"/>
        </w:rPr>
        <w:t>ili</w:t>
      </w:r>
      <w:r w:rsidRPr="001407B6">
        <w:rPr>
          <w:spacing w:val="-6"/>
          <w:u w:val="single"/>
          <w:lang w:val="sr-Latn-ME"/>
        </w:rPr>
        <w:t xml:space="preserve"> </w:t>
      </w:r>
      <w:r w:rsidRPr="001407B6">
        <w:rPr>
          <w:u w:val="single"/>
          <w:lang w:val="sr-Latn-ME"/>
        </w:rPr>
        <w:t>metoprolol</w:t>
      </w:r>
    </w:p>
    <w:p w14:paraId="360F9967" w14:textId="1DE7841A" w:rsidR="00C8324B" w:rsidRPr="001407B6" w:rsidRDefault="00EA133D" w:rsidP="00E97649">
      <w:pPr>
        <w:pStyle w:val="BodyText"/>
        <w:ind w:left="0"/>
        <w:jc w:val="both"/>
        <w:rPr>
          <w:lang w:val="sr-Latn-ME"/>
        </w:rPr>
      </w:pPr>
      <w:r w:rsidRPr="001407B6">
        <w:rPr>
          <w:lang w:val="sr-Latn-ME"/>
        </w:rPr>
        <w:t>U studijama interakcija na zdravim ispitanicima, sevelamer hidrohlorid, koji sadrži isti aktivni d</w:t>
      </w:r>
      <w:r w:rsidR="00344A27" w:rsidRPr="001407B6">
        <w:rPr>
          <w:lang w:val="sr-Latn-ME"/>
        </w:rPr>
        <w:t>i</w:t>
      </w:r>
      <w:r w:rsidRPr="001407B6">
        <w:rPr>
          <w:lang w:val="sr-Latn-ME"/>
        </w:rPr>
        <w:t xml:space="preserve">o supstance kao i </w:t>
      </w:r>
      <w:r w:rsidR="00B53C44" w:rsidRPr="001407B6">
        <w:rPr>
          <w:lang w:val="sr-Latn-ME"/>
        </w:rPr>
        <w:t>sevelamer karbonat</w:t>
      </w:r>
      <w:r w:rsidRPr="001407B6">
        <w:rPr>
          <w:lang w:val="sr-Latn-ME"/>
        </w:rPr>
        <w:t>, nije uticao na bioraspoloživost digoksina, varfarina, enalaprila ili metoprolola.</w:t>
      </w:r>
    </w:p>
    <w:p w14:paraId="1A80D130" w14:textId="77777777" w:rsidR="00456450" w:rsidRPr="001407B6" w:rsidRDefault="00456450" w:rsidP="00E97649">
      <w:pPr>
        <w:pStyle w:val="BodyText"/>
        <w:ind w:left="0" w:right="2"/>
        <w:jc w:val="both"/>
        <w:rPr>
          <w:u w:val="single"/>
          <w:lang w:val="sr-Latn-ME"/>
        </w:rPr>
      </w:pPr>
    </w:p>
    <w:p w14:paraId="6A203B1C" w14:textId="77777777" w:rsidR="00C8324B" w:rsidRPr="001407B6" w:rsidRDefault="00C8324B" w:rsidP="00E97649">
      <w:pPr>
        <w:pStyle w:val="BodyText"/>
        <w:ind w:left="0"/>
        <w:jc w:val="both"/>
        <w:rPr>
          <w:lang w:val="sr-Latn-ME"/>
        </w:rPr>
      </w:pPr>
    </w:p>
    <w:p w14:paraId="71887FF4" w14:textId="77777777" w:rsidR="00C8324B" w:rsidRPr="001407B6" w:rsidRDefault="00EA133D" w:rsidP="00E97649">
      <w:pPr>
        <w:pStyle w:val="Heading2"/>
        <w:numPr>
          <w:ilvl w:val="1"/>
          <w:numId w:val="1"/>
        </w:numPr>
        <w:ind w:left="426" w:hanging="426"/>
        <w:jc w:val="both"/>
        <w:rPr>
          <w:lang w:val="sr-Latn-ME"/>
        </w:rPr>
      </w:pPr>
      <w:r w:rsidRPr="001407B6">
        <w:rPr>
          <w:lang w:val="sr-Latn-ME"/>
        </w:rPr>
        <w:lastRenderedPageBreak/>
        <w:t>Plodnost,</w:t>
      </w:r>
      <w:r w:rsidRPr="001407B6">
        <w:rPr>
          <w:spacing w:val="-3"/>
          <w:lang w:val="sr-Latn-ME"/>
        </w:rPr>
        <w:t xml:space="preserve"> </w:t>
      </w:r>
      <w:r w:rsidRPr="001407B6">
        <w:rPr>
          <w:lang w:val="sr-Latn-ME"/>
        </w:rPr>
        <w:t>trudnoća</w:t>
      </w:r>
      <w:r w:rsidRPr="001407B6">
        <w:rPr>
          <w:spacing w:val="-7"/>
          <w:lang w:val="sr-Latn-ME"/>
        </w:rPr>
        <w:t xml:space="preserve"> </w:t>
      </w:r>
      <w:r w:rsidRPr="001407B6">
        <w:rPr>
          <w:lang w:val="sr-Latn-ME"/>
        </w:rPr>
        <w:t>i</w:t>
      </w:r>
      <w:r w:rsidRPr="001407B6">
        <w:rPr>
          <w:spacing w:val="-5"/>
          <w:lang w:val="sr-Latn-ME"/>
        </w:rPr>
        <w:t xml:space="preserve"> </w:t>
      </w:r>
      <w:r w:rsidRPr="001407B6">
        <w:rPr>
          <w:lang w:val="sr-Latn-ME"/>
        </w:rPr>
        <w:t>dojenje</w:t>
      </w:r>
    </w:p>
    <w:p w14:paraId="25DB012A" w14:textId="77777777" w:rsidR="00456450" w:rsidRPr="001407B6" w:rsidRDefault="00456450" w:rsidP="00E97649">
      <w:pPr>
        <w:pStyle w:val="BodyText"/>
        <w:ind w:left="0"/>
        <w:jc w:val="both"/>
        <w:rPr>
          <w:lang w:val="sr-Latn-ME"/>
        </w:rPr>
      </w:pPr>
    </w:p>
    <w:p w14:paraId="1CA1AB3B" w14:textId="6A003AC2" w:rsidR="00C8324B" w:rsidRPr="001407B6" w:rsidRDefault="00EA133D" w:rsidP="00E97649">
      <w:pPr>
        <w:ind w:right="2"/>
        <w:jc w:val="both"/>
        <w:rPr>
          <w:iCs/>
          <w:lang w:val="sr-Latn-ME"/>
        </w:rPr>
      </w:pPr>
      <w:r w:rsidRPr="001407B6">
        <w:rPr>
          <w:iCs/>
          <w:u w:val="single"/>
          <w:lang w:val="sr-Latn-ME"/>
        </w:rPr>
        <w:t>Trudnoća</w:t>
      </w:r>
    </w:p>
    <w:p w14:paraId="0132A604" w14:textId="46650AE7" w:rsidR="00C8324B" w:rsidRPr="001407B6" w:rsidRDefault="00EA133D" w:rsidP="00E97649">
      <w:pPr>
        <w:pStyle w:val="BodyText"/>
        <w:ind w:left="0"/>
        <w:jc w:val="both"/>
        <w:rPr>
          <w:lang w:val="sr-Latn-ME"/>
        </w:rPr>
      </w:pPr>
      <w:r w:rsidRPr="001407B6">
        <w:rPr>
          <w:lang w:val="sr-Latn-ME"/>
        </w:rPr>
        <w:t xml:space="preserve">Nema podataka o </w:t>
      </w:r>
      <w:r w:rsidR="00D41A5F" w:rsidRPr="001407B6">
        <w:rPr>
          <w:lang w:val="sr-Latn-ME"/>
        </w:rPr>
        <w:t>primjen</w:t>
      </w:r>
      <w:r w:rsidRPr="001407B6">
        <w:rPr>
          <w:lang w:val="sr-Latn-ME"/>
        </w:rPr>
        <w:t>i sevelamera kod trudnica. Ispitivanja na životinjama su pokazala</w:t>
      </w:r>
      <w:r w:rsidR="00456450" w:rsidRPr="001407B6">
        <w:rPr>
          <w:lang w:val="sr-Latn-ME"/>
        </w:rPr>
        <w:t xml:space="preserve"> </w:t>
      </w:r>
      <w:r w:rsidRPr="001407B6">
        <w:rPr>
          <w:lang w:val="sr-Latn-ME"/>
        </w:rPr>
        <w:t xml:space="preserve">izvesnu reproduktivnu toksičnost kada je sevelamer </w:t>
      </w:r>
      <w:r w:rsidR="00D41A5F" w:rsidRPr="001407B6">
        <w:rPr>
          <w:lang w:val="sr-Latn-ME"/>
        </w:rPr>
        <w:t>primjen</w:t>
      </w:r>
      <w:r w:rsidRPr="001407B6">
        <w:rPr>
          <w:lang w:val="sr-Latn-ME"/>
        </w:rPr>
        <w:t>jen na pacovima u velikim dozama (</w:t>
      </w:r>
      <w:r w:rsidR="00D41A5F" w:rsidRPr="001407B6">
        <w:rPr>
          <w:lang w:val="sr-Latn-ME"/>
        </w:rPr>
        <w:t>vidjeti</w:t>
      </w:r>
      <w:r w:rsidRPr="001407B6">
        <w:rPr>
          <w:lang w:val="sr-Latn-ME"/>
        </w:rPr>
        <w:t xml:space="preserve"> </w:t>
      </w:r>
      <w:r w:rsidR="00456450" w:rsidRPr="001407B6">
        <w:rPr>
          <w:lang w:val="sr-Latn-ME"/>
        </w:rPr>
        <w:t>dio</w:t>
      </w:r>
      <w:r w:rsidRPr="001407B6">
        <w:rPr>
          <w:lang w:val="sr-Latn-ME"/>
        </w:rPr>
        <w:t xml:space="preserve"> 5.3).</w:t>
      </w:r>
    </w:p>
    <w:p w14:paraId="0F17A80B" w14:textId="5B027690" w:rsidR="00C8324B" w:rsidRPr="001407B6" w:rsidRDefault="00EA133D" w:rsidP="00E97649">
      <w:pPr>
        <w:pStyle w:val="BodyText"/>
        <w:ind w:left="0"/>
        <w:jc w:val="both"/>
        <w:rPr>
          <w:lang w:val="sr-Latn-ME"/>
        </w:rPr>
      </w:pPr>
      <w:r w:rsidRPr="001407B6">
        <w:rPr>
          <w:lang w:val="sr-Latn-ME"/>
        </w:rPr>
        <w:t>Takođe je pokazano da sevelamer smanjuje resorpciju nekoliko vitamina, uključujući folnu kiselinu (</w:t>
      </w:r>
      <w:r w:rsidR="00D41A5F" w:rsidRPr="001407B6">
        <w:rPr>
          <w:lang w:val="sr-Latn-ME"/>
        </w:rPr>
        <w:t>vidjeti</w:t>
      </w:r>
      <w:r w:rsidRPr="001407B6">
        <w:rPr>
          <w:lang w:val="sr-Latn-ME"/>
        </w:rPr>
        <w:t xml:space="preserve"> </w:t>
      </w:r>
      <w:r w:rsidR="00456450" w:rsidRPr="001407B6">
        <w:rPr>
          <w:lang w:val="sr-Latn-ME"/>
        </w:rPr>
        <w:t>djelove</w:t>
      </w:r>
      <w:r w:rsidRPr="001407B6">
        <w:rPr>
          <w:lang w:val="sr-Latn-ME"/>
        </w:rPr>
        <w:t xml:space="preserve"> 4.4 i 5.3). Potencijalan rizik za ljude je nepoznat. </w:t>
      </w:r>
      <w:r w:rsidR="00D41A5F" w:rsidRPr="001407B6">
        <w:rPr>
          <w:lang w:val="sr-Latn-ME"/>
        </w:rPr>
        <w:t>Lijek</w:t>
      </w:r>
      <w:r w:rsidRPr="001407B6">
        <w:rPr>
          <w:lang w:val="sr-Latn-ME"/>
        </w:rPr>
        <w:t xml:space="preserve"> Renvela treba dati trudnim ženama samo ako je zaista neophodan, posle pažljive i detaljne procene odnosa korist/rizik i za majku i za fetus.</w:t>
      </w:r>
    </w:p>
    <w:p w14:paraId="62AAC689" w14:textId="77777777" w:rsidR="00456450" w:rsidRPr="001407B6" w:rsidRDefault="00456450" w:rsidP="00E97649">
      <w:pPr>
        <w:pStyle w:val="BodyText"/>
        <w:ind w:left="0"/>
        <w:jc w:val="both"/>
        <w:rPr>
          <w:lang w:val="sr-Latn-ME"/>
        </w:rPr>
      </w:pPr>
    </w:p>
    <w:p w14:paraId="19967781" w14:textId="35824C02" w:rsidR="00C8324B" w:rsidRPr="001407B6" w:rsidRDefault="00EA133D" w:rsidP="00E97649">
      <w:pPr>
        <w:spacing w:line="251" w:lineRule="exact"/>
        <w:ind w:right="2"/>
        <w:jc w:val="both"/>
        <w:rPr>
          <w:iCs/>
          <w:lang w:val="sr-Latn-ME"/>
        </w:rPr>
      </w:pPr>
      <w:r w:rsidRPr="001407B6">
        <w:rPr>
          <w:iCs/>
          <w:u w:val="single"/>
          <w:lang w:val="sr-Latn-ME"/>
        </w:rPr>
        <w:t>Dojenje</w:t>
      </w:r>
    </w:p>
    <w:p w14:paraId="3C73561C" w14:textId="5E2D9E4C" w:rsidR="00C8324B" w:rsidRPr="001407B6" w:rsidRDefault="00EA133D" w:rsidP="00E97649">
      <w:pPr>
        <w:pStyle w:val="BodyText"/>
        <w:ind w:left="0"/>
        <w:jc w:val="both"/>
        <w:rPr>
          <w:lang w:val="sr-Latn-ME"/>
        </w:rPr>
      </w:pPr>
      <w:r w:rsidRPr="001407B6">
        <w:rPr>
          <w:lang w:val="sr-Latn-ME"/>
        </w:rPr>
        <w:t>Nije poznato da li se sevelamer ili njegovi metaboliti izlučuje u humano m</w:t>
      </w:r>
      <w:r w:rsidR="00D41A5F" w:rsidRPr="001407B6">
        <w:rPr>
          <w:lang w:val="sr-Latn-ME"/>
        </w:rPr>
        <w:t>lijek</w:t>
      </w:r>
      <w:r w:rsidRPr="001407B6">
        <w:rPr>
          <w:lang w:val="sr-Latn-ME"/>
        </w:rPr>
        <w:t>o. Osobina samog sevelamera da se ne resorbuje ukazuje da je izlučivanje sevelamera u m</w:t>
      </w:r>
      <w:r w:rsidR="00D41A5F" w:rsidRPr="001407B6">
        <w:rPr>
          <w:lang w:val="sr-Latn-ME"/>
        </w:rPr>
        <w:t>lijek</w:t>
      </w:r>
      <w:r w:rsidRPr="001407B6">
        <w:rPr>
          <w:lang w:val="sr-Latn-ME"/>
        </w:rPr>
        <w:t>o kod dojilja malo v</w:t>
      </w:r>
      <w:r w:rsidR="000206AA" w:rsidRPr="001407B6">
        <w:rPr>
          <w:lang w:val="sr-Latn-ME"/>
        </w:rPr>
        <w:t>j</w:t>
      </w:r>
      <w:r w:rsidRPr="001407B6">
        <w:rPr>
          <w:lang w:val="sr-Latn-ME"/>
        </w:rPr>
        <w:t xml:space="preserve">erovatno. Odluku o tome da li nastaviti/prekinuti dojenje ili prekinuti/nastaviti trerapiju </w:t>
      </w:r>
      <w:r w:rsidR="00D41A5F" w:rsidRPr="001407B6">
        <w:rPr>
          <w:lang w:val="sr-Latn-ME"/>
        </w:rPr>
        <w:t>lijek</w:t>
      </w:r>
      <w:r w:rsidRPr="001407B6">
        <w:rPr>
          <w:lang w:val="sr-Latn-ME"/>
        </w:rPr>
        <w:t>om Renvela treba doneti posl</w:t>
      </w:r>
      <w:r w:rsidR="003969D7" w:rsidRPr="001407B6">
        <w:rPr>
          <w:lang w:val="sr-Latn-ME"/>
        </w:rPr>
        <w:t>ij</w:t>
      </w:r>
      <w:r w:rsidRPr="001407B6">
        <w:rPr>
          <w:lang w:val="sr-Latn-ME"/>
        </w:rPr>
        <w:t>e pažljive proc</w:t>
      </w:r>
      <w:r w:rsidR="003969D7" w:rsidRPr="001407B6">
        <w:rPr>
          <w:lang w:val="sr-Latn-ME"/>
        </w:rPr>
        <w:t>j</w:t>
      </w:r>
      <w:r w:rsidRPr="001407B6">
        <w:rPr>
          <w:lang w:val="sr-Latn-ME"/>
        </w:rPr>
        <w:t>ene koristi dojenja za odojče i koristi terapije za majku.</w:t>
      </w:r>
    </w:p>
    <w:p w14:paraId="486A2E96" w14:textId="77777777" w:rsidR="000206AA" w:rsidRPr="001407B6" w:rsidRDefault="000206AA" w:rsidP="000206AA">
      <w:pPr>
        <w:ind w:right="2"/>
        <w:jc w:val="both"/>
        <w:rPr>
          <w:iCs/>
          <w:u w:val="single"/>
          <w:lang w:val="sr-Latn-ME"/>
        </w:rPr>
      </w:pPr>
    </w:p>
    <w:p w14:paraId="2C8A077C" w14:textId="77777777" w:rsidR="000206AA" w:rsidRPr="001407B6" w:rsidRDefault="000206AA" w:rsidP="000206AA">
      <w:pPr>
        <w:ind w:right="2"/>
        <w:jc w:val="both"/>
        <w:rPr>
          <w:iCs/>
          <w:lang w:val="sr-Latn-ME"/>
        </w:rPr>
      </w:pPr>
      <w:r w:rsidRPr="001407B6">
        <w:rPr>
          <w:iCs/>
          <w:u w:val="single"/>
          <w:lang w:val="sr-Latn-ME"/>
        </w:rPr>
        <w:t>Plodnost</w:t>
      </w:r>
    </w:p>
    <w:p w14:paraId="464DF577" w14:textId="77777777" w:rsidR="000206AA" w:rsidRPr="001407B6" w:rsidRDefault="000206AA" w:rsidP="000206AA">
      <w:pPr>
        <w:pStyle w:val="BodyText"/>
        <w:ind w:left="0"/>
        <w:jc w:val="both"/>
        <w:rPr>
          <w:lang w:val="sr-Latn-ME"/>
        </w:rPr>
      </w:pPr>
      <w:r w:rsidRPr="001407B6">
        <w:rPr>
          <w:lang w:val="sr-Latn-ME"/>
        </w:rPr>
        <w:t>Nema podataka o efektu sevelamera na plodnost kod ljudi. Studije na životinjama su pokazale da sevelamer nije oštetio plodnost ženki i mužjaka pacova kod izloženosti dozama koje su dva puta veće od maksimalnih doza u kliničkim ispitivanjima od 13 g dnevno, na osnovu poređenja relativne tjelesne površine.</w:t>
      </w:r>
    </w:p>
    <w:p w14:paraId="1FEC6F08" w14:textId="77777777" w:rsidR="00C8324B" w:rsidRPr="001407B6" w:rsidRDefault="00C8324B" w:rsidP="00E97649">
      <w:pPr>
        <w:pStyle w:val="BodyText"/>
        <w:ind w:left="0"/>
        <w:jc w:val="both"/>
        <w:rPr>
          <w:lang w:val="sr-Latn-ME"/>
        </w:rPr>
      </w:pPr>
    </w:p>
    <w:p w14:paraId="4C6C3C9A" w14:textId="1CB5C40F" w:rsidR="00C8324B" w:rsidRPr="001407B6" w:rsidRDefault="00EA133D" w:rsidP="00E97649">
      <w:pPr>
        <w:pStyle w:val="Heading2"/>
        <w:numPr>
          <w:ilvl w:val="1"/>
          <w:numId w:val="1"/>
        </w:numPr>
        <w:ind w:left="426" w:hanging="426"/>
        <w:jc w:val="both"/>
        <w:rPr>
          <w:lang w:val="sr-Latn-ME"/>
        </w:rPr>
      </w:pPr>
      <w:r w:rsidRPr="001407B6">
        <w:rPr>
          <w:spacing w:val="-8"/>
          <w:lang w:val="sr-Latn-ME"/>
        </w:rPr>
        <w:t>Uticaj</w:t>
      </w:r>
      <w:r w:rsidRPr="001407B6">
        <w:rPr>
          <w:spacing w:val="-17"/>
          <w:lang w:val="sr-Latn-ME"/>
        </w:rPr>
        <w:t xml:space="preserve"> </w:t>
      </w:r>
      <w:r w:rsidR="00D41A5F" w:rsidRPr="001407B6">
        <w:rPr>
          <w:spacing w:val="-8"/>
          <w:lang w:val="sr-Latn-ME"/>
        </w:rPr>
        <w:t>lijek</w:t>
      </w:r>
      <w:r w:rsidRPr="001407B6">
        <w:rPr>
          <w:spacing w:val="-8"/>
          <w:lang w:val="sr-Latn-ME"/>
        </w:rPr>
        <w:t>a</w:t>
      </w:r>
      <w:r w:rsidRPr="001407B6">
        <w:rPr>
          <w:spacing w:val="-17"/>
          <w:lang w:val="sr-Latn-ME"/>
        </w:rPr>
        <w:t xml:space="preserve"> </w:t>
      </w:r>
      <w:r w:rsidRPr="001407B6">
        <w:rPr>
          <w:spacing w:val="-8"/>
          <w:lang w:val="sr-Latn-ME"/>
        </w:rPr>
        <w:t>na</w:t>
      </w:r>
      <w:r w:rsidRPr="001407B6">
        <w:rPr>
          <w:spacing w:val="-17"/>
          <w:lang w:val="sr-Latn-ME"/>
        </w:rPr>
        <w:t xml:space="preserve"> </w:t>
      </w:r>
      <w:r w:rsidRPr="001407B6">
        <w:rPr>
          <w:spacing w:val="-8"/>
          <w:lang w:val="sr-Latn-ME"/>
        </w:rPr>
        <w:t>sposobnost</w:t>
      </w:r>
      <w:r w:rsidRPr="001407B6">
        <w:rPr>
          <w:spacing w:val="-17"/>
          <w:lang w:val="sr-Latn-ME"/>
        </w:rPr>
        <w:t xml:space="preserve"> </w:t>
      </w:r>
      <w:r w:rsidRPr="001407B6">
        <w:rPr>
          <w:spacing w:val="-8"/>
          <w:lang w:val="sr-Latn-ME"/>
        </w:rPr>
        <w:t>upravljanja</w:t>
      </w:r>
      <w:r w:rsidRPr="001407B6">
        <w:rPr>
          <w:spacing w:val="-17"/>
          <w:lang w:val="sr-Latn-ME"/>
        </w:rPr>
        <w:t xml:space="preserve"> </w:t>
      </w:r>
      <w:r w:rsidRPr="001407B6">
        <w:rPr>
          <w:spacing w:val="-7"/>
          <w:lang w:val="sr-Latn-ME"/>
        </w:rPr>
        <w:t>vozilima</w:t>
      </w:r>
      <w:r w:rsidRPr="001407B6">
        <w:rPr>
          <w:spacing w:val="-17"/>
          <w:lang w:val="sr-Latn-ME"/>
        </w:rPr>
        <w:t xml:space="preserve"> </w:t>
      </w:r>
      <w:r w:rsidRPr="001407B6">
        <w:rPr>
          <w:spacing w:val="-7"/>
          <w:lang w:val="sr-Latn-ME"/>
        </w:rPr>
        <w:t>i</w:t>
      </w:r>
      <w:r w:rsidRPr="001407B6">
        <w:rPr>
          <w:spacing w:val="-17"/>
          <w:lang w:val="sr-Latn-ME"/>
        </w:rPr>
        <w:t xml:space="preserve"> </w:t>
      </w:r>
      <w:r w:rsidRPr="001407B6">
        <w:rPr>
          <w:spacing w:val="-7"/>
          <w:lang w:val="sr-Latn-ME"/>
        </w:rPr>
        <w:t>rukovanja</w:t>
      </w:r>
      <w:r w:rsidRPr="001407B6">
        <w:rPr>
          <w:spacing w:val="-5"/>
          <w:lang w:val="sr-Latn-ME"/>
        </w:rPr>
        <w:t xml:space="preserve"> </w:t>
      </w:r>
      <w:r w:rsidRPr="001407B6">
        <w:rPr>
          <w:spacing w:val="-7"/>
          <w:lang w:val="sr-Latn-ME"/>
        </w:rPr>
        <w:t>mašinama</w:t>
      </w:r>
    </w:p>
    <w:p w14:paraId="6F5DD0B6" w14:textId="77777777" w:rsidR="00C8324B" w:rsidRPr="001407B6" w:rsidRDefault="00C8324B" w:rsidP="00E97649">
      <w:pPr>
        <w:pStyle w:val="BodyText"/>
        <w:ind w:left="0"/>
        <w:jc w:val="both"/>
        <w:rPr>
          <w:b/>
          <w:sz w:val="21"/>
          <w:lang w:val="sr-Latn-ME"/>
        </w:rPr>
      </w:pPr>
    </w:p>
    <w:p w14:paraId="7D1CBE1D" w14:textId="77777777" w:rsidR="00C8324B" w:rsidRPr="001407B6" w:rsidRDefault="00EA133D" w:rsidP="00E97649">
      <w:pPr>
        <w:pStyle w:val="BodyText"/>
        <w:ind w:left="0"/>
        <w:jc w:val="both"/>
        <w:rPr>
          <w:lang w:val="sr-Latn-ME"/>
        </w:rPr>
      </w:pPr>
      <w:r w:rsidRPr="001407B6">
        <w:rPr>
          <w:lang w:val="sr-Latn-ME"/>
        </w:rPr>
        <w:t>Sevelamer nema ili ima zanemarljiv uticaj na sposobnost upravljanja vozilom ili rukovanja mašinama.</w:t>
      </w:r>
    </w:p>
    <w:p w14:paraId="52B6633B" w14:textId="77777777" w:rsidR="00C8324B" w:rsidRPr="001407B6" w:rsidRDefault="00C8324B" w:rsidP="00E97649">
      <w:pPr>
        <w:pStyle w:val="BodyText"/>
        <w:ind w:left="0"/>
        <w:jc w:val="both"/>
        <w:rPr>
          <w:lang w:val="sr-Latn-ME"/>
        </w:rPr>
      </w:pPr>
    </w:p>
    <w:p w14:paraId="3A09C2A6" w14:textId="14A9BB8A" w:rsidR="00C8324B" w:rsidRPr="001407B6" w:rsidRDefault="00EA133D" w:rsidP="00E97649">
      <w:pPr>
        <w:pStyle w:val="Heading2"/>
        <w:numPr>
          <w:ilvl w:val="1"/>
          <w:numId w:val="1"/>
        </w:numPr>
        <w:ind w:left="426" w:hanging="426"/>
        <w:jc w:val="both"/>
        <w:rPr>
          <w:lang w:val="sr-Latn-ME"/>
        </w:rPr>
      </w:pPr>
      <w:r w:rsidRPr="001407B6">
        <w:rPr>
          <w:lang w:val="sr-Latn-ME"/>
        </w:rPr>
        <w:t>Neželjena</w:t>
      </w:r>
      <w:r w:rsidRPr="001407B6">
        <w:rPr>
          <w:spacing w:val="1"/>
          <w:lang w:val="sr-Latn-ME"/>
        </w:rPr>
        <w:t xml:space="preserve"> </w:t>
      </w:r>
      <w:r w:rsidRPr="001407B6">
        <w:rPr>
          <w:lang w:val="sr-Latn-ME"/>
        </w:rPr>
        <w:t>dejstva</w:t>
      </w:r>
    </w:p>
    <w:p w14:paraId="4E8C5E9F" w14:textId="77777777" w:rsidR="00B102F3" w:rsidRPr="001407B6" w:rsidRDefault="00B102F3" w:rsidP="00E97649">
      <w:pPr>
        <w:pStyle w:val="Heading2"/>
        <w:ind w:left="426" w:firstLine="0"/>
        <w:jc w:val="both"/>
        <w:rPr>
          <w:lang w:val="sr-Latn-ME"/>
        </w:rPr>
      </w:pPr>
    </w:p>
    <w:p w14:paraId="13B0F35A" w14:textId="5CD9EF3D" w:rsidR="00C8324B" w:rsidRPr="001407B6" w:rsidRDefault="00EA133D">
      <w:pPr>
        <w:pStyle w:val="BodyText"/>
        <w:spacing w:line="251" w:lineRule="exact"/>
        <w:ind w:left="0"/>
        <w:jc w:val="both"/>
        <w:rPr>
          <w:lang w:val="sr-Latn-ME"/>
        </w:rPr>
      </w:pPr>
      <w:r w:rsidRPr="001407B6">
        <w:rPr>
          <w:u w:val="single"/>
          <w:lang w:val="sr-Latn-ME"/>
        </w:rPr>
        <w:t>Sažetak</w:t>
      </w:r>
      <w:r w:rsidRPr="001407B6">
        <w:rPr>
          <w:spacing w:val="-7"/>
          <w:u w:val="single"/>
          <w:lang w:val="sr-Latn-ME"/>
        </w:rPr>
        <w:t xml:space="preserve"> </w:t>
      </w:r>
      <w:r w:rsidR="00833755" w:rsidRPr="001407B6">
        <w:rPr>
          <w:u w:val="single"/>
          <w:lang w:val="sr-Latn-ME"/>
        </w:rPr>
        <w:t>bezbjed</w:t>
      </w:r>
      <w:r w:rsidRPr="001407B6">
        <w:rPr>
          <w:u w:val="single"/>
          <w:lang w:val="sr-Latn-ME"/>
        </w:rPr>
        <w:t>nosnog</w:t>
      </w:r>
      <w:r w:rsidRPr="001407B6">
        <w:rPr>
          <w:spacing w:val="-5"/>
          <w:u w:val="single"/>
          <w:lang w:val="sr-Latn-ME"/>
        </w:rPr>
        <w:t xml:space="preserve"> </w:t>
      </w:r>
      <w:r w:rsidRPr="001407B6">
        <w:rPr>
          <w:u w:val="single"/>
          <w:lang w:val="sr-Latn-ME"/>
        </w:rPr>
        <w:t>profila</w:t>
      </w:r>
    </w:p>
    <w:p w14:paraId="06747C58" w14:textId="3E6A6617" w:rsidR="00C8324B" w:rsidRPr="001407B6" w:rsidRDefault="00EA133D">
      <w:pPr>
        <w:pStyle w:val="BodyText"/>
        <w:ind w:left="0"/>
        <w:jc w:val="both"/>
        <w:rPr>
          <w:lang w:val="sr-Latn-ME"/>
        </w:rPr>
      </w:pPr>
      <w:r w:rsidRPr="001407B6">
        <w:rPr>
          <w:lang w:val="sr-Latn-ME"/>
        </w:rPr>
        <w:t>Neželjena dejstva koja su se najčešće pojavljivala (≥ 5% pacijenata) bila su od strane gastrointestinalnog sistema i većina je bila blagog do um</w:t>
      </w:r>
      <w:r w:rsidR="003969D7" w:rsidRPr="001407B6">
        <w:rPr>
          <w:lang w:val="sr-Latn-ME"/>
        </w:rPr>
        <w:t>j</w:t>
      </w:r>
      <w:r w:rsidRPr="001407B6">
        <w:rPr>
          <w:lang w:val="sr-Latn-ME"/>
        </w:rPr>
        <w:t>erenog intenziteta.</w:t>
      </w:r>
    </w:p>
    <w:p w14:paraId="42E56311" w14:textId="77777777" w:rsidR="00B102F3" w:rsidRPr="001407B6" w:rsidRDefault="00B102F3" w:rsidP="00E97649">
      <w:pPr>
        <w:pStyle w:val="BodyText"/>
        <w:ind w:left="0"/>
        <w:jc w:val="both"/>
        <w:rPr>
          <w:lang w:val="sr-Latn-ME"/>
        </w:rPr>
      </w:pPr>
    </w:p>
    <w:p w14:paraId="3DD2FBBC" w14:textId="6823DD15" w:rsidR="00C8324B" w:rsidRPr="001407B6" w:rsidRDefault="00EA133D">
      <w:pPr>
        <w:pStyle w:val="BodyText"/>
        <w:spacing w:line="251" w:lineRule="exact"/>
        <w:ind w:left="0"/>
        <w:jc w:val="both"/>
        <w:rPr>
          <w:lang w:val="sr-Latn-ME"/>
        </w:rPr>
      </w:pPr>
      <w:r w:rsidRPr="001407B6">
        <w:rPr>
          <w:u w:val="single"/>
          <w:lang w:val="sr-Latn-ME"/>
        </w:rPr>
        <w:t>Tabelarni</w:t>
      </w:r>
      <w:r w:rsidRPr="001407B6">
        <w:rPr>
          <w:spacing w:val="-6"/>
          <w:u w:val="single"/>
          <w:lang w:val="sr-Latn-ME"/>
        </w:rPr>
        <w:t xml:space="preserve"> </w:t>
      </w:r>
      <w:r w:rsidRPr="001407B6">
        <w:rPr>
          <w:u w:val="single"/>
          <w:lang w:val="sr-Latn-ME"/>
        </w:rPr>
        <w:t>prikaz</w:t>
      </w:r>
      <w:r w:rsidRPr="001407B6">
        <w:rPr>
          <w:spacing w:val="-5"/>
          <w:u w:val="single"/>
          <w:lang w:val="sr-Latn-ME"/>
        </w:rPr>
        <w:t xml:space="preserve"> </w:t>
      </w:r>
      <w:r w:rsidRPr="001407B6">
        <w:rPr>
          <w:u w:val="single"/>
          <w:lang w:val="sr-Latn-ME"/>
        </w:rPr>
        <w:t>neželjenih</w:t>
      </w:r>
      <w:r w:rsidRPr="001407B6">
        <w:rPr>
          <w:spacing w:val="-6"/>
          <w:u w:val="single"/>
          <w:lang w:val="sr-Latn-ME"/>
        </w:rPr>
        <w:t xml:space="preserve"> </w:t>
      </w:r>
      <w:r w:rsidRPr="001407B6">
        <w:rPr>
          <w:u w:val="single"/>
          <w:lang w:val="sr-Latn-ME"/>
        </w:rPr>
        <w:t>dejstava</w:t>
      </w:r>
    </w:p>
    <w:p w14:paraId="621024E0" w14:textId="7A79AA8E" w:rsidR="00C8324B" w:rsidRPr="001407B6" w:rsidRDefault="00833755">
      <w:pPr>
        <w:pStyle w:val="BodyText"/>
        <w:ind w:left="0"/>
        <w:jc w:val="both"/>
        <w:rPr>
          <w:lang w:val="sr-Latn-ME"/>
        </w:rPr>
      </w:pPr>
      <w:r w:rsidRPr="001407B6">
        <w:rPr>
          <w:lang w:val="sr-Latn-ME"/>
        </w:rPr>
        <w:t>Bezbjed</w:t>
      </w:r>
      <w:r w:rsidR="00EA133D" w:rsidRPr="001407B6">
        <w:rPr>
          <w:lang w:val="sr-Latn-ME"/>
        </w:rPr>
        <w:t xml:space="preserve">nost </w:t>
      </w:r>
      <w:r w:rsidR="00D41A5F" w:rsidRPr="001407B6">
        <w:rPr>
          <w:lang w:val="sr-Latn-ME"/>
        </w:rPr>
        <w:t>primjen</w:t>
      </w:r>
      <w:r w:rsidR="00EA133D" w:rsidRPr="001407B6">
        <w:rPr>
          <w:lang w:val="sr-Latn-ME"/>
        </w:rPr>
        <w:t>e sevelamera (bilo u obliku soli karbonata ili hidrohlorida) ispitivana je u brojnim kliničkim studijama koje su uključile 969 pacijenata na hemodijalizi, u trajanju od 4 do 50 ned</w:t>
      </w:r>
      <w:r w:rsidR="003969D7" w:rsidRPr="001407B6">
        <w:rPr>
          <w:lang w:val="sr-Latn-ME"/>
        </w:rPr>
        <w:t>j</w:t>
      </w:r>
      <w:r w:rsidR="00EA133D" w:rsidRPr="001407B6">
        <w:rPr>
          <w:lang w:val="sr-Latn-ME"/>
        </w:rPr>
        <w:t>elja (724 pacijenata l</w:t>
      </w:r>
      <w:r w:rsidR="003969D7" w:rsidRPr="001407B6">
        <w:rPr>
          <w:lang w:val="sr-Latn-ME"/>
        </w:rPr>
        <w:t>j</w:t>
      </w:r>
      <w:r w:rsidR="00EA133D" w:rsidRPr="001407B6">
        <w:rPr>
          <w:lang w:val="sr-Latn-ME"/>
        </w:rPr>
        <w:t>ečeno je sevelamer hidrohloridom, a 245 sevelamer karbonatom), 97 pacijenata na peritonealnoj dijalizi u trajanju od 12 ned</w:t>
      </w:r>
      <w:r w:rsidR="003969D7" w:rsidRPr="001407B6">
        <w:rPr>
          <w:lang w:val="sr-Latn-ME"/>
        </w:rPr>
        <w:t>j</w:t>
      </w:r>
      <w:r w:rsidR="00EA133D" w:rsidRPr="001407B6">
        <w:rPr>
          <w:lang w:val="sr-Latn-ME"/>
        </w:rPr>
        <w:t>elja (svi su l</w:t>
      </w:r>
      <w:r w:rsidR="003969D7" w:rsidRPr="001407B6">
        <w:rPr>
          <w:lang w:val="sr-Latn-ME"/>
        </w:rPr>
        <w:t>j</w:t>
      </w:r>
      <w:r w:rsidR="00EA133D" w:rsidRPr="001407B6">
        <w:rPr>
          <w:lang w:val="sr-Latn-ME"/>
        </w:rPr>
        <w:t xml:space="preserve">ečeni sevelamer hidrohloridom) i 128 pacijenata sa hroničnom insuficijencijom bubrega (CKD) koji </w:t>
      </w:r>
      <w:r w:rsidR="00603339" w:rsidRPr="001407B6">
        <w:rPr>
          <w:lang w:val="sr-Latn-ME"/>
        </w:rPr>
        <w:t>nijesu</w:t>
      </w:r>
      <w:r w:rsidR="00EA133D" w:rsidRPr="001407B6">
        <w:rPr>
          <w:lang w:val="sr-Latn-ME"/>
        </w:rPr>
        <w:t xml:space="preserve"> na hemodijalizi u trajanju od 8 do 12 nedelja (79 pacijenata l</w:t>
      </w:r>
      <w:r w:rsidR="003969D7" w:rsidRPr="001407B6">
        <w:rPr>
          <w:lang w:val="sr-Latn-ME"/>
        </w:rPr>
        <w:t>j</w:t>
      </w:r>
      <w:r w:rsidR="00EA133D" w:rsidRPr="001407B6">
        <w:rPr>
          <w:lang w:val="sr-Latn-ME"/>
        </w:rPr>
        <w:t>ečeno je sevelamer hidrohloridom, a 49 sevelamer karbonatom).</w:t>
      </w:r>
    </w:p>
    <w:p w14:paraId="50D8C8CC" w14:textId="77777777" w:rsidR="0028409C" w:rsidRPr="001407B6" w:rsidRDefault="0028409C">
      <w:pPr>
        <w:pStyle w:val="BodyText"/>
        <w:ind w:left="0"/>
        <w:jc w:val="both"/>
        <w:rPr>
          <w:lang w:val="sr-Latn-ME"/>
        </w:rPr>
      </w:pPr>
    </w:p>
    <w:p w14:paraId="20638D74" w14:textId="61673E95" w:rsidR="00C8324B" w:rsidRPr="001407B6" w:rsidRDefault="00EA133D">
      <w:pPr>
        <w:pStyle w:val="BodyText"/>
        <w:ind w:left="0"/>
        <w:jc w:val="both"/>
        <w:rPr>
          <w:lang w:val="sr-Latn-ME"/>
        </w:rPr>
      </w:pPr>
      <w:r w:rsidRPr="001407B6">
        <w:rPr>
          <w:lang w:val="sr-Latn-ME"/>
        </w:rPr>
        <w:t xml:space="preserve">Podaci iz kliničkih ispitivanja ili spontano prijavljeni u toku post-marketinškog perioda, prikazani su prema učestalosti u donjoj tabeli. </w:t>
      </w:r>
      <w:r w:rsidR="00603339" w:rsidRPr="001407B6">
        <w:rPr>
          <w:lang w:val="sr-Latn-ME"/>
        </w:rPr>
        <w:t>Zabiljež</w:t>
      </w:r>
      <w:r w:rsidRPr="001407B6">
        <w:rPr>
          <w:lang w:val="sr-Latn-ME"/>
        </w:rPr>
        <w:t>ena učestalost neželjenih dejstava je klasifikovana kao: veoma česta (≥1/10), česta (≥1/100, &lt;1/10), povremena (≥1/1000, &lt;1/100), r</w:t>
      </w:r>
      <w:r w:rsidR="003969D7" w:rsidRPr="001407B6">
        <w:rPr>
          <w:lang w:val="sr-Latn-ME"/>
        </w:rPr>
        <w:t>ij</w:t>
      </w:r>
      <w:r w:rsidRPr="001407B6">
        <w:rPr>
          <w:lang w:val="sr-Latn-ME"/>
        </w:rPr>
        <w:t>etka (≥1/10 000, &lt;1/1000), veoma r</w:t>
      </w:r>
      <w:r w:rsidR="003969D7" w:rsidRPr="001407B6">
        <w:rPr>
          <w:lang w:val="sr-Latn-ME"/>
        </w:rPr>
        <w:t>ij</w:t>
      </w:r>
      <w:r w:rsidRPr="001407B6">
        <w:rPr>
          <w:lang w:val="sr-Latn-ME"/>
        </w:rPr>
        <w:t>etka (&lt;1/10 000), nepoznata (ne može se proc</w:t>
      </w:r>
      <w:r w:rsidR="003969D7" w:rsidRPr="001407B6">
        <w:rPr>
          <w:lang w:val="sr-Latn-ME"/>
        </w:rPr>
        <w:t>ij</w:t>
      </w:r>
      <w:r w:rsidRPr="001407B6">
        <w:rPr>
          <w:lang w:val="sr-Latn-ME"/>
        </w:rPr>
        <w:t>eniti na osnovu dostupnih podataka).</w:t>
      </w:r>
    </w:p>
    <w:p w14:paraId="26365A15" w14:textId="77777777" w:rsidR="00C8324B" w:rsidRPr="001407B6" w:rsidRDefault="00C8324B" w:rsidP="00E97649">
      <w:pPr>
        <w:pStyle w:val="BodyText"/>
        <w:ind w:left="0"/>
        <w:jc w:val="both"/>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55"/>
        <w:gridCol w:w="1249"/>
        <w:gridCol w:w="1180"/>
        <w:gridCol w:w="1572"/>
        <w:gridCol w:w="1416"/>
        <w:gridCol w:w="1492"/>
      </w:tblGrid>
      <w:tr w:rsidR="0022351A" w:rsidRPr="001407B6" w14:paraId="3805BBC1" w14:textId="77777777" w:rsidTr="00BE0F8E">
        <w:trPr>
          <w:trHeight w:val="574"/>
        </w:trPr>
        <w:tc>
          <w:tcPr>
            <w:tcW w:w="1189" w:type="pct"/>
          </w:tcPr>
          <w:p w14:paraId="147A3634" w14:textId="6E6452BA" w:rsidR="0022351A" w:rsidRPr="001407B6" w:rsidRDefault="0022351A" w:rsidP="00677B36">
            <w:pPr>
              <w:pStyle w:val="TableParagraph"/>
              <w:spacing w:line="244" w:lineRule="exact"/>
              <w:jc w:val="center"/>
              <w:rPr>
                <w:sz w:val="20"/>
                <w:szCs w:val="20"/>
                <w:u w:val="none"/>
                <w:lang w:val="sr-Latn-ME"/>
              </w:rPr>
            </w:pPr>
            <w:r w:rsidRPr="001407B6">
              <w:rPr>
                <w:sz w:val="20"/>
                <w:szCs w:val="20"/>
                <w:u w:val="none"/>
                <w:lang w:val="sr-Latn-ME"/>
              </w:rPr>
              <w:t>MedDRA</w:t>
            </w:r>
            <w:r w:rsidR="00423DCF" w:rsidRPr="001407B6">
              <w:rPr>
                <w:sz w:val="20"/>
                <w:szCs w:val="20"/>
                <w:u w:val="none"/>
                <w:lang w:val="sr-Latn-ME"/>
              </w:rPr>
              <w:t xml:space="preserve"> </w:t>
            </w:r>
            <w:r w:rsidRPr="001407B6">
              <w:rPr>
                <w:sz w:val="20"/>
                <w:szCs w:val="20"/>
                <w:u w:val="none"/>
                <w:lang w:val="sr-Latn-ME"/>
              </w:rPr>
              <w:t>klasifikacija</w:t>
            </w:r>
            <w:r w:rsidRPr="001407B6">
              <w:rPr>
                <w:spacing w:val="1"/>
                <w:sz w:val="20"/>
                <w:szCs w:val="20"/>
                <w:u w:val="none"/>
                <w:lang w:val="sr-Latn-ME"/>
              </w:rPr>
              <w:t xml:space="preserve"> </w:t>
            </w:r>
            <w:r w:rsidRPr="001407B6">
              <w:rPr>
                <w:spacing w:val="-1"/>
                <w:sz w:val="20"/>
                <w:szCs w:val="20"/>
                <w:u w:val="none"/>
                <w:lang w:val="sr-Latn-ME"/>
              </w:rPr>
              <w:t>organskih</w:t>
            </w:r>
            <w:r w:rsidRPr="001407B6">
              <w:rPr>
                <w:spacing w:val="-12"/>
                <w:sz w:val="20"/>
                <w:szCs w:val="20"/>
                <w:u w:val="none"/>
                <w:lang w:val="sr-Latn-ME"/>
              </w:rPr>
              <w:t xml:space="preserve"> </w:t>
            </w:r>
            <w:r w:rsidRPr="001407B6">
              <w:rPr>
                <w:sz w:val="20"/>
                <w:szCs w:val="20"/>
                <w:u w:val="none"/>
                <w:lang w:val="sr-Latn-ME"/>
              </w:rPr>
              <w:t>sistema</w:t>
            </w:r>
          </w:p>
        </w:tc>
        <w:tc>
          <w:tcPr>
            <w:tcW w:w="689" w:type="pct"/>
          </w:tcPr>
          <w:p w14:paraId="2F7E23B6" w14:textId="77777777" w:rsidR="0022351A" w:rsidRPr="001407B6" w:rsidRDefault="0022351A" w:rsidP="00677B36">
            <w:pPr>
              <w:pStyle w:val="TableParagraph"/>
              <w:spacing w:line="244" w:lineRule="exact"/>
              <w:jc w:val="center"/>
              <w:rPr>
                <w:sz w:val="20"/>
                <w:szCs w:val="20"/>
                <w:u w:val="none"/>
                <w:lang w:val="sr-Latn-ME"/>
              </w:rPr>
            </w:pPr>
            <w:r w:rsidRPr="001407B6">
              <w:rPr>
                <w:sz w:val="20"/>
                <w:szCs w:val="20"/>
                <w:u w:val="none"/>
                <w:lang w:val="sr-Latn-ME"/>
              </w:rPr>
              <w:t>Veoma</w:t>
            </w:r>
            <w:r w:rsidRPr="001407B6">
              <w:rPr>
                <w:spacing w:val="-4"/>
                <w:sz w:val="20"/>
                <w:szCs w:val="20"/>
                <w:u w:val="none"/>
                <w:lang w:val="sr-Latn-ME"/>
              </w:rPr>
              <w:t xml:space="preserve"> </w:t>
            </w:r>
            <w:r w:rsidRPr="001407B6">
              <w:rPr>
                <w:sz w:val="20"/>
                <w:szCs w:val="20"/>
                <w:u w:val="none"/>
                <w:lang w:val="sr-Latn-ME"/>
              </w:rPr>
              <w:t>često</w:t>
            </w:r>
          </w:p>
        </w:tc>
        <w:tc>
          <w:tcPr>
            <w:tcW w:w="651" w:type="pct"/>
          </w:tcPr>
          <w:p w14:paraId="152CC726" w14:textId="77777777" w:rsidR="0022351A" w:rsidRPr="001407B6" w:rsidRDefault="0022351A" w:rsidP="00677B36">
            <w:pPr>
              <w:pStyle w:val="TableParagraph"/>
              <w:spacing w:line="244" w:lineRule="exact"/>
              <w:jc w:val="center"/>
              <w:rPr>
                <w:sz w:val="20"/>
                <w:szCs w:val="20"/>
                <w:u w:val="none"/>
                <w:lang w:val="sr-Latn-ME"/>
              </w:rPr>
            </w:pPr>
            <w:r w:rsidRPr="001407B6">
              <w:rPr>
                <w:sz w:val="20"/>
                <w:szCs w:val="20"/>
                <w:u w:val="none"/>
                <w:lang w:val="sr-Latn-ME"/>
              </w:rPr>
              <w:t>Često</w:t>
            </w:r>
          </w:p>
        </w:tc>
        <w:tc>
          <w:tcPr>
            <w:tcW w:w="867" w:type="pct"/>
          </w:tcPr>
          <w:p w14:paraId="7880E0D3" w14:textId="23154055" w:rsidR="0022351A" w:rsidRPr="001407B6" w:rsidRDefault="0022351A" w:rsidP="00677B36">
            <w:pPr>
              <w:pStyle w:val="TableParagraph"/>
              <w:spacing w:line="244" w:lineRule="exact"/>
              <w:jc w:val="center"/>
              <w:rPr>
                <w:sz w:val="20"/>
                <w:szCs w:val="20"/>
                <w:u w:val="none"/>
                <w:lang w:val="sr-Latn-ME"/>
              </w:rPr>
            </w:pPr>
            <w:r w:rsidRPr="001407B6">
              <w:rPr>
                <w:sz w:val="20"/>
                <w:szCs w:val="20"/>
                <w:u w:val="none"/>
                <w:lang w:val="sr-Latn-ME"/>
              </w:rPr>
              <w:t>Povremeno</w:t>
            </w:r>
          </w:p>
        </w:tc>
        <w:tc>
          <w:tcPr>
            <w:tcW w:w="781" w:type="pct"/>
          </w:tcPr>
          <w:p w14:paraId="71E0C1F6" w14:textId="755928D8" w:rsidR="0022351A" w:rsidRPr="001407B6" w:rsidRDefault="0022351A" w:rsidP="00677B36">
            <w:pPr>
              <w:pStyle w:val="TableParagraph"/>
              <w:spacing w:line="244" w:lineRule="exact"/>
              <w:jc w:val="center"/>
              <w:rPr>
                <w:sz w:val="20"/>
                <w:szCs w:val="20"/>
                <w:u w:val="none"/>
                <w:lang w:val="sr-Latn-ME"/>
              </w:rPr>
            </w:pPr>
            <w:r w:rsidRPr="001407B6">
              <w:rPr>
                <w:sz w:val="20"/>
                <w:szCs w:val="20"/>
                <w:u w:val="none"/>
                <w:lang w:val="sr-Latn-ME"/>
              </w:rPr>
              <w:t>Veoma</w:t>
            </w:r>
            <w:r w:rsidRPr="001407B6">
              <w:rPr>
                <w:spacing w:val="-5"/>
                <w:sz w:val="20"/>
                <w:szCs w:val="20"/>
                <w:u w:val="none"/>
                <w:lang w:val="sr-Latn-ME"/>
              </w:rPr>
              <w:t xml:space="preserve"> </w:t>
            </w:r>
            <w:r w:rsidRPr="001407B6">
              <w:rPr>
                <w:sz w:val="20"/>
                <w:szCs w:val="20"/>
                <w:u w:val="none"/>
                <w:lang w:val="sr-Latn-ME"/>
              </w:rPr>
              <w:t>rijetko</w:t>
            </w:r>
          </w:p>
        </w:tc>
        <w:tc>
          <w:tcPr>
            <w:tcW w:w="823" w:type="pct"/>
          </w:tcPr>
          <w:p w14:paraId="567DED4E" w14:textId="77777777" w:rsidR="0022351A" w:rsidRPr="001407B6" w:rsidRDefault="0022351A" w:rsidP="00677B36">
            <w:pPr>
              <w:pStyle w:val="TableParagraph"/>
              <w:spacing w:line="244" w:lineRule="exact"/>
              <w:jc w:val="center"/>
              <w:rPr>
                <w:sz w:val="20"/>
                <w:szCs w:val="20"/>
                <w:u w:val="none"/>
                <w:lang w:val="sr-Latn-ME"/>
              </w:rPr>
            </w:pPr>
            <w:r w:rsidRPr="001407B6">
              <w:rPr>
                <w:sz w:val="20"/>
                <w:szCs w:val="20"/>
                <w:u w:val="none"/>
                <w:lang w:val="sr-Latn-ME"/>
              </w:rPr>
              <w:t>Nepoznato</w:t>
            </w:r>
          </w:p>
        </w:tc>
      </w:tr>
      <w:tr w:rsidR="0022351A" w:rsidRPr="001407B6" w14:paraId="4FF2A948" w14:textId="77777777" w:rsidTr="00BE0F8E">
        <w:trPr>
          <w:trHeight w:val="529"/>
        </w:trPr>
        <w:tc>
          <w:tcPr>
            <w:tcW w:w="1189" w:type="pct"/>
          </w:tcPr>
          <w:p w14:paraId="65849057" w14:textId="77777777" w:rsidR="0022351A" w:rsidRPr="001407B6" w:rsidRDefault="0022351A" w:rsidP="00E97649">
            <w:pPr>
              <w:pStyle w:val="TableParagraph"/>
              <w:ind w:right="385"/>
              <w:jc w:val="both"/>
              <w:rPr>
                <w:sz w:val="20"/>
                <w:szCs w:val="20"/>
                <w:u w:val="none"/>
                <w:lang w:val="sr-Latn-ME"/>
              </w:rPr>
            </w:pPr>
            <w:r w:rsidRPr="001407B6">
              <w:rPr>
                <w:sz w:val="20"/>
                <w:szCs w:val="20"/>
                <w:u w:val="none"/>
                <w:lang w:val="sr-Latn-ME"/>
              </w:rPr>
              <w:t>Poremećaji</w:t>
            </w:r>
            <w:r w:rsidRPr="001407B6">
              <w:rPr>
                <w:spacing w:val="1"/>
                <w:sz w:val="20"/>
                <w:szCs w:val="20"/>
                <w:u w:val="none"/>
                <w:lang w:val="sr-Latn-ME"/>
              </w:rPr>
              <w:t xml:space="preserve"> </w:t>
            </w:r>
            <w:r w:rsidRPr="001407B6">
              <w:rPr>
                <w:spacing w:val="-1"/>
                <w:sz w:val="20"/>
                <w:szCs w:val="20"/>
                <w:u w:val="none"/>
                <w:lang w:val="sr-Latn-ME"/>
              </w:rPr>
              <w:t>imunskog</w:t>
            </w:r>
            <w:r w:rsidRPr="001407B6">
              <w:rPr>
                <w:spacing w:val="-12"/>
                <w:sz w:val="20"/>
                <w:szCs w:val="20"/>
                <w:u w:val="none"/>
                <w:lang w:val="sr-Latn-ME"/>
              </w:rPr>
              <w:t xml:space="preserve"> </w:t>
            </w:r>
            <w:r w:rsidRPr="001407B6">
              <w:rPr>
                <w:sz w:val="20"/>
                <w:szCs w:val="20"/>
                <w:u w:val="none"/>
                <w:lang w:val="sr-Latn-ME"/>
              </w:rPr>
              <w:t>sistema</w:t>
            </w:r>
          </w:p>
        </w:tc>
        <w:tc>
          <w:tcPr>
            <w:tcW w:w="689" w:type="pct"/>
          </w:tcPr>
          <w:p w14:paraId="29A255FD" w14:textId="77777777" w:rsidR="0022351A" w:rsidRPr="001407B6" w:rsidRDefault="0022351A" w:rsidP="000E7A0B">
            <w:pPr>
              <w:pStyle w:val="TableParagraph"/>
              <w:rPr>
                <w:sz w:val="20"/>
                <w:szCs w:val="20"/>
                <w:u w:val="none"/>
                <w:lang w:val="sr-Latn-ME"/>
              </w:rPr>
            </w:pPr>
          </w:p>
        </w:tc>
        <w:tc>
          <w:tcPr>
            <w:tcW w:w="651" w:type="pct"/>
          </w:tcPr>
          <w:p w14:paraId="53C99277" w14:textId="77777777" w:rsidR="0022351A" w:rsidRPr="001407B6" w:rsidRDefault="0022351A" w:rsidP="000E7A0B">
            <w:pPr>
              <w:pStyle w:val="TableParagraph"/>
              <w:rPr>
                <w:sz w:val="20"/>
                <w:szCs w:val="20"/>
                <w:u w:val="none"/>
                <w:lang w:val="sr-Latn-ME"/>
              </w:rPr>
            </w:pPr>
          </w:p>
        </w:tc>
        <w:tc>
          <w:tcPr>
            <w:tcW w:w="867" w:type="pct"/>
          </w:tcPr>
          <w:p w14:paraId="7A394264" w14:textId="77777777" w:rsidR="0022351A" w:rsidRPr="001407B6" w:rsidRDefault="0022351A" w:rsidP="000E7A0B">
            <w:pPr>
              <w:pStyle w:val="TableParagraph"/>
              <w:rPr>
                <w:sz w:val="20"/>
                <w:szCs w:val="20"/>
                <w:u w:val="none"/>
                <w:lang w:val="sr-Latn-ME"/>
              </w:rPr>
            </w:pPr>
          </w:p>
        </w:tc>
        <w:tc>
          <w:tcPr>
            <w:tcW w:w="781" w:type="pct"/>
          </w:tcPr>
          <w:p w14:paraId="0DEBBA4E" w14:textId="1A4AA32B" w:rsidR="0022351A" w:rsidRPr="001407B6" w:rsidRDefault="0022351A" w:rsidP="000E7A0B">
            <w:pPr>
              <w:pStyle w:val="TableParagraph"/>
              <w:rPr>
                <w:sz w:val="20"/>
                <w:szCs w:val="20"/>
                <w:u w:val="none"/>
                <w:lang w:val="sr-Latn-ME"/>
              </w:rPr>
            </w:pPr>
            <w:r w:rsidRPr="001407B6">
              <w:rPr>
                <w:sz w:val="20"/>
                <w:szCs w:val="20"/>
                <w:u w:val="none"/>
                <w:lang w:val="sr-Latn-ME"/>
              </w:rPr>
              <w:t>preosjetljivost*</w:t>
            </w:r>
          </w:p>
        </w:tc>
        <w:tc>
          <w:tcPr>
            <w:tcW w:w="823" w:type="pct"/>
          </w:tcPr>
          <w:p w14:paraId="275701F4" w14:textId="77777777" w:rsidR="0022351A" w:rsidRPr="001407B6" w:rsidRDefault="0022351A" w:rsidP="000E7A0B">
            <w:pPr>
              <w:pStyle w:val="TableParagraph"/>
              <w:rPr>
                <w:sz w:val="20"/>
                <w:szCs w:val="20"/>
                <w:u w:val="none"/>
                <w:lang w:val="sr-Latn-ME"/>
              </w:rPr>
            </w:pPr>
          </w:p>
        </w:tc>
      </w:tr>
      <w:tr w:rsidR="0028409C" w:rsidRPr="001407B6" w14:paraId="1E8897B1" w14:textId="77777777" w:rsidTr="00BE0F8E">
        <w:trPr>
          <w:trHeight w:val="1344"/>
        </w:trPr>
        <w:tc>
          <w:tcPr>
            <w:tcW w:w="1189" w:type="pct"/>
            <w:vMerge w:val="restart"/>
            <w:tcBorders>
              <w:bottom w:val="single" w:sz="4" w:space="0" w:color="auto"/>
            </w:tcBorders>
          </w:tcPr>
          <w:p w14:paraId="36296B76" w14:textId="77777777" w:rsidR="0028409C" w:rsidRPr="001407B6" w:rsidRDefault="0028409C" w:rsidP="00E97649">
            <w:pPr>
              <w:pStyle w:val="TableParagraph"/>
              <w:spacing w:line="224" w:lineRule="exact"/>
              <w:jc w:val="both"/>
              <w:rPr>
                <w:sz w:val="20"/>
                <w:szCs w:val="20"/>
                <w:u w:val="none"/>
                <w:lang w:val="sr-Latn-ME"/>
              </w:rPr>
            </w:pPr>
            <w:r w:rsidRPr="001407B6">
              <w:rPr>
                <w:sz w:val="20"/>
                <w:szCs w:val="20"/>
                <w:u w:val="none"/>
                <w:lang w:val="sr-Latn-ME"/>
              </w:rPr>
              <w:t>Gastrointestinalni</w:t>
            </w:r>
          </w:p>
          <w:p w14:paraId="2B551F7A" w14:textId="6E0C6348" w:rsidR="0028409C" w:rsidRPr="001407B6" w:rsidRDefault="0028409C" w:rsidP="00E97649">
            <w:pPr>
              <w:pStyle w:val="TableParagraph"/>
              <w:spacing w:line="222" w:lineRule="exact"/>
              <w:jc w:val="both"/>
              <w:rPr>
                <w:sz w:val="20"/>
                <w:szCs w:val="20"/>
                <w:u w:val="none"/>
                <w:lang w:val="sr-Latn-ME"/>
              </w:rPr>
            </w:pPr>
            <w:r w:rsidRPr="001407B6">
              <w:rPr>
                <w:sz w:val="20"/>
                <w:szCs w:val="20"/>
                <w:u w:val="none"/>
                <w:lang w:val="sr-Latn-ME"/>
              </w:rPr>
              <w:t>poremećaji</w:t>
            </w:r>
          </w:p>
        </w:tc>
        <w:tc>
          <w:tcPr>
            <w:tcW w:w="689" w:type="pct"/>
            <w:tcBorders>
              <w:bottom w:val="single" w:sz="4" w:space="0" w:color="auto"/>
            </w:tcBorders>
          </w:tcPr>
          <w:p w14:paraId="42F7979A" w14:textId="77777777" w:rsidR="0028409C" w:rsidRPr="001407B6" w:rsidRDefault="0028409C" w:rsidP="000E7A0B">
            <w:pPr>
              <w:pStyle w:val="TableParagraph"/>
              <w:spacing w:line="224" w:lineRule="exact"/>
              <w:rPr>
                <w:sz w:val="20"/>
                <w:szCs w:val="20"/>
                <w:u w:val="none"/>
                <w:lang w:val="sr-Latn-ME"/>
              </w:rPr>
            </w:pPr>
            <w:r w:rsidRPr="001407B6">
              <w:rPr>
                <w:sz w:val="20"/>
                <w:szCs w:val="20"/>
                <w:u w:val="none"/>
                <w:lang w:val="sr-Latn-ME"/>
              </w:rPr>
              <w:t>mučnina,</w:t>
            </w:r>
          </w:p>
          <w:p w14:paraId="2F7FC770" w14:textId="0D94A515" w:rsidR="0028409C" w:rsidRPr="001407B6" w:rsidRDefault="000E7A0B" w:rsidP="000E7A0B">
            <w:pPr>
              <w:pStyle w:val="TableParagraph"/>
              <w:spacing w:line="224" w:lineRule="exact"/>
              <w:rPr>
                <w:sz w:val="20"/>
                <w:szCs w:val="20"/>
                <w:u w:val="none"/>
                <w:lang w:val="sr-Latn-ME"/>
              </w:rPr>
            </w:pPr>
            <w:r w:rsidRPr="001407B6">
              <w:rPr>
                <w:sz w:val="20"/>
                <w:szCs w:val="20"/>
                <w:u w:val="none"/>
                <w:lang w:val="sr-Latn-ME"/>
              </w:rPr>
              <w:t>p</w:t>
            </w:r>
            <w:r w:rsidR="0028409C" w:rsidRPr="001407B6">
              <w:rPr>
                <w:sz w:val="20"/>
                <w:szCs w:val="20"/>
                <w:u w:val="none"/>
                <w:lang w:val="sr-Latn-ME"/>
              </w:rPr>
              <w:t xml:space="preserve">ovraćanje, </w:t>
            </w:r>
          </w:p>
          <w:p w14:paraId="726925A8" w14:textId="4D4742B4" w:rsidR="0028409C" w:rsidRPr="001407B6" w:rsidRDefault="0028409C" w:rsidP="000E7A0B">
            <w:pPr>
              <w:pStyle w:val="TableParagraph"/>
              <w:spacing w:line="224" w:lineRule="exact"/>
              <w:rPr>
                <w:sz w:val="20"/>
                <w:szCs w:val="20"/>
                <w:u w:val="none"/>
                <w:lang w:val="sr-Latn-ME"/>
              </w:rPr>
            </w:pPr>
            <w:r w:rsidRPr="001407B6">
              <w:rPr>
                <w:sz w:val="20"/>
                <w:szCs w:val="20"/>
                <w:u w:val="none"/>
                <w:lang w:val="sr-Latn-ME"/>
              </w:rPr>
              <w:t>bol u</w:t>
            </w:r>
            <w:r w:rsidR="000E7A0B" w:rsidRPr="001407B6">
              <w:rPr>
                <w:sz w:val="20"/>
                <w:szCs w:val="20"/>
                <w:u w:val="none"/>
                <w:lang w:val="sr-Latn-ME"/>
              </w:rPr>
              <w:t xml:space="preserve"> </w:t>
            </w:r>
            <w:r w:rsidRPr="001407B6">
              <w:rPr>
                <w:sz w:val="20"/>
                <w:szCs w:val="20"/>
                <w:u w:val="none"/>
                <w:lang w:val="sr-Latn-ME"/>
              </w:rPr>
              <w:t>gornjem dijelu</w:t>
            </w:r>
          </w:p>
          <w:p w14:paraId="7BA54982" w14:textId="46D68BE0" w:rsidR="0028409C" w:rsidRPr="001407B6" w:rsidRDefault="0028409C" w:rsidP="000E7A0B">
            <w:pPr>
              <w:pStyle w:val="TableParagraph"/>
              <w:spacing w:line="224" w:lineRule="exact"/>
              <w:rPr>
                <w:sz w:val="20"/>
                <w:szCs w:val="20"/>
                <w:u w:val="none"/>
                <w:lang w:val="sr-Latn-ME"/>
              </w:rPr>
            </w:pPr>
            <w:r w:rsidRPr="001407B6">
              <w:rPr>
                <w:sz w:val="20"/>
                <w:szCs w:val="20"/>
                <w:u w:val="none"/>
                <w:lang w:val="sr-Latn-ME"/>
              </w:rPr>
              <w:t>abdomena, konstipacija</w:t>
            </w:r>
          </w:p>
        </w:tc>
        <w:tc>
          <w:tcPr>
            <w:tcW w:w="651" w:type="pct"/>
            <w:vMerge w:val="restart"/>
            <w:tcBorders>
              <w:bottom w:val="single" w:sz="4" w:space="0" w:color="auto"/>
            </w:tcBorders>
          </w:tcPr>
          <w:p w14:paraId="0F01F74A" w14:textId="20852B07" w:rsidR="0028409C" w:rsidRPr="001407B6" w:rsidRDefault="0028409C" w:rsidP="008A7521">
            <w:pPr>
              <w:pStyle w:val="TableParagraph"/>
              <w:rPr>
                <w:sz w:val="20"/>
                <w:szCs w:val="20"/>
                <w:u w:val="none"/>
                <w:lang w:val="sr-Latn-ME"/>
              </w:rPr>
            </w:pPr>
            <w:r w:rsidRPr="001407B6">
              <w:rPr>
                <w:sz w:val="20"/>
                <w:szCs w:val="20"/>
                <w:u w:val="none"/>
                <w:lang w:val="sr-Latn-ME"/>
              </w:rPr>
              <w:t>dijareja,</w:t>
            </w:r>
            <w:r w:rsidRPr="001407B6">
              <w:rPr>
                <w:spacing w:val="1"/>
                <w:sz w:val="20"/>
                <w:szCs w:val="20"/>
                <w:u w:val="none"/>
                <w:lang w:val="sr-Latn-ME"/>
              </w:rPr>
              <w:t xml:space="preserve"> </w:t>
            </w:r>
            <w:r w:rsidRPr="001407B6">
              <w:rPr>
                <w:sz w:val="20"/>
                <w:szCs w:val="20"/>
                <w:u w:val="none"/>
                <w:lang w:val="sr-Latn-ME"/>
              </w:rPr>
              <w:t>dispepsija,</w:t>
            </w:r>
            <w:r w:rsidRPr="001407B6">
              <w:rPr>
                <w:spacing w:val="1"/>
                <w:sz w:val="20"/>
                <w:szCs w:val="20"/>
                <w:u w:val="none"/>
                <w:lang w:val="sr-Latn-ME"/>
              </w:rPr>
              <w:t xml:space="preserve"> </w:t>
            </w:r>
            <w:r w:rsidRPr="001407B6">
              <w:rPr>
                <w:spacing w:val="-1"/>
                <w:sz w:val="20"/>
                <w:szCs w:val="20"/>
                <w:u w:val="none"/>
                <w:lang w:val="sr-Latn-ME"/>
              </w:rPr>
              <w:t>flatulencija,</w:t>
            </w:r>
            <w:r w:rsidR="008A7521" w:rsidRPr="001407B6">
              <w:rPr>
                <w:spacing w:val="-1"/>
                <w:sz w:val="20"/>
                <w:szCs w:val="20"/>
                <w:u w:val="none"/>
                <w:lang w:val="sr-Latn-ME"/>
              </w:rPr>
              <w:t xml:space="preserve"> </w:t>
            </w:r>
            <w:r w:rsidRPr="001407B6">
              <w:rPr>
                <w:spacing w:val="-52"/>
                <w:sz w:val="20"/>
                <w:szCs w:val="20"/>
                <w:u w:val="none"/>
                <w:lang w:val="sr-Latn-ME"/>
              </w:rPr>
              <w:t xml:space="preserve"> </w:t>
            </w:r>
            <w:r w:rsidR="008A7521" w:rsidRPr="001407B6">
              <w:rPr>
                <w:spacing w:val="-52"/>
                <w:sz w:val="20"/>
                <w:szCs w:val="20"/>
                <w:u w:val="none"/>
                <w:lang w:val="sr-Latn-ME"/>
              </w:rPr>
              <w:t xml:space="preserve"> </w:t>
            </w:r>
            <w:r w:rsidRPr="001407B6">
              <w:rPr>
                <w:sz w:val="20"/>
                <w:szCs w:val="20"/>
                <w:u w:val="none"/>
                <w:lang w:val="sr-Latn-ME"/>
              </w:rPr>
              <w:t>bol u</w:t>
            </w:r>
            <w:r w:rsidRPr="001407B6">
              <w:rPr>
                <w:spacing w:val="1"/>
                <w:sz w:val="20"/>
                <w:szCs w:val="20"/>
                <w:u w:val="none"/>
                <w:lang w:val="sr-Latn-ME"/>
              </w:rPr>
              <w:t xml:space="preserve"> </w:t>
            </w:r>
            <w:r w:rsidRPr="001407B6">
              <w:rPr>
                <w:sz w:val="20"/>
                <w:szCs w:val="20"/>
                <w:u w:val="none"/>
                <w:lang w:val="sr-Latn-ME"/>
              </w:rPr>
              <w:t>abdomenu</w:t>
            </w:r>
          </w:p>
        </w:tc>
        <w:tc>
          <w:tcPr>
            <w:tcW w:w="867" w:type="pct"/>
            <w:vMerge w:val="restart"/>
            <w:tcBorders>
              <w:bottom w:val="single" w:sz="4" w:space="0" w:color="auto"/>
            </w:tcBorders>
          </w:tcPr>
          <w:p w14:paraId="16710783" w14:textId="77777777" w:rsidR="0028409C" w:rsidRPr="001407B6" w:rsidRDefault="0028409C" w:rsidP="000E7A0B">
            <w:pPr>
              <w:pStyle w:val="TableParagraph"/>
              <w:rPr>
                <w:sz w:val="20"/>
                <w:szCs w:val="20"/>
                <w:u w:val="none"/>
                <w:lang w:val="sr-Latn-ME"/>
              </w:rPr>
            </w:pPr>
          </w:p>
        </w:tc>
        <w:tc>
          <w:tcPr>
            <w:tcW w:w="781" w:type="pct"/>
            <w:vMerge w:val="restart"/>
            <w:tcBorders>
              <w:bottom w:val="single" w:sz="4" w:space="0" w:color="auto"/>
            </w:tcBorders>
          </w:tcPr>
          <w:p w14:paraId="59789D7C" w14:textId="01B4F6E9" w:rsidR="0028409C" w:rsidRPr="001407B6" w:rsidRDefault="0028409C" w:rsidP="000E7A0B">
            <w:pPr>
              <w:pStyle w:val="TableParagraph"/>
              <w:rPr>
                <w:sz w:val="20"/>
                <w:szCs w:val="20"/>
                <w:u w:val="none"/>
                <w:lang w:val="sr-Latn-ME"/>
              </w:rPr>
            </w:pPr>
          </w:p>
        </w:tc>
        <w:tc>
          <w:tcPr>
            <w:tcW w:w="823" w:type="pct"/>
            <w:vMerge w:val="restart"/>
            <w:tcBorders>
              <w:bottom w:val="single" w:sz="4" w:space="0" w:color="auto"/>
            </w:tcBorders>
          </w:tcPr>
          <w:p w14:paraId="29ACBA70" w14:textId="3F961279" w:rsidR="0028409C" w:rsidRPr="001407B6" w:rsidRDefault="0028409C" w:rsidP="000E7A0B">
            <w:pPr>
              <w:pStyle w:val="TableParagraph"/>
              <w:rPr>
                <w:sz w:val="20"/>
                <w:szCs w:val="20"/>
                <w:u w:val="none"/>
                <w:lang w:val="sr-Latn-ME"/>
              </w:rPr>
            </w:pPr>
            <w:r w:rsidRPr="001407B6">
              <w:rPr>
                <w:sz w:val="20"/>
                <w:szCs w:val="20"/>
                <w:u w:val="none"/>
                <w:lang w:val="sr-Latn-ME"/>
              </w:rPr>
              <w:t>intestinalna opstrukcija,</w:t>
            </w:r>
            <w:r w:rsidRPr="001407B6">
              <w:rPr>
                <w:spacing w:val="-52"/>
                <w:sz w:val="20"/>
                <w:szCs w:val="20"/>
                <w:u w:val="none"/>
                <w:lang w:val="sr-Latn-ME"/>
              </w:rPr>
              <w:t xml:space="preserve"> </w:t>
            </w:r>
            <w:r w:rsidRPr="001407B6">
              <w:rPr>
                <w:sz w:val="20"/>
                <w:szCs w:val="20"/>
                <w:u w:val="none"/>
                <w:lang w:val="sr-Latn-ME"/>
              </w:rPr>
              <w:t>ileus/subileus,</w:t>
            </w:r>
            <w:r w:rsidRPr="001407B6">
              <w:rPr>
                <w:spacing w:val="1"/>
                <w:sz w:val="20"/>
                <w:szCs w:val="20"/>
                <w:u w:val="none"/>
                <w:lang w:val="sr-Latn-ME"/>
              </w:rPr>
              <w:t xml:space="preserve"> </w:t>
            </w:r>
            <w:r w:rsidRPr="001407B6">
              <w:rPr>
                <w:sz w:val="20"/>
                <w:szCs w:val="20"/>
                <w:u w:val="none"/>
                <w:lang w:val="sr-Latn-ME"/>
              </w:rPr>
              <w:t xml:space="preserve"> perforacije crijeva</w:t>
            </w:r>
            <w:r w:rsidRPr="001407B6">
              <w:rPr>
                <w:sz w:val="20"/>
                <w:szCs w:val="20"/>
                <w:u w:val="none"/>
                <w:vertAlign w:val="superscript"/>
                <w:lang w:val="sr-Latn-ME"/>
              </w:rPr>
              <w:t>1</w:t>
            </w:r>
            <w:r w:rsidR="001E4D1B" w:rsidRPr="001407B6">
              <w:rPr>
                <w:sz w:val="20"/>
                <w:szCs w:val="20"/>
                <w:u w:val="none"/>
                <w:lang w:val="sr-Latn-ME"/>
              </w:rPr>
              <w:t>,</w:t>
            </w:r>
          </w:p>
          <w:p w14:paraId="62791428" w14:textId="77777777" w:rsidR="0028409C" w:rsidRPr="001407B6" w:rsidRDefault="0028409C" w:rsidP="000E7A0B">
            <w:pPr>
              <w:pStyle w:val="TableParagraph"/>
              <w:rPr>
                <w:sz w:val="20"/>
                <w:szCs w:val="20"/>
                <w:u w:val="none"/>
                <w:lang w:val="sr-Latn-ME"/>
              </w:rPr>
            </w:pPr>
            <w:r w:rsidRPr="001407B6">
              <w:rPr>
                <w:sz w:val="20"/>
                <w:szCs w:val="20"/>
                <w:u w:val="none"/>
                <w:lang w:val="sr-Latn-ME"/>
              </w:rPr>
              <w:lastRenderedPageBreak/>
              <w:t>gastrointestinalna</w:t>
            </w:r>
          </w:p>
          <w:p w14:paraId="5A072895" w14:textId="77777777" w:rsidR="0028409C" w:rsidRPr="001407B6" w:rsidRDefault="0028409C" w:rsidP="000E7A0B">
            <w:pPr>
              <w:pStyle w:val="TableParagraph"/>
              <w:rPr>
                <w:sz w:val="20"/>
                <w:szCs w:val="20"/>
                <w:u w:val="none"/>
                <w:lang w:val="sr-Latn-ME"/>
              </w:rPr>
            </w:pPr>
            <w:r w:rsidRPr="001407B6">
              <w:rPr>
                <w:sz w:val="20"/>
                <w:szCs w:val="20"/>
                <w:u w:val="none"/>
                <w:lang w:val="sr-Latn-ME"/>
              </w:rPr>
              <w:t>hemoragija</w:t>
            </w:r>
            <w:r w:rsidRPr="001407B6">
              <w:rPr>
                <w:sz w:val="20"/>
                <w:szCs w:val="20"/>
                <w:u w:val="none"/>
                <w:vertAlign w:val="superscript"/>
                <w:lang w:val="sr-Latn-ME"/>
              </w:rPr>
              <w:t>*1</w:t>
            </w:r>
            <w:r w:rsidRPr="001407B6">
              <w:rPr>
                <w:sz w:val="20"/>
                <w:szCs w:val="20"/>
                <w:u w:val="none"/>
                <w:lang w:val="sr-Latn-ME"/>
              </w:rPr>
              <w:t>,</w:t>
            </w:r>
          </w:p>
          <w:p w14:paraId="015A0A54" w14:textId="77777777" w:rsidR="0028409C" w:rsidRPr="001407B6" w:rsidRDefault="0028409C" w:rsidP="000E7A0B">
            <w:pPr>
              <w:pStyle w:val="TableParagraph"/>
              <w:rPr>
                <w:sz w:val="20"/>
                <w:szCs w:val="20"/>
                <w:u w:val="none"/>
                <w:lang w:val="sr-Latn-ME"/>
              </w:rPr>
            </w:pPr>
            <w:r w:rsidRPr="001407B6">
              <w:rPr>
                <w:sz w:val="20"/>
                <w:szCs w:val="20"/>
                <w:u w:val="none"/>
                <w:lang w:val="sr-Latn-ME"/>
              </w:rPr>
              <w:t>ulceracija</w:t>
            </w:r>
            <w:r w:rsidRPr="001407B6">
              <w:rPr>
                <w:spacing w:val="-4"/>
                <w:sz w:val="20"/>
                <w:szCs w:val="20"/>
                <w:u w:val="none"/>
                <w:lang w:val="sr-Latn-ME"/>
              </w:rPr>
              <w:t xml:space="preserve"> </w:t>
            </w:r>
            <w:r w:rsidRPr="001407B6">
              <w:rPr>
                <w:sz w:val="20"/>
                <w:szCs w:val="20"/>
                <w:u w:val="none"/>
                <w:lang w:val="sr-Latn-ME"/>
              </w:rPr>
              <w:t>crijeva</w:t>
            </w:r>
            <w:r w:rsidRPr="001407B6">
              <w:rPr>
                <w:sz w:val="20"/>
                <w:szCs w:val="20"/>
                <w:u w:val="none"/>
                <w:vertAlign w:val="superscript"/>
                <w:lang w:val="sr-Latn-ME"/>
              </w:rPr>
              <w:t>*1</w:t>
            </w:r>
            <w:r w:rsidRPr="001407B6">
              <w:rPr>
                <w:sz w:val="20"/>
                <w:szCs w:val="20"/>
                <w:u w:val="none"/>
                <w:lang w:val="sr-Latn-ME"/>
              </w:rPr>
              <w:t>, gastrointestinalna</w:t>
            </w:r>
          </w:p>
          <w:p w14:paraId="764ADB48" w14:textId="77777777" w:rsidR="0028409C" w:rsidRPr="001407B6" w:rsidRDefault="0028409C" w:rsidP="000E7A0B">
            <w:pPr>
              <w:pStyle w:val="TableParagraph"/>
              <w:rPr>
                <w:sz w:val="20"/>
                <w:szCs w:val="20"/>
                <w:u w:val="none"/>
                <w:lang w:val="sr-Latn-ME"/>
              </w:rPr>
            </w:pPr>
            <w:r w:rsidRPr="001407B6">
              <w:rPr>
                <w:sz w:val="20"/>
                <w:szCs w:val="20"/>
                <w:u w:val="none"/>
                <w:lang w:val="sr-Latn-ME"/>
              </w:rPr>
              <w:t>nekroza*</w:t>
            </w:r>
            <w:r w:rsidRPr="001407B6">
              <w:rPr>
                <w:sz w:val="20"/>
                <w:szCs w:val="20"/>
                <w:u w:val="none"/>
                <w:vertAlign w:val="superscript"/>
                <w:lang w:val="sr-Latn-ME"/>
              </w:rPr>
              <w:t>1</w:t>
            </w:r>
            <w:r w:rsidRPr="001407B6">
              <w:rPr>
                <w:sz w:val="20"/>
                <w:szCs w:val="20"/>
                <w:u w:val="none"/>
                <w:lang w:val="sr-Latn-ME"/>
              </w:rPr>
              <w:t>,</w:t>
            </w:r>
          </w:p>
          <w:p w14:paraId="30CB3DCA" w14:textId="77777777" w:rsidR="0028409C" w:rsidRPr="001407B6" w:rsidRDefault="0028409C" w:rsidP="000E7A0B">
            <w:pPr>
              <w:pStyle w:val="TableParagraph"/>
              <w:rPr>
                <w:sz w:val="20"/>
                <w:szCs w:val="20"/>
                <w:u w:val="none"/>
                <w:lang w:val="sr-Latn-ME"/>
              </w:rPr>
            </w:pPr>
            <w:r w:rsidRPr="001407B6">
              <w:rPr>
                <w:sz w:val="20"/>
                <w:szCs w:val="20"/>
                <w:u w:val="none"/>
                <w:lang w:val="sr-Latn-ME"/>
              </w:rPr>
              <w:t>kolitis*</w:t>
            </w:r>
            <w:r w:rsidRPr="001407B6">
              <w:rPr>
                <w:sz w:val="20"/>
                <w:szCs w:val="20"/>
                <w:u w:val="none"/>
                <w:vertAlign w:val="superscript"/>
                <w:lang w:val="sr-Latn-ME"/>
              </w:rPr>
              <w:t>1</w:t>
            </w:r>
            <w:r w:rsidRPr="001407B6">
              <w:rPr>
                <w:sz w:val="20"/>
                <w:szCs w:val="20"/>
                <w:u w:val="none"/>
                <w:lang w:val="sr-Latn-ME"/>
              </w:rPr>
              <w:t>, masa u</w:t>
            </w:r>
          </w:p>
          <w:p w14:paraId="101F5EE8" w14:textId="714C56C5" w:rsidR="0028409C" w:rsidRPr="001407B6" w:rsidRDefault="0028409C" w:rsidP="000E7A0B">
            <w:pPr>
              <w:pStyle w:val="TableParagraph"/>
              <w:rPr>
                <w:sz w:val="20"/>
                <w:szCs w:val="20"/>
                <w:u w:val="none"/>
                <w:lang w:val="sr-Latn-ME"/>
              </w:rPr>
            </w:pPr>
            <w:r w:rsidRPr="001407B6">
              <w:rPr>
                <w:sz w:val="20"/>
                <w:szCs w:val="20"/>
                <w:u w:val="none"/>
                <w:lang w:val="sr-Latn-ME"/>
              </w:rPr>
              <w:t>crijevima*</w:t>
            </w:r>
            <w:r w:rsidRPr="001407B6">
              <w:rPr>
                <w:sz w:val="20"/>
                <w:szCs w:val="20"/>
                <w:u w:val="none"/>
                <w:vertAlign w:val="superscript"/>
                <w:lang w:val="sr-Latn-ME"/>
              </w:rPr>
              <w:t>1</w:t>
            </w:r>
          </w:p>
        </w:tc>
      </w:tr>
      <w:tr w:rsidR="0028409C" w:rsidRPr="001407B6" w14:paraId="55881FF8" w14:textId="77777777" w:rsidTr="00BE0F8E">
        <w:trPr>
          <w:trHeight w:val="1798"/>
        </w:trPr>
        <w:tc>
          <w:tcPr>
            <w:tcW w:w="1189" w:type="pct"/>
            <w:vMerge/>
          </w:tcPr>
          <w:p w14:paraId="4099C3F4" w14:textId="77777777" w:rsidR="0028409C" w:rsidRPr="001407B6" w:rsidRDefault="0028409C" w:rsidP="000E7A0B">
            <w:pPr>
              <w:pStyle w:val="TableParagraph"/>
              <w:rPr>
                <w:sz w:val="20"/>
                <w:szCs w:val="20"/>
                <w:u w:val="none"/>
                <w:lang w:val="sr-Latn-ME"/>
              </w:rPr>
            </w:pPr>
          </w:p>
        </w:tc>
        <w:tc>
          <w:tcPr>
            <w:tcW w:w="689" w:type="pct"/>
          </w:tcPr>
          <w:p w14:paraId="65FF3544" w14:textId="589F3233" w:rsidR="0028409C" w:rsidRPr="001407B6" w:rsidRDefault="0028409C" w:rsidP="000E7A0B">
            <w:pPr>
              <w:pStyle w:val="TableParagraph"/>
              <w:spacing w:line="229" w:lineRule="exact"/>
              <w:rPr>
                <w:sz w:val="20"/>
                <w:szCs w:val="20"/>
                <w:u w:val="none"/>
                <w:lang w:val="sr-Latn-ME"/>
              </w:rPr>
            </w:pPr>
          </w:p>
        </w:tc>
        <w:tc>
          <w:tcPr>
            <w:tcW w:w="651" w:type="pct"/>
            <w:vMerge/>
          </w:tcPr>
          <w:p w14:paraId="0AAB5270" w14:textId="77777777" w:rsidR="0028409C" w:rsidRPr="001407B6" w:rsidRDefault="0028409C" w:rsidP="000E7A0B">
            <w:pPr>
              <w:rPr>
                <w:sz w:val="20"/>
                <w:szCs w:val="20"/>
                <w:lang w:val="sr-Latn-ME"/>
              </w:rPr>
            </w:pPr>
          </w:p>
        </w:tc>
        <w:tc>
          <w:tcPr>
            <w:tcW w:w="867" w:type="pct"/>
            <w:vMerge/>
          </w:tcPr>
          <w:p w14:paraId="299E4D29" w14:textId="77777777" w:rsidR="0028409C" w:rsidRPr="001407B6" w:rsidRDefault="0028409C" w:rsidP="000E7A0B">
            <w:pPr>
              <w:rPr>
                <w:sz w:val="20"/>
                <w:szCs w:val="20"/>
                <w:lang w:val="sr-Latn-ME"/>
              </w:rPr>
            </w:pPr>
          </w:p>
        </w:tc>
        <w:tc>
          <w:tcPr>
            <w:tcW w:w="781" w:type="pct"/>
            <w:vMerge/>
          </w:tcPr>
          <w:p w14:paraId="69865945" w14:textId="5ADE9F9E" w:rsidR="0028409C" w:rsidRPr="001407B6" w:rsidRDefault="0028409C" w:rsidP="000E7A0B">
            <w:pPr>
              <w:rPr>
                <w:sz w:val="20"/>
                <w:szCs w:val="20"/>
                <w:lang w:val="sr-Latn-ME"/>
              </w:rPr>
            </w:pPr>
          </w:p>
        </w:tc>
        <w:tc>
          <w:tcPr>
            <w:tcW w:w="823" w:type="pct"/>
            <w:vMerge/>
          </w:tcPr>
          <w:p w14:paraId="621B89F3" w14:textId="77777777" w:rsidR="0028409C" w:rsidRPr="001407B6" w:rsidRDefault="0028409C" w:rsidP="000E7A0B">
            <w:pPr>
              <w:rPr>
                <w:sz w:val="20"/>
                <w:szCs w:val="20"/>
                <w:lang w:val="sr-Latn-ME"/>
              </w:rPr>
            </w:pPr>
          </w:p>
        </w:tc>
      </w:tr>
      <w:tr w:rsidR="0022351A" w:rsidRPr="001407B6" w14:paraId="546598A1" w14:textId="77777777" w:rsidTr="00BE0F8E">
        <w:trPr>
          <w:trHeight w:val="529"/>
        </w:trPr>
        <w:tc>
          <w:tcPr>
            <w:tcW w:w="1189" w:type="pct"/>
          </w:tcPr>
          <w:p w14:paraId="31A50415" w14:textId="77777777" w:rsidR="0022351A" w:rsidRPr="001407B6" w:rsidRDefault="0022351A" w:rsidP="000E7A0B">
            <w:pPr>
              <w:pStyle w:val="TableParagraph"/>
              <w:ind w:right="392"/>
              <w:rPr>
                <w:sz w:val="20"/>
                <w:szCs w:val="20"/>
                <w:u w:val="none"/>
                <w:lang w:val="sr-Latn-ME"/>
              </w:rPr>
            </w:pPr>
            <w:r w:rsidRPr="001407B6">
              <w:rPr>
                <w:sz w:val="20"/>
                <w:szCs w:val="20"/>
                <w:u w:val="none"/>
                <w:lang w:val="sr-Latn-ME"/>
              </w:rPr>
              <w:t>Poremećaji</w:t>
            </w:r>
            <w:r w:rsidRPr="001407B6">
              <w:rPr>
                <w:spacing w:val="-10"/>
                <w:sz w:val="20"/>
                <w:szCs w:val="20"/>
                <w:u w:val="none"/>
                <w:lang w:val="sr-Latn-ME"/>
              </w:rPr>
              <w:t xml:space="preserve"> </w:t>
            </w:r>
            <w:r w:rsidRPr="001407B6">
              <w:rPr>
                <w:sz w:val="20"/>
                <w:szCs w:val="20"/>
                <w:u w:val="none"/>
                <w:lang w:val="sr-Latn-ME"/>
              </w:rPr>
              <w:t>kože</w:t>
            </w:r>
            <w:r w:rsidRPr="001407B6">
              <w:rPr>
                <w:spacing w:val="-10"/>
                <w:sz w:val="20"/>
                <w:szCs w:val="20"/>
                <w:u w:val="none"/>
                <w:lang w:val="sr-Latn-ME"/>
              </w:rPr>
              <w:t xml:space="preserve"> </w:t>
            </w:r>
            <w:r w:rsidRPr="001407B6">
              <w:rPr>
                <w:sz w:val="20"/>
                <w:szCs w:val="20"/>
                <w:u w:val="none"/>
                <w:lang w:val="sr-Latn-ME"/>
              </w:rPr>
              <w:t>i</w:t>
            </w:r>
            <w:r w:rsidRPr="001407B6">
              <w:rPr>
                <w:spacing w:val="-52"/>
                <w:sz w:val="20"/>
                <w:szCs w:val="20"/>
                <w:u w:val="none"/>
                <w:lang w:val="sr-Latn-ME"/>
              </w:rPr>
              <w:t xml:space="preserve"> </w:t>
            </w:r>
            <w:r w:rsidRPr="001407B6">
              <w:rPr>
                <w:sz w:val="20"/>
                <w:szCs w:val="20"/>
                <w:u w:val="none"/>
                <w:lang w:val="sr-Latn-ME"/>
              </w:rPr>
              <w:t>potkožnog</w:t>
            </w:r>
            <w:r w:rsidRPr="001407B6">
              <w:rPr>
                <w:spacing w:val="-4"/>
                <w:sz w:val="20"/>
                <w:szCs w:val="20"/>
                <w:u w:val="none"/>
                <w:lang w:val="sr-Latn-ME"/>
              </w:rPr>
              <w:t xml:space="preserve"> </w:t>
            </w:r>
            <w:r w:rsidRPr="001407B6">
              <w:rPr>
                <w:sz w:val="20"/>
                <w:szCs w:val="20"/>
                <w:u w:val="none"/>
                <w:lang w:val="sr-Latn-ME"/>
              </w:rPr>
              <w:t>tkiva</w:t>
            </w:r>
          </w:p>
        </w:tc>
        <w:tc>
          <w:tcPr>
            <w:tcW w:w="689" w:type="pct"/>
          </w:tcPr>
          <w:p w14:paraId="229A6708" w14:textId="77777777" w:rsidR="0022351A" w:rsidRPr="001407B6" w:rsidRDefault="0022351A" w:rsidP="000E7A0B">
            <w:pPr>
              <w:pStyle w:val="TableParagraph"/>
              <w:rPr>
                <w:sz w:val="20"/>
                <w:szCs w:val="20"/>
                <w:u w:val="none"/>
                <w:lang w:val="sr-Latn-ME"/>
              </w:rPr>
            </w:pPr>
          </w:p>
        </w:tc>
        <w:tc>
          <w:tcPr>
            <w:tcW w:w="651" w:type="pct"/>
          </w:tcPr>
          <w:p w14:paraId="186F69BD" w14:textId="77777777" w:rsidR="0022351A" w:rsidRPr="001407B6" w:rsidRDefault="0022351A" w:rsidP="000E7A0B">
            <w:pPr>
              <w:pStyle w:val="TableParagraph"/>
              <w:rPr>
                <w:sz w:val="20"/>
                <w:szCs w:val="20"/>
                <w:u w:val="none"/>
                <w:lang w:val="sr-Latn-ME"/>
              </w:rPr>
            </w:pPr>
          </w:p>
        </w:tc>
        <w:tc>
          <w:tcPr>
            <w:tcW w:w="867" w:type="pct"/>
          </w:tcPr>
          <w:p w14:paraId="41290181" w14:textId="77777777" w:rsidR="0022351A" w:rsidRPr="001407B6" w:rsidRDefault="0022351A" w:rsidP="000E7A0B">
            <w:pPr>
              <w:pStyle w:val="TableParagraph"/>
              <w:rPr>
                <w:sz w:val="20"/>
                <w:szCs w:val="20"/>
                <w:u w:val="none"/>
                <w:lang w:val="sr-Latn-ME"/>
              </w:rPr>
            </w:pPr>
          </w:p>
        </w:tc>
        <w:tc>
          <w:tcPr>
            <w:tcW w:w="781" w:type="pct"/>
          </w:tcPr>
          <w:p w14:paraId="0538243F" w14:textId="3902F2CA" w:rsidR="0022351A" w:rsidRPr="001407B6" w:rsidRDefault="0022351A" w:rsidP="000E7A0B">
            <w:pPr>
              <w:pStyle w:val="TableParagraph"/>
              <w:rPr>
                <w:sz w:val="20"/>
                <w:szCs w:val="20"/>
                <w:u w:val="none"/>
                <w:lang w:val="sr-Latn-ME"/>
              </w:rPr>
            </w:pPr>
          </w:p>
        </w:tc>
        <w:tc>
          <w:tcPr>
            <w:tcW w:w="823" w:type="pct"/>
          </w:tcPr>
          <w:p w14:paraId="2396346A" w14:textId="77777777" w:rsidR="0022351A" w:rsidRPr="001407B6" w:rsidRDefault="0022351A" w:rsidP="000E7A0B">
            <w:pPr>
              <w:pStyle w:val="TableParagraph"/>
              <w:rPr>
                <w:sz w:val="20"/>
                <w:szCs w:val="20"/>
                <w:u w:val="none"/>
                <w:lang w:val="sr-Latn-ME"/>
              </w:rPr>
            </w:pPr>
            <w:r w:rsidRPr="001407B6">
              <w:rPr>
                <w:sz w:val="20"/>
                <w:szCs w:val="20"/>
                <w:u w:val="none"/>
                <w:lang w:val="sr-Latn-ME"/>
              </w:rPr>
              <w:t>pruritus,</w:t>
            </w:r>
            <w:r w:rsidRPr="001407B6">
              <w:rPr>
                <w:spacing w:val="-6"/>
                <w:sz w:val="20"/>
                <w:szCs w:val="20"/>
                <w:u w:val="none"/>
                <w:lang w:val="sr-Latn-ME"/>
              </w:rPr>
              <w:t xml:space="preserve"> </w:t>
            </w:r>
            <w:r w:rsidRPr="001407B6">
              <w:rPr>
                <w:sz w:val="20"/>
                <w:szCs w:val="20"/>
                <w:u w:val="none"/>
                <w:lang w:val="sr-Latn-ME"/>
              </w:rPr>
              <w:t>osip</w:t>
            </w:r>
          </w:p>
        </w:tc>
      </w:tr>
      <w:tr w:rsidR="00423DCF" w:rsidRPr="001407B6" w14:paraId="70EDF50D" w14:textId="77777777" w:rsidTr="00BE0F8E">
        <w:trPr>
          <w:trHeight w:val="511"/>
        </w:trPr>
        <w:tc>
          <w:tcPr>
            <w:tcW w:w="1189" w:type="pct"/>
          </w:tcPr>
          <w:p w14:paraId="12378ADD" w14:textId="105A6DBD" w:rsidR="0022351A" w:rsidRPr="001407B6" w:rsidRDefault="0022351A" w:rsidP="000E7A0B">
            <w:pPr>
              <w:pStyle w:val="TableParagraph"/>
              <w:rPr>
                <w:sz w:val="20"/>
                <w:szCs w:val="20"/>
                <w:u w:val="none"/>
                <w:lang w:val="sr-Latn-ME"/>
              </w:rPr>
            </w:pPr>
            <w:r w:rsidRPr="001407B6">
              <w:rPr>
                <w:sz w:val="20"/>
                <w:szCs w:val="20"/>
                <w:u w:val="none"/>
                <w:lang w:val="sr-Latn-ME"/>
              </w:rPr>
              <w:t>Ispitivanja</w:t>
            </w:r>
          </w:p>
        </w:tc>
        <w:tc>
          <w:tcPr>
            <w:tcW w:w="689" w:type="pct"/>
          </w:tcPr>
          <w:p w14:paraId="77D6F076" w14:textId="77777777" w:rsidR="0022351A" w:rsidRPr="001407B6" w:rsidRDefault="0022351A" w:rsidP="000E7A0B">
            <w:pPr>
              <w:pStyle w:val="TableParagraph"/>
              <w:rPr>
                <w:sz w:val="20"/>
                <w:szCs w:val="20"/>
                <w:u w:val="none"/>
                <w:lang w:val="sr-Latn-ME"/>
              </w:rPr>
            </w:pPr>
          </w:p>
        </w:tc>
        <w:tc>
          <w:tcPr>
            <w:tcW w:w="651" w:type="pct"/>
          </w:tcPr>
          <w:p w14:paraId="0BD3D735" w14:textId="77777777" w:rsidR="0022351A" w:rsidRPr="001407B6" w:rsidRDefault="0022351A" w:rsidP="000E7A0B">
            <w:pPr>
              <w:pStyle w:val="TableParagraph"/>
              <w:rPr>
                <w:sz w:val="20"/>
                <w:szCs w:val="20"/>
                <w:u w:val="none"/>
                <w:lang w:val="sr-Latn-ME"/>
              </w:rPr>
            </w:pPr>
          </w:p>
        </w:tc>
        <w:tc>
          <w:tcPr>
            <w:tcW w:w="867" w:type="pct"/>
          </w:tcPr>
          <w:p w14:paraId="58F3B4F0" w14:textId="77777777" w:rsidR="0022351A" w:rsidRPr="001407B6" w:rsidRDefault="0022351A" w:rsidP="000E7A0B">
            <w:pPr>
              <w:pStyle w:val="TableParagraph"/>
              <w:rPr>
                <w:sz w:val="20"/>
                <w:szCs w:val="20"/>
                <w:u w:val="none"/>
                <w:lang w:val="sr-Latn-ME"/>
              </w:rPr>
            </w:pPr>
          </w:p>
        </w:tc>
        <w:tc>
          <w:tcPr>
            <w:tcW w:w="781" w:type="pct"/>
          </w:tcPr>
          <w:p w14:paraId="18714D3B" w14:textId="77777777" w:rsidR="0022351A" w:rsidRPr="001407B6" w:rsidRDefault="0022351A" w:rsidP="000E7A0B">
            <w:pPr>
              <w:pStyle w:val="TableParagraph"/>
              <w:rPr>
                <w:sz w:val="20"/>
                <w:szCs w:val="20"/>
                <w:u w:val="none"/>
                <w:lang w:val="sr-Latn-ME"/>
              </w:rPr>
            </w:pPr>
          </w:p>
        </w:tc>
        <w:tc>
          <w:tcPr>
            <w:tcW w:w="823" w:type="pct"/>
          </w:tcPr>
          <w:p w14:paraId="4DAC9571" w14:textId="1BAAE985" w:rsidR="0022351A" w:rsidRPr="001407B6" w:rsidRDefault="0022351A" w:rsidP="000E7A0B">
            <w:pPr>
              <w:pStyle w:val="TableParagraph"/>
              <w:rPr>
                <w:sz w:val="20"/>
                <w:szCs w:val="20"/>
                <w:u w:val="none"/>
                <w:lang w:val="sr-Latn-ME"/>
              </w:rPr>
            </w:pPr>
            <w:r w:rsidRPr="001407B6">
              <w:rPr>
                <w:sz w:val="20"/>
                <w:szCs w:val="20"/>
                <w:u w:val="none"/>
                <w:lang w:val="sr-Latn-ME"/>
              </w:rPr>
              <w:t>depoziti kristala u intestinumu</w:t>
            </w:r>
            <w:r w:rsidR="000206AA" w:rsidRPr="001407B6">
              <w:rPr>
                <w:sz w:val="20"/>
                <w:szCs w:val="20"/>
                <w:lang w:val="sr-Latn-ME"/>
              </w:rPr>
              <w:t>*</w:t>
            </w:r>
            <w:r w:rsidR="000206AA" w:rsidRPr="001407B6">
              <w:rPr>
                <w:sz w:val="20"/>
                <w:szCs w:val="20"/>
                <w:vertAlign w:val="superscript"/>
                <w:lang w:val="sr-Latn-ME"/>
              </w:rPr>
              <w:t>1</w:t>
            </w:r>
          </w:p>
        </w:tc>
      </w:tr>
    </w:tbl>
    <w:p w14:paraId="589D3553" w14:textId="20D279D0" w:rsidR="00C8324B" w:rsidRPr="001407B6" w:rsidRDefault="00EA133D">
      <w:pPr>
        <w:jc w:val="both"/>
        <w:rPr>
          <w:i/>
          <w:sz w:val="20"/>
          <w:szCs w:val="20"/>
          <w:lang w:val="sr-Latn-ME"/>
        </w:rPr>
      </w:pPr>
      <w:r w:rsidRPr="001407B6">
        <w:rPr>
          <w:sz w:val="20"/>
          <w:szCs w:val="20"/>
          <w:lang w:val="sr-Latn-ME"/>
        </w:rPr>
        <w:t>*</w:t>
      </w:r>
      <w:r w:rsidRPr="001407B6">
        <w:rPr>
          <w:i/>
          <w:sz w:val="20"/>
          <w:szCs w:val="20"/>
          <w:lang w:val="sr-Latn-ME"/>
        </w:rPr>
        <w:t>iskustvo</w:t>
      </w:r>
      <w:r w:rsidRPr="001407B6">
        <w:rPr>
          <w:i/>
          <w:spacing w:val="-5"/>
          <w:sz w:val="20"/>
          <w:szCs w:val="20"/>
          <w:lang w:val="sr-Latn-ME"/>
        </w:rPr>
        <w:t xml:space="preserve"> </w:t>
      </w:r>
      <w:r w:rsidRPr="001407B6">
        <w:rPr>
          <w:i/>
          <w:sz w:val="20"/>
          <w:szCs w:val="20"/>
          <w:lang w:val="sr-Latn-ME"/>
        </w:rPr>
        <w:t>nakon</w:t>
      </w:r>
      <w:r w:rsidRPr="001407B6">
        <w:rPr>
          <w:i/>
          <w:spacing w:val="-4"/>
          <w:sz w:val="20"/>
          <w:szCs w:val="20"/>
          <w:lang w:val="sr-Latn-ME"/>
        </w:rPr>
        <w:t xml:space="preserve"> </w:t>
      </w:r>
      <w:r w:rsidRPr="001407B6">
        <w:rPr>
          <w:i/>
          <w:sz w:val="20"/>
          <w:szCs w:val="20"/>
          <w:lang w:val="sr-Latn-ME"/>
        </w:rPr>
        <w:t>stavljanja</w:t>
      </w:r>
      <w:r w:rsidRPr="001407B6">
        <w:rPr>
          <w:i/>
          <w:spacing w:val="-5"/>
          <w:sz w:val="20"/>
          <w:szCs w:val="20"/>
          <w:lang w:val="sr-Latn-ME"/>
        </w:rPr>
        <w:t xml:space="preserve"> </w:t>
      </w:r>
      <w:r w:rsidR="00D41A5F" w:rsidRPr="001407B6">
        <w:rPr>
          <w:i/>
          <w:sz w:val="20"/>
          <w:szCs w:val="20"/>
          <w:lang w:val="sr-Latn-ME"/>
        </w:rPr>
        <w:t>lijek</w:t>
      </w:r>
      <w:r w:rsidRPr="001407B6">
        <w:rPr>
          <w:i/>
          <w:sz w:val="20"/>
          <w:szCs w:val="20"/>
          <w:lang w:val="sr-Latn-ME"/>
        </w:rPr>
        <w:t>a</w:t>
      </w:r>
      <w:r w:rsidRPr="001407B6">
        <w:rPr>
          <w:i/>
          <w:spacing w:val="-4"/>
          <w:sz w:val="20"/>
          <w:szCs w:val="20"/>
          <w:lang w:val="sr-Latn-ME"/>
        </w:rPr>
        <w:t xml:space="preserve"> </w:t>
      </w:r>
      <w:r w:rsidRPr="001407B6">
        <w:rPr>
          <w:i/>
          <w:sz w:val="20"/>
          <w:szCs w:val="20"/>
          <w:lang w:val="sr-Latn-ME"/>
        </w:rPr>
        <w:t>u</w:t>
      </w:r>
      <w:r w:rsidRPr="001407B6">
        <w:rPr>
          <w:i/>
          <w:spacing w:val="-5"/>
          <w:sz w:val="20"/>
          <w:szCs w:val="20"/>
          <w:lang w:val="sr-Latn-ME"/>
        </w:rPr>
        <w:t xml:space="preserve"> </w:t>
      </w:r>
      <w:r w:rsidRPr="001407B6">
        <w:rPr>
          <w:i/>
          <w:sz w:val="20"/>
          <w:szCs w:val="20"/>
          <w:lang w:val="sr-Latn-ME"/>
        </w:rPr>
        <w:t>promet</w:t>
      </w:r>
    </w:p>
    <w:p w14:paraId="045C4BDA" w14:textId="088B4603" w:rsidR="0022351A" w:rsidRPr="001407B6" w:rsidRDefault="0022351A" w:rsidP="00E97649">
      <w:pPr>
        <w:widowControl/>
        <w:tabs>
          <w:tab w:val="left" w:pos="284"/>
        </w:tabs>
        <w:autoSpaceDE/>
        <w:autoSpaceDN/>
        <w:jc w:val="both"/>
        <w:rPr>
          <w:sz w:val="20"/>
          <w:szCs w:val="20"/>
          <w:lang w:val="sr-Latn-ME"/>
        </w:rPr>
      </w:pPr>
      <w:r w:rsidRPr="001407B6">
        <w:rPr>
          <w:sz w:val="20"/>
          <w:szCs w:val="20"/>
          <w:vertAlign w:val="superscript"/>
          <w:lang w:val="sr-Latn-ME"/>
        </w:rPr>
        <w:t>1</w:t>
      </w:r>
      <w:r w:rsidRPr="001407B6">
        <w:rPr>
          <w:sz w:val="20"/>
          <w:szCs w:val="20"/>
          <w:lang w:val="sr-Latn-ME"/>
        </w:rPr>
        <w:t xml:space="preserve"> Vidjeti upozorenja o inflamatornim gastrointestinalnim poremećajima u </w:t>
      </w:r>
      <w:r w:rsidR="00385747" w:rsidRPr="001407B6">
        <w:rPr>
          <w:sz w:val="20"/>
          <w:szCs w:val="20"/>
          <w:lang w:val="sr-Latn-ME"/>
        </w:rPr>
        <w:t>dijelu</w:t>
      </w:r>
      <w:r w:rsidRPr="001407B6">
        <w:rPr>
          <w:sz w:val="20"/>
          <w:szCs w:val="20"/>
          <w:lang w:val="sr-Latn-ME"/>
        </w:rPr>
        <w:t xml:space="preserve"> 4.4</w:t>
      </w:r>
    </w:p>
    <w:p w14:paraId="22138D04" w14:textId="77777777" w:rsidR="00C8324B" w:rsidRPr="001407B6" w:rsidRDefault="00C8324B">
      <w:pPr>
        <w:pStyle w:val="BodyText"/>
        <w:ind w:left="0"/>
        <w:jc w:val="both"/>
        <w:rPr>
          <w:iCs/>
          <w:lang w:val="sr-Latn-ME"/>
        </w:rPr>
      </w:pPr>
    </w:p>
    <w:p w14:paraId="6315A074" w14:textId="77777777" w:rsidR="00C8324B" w:rsidRPr="001407B6" w:rsidRDefault="00EA133D" w:rsidP="00E97649">
      <w:pPr>
        <w:pStyle w:val="BodyText"/>
        <w:ind w:left="0"/>
        <w:jc w:val="both"/>
        <w:rPr>
          <w:lang w:val="sr-Latn-ME"/>
        </w:rPr>
      </w:pPr>
      <w:r w:rsidRPr="001407B6">
        <w:rPr>
          <w:u w:val="single"/>
          <w:lang w:val="sr-Latn-ME"/>
        </w:rPr>
        <w:t>Pedijatrijska</w:t>
      </w:r>
      <w:r w:rsidRPr="001407B6">
        <w:rPr>
          <w:spacing w:val="-8"/>
          <w:u w:val="single"/>
          <w:lang w:val="sr-Latn-ME"/>
        </w:rPr>
        <w:t xml:space="preserve"> </w:t>
      </w:r>
      <w:r w:rsidRPr="001407B6">
        <w:rPr>
          <w:u w:val="single"/>
          <w:lang w:val="sr-Latn-ME"/>
        </w:rPr>
        <w:t>populacija</w:t>
      </w:r>
    </w:p>
    <w:p w14:paraId="4FB95F5A" w14:textId="23F73776" w:rsidR="00C8324B" w:rsidRPr="001407B6" w:rsidRDefault="00EA133D" w:rsidP="00E97649">
      <w:pPr>
        <w:pStyle w:val="BodyText"/>
        <w:ind w:left="0"/>
        <w:jc w:val="both"/>
        <w:rPr>
          <w:lang w:val="sr-Latn-ME"/>
        </w:rPr>
      </w:pPr>
      <w:r w:rsidRPr="001407B6">
        <w:rPr>
          <w:lang w:val="sr-Latn-ME"/>
        </w:rPr>
        <w:t xml:space="preserve">Generalno, </w:t>
      </w:r>
      <w:r w:rsidR="00833755" w:rsidRPr="001407B6">
        <w:rPr>
          <w:lang w:val="sr-Latn-ME"/>
        </w:rPr>
        <w:t>bezbjed</w:t>
      </w:r>
      <w:r w:rsidRPr="001407B6">
        <w:rPr>
          <w:lang w:val="sr-Latn-ME"/>
        </w:rPr>
        <w:t>nosni profil kod d</w:t>
      </w:r>
      <w:r w:rsidR="003969D7" w:rsidRPr="001407B6">
        <w:rPr>
          <w:lang w:val="sr-Latn-ME"/>
        </w:rPr>
        <w:t>j</w:t>
      </w:r>
      <w:r w:rsidRPr="001407B6">
        <w:rPr>
          <w:lang w:val="sr-Latn-ME"/>
        </w:rPr>
        <w:t xml:space="preserve">ece i adolescenata (od 6-18 godina starosti) je sličan kao i </w:t>
      </w:r>
      <w:r w:rsidR="00833755" w:rsidRPr="001407B6">
        <w:rPr>
          <w:lang w:val="sr-Latn-ME"/>
        </w:rPr>
        <w:t>bezbjed</w:t>
      </w:r>
      <w:r w:rsidRPr="001407B6">
        <w:rPr>
          <w:lang w:val="sr-Latn-ME"/>
        </w:rPr>
        <w:t>nosn</w:t>
      </w:r>
      <w:r w:rsidR="00385747" w:rsidRPr="001407B6">
        <w:rPr>
          <w:lang w:val="sr-Latn-ME"/>
        </w:rPr>
        <w:t xml:space="preserve">i </w:t>
      </w:r>
      <w:r w:rsidRPr="001407B6">
        <w:rPr>
          <w:lang w:val="sr-Latn-ME"/>
        </w:rPr>
        <w:t>profil kod odraslih.</w:t>
      </w:r>
    </w:p>
    <w:p w14:paraId="158BD80A" w14:textId="77777777" w:rsidR="00C8324B" w:rsidRPr="001407B6" w:rsidRDefault="00C8324B" w:rsidP="00E97649">
      <w:pPr>
        <w:pStyle w:val="BodyText"/>
        <w:ind w:left="0"/>
        <w:jc w:val="both"/>
        <w:rPr>
          <w:lang w:val="sr-Latn-ME"/>
        </w:rPr>
      </w:pPr>
    </w:p>
    <w:p w14:paraId="75F79F14" w14:textId="77777777" w:rsidR="0025089C" w:rsidRPr="001407B6" w:rsidRDefault="0025089C" w:rsidP="00E97649">
      <w:pPr>
        <w:spacing w:line="276" w:lineRule="auto"/>
        <w:jc w:val="both"/>
        <w:rPr>
          <w:rFonts w:eastAsia="Calibri"/>
          <w:u w:val="single"/>
          <w:lang w:val="sr-Latn-ME"/>
        </w:rPr>
      </w:pPr>
      <w:r w:rsidRPr="001407B6">
        <w:rPr>
          <w:rFonts w:eastAsia="Calibri"/>
          <w:u w:val="single"/>
          <w:lang w:val="sr-Latn-ME"/>
        </w:rPr>
        <w:t>Prijavljivanje sumnji na neželjena dejstva</w:t>
      </w:r>
    </w:p>
    <w:p w14:paraId="379EC311" w14:textId="77777777" w:rsidR="0025089C" w:rsidRPr="001407B6" w:rsidRDefault="0025089C" w:rsidP="00E97649">
      <w:pPr>
        <w:pStyle w:val="BodyText"/>
        <w:ind w:left="0"/>
        <w:jc w:val="both"/>
        <w:rPr>
          <w:lang w:val="sr-Latn-ME"/>
        </w:rPr>
      </w:pPr>
      <w:r w:rsidRPr="001407B6">
        <w:rPr>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0AE464E" w14:textId="77777777" w:rsidR="0025089C" w:rsidRPr="001407B6" w:rsidRDefault="0025089C" w:rsidP="00E97649">
      <w:pPr>
        <w:pStyle w:val="BodyText"/>
        <w:ind w:left="0"/>
        <w:jc w:val="both"/>
        <w:rPr>
          <w:lang w:val="sr-Latn-ME"/>
        </w:rPr>
      </w:pPr>
      <w:r w:rsidRPr="001407B6">
        <w:rPr>
          <w:lang w:val="sr-Latn-ME"/>
        </w:rPr>
        <w:t xml:space="preserve">Institut za ljekove i medicinska sredstva </w:t>
      </w:r>
    </w:p>
    <w:p w14:paraId="18CC0417" w14:textId="77777777" w:rsidR="0025089C" w:rsidRPr="001407B6" w:rsidRDefault="0025089C" w:rsidP="00E97649">
      <w:pPr>
        <w:pStyle w:val="BodyText"/>
        <w:ind w:left="0"/>
        <w:jc w:val="both"/>
        <w:rPr>
          <w:lang w:val="sr-Latn-ME"/>
        </w:rPr>
      </w:pPr>
      <w:r w:rsidRPr="001407B6">
        <w:rPr>
          <w:lang w:val="sr-Latn-ME"/>
        </w:rPr>
        <w:t>Odjeljenje za farmakovigilancu</w:t>
      </w:r>
    </w:p>
    <w:p w14:paraId="65C5B374" w14:textId="77777777" w:rsidR="0025089C" w:rsidRPr="001407B6" w:rsidRDefault="0025089C" w:rsidP="00E97649">
      <w:pPr>
        <w:pStyle w:val="BodyText"/>
        <w:ind w:left="0"/>
        <w:jc w:val="both"/>
        <w:rPr>
          <w:lang w:val="sr-Latn-ME"/>
        </w:rPr>
      </w:pPr>
      <w:r w:rsidRPr="001407B6">
        <w:rPr>
          <w:lang w:val="sr-Latn-ME"/>
        </w:rPr>
        <w:t>Bulevar Ivana Crnojevića 64a, 81000 Podgorica</w:t>
      </w:r>
    </w:p>
    <w:p w14:paraId="6C8265D2" w14:textId="77777777" w:rsidR="0025089C" w:rsidRPr="001407B6" w:rsidRDefault="0025089C" w:rsidP="00E97649">
      <w:pPr>
        <w:pStyle w:val="BodyText"/>
        <w:ind w:left="0"/>
        <w:jc w:val="both"/>
        <w:rPr>
          <w:lang w:val="sr-Latn-ME"/>
        </w:rPr>
      </w:pPr>
    </w:p>
    <w:p w14:paraId="61890CB8" w14:textId="77777777" w:rsidR="0025089C" w:rsidRPr="001407B6" w:rsidRDefault="0025089C">
      <w:pPr>
        <w:pStyle w:val="NoSpacing"/>
        <w:jc w:val="both"/>
        <w:rPr>
          <w:rFonts w:eastAsia="Calibri"/>
          <w:sz w:val="22"/>
          <w:szCs w:val="22"/>
          <w:lang w:val="sr-Latn-ME"/>
        </w:rPr>
      </w:pPr>
      <w:r w:rsidRPr="001407B6">
        <w:rPr>
          <w:rFonts w:eastAsia="Calibri"/>
          <w:sz w:val="22"/>
          <w:szCs w:val="22"/>
          <w:lang w:val="sr-Latn-ME"/>
        </w:rPr>
        <w:t>tel: +382 (0) 20 310 280</w:t>
      </w:r>
    </w:p>
    <w:p w14:paraId="61B9CA2E" w14:textId="77777777" w:rsidR="0025089C" w:rsidRPr="001407B6" w:rsidRDefault="0025089C">
      <w:pPr>
        <w:pStyle w:val="NoSpacing"/>
        <w:tabs>
          <w:tab w:val="left" w:pos="6720"/>
        </w:tabs>
        <w:jc w:val="both"/>
        <w:rPr>
          <w:rFonts w:eastAsia="Calibri"/>
          <w:sz w:val="22"/>
          <w:szCs w:val="22"/>
          <w:lang w:val="sr-Latn-ME"/>
        </w:rPr>
      </w:pPr>
      <w:r w:rsidRPr="001407B6">
        <w:rPr>
          <w:rFonts w:eastAsia="Calibri"/>
          <w:sz w:val="22"/>
          <w:szCs w:val="22"/>
          <w:lang w:val="sr-Latn-ME"/>
        </w:rPr>
        <w:t>fax: +382 (0) 20 310 581</w:t>
      </w:r>
      <w:r w:rsidRPr="001407B6">
        <w:rPr>
          <w:rFonts w:eastAsia="Calibri"/>
          <w:sz w:val="22"/>
          <w:szCs w:val="22"/>
          <w:lang w:val="sr-Latn-ME"/>
        </w:rPr>
        <w:tab/>
      </w:r>
    </w:p>
    <w:p w14:paraId="2F8E30A9" w14:textId="77777777" w:rsidR="0025089C" w:rsidRPr="001407B6" w:rsidRDefault="00170463">
      <w:pPr>
        <w:pStyle w:val="NoSpacing"/>
        <w:jc w:val="both"/>
        <w:rPr>
          <w:rFonts w:eastAsia="Calibri"/>
          <w:sz w:val="22"/>
          <w:szCs w:val="22"/>
          <w:lang w:val="sr-Latn-ME"/>
        </w:rPr>
      </w:pPr>
      <w:hyperlink r:id="rId7" w:history="1">
        <w:r w:rsidR="0025089C" w:rsidRPr="001407B6">
          <w:rPr>
            <w:rStyle w:val="Hyperlink"/>
            <w:rFonts w:eastAsia="Calibri"/>
            <w:sz w:val="22"/>
            <w:szCs w:val="22"/>
            <w:lang w:val="sr-Latn-ME"/>
          </w:rPr>
          <w:t>www.cinmed.me</w:t>
        </w:r>
      </w:hyperlink>
    </w:p>
    <w:p w14:paraId="7CED9716" w14:textId="77777777" w:rsidR="0025089C" w:rsidRPr="001407B6" w:rsidRDefault="00170463">
      <w:pPr>
        <w:pStyle w:val="NoSpacing"/>
        <w:jc w:val="both"/>
        <w:rPr>
          <w:rFonts w:eastAsia="Calibri"/>
          <w:color w:val="0000FF"/>
          <w:sz w:val="22"/>
          <w:szCs w:val="22"/>
          <w:u w:val="single"/>
          <w:lang w:val="sr-Latn-ME"/>
        </w:rPr>
      </w:pPr>
      <w:hyperlink r:id="rId8" w:history="1">
        <w:r w:rsidR="0025089C" w:rsidRPr="001407B6">
          <w:rPr>
            <w:rStyle w:val="Hyperlink"/>
            <w:rFonts w:eastAsia="Calibri"/>
            <w:sz w:val="22"/>
            <w:szCs w:val="22"/>
            <w:lang w:val="sr-Latn-ME"/>
          </w:rPr>
          <w:t>nezeljenadejstva@cinmed.me</w:t>
        </w:r>
      </w:hyperlink>
    </w:p>
    <w:p w14:paraId="41CA2313" w14:textId="77777777" w:rsidR="0025089C" w:rsidRPr="001407B6" w:rsidRDefault="0025089C">
      <w:pPr>
        <w:pStyle w:val="NoSpacing"/>
        <w:jc w:val="both"/>
        <w:rPr>
          <w:rFonts w:eastAsia="Calibri"/>
          <w:sz w:val="22"/>
          <w:szCs w:val="22"/>
          <w:lang w:val="sr-Latn-ME"/>
        </w:rPr>
      </w:pPr>
      <w:r w:rsidRPr="001407B6">
        <w:rPr>
          <w:rFonts w:eastAsia="Calibri"/>
          <w:sz w:val="22"/>
          <w:szCs w:val="22"/>
          <w:lang w:val="sr-Latn-ME"/>
        </w:rPr>
        <w:t>putem IS zdravstvene zaštite</w:t>
      </w:r>
    </w:p>
    <w:p w14:paraId="02B061F4" w14:textId="77777777" w:rsidR="0025089C" w:rsidRPr="001407B6" w:rsidRDefault="0025089C">
      <w:pPr>
        <w:pStyle w:val="NoSpacing"/>
        <w:jc w:val="both"/>
        <w:rPr>
          <w:rFonts w:eastAsia="Calibri"/>
          <w:sz w:val="22"/>
          <w:szCs w:val="22"/>
          <w:lang w:val="sr-Latn-ME"/>
        </w:rPr>
      </w:pPr>
      <w:r w:rsidRPr="001407B6">
        <w:rPr>
          <w:rFonts w:eastAsia="Calibri"/>
          <w:sz w:val="22"/>
          <w:szCs w:val="22"/>
          <w:lang w:val="sr-Latn-ME"/>
        </w:rPr>
        <w:t>QR kod za online prijavu sumnje na neželjeno dejstvo lijeka:</w:t>
      </w:r>
    </w:p>
    <w:p w14:paraId="43AA7D25" w14:textId="77777777" w:rsidR="0025089C" w:rsidRPr="001407B6" w:rsidRDefault="0025089C">
      <w:pPr>
        <w:pStyle w:val="NoSpacing"/>
        <w:ind w:left="230"/>
        <w:jc w:val="both"/>
        <w:rPr>
          <w:rFonts w:eastAsia="Calibri"/>
          <w:sz w:val="22"/>
          <w:szCs w:val="22"/>
          <w:lang w:val="sr-Latn-ME"/>
        </w:rPr>
      </w:pPr>
    </w:p>
    <w:p w14:paraId="7E8FD46C" w14:textId="67E48AF6" w:rsidR="0025089C" w:rsidRPr="001407B6" w:rsidRDefault="0025089C" w:rsidP="00E97649">
      <w:pPr>
        <w:pStyle w:val="NoSpacing"/>
        <w:jc w:val="both"/>
        <w:rPr>
          <w:rFonts w:eastAsia="Calibri"/>
          <w:sz w:val="22"/>
          <w:szCs w:val="22"/>
          <w:lang w:val="sr-Latn-ME"/>
        </w:rPr>
      </w:pPr>
      <w:r w:rsidRPr="001407B6">
        <w:rPr>
          <w:lang w:val="sr-Latn-ME"/>
        </w:rPr>
        <w:drawing>
          <wp:inline distT="0" distB="0" distL="0" distR="0" wp14:anchorId="704A85B0" wp14:editId="6A8E15BB">
            <wp:extent cx="971550" cy="971550"/>
            <wp:effectExtent l="0" t="0" r="0" b="0"/>
            <wp:docPr id="1466735987" name="Picture 1"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816E81C" w14:textId="77777777" w:rsidR="00C8324B" w:rsidRPr="001407B6" w:rsidRDefault="00C8324B" w:rsidP="00E97649">
      <w:pPr>
        <w:pStyle w:val="BodyText"/>
        <w:ind w:left="144"/>
        <w:jc w:val="both"/>
        <w:rPr>
          <w:lang w:val="sr-Latn-ME"/>
        </w:rPr>
      </w:pPr>
    </w:p>
    <w:p w14:paraId="61D343E6" w14:textId="0C36016C" w:rsidR="00C8324B" w:rsidRPr="001407B6" w:rsidRDefault="00EA133D" w:rsidP="00E97649">
      <w:pPr>
        <w:pStyle w:val="Heading2"/>
        <w:numPr>
          <w:ilvl w:val="1"/>
          <w:numId w:val="1"/>
        </w:numPr>
        <w:spacing w:line="249" w:lineRule="exact"/>
        <w:ind w:left="426" w:hanging="426"/>
        <w:jc w:val="both"/>
        <w:rPr>
          <w:lang w:val="sr-Latn-ME"/>
        </w:rPr>
      </w:pPr>
      <w:r w:rsidRPr="001407B6">
        <w:rPr>
          <w:lang w:val="sr-Latn-ME"/>
        </w:rPr>
        <w:t>Predoziranje</w:t>
      </w:r>
    </w:p>
    <w:p w14:paraId="0EE140D6" w14:textId="77777777" w:rsidR="008F20F2" w:rsidRPr="001407B6" w:rsidRDefault="008F20F2" w:rsidP="00E97649">
      <w:pPr>
        <w:pStyle w:val="Heading2"/>
        <w:tabs>
          <w:tab w:val="left" w:pos="617"/>
        </w:tabs>
        <w:spacing w:line="249" w:lineRule="exact"/>
        <w:ind w:firstLine="0"/>
        <w:jc w:val="both"/>
        <w:rPr>
          <w:lang w:val="sr-Latn-ME"/>
        </w:rPr>
      </w:pPr>
    </w:p>
    <w:p w14:paraId="7651DC10" w14:textId="5E177FBC" w:rsidR="00C8324B" w:rsidRPr="001407B6" w:rsidRDefault="00EA133D" w:rsidP="00E97649">
      <w:pPr>
        <w:pStyle w:val="BodyText"/>
        <w:ind w:left="0"/>
        <w:jc w:val="both"/>
        <w:rPr>
          <w:lang w:val="sr-Latn-ME"/>
        </w:rPr>
      </w:pPr>
      <w:r w:rsidRPr="001407B6">
        <w:rPr>
          <w:lang w:val="sr-Latn-ME"/>
        </w:rPr>
        <w:t>Sevelamer hidrohlorid, koji sadrži isti aktivni d</w:t>
      </w:r>
      <w:r w:rsidR="003969D7" w:rsidRPr="001407B6">
        <w:rPr>
          <w:lang w:val="sr-Latn-ME"/>
        </w:rPr>
        <w:t>i</w:t>
      </w:r>
      <w:r w:rsidRPr="001407B6">
        <w:rPr>
          <w:lang w:val="sr-Latn-ME"/>
        </w:rPr>
        <w:t xml:space="preserve">o supstance kao i sevelamer karbonat, </w:t>
      </w:r>
      <w:r w:rsidR="00D41A5F" w:rsidRPr="001407B6">
        <w:rPr>
          <w:lang w:val="sr-Latn-ME"/>
        </w:rPr>
        <w:t>primjen</w:t>
      </w:r>
      <w:r w:rsidRPr="001407B6">
        <w:rPr>
          <w:lang w:val="sr-Latn-ME"/>
        </w:rPr>
        <w:t>jen zdravim ispitanicima tokom osam dana, u dozama do 14 grama dnevno, bez neželjenih dejstava. Kod pacijenata sa</w:t>
      </w:r>
      <w:r w:rsidR="00456450" w:rsidRPr="001407B6">
        <w:rPr>
          <w:lang w:val="sr-Latn-ME"/>
        </w:rPr>
        <w:t xml:space="preserve"> </w:t>
      </w:r>
      <w:r w:rsidRPr="001407B6">
        <w:rPr>
          <w:lang w:val="sr-Latn-ME"/>
        </w:rPr>
        <w:t>hroničnom insuficijencijom bubrega, pros</w:t>
      </w:r>
      <w:r w:rsidR="003969D7" w:rsidRPr="001407B6">
        <w:rPr>
          <w:lang w:val="sr-Latn-ME"/>
        </w:rPr>
        <w:t>j</w:t>
      </w:r>
      <w:r w:rsidRPr="001407B6">
        <w:rPr>
          <w:lang w:val="sr-Latn-ME"/>
        </w:rPr>
        <w:t>ečna maksimalna dnevna doza koja je ispitivana bila je 14,4 g sevelamer karbonata, kao pojedinačna dnevna doza.</w:t>
      </w:r>
    </w:p>
    <w:p w14:paraId="6E6D8481" w14:textId="77777777" w:rsidR="00C72E95" w:rsidRPr="001407B6" w:rsidRDefault="00C72E95" w:rsidP="00E97649">
      <w:pPr>
        <w:pStyle w:val="BodyText"/>
        <w:ind w:left="0"/>
        <w:jc w:val="both"/>
        <w:rPr>
          <w:lang w:val="sr-Latn-ME"/>
        </w:rPr>
      </w:pPr>
    </w:p>
    <w:p w14:paraId="3D744547" w14:textId="3B9F6EE1" w:rsidR="00C8324B" w:rsidRPr="001407B6" w:rsidRDefault="00EA133D" w:rsidP="00E97649">
      <w:pPr>
        <w:pStyle w:val="BodyText"/>
        <w:ind w:left="0"/>
        <w:jc w:val="both"/>
        <w:rPr>
          <w:lang w:val="sr-Latn-ME"/>
        </w:rPr>
      </w:pPr>
      <w:r w:rsidRPr="001407B6">
        <w:rPr>
          <w:lang w:val="sr-Latn-ME"/>
        </w:rPr>
        <w:t xml:space="preserve">Simptomi </w:t>
      </w:r>
      <w:r w:rsidR="00603339" w:rsidRPr="001407B6">
        <w:rPr>
          <w:lang w:val="sr-Latn-ME"/>
        </w:rPr>
        <w:t>zabiljež</w:t>
      </w:r>
      <w:r w:rsidRPr="001407B6">
        <w:rPr>
          <w:lang w:val="sr-Latn-ME"/>
        </w:rPr>
        <w:t xml:space="preserve">eni u slučaju predoziranja su bili slični neželjenim dejstvima navedenim u </w:t>
      </w:r>
      <w:r w:rsidR="00385747" w:rsidRPr="001407B6">
        <w:rPr>
          <w:lang w:val="sr-Latn-ME"/>
        </w:rPr>
        <w:t>dijelu</w:t>
      </w:r>
      <w:r w:rsidRPr="001407B6">
        <w:rPr>
          <w:lang w:val="sr-Latn-ME"/>
        </w:rPr>
        <w:t xml:space="preserve"> 4.8,</w:t>
      </w:r>
      <w:r w:rsidR="00385747" w:rsidRPr="001407B6">
        <w:rPr>
          <w:lang w:val="sr-Latn-ME"/>
        </w:rPr>
        <w:t xml:space="preserve"> </w:t>
      </w:r>
      <w:r w:rsidRPr="001407B6">
        <w:rPr>
          <w:lang w:val="sr-Latn-ME"/>
        </w:rPr>
        <w:t xml:space="preserve"> uključujući uglavnom konstipaciju i druge simptome od stane gastrointestinalnog trakta.</w:t>
      </w:r>
    </w:p>
    <w:p w14:paraId="49114EA2" w14:textId="77777777" w:rsidR="00C72E95" w:rsidRPr="001407B6" w:rsidRDefault="00C72E95" w:rsidP="00E97649">
      <w:pPr>
        <w:pStyle w:val="BodyText"/>
        <w:ind w:left="0"/>
        <w:jc w:val="both"/>
        <w:rPr>
          <w:lang w:val="sr-Latn-ME"/>
        </w:rPr>
      </w:pPr>
    </w:p>
    <w:p w14:paraId="30928B30" w14:textId="7A812FBD" w:rsidR="00C8324B" w:rsidRPr="001407B6" w:rsidRDefault="00EA133D" w:rsidP="00E97649">
      <w:pPr>
        <w:pStyle w:val="BodyText"/>
        <w:ind w:left="0"/>
        <w:jc w:val="both"/>
        <w:rPr>
          <w:lang w:val="sr-Latn-ME"/>
        </w:rPr>
      </w:pPr>
      <w:r w:rsidRPr="001407B6">
        <w:rPr>
          <w:lang w:val="sr-Latn-ME"/>
        </w:rPr>
        <w:t>Pacijentima treba o</w:t>
      </w:r>
      <w:r w:rsidR="00833755" w:rsidRPr="001407B6">
        <w:rPr>
          <w:lang w:val="sr-Latn-ME"/>
        </w:rPr>
        <w:t>bezbjed</w:t>
      </w:r>
      <w:r w:rsidRPr="001407B6">
        <w:rPr>
          <w:lang w:val="sr-Latn-ME"/>
        </w:rPr>
        <w:t>iti odgovarajuću simptomatsku terapiju.</w:t>
      </w:r>
    </w:p>
    <w:p w14:paraId="0ABE6F83" w14:textId="624208B8" w:rsidR="00310119" w:rsidRPr="001407B6" w:rsidRDefault="00310119" w:rsidP="00E97649">
      <w:pPr>
        <w:pStyle w:val="BodyText"/>
        <w:spacing w:line="251" w:lineRule="exact"/>
        <w:jc w:val="both"/>
        <w:rPr>
          <w:lang w:val="sr-Latn-ME"/>
        </w:rPr>
      </w:pPr>
    </w:p>
    <w:p w14:paraId="1A5561B9" w14:textId="77777777" w:rsidR="00B102F3" w:rsidRPr="001407B6" w:rsidRDefault="00B102F3" w:rsidP="00E97649">
      <w:pPr>
        <w:pStyle w:val="BodyText"/>
        <w:spacing w:line="251" w:lineRule="exact"/>
        <w:jc w:val="both"/>
        <w:rPr>
          <w:lang w:val="sr-Latn-ME"/>
        </w:rPr>
      </w:pPr>
    </w:p>
    <w:p w14:paraId="00F2747A" w14:textId="221AAB71" w:rsidR="00C8324B" w:rsidRPr="001407B6" w:rsidRDefault="00EA133D" w:rsidP="00E97649">
      <w:pPr>
        <w:pStyle w:val="Heading1"/>
        <w:numPr>
          <w:ilvl w:val="0"/>
          <w:numId w:val="1"/>
        </w:numPr>
        <w:spacing w:before="0"/>
        <w:ind w:left="284" w:hanging="284"/>
        <w:jc w:val="both"/>
        <w:rPr>
          <w:lang w:val="sr-Latn-ME"/>
        </w:rPr>
      </w:pPr>
      <w:r w:rsidRPr="001407B6">
        <w:rPr>
          <w:lang w:val="sr-Latn-ME"/>
        </w:rPr>
        <w:t>FARMAKOLOŠKI</w:t>
      </w:r>
      <w:r w:rsidRPr="001407B6">
        <w:rPr>
          <w:spacing w:val="-4"/>
          <w:lang w:val="sr-Latn-ME"/>
        </w:rPr>
        <w:t xml:space="preserve"> </w:t>
      </w:r>
      <w:r w:rsidRPr="001407B6">
        <w:rPr>
          <w:lang w:val="sr-Latn-ME"/>
        </w:rPr>
        <w:t>PODACI</w:t>
      </w:r>
    </w:p>
    <w:p w14:paraId="742FE1D1" w14:textId="77777777" w:rsidR="00B102F3" w:rsidRPr="001407B6" w:rsidRDefault="00B102F3" w:rsidP="00E97649">
      <w:pPr>
        <w:pStyle w:val="Heading1"/>
        <w:spacing w:before="0"/>
        <w:ind w:left="284" w:firstLine="0"/>
        <w:jc w:val="both"/>
        <w:rPr>
          <w:lang w:val="sr-Latn-ME"/>
        </w:rPr>
      </w:pPr>
    </w:p>
    <w:p w14:paraId="706B1D19" w14:textId="77777777" w:rsidR="00C8324B" w:rsidRPr="001407B6" w:rsidRDefault="00EA133D" w:rsidP="00E97649">
      <w:pPr>
        <w:pStyle w:val="Heading2"/>
        <w:numPr>
          <w:ilvl w:val="1"/>
          <w:numId w:val="1"/>
        </w:numPr>
        <w:ind w:left="426" w:hanging="426"/>
        <w:jc w:val="both"/>
        <w:rPr>
          <w:lang w:val="sr-Latn-ME"/>
        </w:rPr>
      </w:pPr>
      <w:r w:rsidRPr="001407B6">
        <w:rPr>
          <w:lang w:val="sr-Latn-ME"/>
        </w:rPr>
        <w:t>Farmakodinamski</w:t>
      </w:r>
      <w:r w:rsidRPr="001407B6">
        <w:rPr>
          <w:spacing w:val="-6"/>
          <w:lang w:val="sr-Latn-ME"/>
        </w:rPr>
        <w:t xml:space="preserve"> </w:t>
      </w:r>
      <w:r w:rsidRPr="001407B6">
        <w:rPr>
          <w:lang w:val="sr-Latn-ME"/>
        </w:rPr>
        <w:t>podaci</w:t>
      </w:r>
    </w:p>
    <w:p w14:paraId="5BBDCBFD" w14:textId="77777777" w:rsidR="00B102F3" w:rsidRPr="001407B6" w:rsidRDefault="00B102F3" w:rsidP="00E97649">
      <w:pPr>
        <w:jc w:val="both"/>
        <w:rPr>
          <w:b/>
          <w:lang w:val="sr-Latn-ME"/>
        </w:rPr>
      </w:pPr>
    </w:p>
    <w:p w14:paraId="58482B70" w14:textId="6B70A6D9" w:rsidR="00C8324B" w:rsidRPr="001407B6" w:rsidRDefault="00EA133D" w:rsidP="00E97649">
      <w:pPr>
        <w:jc w:val="both"/>
        <w:rPr>
          <w:b/>
          <w:lang w:val="sr-Latn-ME"/>
        </w:rPr>
      </w:pPr>
      <w:r w:rsidRPr="001407B6">
        <w:rPr>
          <w:b/>
          <w:lang w:val="sr-Latn-ME"/>
        </w:rPr>
        <w:lastRenderedPageBreak/>
        <w:t>Farmakoterapijska</w:t>
      </w:r>
      <w:r w:rsidRPr="001407B6">
        <w:rPr>
          <w:b/>
          <w:spacing w:val="-6"/>
          <w:lang w:val="sr-Latn-ME"/>
        </w:rPr>
        <w:t xml:space="preserve"> </w:t>
      </w:r>
      <w:r w:rsidRPr="001407B6">
        <w:rPr>
          <w:b/>
          <w:lang w:val="sr-Latn-ME"/>
        </w:rPr>
        <w:t>grupa:</w:t>
      </w:r>
      <w:r w:rsidRPr="001407B6">
        <w:rPr>
          <w:b/>
          <w:spacing w:val="-3"/>
          <w:lang w:val="sr-Latn-ME"/>
        </w:rPr>
        <w:t xml:space="preserve"> </w:t>
      </w:r>
      <w:r w:rsidR="00D41A5F" w:rsidRPr="001407B6">
        <w:rPr>
          <w:bCs/>
          <w:lang w:val="sr-Latn-ME"/>
        </w:rPr>
        <w:t>Ljekov</w:t>
      </w:r>
      <w:r w:rsidRPr="001407B6">
        <w:rPr>
          <w:bCs/>
          <w:lang w:val="sr-Latn-ME"/>
        </w:rPr>
        <w:t>i</w:t>
      </w:r>
      <w:r w:rsidRPr="001407B6">
        <w:rPr>
          <w:bCs/>
          <w:spacing w:val="-1"/>
          <w:lang w:val="sr-Latn-ME"/>
        </w:rPr>
        <w:t xml:space="preserve"> </w:t>
      </w:r>
      <w:r w:rsidRPr="001407B6">
        <w:rPr>
          <w:bCs/>
          <w:lang w:val="sr-Latn-ME"/>
        </w:rPr>
        <w:t>u</w:t>
      </w:r>
      <w:r w:rsidRPr="001407B6">
        <w:rPr>
          <w:bCs/>
          <w:spacing w:val="-12"/>
          <w:lang w:val="sr-Latn-ME"/>
        </w:rPr>
        <w:t xml:space="preserve"> </w:t>
      </w:r>
      <w:r w:rsidRPr="001407B6">
        <w:rPr>
          <w:bCs/>
          <w:lang w:val="sr-Latn-ME"/>
        </w:rPr>
        <w:t>terapiji</w:t>
      </w:r>
      <w:r w:rsidRPr="001407B6">
        <w:rPr>
          <w:bCs/>
          <w:spacing w:val="-5"/>
          <w:lang w:val="sr-Latn-ME"/>
        </w:rPr>
        <w:t xml:space="preserve"> </w:t>
      </w:r>
      <w:r w:rsidRPr="001407B6">
        <w:rPr>
          <w:bCs/>
          <w:lang w:val="sr-Latn-ME"/>
        </w:rPr>
        <w:t>hiperkalijemije</w:t>
      </w:r>
      <w:r w:rsidRPr="001407B6">
        <w:rPr>
          <w:bCs/>
          <w:spacing w:val="-6"/>
          <w:lang w:val="sr-Latn-ME"/>
        </w:rPr>
        <w:t xml:space="preserve"> </w:t>
      </w:r>
      <w:r w:rsidRPr="001407B6">
        <w:rPr>
          <w:bCs/>
          <w:lang w:val="sr-Latn-ME"/>
        </w:rPr>
        <w:t>i</w:t>
      </w:r>
      <w:r w:rsidRPr="001407B6">
        <w:rPr>
          <w:bCs/>
          <w:spacing w:val="-5"/>
          <w:lang w:val="sr-Latn-ME"/>
        </w:rPr>
        <w:t xml:space="preserve"> </w:t>
      </w:r>
      <w:r w:rsidRPr="001407B6">
        <w:rPr>
          <w:bCs/>
          <w:lang w:val="sr-Latn-ME"/>
        </w:rPr>
        <w:t>hiperfosfatemije</w:t>
      </w:r>
    </w:p>
    <w:p w14:paraId="093F9F5F" w14:textId="66EA9B63" w:rsidR="00C8324B" w:rsidRPr="001407B6" w:rsidRDefault="00EA133D" w:rsidP="00E97649">
      <w:pPr>
        <w:jc w:val="both"/>
        <w:rPr>
          <w:lang w:val="sr-Latn-ME"/>
        </w:rPr>
      </w:pPr>
      <w:r w:rsidRPr="001407B6">
        <w:rPr>
          <w:b/>
          <w:lang w:val="sr-Latn-ME"/>
        </w:rPr>
        <w:t>ATC</w:t>
      </w:r>
      <w:r w:rsidRPr="001407B6">
        <w:rPr>
          <w:b/>
          <w:spacing w:val="-6"/>
          <w:lang w:val="sr-Latn-ME"/>
        </w:rPr>
        <w:t xml:space="preserve"> </w:t>
      </w:r>
      <w:r w:rsidR="00E21D5F" w:rsidRPr="001407B6">
        <w:rPr>
          <w:b/>
          <w:lang w:val="sr-Latn-ME"/>
        </w:rPr>
        <w:t>kod</w:t>
      </w:r>
      <w:r w:rsidRPr="001407B6">
        <w:rPr>
          <w:b/>
          <w:lang w:val="sr-Latn-ME"/>
        </w:rPr>
        <w:t>:</w:t>
      </w:r>
      <w:r w:rsidRPr="001407B6">
        <w:rPr>
          <w:b/>
          <w:spacing w:val="-3"/>
          <w:lang w:val="sr-Latn-ME"/>
        </w:rPr>
        <w:t xml:space="preserve"> </w:t>
      </w:r>
      <w:r w:rsidRPr="001407B6">
        <w:rPr>
          <w:lang w:val="sr-Latn-ME"/>
        </w:rPr>
        <w:t>V03AE02</w:t>
      </w:r>
    </w:p>
    <w:p w14:paraId="5A893396" w14:textId="77777777" w:rsidR="00B102F3" w:rsidRPr="001407B6" w:rsidRDefault="00B102F3" w:rsidP="00E97649">
      <w:pPr>
        <w:pStyle w:val="Heading2"/>
        <w:ind w:left="0" w:firstLine="0"/>
        <w:jc w:val="both"/>
        <w:rPr>
          <w:lang w:val="sr-Latn-ME"/>
        </w:rPr>
      </w:pPr>
    </w:p>
    <w:p w14:paraId="68D1C21F" w14:textId="1D261F3D" w:rsidR="00C8324B" w:rsidRPr="001407B6" w:rsidRDefault="00EA133D" w:rsidP="00E97649">
      <w:pPr>
        <w:pStyle w:val="Heading2"/>
        <w:ind w:left="0" w:firstLine="0"/>
        <w:jc w:val="both"/>
        <w:rPr>
          <w:b w:val="0"/>
          <w:bCs w:val="0"/>
          <w:u w:val="single"/>
          <w:lang w:val="sr-Latn-ME"/>
        </w:rPr>
      </w:pPr>
      <w:r w:rsidRPr="001407B6">
        <w:rPr>
          <w:b w:val="0"/>
          <w:bCs w:val="0"/>
          <w:u w:val="single"/>
          <w:lang w:val="sr-Latn-ME"/>
        </w:rPr>
        <w:t>Mehanizam</w:t>
      </w:r>
      <w:r w:rsidRPr="001407B6">
        <w:rPr>
          <w:b w:val="0"/>
          <w:bCs w:val="0"/>
          <w:spacing w:val="-7"/>
          <w:u w:val="single"/>
          <w:lang w:val="sr-Latn-ME"/>
        </w:rPr>
        <w:t xml:space="preserve"> </w:t>
      </w:r>
      <w:r w:rsidRPr="001407B6">
        <w:rPr>
          <w:b w:val="0"/>
          <w:bCs w:val="0"/>
          <w:u w:val="single"/>
          <w:lang w:val="sr-Latn-ME"/>
        </w:rPr>
        <w:t>dejstva</w:t>
      </w:r>
    </w:p>
    <w:p w14:paraId="1FB58D2C" w14:textId="77777777" w:rsidR="00C72E95" w:rsidRPr="001407B6" w:rsidRDefault="00C72E95" w:rsidP="00E97649">
      <w:pPr>
        <w:pStyle w:val="BodyText"/>
        <w:ind w:left="0"/>
        <w:jc w:val="both"/>
        <w:rPr>
          <w:lang w:val="sr-Latn-ME"/>
        </w:rPr>
      </w:pPr>
    </w:p>
    <w:p w14:paraId="52110B75" w14:textId="77C6C662" w:rsidR="00C8324B" w:rsidRPr="001407B6" w:rsidRDefault="00D41A5F" w:rsidP="00E97649">
      <w:pPr>
        <w:pStyle w:val="BodyText"/>
        <w:ind w:left="0"/>
        <w:jc w:val="both"/>
        <w:rPr>
          <w:lang w:val="sr-Latn-ME"/>
        </w:rPr>
      </w:pPr>
      <w:r w:rsidRPr="001407B6">
        <w:rPr>
          <w:lang w:val="sr-Latn-ME"/>
        </w:rPr>
        <w:t>Lijek</w:t>
      </w:r>
      <w:r w:rsidR="00EA133D" w:rsidRPr="001407B6">
        <w:rPr>
          <w:lang w:val="sr-Latn-ME"/>
        </w:rPr>
        <w:t xml:space="preserve"> Renvela sadrži sevelamer, neresorbujući umreženi polimer koji vezuje fosfate, bez prisustva metala ili kalcijuma. Sevelamer sadrži višestruke amine koji su odvojeni jednim ugljenikom od polimerske osnove i koji postaju protonizovani u želucu. Ovi protonizovani amini vezuju negativno nae</w:t>
      </w:r>
      <w:r w:rsidRPr="001407B6">
        <w:rPr>
          <w:lang w:val="sr-Latn-ME"/>
        </w:rPr>
        <w:t>lijek</w:t>
      </w:r>
      <w:r w:rsidR="00EA133D" w:rsidRPr="001407B6">
        <w:rPr>
          <w:lang w:val="sr-Latn-ME"/>
        </w:rPr>
        <w:t>trisane jone, kao što su fosfati iz hrane u cr</w:t>
      </w:r>
      <w:r w:rsidR="003969D7" w:rsidRPr="001407B6">
        <w:rPr>
          <w:lang w:val="sr-Latn-ME"/>
        </w:rPr>
        <w:t>ij</w:t>
      </w:r>
      <w:r w:rsidR="00EA133D" w:rsidRPr="001407B6">
        <w:rPr>
          <w:lang w:val="sr-Latn-ME"/>
        </w:rPr>
        <w:t>evima.</w:t>
      </w:r>
    </w:p>
    <w:p w14:paraId="3B0425DD" w14:textId="77777777" w:rsidR="00B102F3" w:rsidRPr="001407B6" w:rsidRDefault="00B102F3" w:rsidP="00E97649">
      <w:pPr>
        <w:pStyle w:val="Heading2"/>
        <w:ind w:left="0" w:firstLine="0"/>
        <w:jc w:val="both"/>
        <w:rPr>
          <w:lang w:val="sr-Latn-ME"/>
        </w:rPr>
      </w:pPr>
    </w:p>
    <w:p w14:paraId="72F16C6E" w14:textId="2D449490" w:rsidR="00C8324B" w:rsidRPr="001407B6" w:rsidRDefault="00EA133D" w:rsidP="00E97649">
      <w:pPr>
        <w:pStyle w:val="Heading2"/>
        <w:ind w:left="0" w:firstLine="0"/>
        <w:jc w:val="both"/>
        <w:rPr>
          <w:b w:val="0"/>
          <w:bCs w:val="0"/>
          <w:u w:val="single"/>
          <w:lang w:val="sr-Latn-ME"/>
        </w:rPr>
      </w:pPr>
      <w:r w:rsidRPr="001407B6">
        <w:rPr>
          <w:b w:val="0"/>
          <w:bCs w:val="0"/>
          <w:u w:val="single"/>
          <w:lang w:val="sr-Latn-ME"/>
        </w:rPr>
        <w:t>Farmakodinamske</w:t>
      </w:r>
      <w:r w:rsidRPr="001407B6">
        <w:rPr>
          <w:b w:val="0"/>
          <w:bCs w:val="0"/>
          <w:spacing w:val="-13"/>
          <w:u w:val="single"/>
          <w:lang w:val="sr-Latn-ME"/>
        </w:rPr>
        <w:t xml:space="preserve"> </w:t>
      </w:r>
      <w:r w:rsidRPr="001407B6">
        <w:rPr>
          <w:b w:val="0"/>
          <w:bCs w:val="0"/>
          <w:u w:val="single"/>
          <w:lang w:val="sr-Latn-ME"/>
        </w:rPr>
        <w:t>karakteristike</w:t>
      </w:r>
    </w:p>
    <w:p w14:paraId="6D21A1C6" w14:textId="77777777" w:rsidR="00F41C55" w:rsidRPr="001407B6" w:rsidRDefault="00F41C55" w:rsidP="00E97649">
      <w:pPr>
        <w:pStyle w:val="BodyText"/>
        <w:ind w:left="0"/>
        <w:jc w:val="both"/>
        <w:rPr>
          <w:lang w:val="sr-Latn-ME"/>
        </w:rPr>
      </w:pPr>
    </w:p>
    <w:p w14:paraId="32D9AB80" w14:textId="113303B3" w:rsidR="00C8324B" w:rsidRPr="001407B6" w:rsidRDefault="00EA133D" w:rsidP="00E97649">
      <w:pPr>
        <w:pStyle w:val="BodyText"/>
        <w:ind w:left="0"/>
        <w:jc w:val="both"/>
        <w:rPr>
          <w:lang w:val="sr-Latn-ME"/>
        </w:rPr>
      </w:pPr>
      <w:r w:rsidRPr="001407B6">
        <w:rPr>
          <w:lang w:val="sr-Latn-ME"/>
        </w:rPr>
        <w:t xml:space="preserve">Vezujući fosfate u gastrointestinalnom traktu i smanjujući resorpciju, sevelamer smanjuje koncentraciju fosfora u serumu. U toku </w:t>
      </w:r>
      <w:r w:rsidR="00D41A5F" w:rsidRPr="001407B6">
        <w:rPr>
          <w:lang w:val="sr-Latn-ME"/>
        </w:rPr>
        <w:t>primjen</w:t>
      </w:r>
      <w:r w:rsidRPr="001407B6">
        <w:rPr>
          <w:lang w:val="sr-Latn-ME"/>
        </w:rPr>
        <w:t xml:space="preserve">e </w:t>
      </w:r>
      <w:r w:rsidR="00D41A5F" w:rsidRPr="001407B6">
        <w:rPr>
          <w:lang w:val="sr-Latn-ME"/>
        </w:rPr>
        <w:t>ljekov</w:t>
      </w:r>
      <w:r w:rsidRPr="001407B6">
        <w:rPr>
          <w:lang w:val="sr-Latn-ME"/>
        </w:rPr>
        <w:t>a koji vezuju fosfate, uv</w:t>
      </w:r>
      <w:r w:rsidR="003969D7" w:rsidRPr="001407B6">
        <w:rPr>
          <w:lang w:val="sr-Latn-ME"/>
        </w:rPr>
        <w:t>ij</w:t>
      </w:r>
      <w:r w:rsidRPr="001407B6">
        <w:rPr>
          <w:lang w:val="sr-Latn-ME"/>
        </w:rPr>
        <w:t xml:space="preserve">ek je neophodno redovno praćenje </w:t>
      </w:r>
      <w:r w:rsidR="00833755" w:rsidRPr="001407B6">
        <w:rPr>
          <w:lang w:val="sr-Latn-ME"/>
        </w:rPr>
        <w:t>vrijedno</w:t>
      </w:r>
      <w:r w:rsidRPr="001407B6">
        <w:rPr>
          <w:lang w:val="sr-Latn-ME"/>
        </w:rPr>
        <w:t>st</w:t>
      </w:r>
      <w:r w:rsidR="003969D7" w:rsidRPr="001407B6">
        <w:rPr>
          <w:lang w:val="sr-Latn-ME"/>
        </w:rPr>
        <w:t xml:space="preserve">i </w:t>
      </w:r>
      <w:r w:rsidRPr="001407B6">
        <w:rPr>
          <w:lang w:val="sr-Latn-ME"/>
        </w:rPr>
        <w:t>fosfora u serumu.</w:t>
      </w:r>
    </w:p>
    <w:p w14:paraId="416FD9E3" w14:textId="77777777" w:rsidR="00B102F3" w:rsidRPr="001407B6" w:rsidRDefault="00B102F3" w:rsidP="00E97649">
      <w:pPr>
        <w:pStyle w:val="BodyText"/>
        <w:ind w:left="0"/>
        <w:jc w:val="both"/>
        <w:rPr>
          <w:lang w:val="sr-Latn-ME"/>
        </w:rPr>
      </w:pPr>
    </w:p>
    <w:p w14:paraId="63952AEF" w14:textId="687A9340" w:rsidR="00C8324B" w:rsidRPr="001407B6" w:rsidRDefault="00EA133D" w:rsidP="00E97649">
      <w:pPr>
        <w:pStyle w:val="Heading2"/>
        <w:ind w:left="0" w:firstLine="0"/>
        <w:jc w:val="both"/>
        <w:rPr>
          <w:b w:val="0"/>
          <w:bCs w:val="0"/>
          <w:u w:val="single"/>
          <w:lang w:val="sr-Latn-ME"/>
        </w:rPr>
      </w:pPr>
      <w:r w:rsidRPr="001407B6">
        <w:rPr>
          <w:b w:val="0"/>
          <w:bCs w:val="0"/>
          <w:u w:val="single"/>
          <w:lang w:val="sr-Latn-ME"/>
        </w:rPr>
        <w:t>Klinička</w:t>
      </w:r>
      <w:r w:rsidRPr="001407B6">
        <w:rPr>
          <w:b w:val="0"/>
          <w:bCs w:val="0"/>
          <w:spacing w:val="-5"/>
          <w:u w:val="single"/>
          <w:lang w:val="sr-Latn-ME"/>
        </w:rPr>
        <w:t xml:space="preserve"> </w:t>
      </w:r>
      <w:r w:rsidRPr="001407B6">
        <w:rPr>
          <w:b w:val="0"/>
          <w:bCs w:val="0"/>
          <w:u w:val="single"/>
          <w:lang w:val="sr-Latn-ME"/>
        </w:rPr>
        <w:t>efikasnost</w:t>
      </w:r>
      <w:r w:rsidRPr="001407B6">
        <w:rPr>
          <w:b w:val="0"/>
          <w:bCs w:val="0"/>
          <w:spacing w:val="-5"/>
          <w:u w:val="single"/>
          <w:lang w:val="sr-Latn-ME"/>
        </w:rPr>
        <w:t xml:space="preserve"> </w:t>
      </w:r>
      <w:r w:rsidRPr="001407B6">
        <w:rPr>
          <w:b w:val="0"/>
          <w:bCs w:val="0"/>
          <w:u w:val="single"/>
          <w:lang w:val="sr-Latn-ME"/>
        </w:rPr>
        <w:t>i</w:t>
      </w:r>
      <w:r w:rsidRPr="001407B6">
        <w:rPr>
          <w:b w:val="0"/>
          <w:bCs w:val="0"/>
          <w:spacing w:val="-4"/>
          <w:u w:val="single"/>
          <w:lang w:val="sr-Latn-ME"/>
        </w:rPr>
        <w:t xml:space="preserve"> </w:t>
      </w:r>
      <w:r w:rsidR="00833755" w:rsidRPr="001407B6">
        <w:rPr>
          <w:b w:val="0"/>
          <w:bCs w:val="0"/>
          <w:u w:val="single"/>
          <w:lang w:val="sr-Latn-ME"/>
        </w:rPr>
        <w:t>bezbjed</w:t>
      </w:r>
      <w:r w:rsidRPr="001407B6">
        <w:rPr>
          <w:b w:val="0"/>
          <w:bCs w:val="0"/>
          <w:u w:val="single"/>
          <w:lang w:val="sr-Latn-ME"/>
        </w:rPr>
        <w:t>nost</w:t>
      </w:r>
    </w:p>
    <w:p w14:paraId="6C6E0800" w14:textId="77777777" w:rsidR="00F41C55" w:rsidRPr="001407B6" w:rsidRDefault="00F41C55" w:rsidP="00E97649">
      <w:pPr>
        <w:pStyle w:val="BodyText"/>
        <w:ind w:left="0"/>
        <w:jc w:val="both"/>
        <w:rPr>
          <w:lang w:val="sr-Latn-ME"/>
        </w:rPr>
      </w:pPr>
    </w:p>
    <w:p w14:paraId="6C9D0011" w14:textId="3E48082A" w:rsidR="00C8324B" w:rsidRPr="001407B6" w:rsidRDefault="00EA133D" w:rsidP="00E97649">
      <w:pPr>
        <w:pStyle w:val="BodyText"/>
        <w:ind w:left="0"/>
        <w:jc w:val="both"/>
        <w:rPr>
          <w:lang w:val="sr-Latn-ME"/>
        </w:rPr>
      </w:pPr>
      <w:r w:rsidRPr="001407B6">
        <w:rPr>
          <w:lang w:val="sr-Latn-ME"/>
        </w:rPr>
        <w:t>U dv</w:t>
      </w:r>
      <w:r w:rsidR="00B71F92" w:rsidRPr="001407B6">
        <w:rPr>
          <w:lang w:val="sr-Latn-ME"/>
        </w:rPr>
        <w:t>ij</w:t>
      </w:r>
      <w:r w:rsidRPr="001407B6">
        <w:rPr>
          <w:lang w:val="sr-Latn-ME"/>
        </w:rPr>
        <w:t xml:space="preserve">e randomizovane, ukrštene kliničke studije sevelamer karbonat, pokazao je istu terapijsku ekvivalentnost kao sevelamer hidrohlorid, kada je </w:t>
      </w:r>
      <w:r w:rsidR="00D41A5F" w:rsidRPr="001407B6">
        <w:rPr>
          <w:lang w:val="sr-Latn-ME"/>
        </w:rPr>
        <w:t>primjen</w:t>
      </w:r>
      <w:r w:rsidRPr="001407B6">
        <w:rPr>
          <w:lang w:val="sr-Latn-ME"/>
        </w:rPr>
        <w:t>jivan tri puta dnevno i zato je efikasan u kontroli serumskog fosfora kod pacijenata na dijalizi sa hroničnom insuficijencijom bubrega.</w:t>
      </w:r>
    </w:p>
    <w:p w14:paraId="2FDB2A17" w14:textId="77777777" w:rsidR="00F41C55" w:rsidRPr="001407B6" w:rsidRDefault="00F41C55">
      <w:pPr>
        <w:pStyle w:val="BodyText"/>
        <w:ind w:left="0"/>
        <w:jc w:val="both"/>
        <w:rPr>
          <w:lang w:val="sr-Latn-ME"/>
        </w:rPr>
      </w:pPr>
    </w:p>
    <w:p w14:paraId="6C78AF4E" w14:textId="5435D28C" w:rsidR="00C8324B" w:rsidRPr="001407B6" w:rsidRDefault="00EA133D">
      <w:pPr>
        <w:pStyle w:val="BodyText"/>
        <w:ind w:left="0"/>
        <w:jc w:val="both"/>
        <w:rPr>
          <w:lang w:val="sr-Latn-ME"/>
        </w:rPr>
      </w:pPr>
      <w:r w:rsidRPr="001407B6">
        <w:rPr>
          <w:lang w:val="sr-Latn-ME"/>
        </w:rPr>
        <w:t xml:space="preserve">Prva studija je pokazala da su tablete sevelamer karbonata </w:t>
      </w:r>
      <w:r w:rsidR="00D41A5F" w:rsidRPr="001407B6">
        <w:rPr>
          <w:lang w:val="sr-Latn-ME"/>
        </w:rPr>
        <w:t>primjen</w:t>
      </w:r>
      <w:r w:rsidRPr="001407B6">
        <w:rPr>
          <w:lang w:val="sr-Latn-ME"/>
        </w:rPr>
        <w:t xml:space="preserve">jene tri puta dnevno, ekvivalentne tabletama sevelamer hidrohlorida </w:t>
      </w:r>
      <w:r w:rsidR="00D41A5F" w:rsidRPr="001407B6">
        <w:rPr>
          <w:lang w:val="sr-Latn-ME"/>
        </w:rPr>
        <w:t>primjen</w:t>
      </w:r>
      <w:r w:rsidRPr="001407B6">
        <w:rPr>
          <w:lang w:val="sr-Latn-ME"/>
        </w:rPr>
        <w:t>jenim tri puta dnevno kod 79 pacijenata na hemodijalizi, koji su lečeni tokom 2 randomizovana perioda od 8 ned</w:t>
      </w:r>
      <w:r w:rsidR="00B71F92" w:rsidRPr="001407B6">
        <w:rPr>
          <w:lang w:val="sr-Latn-ME"/>
        </w:rPr>
        <w:t>j</w:t>
      </w:r>
      <w:r w:rsidRPr="001407B6">
        <w:rPr>
          <w:lang w:val="sr-Latn-ME"/>
        </w:rPr>
        <w:t xml:space="preserve">elja (prosečno opterećenje srednjom </w:t>
      </w:r>
      <w:r w:rsidR="00833755" w:rsidRPr="001407B6">
        <w:rPr>
          <w:lang w:val="sr-Latn-ME"/>
        </w:rPr>
        <w:t>vrijedno</w:t>
      </w:r>
      <w:r w:rsidRPr="001407B6">
        <w:rPr>
          <w:lang w:val="sr-Latn-ME"/>
        </w:rPr>
        <w:t>šću fosfora u serumu bilo je 1,5±0,3mmol</w:t>
      </w:r>
      <w:r w:rsidR="00456450" w:rsidRPr="001407B6">
        <w:rPr>
          <w:lang w:val="sr-Latn-ME"/>
        </w:rPr>
        <w:t>/l</w:t>
      </w:r>
      <w:r w:rsidRPr="001407B6">
        <w:rPr>
          <w:lang w:val="sr-Latn-ME"/>
        </w:rPr>
        <w:t xml:space="preserve"> i za sevelamer karbonat i sevelamer hidrohlorid). Druga studija je pokazala da je prašak sevelamer karbonata doziran tri puta dnevno, ekvivalentan tabletama sevelamer hidrohlorida doziranim tri puta dnevno kod 31. pacijenta na dijalizi sa hiperfosfatemijom (serumske </w:t>
      </w:r>
      <w:r w:rsidR="00833755" w:rsidRPr="001407B6">
        <w:rPr>
          <w:lang w:val="sr-Latn-ME"/>
        </w:rPr>
        <w:t>vrijedno</w:t>
      </w:r>
      <w:r w:rsidRPr="001407B6">
        <w:rPr>
          <w:lang w:val="sr-Latn-ME"/>
        </w:rPr>
        <w:t>sti fosfora</w:t>
      </w:r>
      <w:r w:rsidR="00B71F92" w:rsidRPr="001407B6">
        <w:rPr>
          <w:lang w:val="sr-Latn-ME"/>
        </w:rPr>
        <w:t xml:space="preserve"> </w:t>
      </w:r>
      <w:r w:rsidRPr="001407B6">
        <w:rPr>
          <w:lang w:val="sr-Latn-ME"/>
        </w:rPr>
        <w:t>≥1,78mmol</w:t>
      </w:r>
      <w:r w:rsidR="00456450" w:rsidRPr="001407B6">
        <w:rPr>
          <w:lang w:val="sr-Latn-ME"/>
        </w:rPr>
        <w:t>/l</w:t>
      </w:r>
      <w:r w:rsidRPr="001407B6">
        <w:rPr>
          <w:lang w:val="sr-Latn-ME"/>
        </w:rPr>
        <w:t>), tokom 2 randomizovana perioda od 4 ned</w:t>
      </w:r>
      <w:r w:rsidR="00B71F92" w:rsidRPr="001407B6">
        <w:rPr>
          <w:lang w:val="sr-Latn-ME"/>
        </w:rPr>
        <w:t>j</w:t>
      </w:r>
      <w:r w:rsidRPr="001407B6">
        <w:rPr>
          <w:lang w:val="sr-Latn-ME"/>
        </w:rPr>
        <w:t xml:space="preserve">elje (prosečno opterećenje srednjom </w:t>
      </w:r>
      <w:r w:rsidR="00833755" w:rsidRPr="001407B6">
        <w:rPr>
          <w:lang w:val="sr-Latn-ME"/>
        </w:rPr>
        <w:t>vrijedno</w:t>
      </w:r>
      <w:r w:rsidRPr="001407B6">
        <w:rPr>
          <w:lang w:val="sr-Latn-ME"/>
        </w:rPr>
        <w:t>šću fosfora u serumu bilo je 1,6±0.5mmol</w:t>
      </w:r>
      <w:r w:rsidR="00456450" w:rsidRPr="001407B6">
        <w:rPr>
          <w:lang w:val="sr-Latn-ME"/>
        </w:rPr>
        <w:t>/l</w:t>
      </w:r>
      <w:r w:rsidRPr="001407B6">
        <w:rPr>
          <w:lang w:val="sr-Latn-ME"/>
        </w:rPr>
        <w:t xml:space="preserve"> za sevelamer karbonat prašak i 1,7±0,4mmol</w:t>
      </w:r>
      <w:r w:rsidR="00456450" w:rsidRPr="001407B6">
        <w:rPr>
          <w:lang w:val="sr-Latn-ME"/>
        </w:rPr>
        <w:t>/l</w:t>
      </w:r>
      <w:r w:rsidRPr="001407B6">
        <w:rPr>
          <w:lang w:val="sr-Latn-ME"/>
        </w:rPr>
        <w:t xml:space="preserve"> za tablete sevelamer hidrohlorida).</w:t>
      </w:r>
    </w:p>
    <w:p w14:paraId="0EE5ADCD" w14:textId="77777777" w:rsidR="00F41C55" w:rsidRPr="001407B6" w:rsidRDefault="00F41C55">
      <w:pPr>
        <w:pStyle w:val="BodyText"/>
        <w:ind w:left="0"/>
        <w:jc w:val="both"/>
        <w:rPr>
          <w:lang w:val="sr-Latn-ME"/>
        </w:rPr>
      </w:pPr>
    </w:p>
    <w:p w14:paraId="6CEA39F2" w14:textId="05EA770C" w:rsidR="00C8324B" w:rsidRPr="001407B6" w:rsidRDefault="00EA133D">
      <w:pPr>
        <w:pStyle w:val="BodyText"/>
        <w:ind w:left="0"/>
        <w:jc w:val="both"/>
        <w:rPr>
          <w:lang w:val="sr-Latn-ME"/>
        </w:rPr>
      </w:pPr>
      <w:r w:rsidRPr="001407B6">
        <w:rPr>
          <w:lang w:val="sr-Latn-ME"/>
        </w:rPr>
        <w:t xml:space="preserve">U kliničkim studijama kod pacijenata na hemodijalizi, sam sevelamer nije imao konzistentno i klinički signifikantno dejstvo na intaktni paratireoidni hormon (iPTH) u serumu. U studiji koja je uključila pacijente na peritonealnoj dijalizi u trajanju od 12 nedelja, </w:t>
      </w:r>
      <w:r w:rsidR="00603339" w:rsidRPr="001407B6">
        <w:rPr>
          <w:lang w:val="sr-Latn-ME"/>
        </w:rPr>
        <w:t>zabiljež</w:t>
      </w:r>
      <w:r w:rsidRPr="001407B6">
        <w:rPr>
          <w:lang w:val="sr-Latn-ME"/>
        </w:rPr>
        <w:t xml:space="preserve">eno je slično smanjenje iPTH kao i kod pacijenata koji su primali kalcijum-acetat. Kod pacijenata sa sekundarnim hiperparatireoidizmom, </w:t>
      </w:r>
      <w:r w:rsidR="00D41A5F" w:rsidRPr="001407B6">
        <w:rPr>
          <w:lang w:val="sr-Latn-ME"/>
        </w:rPr>
        <w:t>lijek</w:t>
      </w:r>
      <w:r w:rsidRPr="001407B6">
        <w:rPr>
          <w:lang w:val="sr-Latn-ME"/>
        </w:rPr>
        <w:t xml:space="preserve"> Renvela treba koristiti u okviru multiplog terapijskog pristupa koji može da uključi kalcijum kao suplement, 1,25- dihidroksi vitamin D3 ili neki njegov analog, u cilju smanjivanja intaktnog paratireoidnog hormona (iPTH).</w:t>
      </w:r>
    </w:p>
    <w:p w14:paraId="42F243EC" w14:textId="77777777" w:rsidR="00F41C55" w:rsidRPr="001407B6" w:rsidRDefault="00F41C55">
      <w:pPr>
        <w:pStyle w:val="BodyText"/>
        <w:ind w:left="0"/>
        <w:jc w:val="both"/>
        <w:rPr>
          <w:lang w:val="sr-Latn-ME"/>
        </w:rPr>
      </w:pPr>
    </w:p>
    <w:p w14:paraId="70BDE76E" w14:textId="1C494BEB" w:rsidR="00C8324B" w:rsidRPr="001407B6" w:rsidRDefault="00EA133D">
      <w:pPr>
        <w:pStyle w:val="BodyText"/>
        <w:ind w:left="0"/>
        <w:jc w:val="both"/>
        <w:rPr>
          <w:lang w:val="sr-Latn-ME"/>
        </w:rPr>
      </w:pPr>
      <w:r w:rsidRPr="001407B6">
        <w:rPr>
          <w:lang w:val="sr-Latn-ME"/>
        </w:rPr>
        <w:t xml:space="preserve">Pokazano je da sevelamer vezuje žučne kiseline </w:t>
      </w:r>
      <w:r w:rsidRPr="001407B6">
        <w:rPr>
          <w:i/>
          <w:iCs/>
          <w:lang w:val="sr-Latn-ME"/>
        </w:rPr>
        <w:t xml:space="preserve">in vitro </w:t>
      </w:r>
      <w:r w:rsidRPr="001407B6">
        <w:rPr>
          <w:lang w:val="sr-Latn-ME"/>
        </w:rPr>
        <w:t xml:space="preserve">i </w:t>
      </w:r>
      <w:r w:rsidRPr="001407B6">
        <w:rPr>
          <w:i/>
          <w:iCs/>
          <w:lang w:val="sr-Latn-ME"/>
        </w:rPr>
        <w:t>in vivo</w:t>
      </w:r>
      <w:r w:rsidRPr="001407B6">
        <w:rPr>
          <w:lang w:val="sr-Latn-ME"/>
        </w:rPr>
        <w:t xml:space="preserve"> na eksperimantalnim animalnim modelima. Vezivanje žučnih kiselina preko jonoizmenjivačkih smola je dobro utvrđeni metod smanjivanja holesterola u krvi. U kliničkim studijama sevelamera, srednji ukupni i LDL holesterol smanjen je za 15-39%. Smanjenje holesterola je </w:t>
      </w:r>
      <w:r w:rsidR="00603339" w:rsidRPr="001407B6">
        <w:rPr>
          <w:lang w:val="sr-Latn-ME"/>
        </w:rPr>
        <w:t>zabiljež</w:t>
      </w:r>
      <w:r w:rsidRPr="001407B6">
        <w:rPr>
          <w:lang w:val="sr-Latn-ME"/>
        </w:rPr>
        <w:t>eno posle 2 ned</w:t>
      </w:r>
      <w:r w:rsidR="00B71F92" w:rsidRPr="001407B6">
        <w:rPr>
          <w:lang w:val="sr-Latn-ME"/>
        </w:rPr>
        <w:t>j</w:t>
      </w:r>
      <w:r w:rsidRPr="001407B6">
        <w:rPr>
          <w:lang w:val="sr-Latn-ME"/>
        </w:rPr>
        <w:t xml:space="preserve">elje tretmana i održavano je dugotrajnom terapijiom. </w:t>
      </w:r>
      <w:r w:rsidR="00833755" w:rsidRPr="001407B6">
        <w:rPr>
          <w:lang w:val="sr-Latn-ME"/>
        </w:rPr>
        <w:t>Vrijedno</w:t>
      </w:r>
      <w:r w:rsidRPr="001407B6">
        <w:rPr>
          <w:lang w:val="sr-Latn-ME"/>
        </w:rPr>
        <w:t xml:space="preserve">sti triglicerida, HDL holesterola i albumina </w:t>
      </w:r>
      <w:r w:rsidR="00603339" w:rsidRPr="001407B6">
        <w:rPr>
          <w:lang w:val="sr-Latn-ME"/>
        </w:rPr>
        <w:t>nijesu</w:t>
      </w:r>
      <w:r w:rsidRPr="001407B6">
        <w:rPr>
          <w:lang w:val="sr-Latn-ME"/>
        </w:rPr>
        <w:t xml:space="preserve"> se promenile u toku terapije sevelamerom.</w:t>
      </w:r>
    </w:p>
    <w:p w14:paraId="0C7B8F35" w14:textId="77777777" w:rsidR="00F41C55" w:rsidRPr="001407B6" w:rsidRDefault="00F41C55" w:rsidP="00E97649">
      <w:pPr>
        <w:pStyle w:val="BodyText"/>
        <w:ind w:left="0"/>
        <w:jc w:val="both"/>
        <w:rPr>
          <w:lang w:val="sr-Latn-ME"/>
        </w:rPr>
      </w:pPr>
    </w:p>
    <w:p w14:paraId="4064642B" w14:textId="63248E7F" w:rsidR="00C8324B" w:rsidRPr="001407B6" w:rsidRDefault="00EA133D" w:rsidP="00E97649">
      <w:pPr>
        <w:pStyle w:val="BodyText"/>
        <w:ind w:left="0"/>
        <w:jc w:val="both"/>
        <w:rPr>
          <w:lang w:val="sr-Latn-ME"/>
        </w:rPr>
      </w:pPr>
      <w:r w:rsidRPr="001407B6">
        <w:rPr>
          <w:lang w:val="sr-Latn-ME"/>
        </w:rPr>
        <w:t>Pošto sevelamer vezuje žučne kiseline, može ometati resorpciju liposolubilnih vitamina kao što su A, D, E i K.</w:t>
      </w:r>
    </w:p>
    <w:p w14:paraId="39238C45" w14:textId="77777777" w:rsidR="00F41C55" w:rsidRPr="001407B6" w:rsidRDefault="00F41C55" w:rsidP="00E97649">
      <w:pPr>
        <w:pStyle w:val="BodyText"/>
        <w:ind w:left="0"/>
        <w:jc w:val="both"/>
        <w:rPr>
          <w:lang w:val="sr-Latn-ME"/>
        </w:rPr>
      </w:pPr>
    </w:p>
    <w:p w14:paraId="72B3F133" w14:textId="7B319B66" w:rsidR="00C8324B" w:rsidRPr="001407B6" w:rsidRDefault="00EA133D" w:rsidP="00E97649">
      <w:pPr>
        <w:pStyle w:val="BodyText"/>
        <w:ind w:left="0"/>
        <w:jc w:val="both"/>
        <w:rPr>
          <w:lang w:val="sr-Latn-ME"/>
        </w:rPr>
      </w:pPr>
      <w:r w:rsidRPr="001407B6">
        <w:rPr>
          <w:lang w:val="sr-Latn-ME"/>
        </w:rPr>
        <w:t>Sevelamer ne sadrži kalcijum i zbog toga smanjuje incidencu epizoda hiperkalcijemije, u poređenju sa pacijentima koji koriste sredstva za vezivanje fosfata na bazi samog kalcijuma. Pokazano je da se dejstvo na</w:t>
      </w:r>
      <w:r w:rsidR="00E101D5" w:rsidRPr="001407B6">
        <w:rPr>
          <w:lang w:val="sr-Latn-ME"/>
        </w:rPr>
        <w:t xml:space="preserve"> </w:t>
      </w:r>
      <w:r w:rsidRPr="001407B6">
        <w:rPr>
          <w:lang w:val="sr-Latn-ME"/>
        </w:rPr>
        <w:t>fosfor i kalcijum održava tokom studije sa jednogodišnjim praćenjem. Ovi podaci su dobijeni iz studija u kojima je korišćen sevelamer hidrohlorid.</w:t>
      </w:r>
    </w:p>
    <w:p w14:paraId="501322F7" w14:textId="77777777" w:rsidR="00456450" w:rsidRPr="001407B6" w:rsidRDefault="00456450">
      <w:pPr>
        <w:pStyle w:val="BodyText"/>
        <w:ind w:left="0"/>
        <w:jc w:val="both"/>
        <w:rPr>
          <w:u w:val="single"/>
          <w:lang w:val="sr-Latn-ME"/>
        </w:rPr>
      </w:pPr>
    </w:p>
    <w:p w14:paraId="7C39176D" w14:textId="13416D84" w:rsidR="00C8324B" w:rsidRPr="001407B6" w:rsidRDefault="00EA133D">
      <w:pPr>
        <w:pStyle w:val="BodyText"/>
        <w:ind w:left="0"/>
        <w:jc w:val="both"/>
        <w:rPr>
          <w:lang w:val="sr-Latn-ME"/>
        </w:rPr>
      </w:pPr>
      <w:r w:rsidRPr="001407B6">
        <w:rPr>
          <w:u w:val="single"/>
          <w:lang w:val="sr-Latn-ME"/>
        </w:rPr>
        <w:t>Pedijatrijska</w:t>
      </w:r>
      <w:r w:rsidRPr="001407B6">
        <w:rPr>
          <w:spacing w:val="-8"/>
          <w:u w:val="single"/>
          <w:lang w:val="sr-Latn-ME"/>
        </w:rPr>
        <w:t xml:space="preserve"> </w:t>
      </w:r>
      <w:r w:rsidRPr="001407B6">
        <w:rPr>
          <w:u w:val="single"/>
          <w:lang w:val="sr-Latn-ME"/>
        </w:rPr>
        <w:t>populacija</w:t>
      </w:r>
    </w:p>
    <w:p w14:paraId="716E840E" w14:textId="77777777" w:rsidR="00F41C55" w:rsidRPr="001407B6" w:rsidRDefault="00F41C55">
      <w:pPr>
        <w:pStyle w:val="BodyText"/>
        <w:ind w:left="0"/>
        <w:jc w:val="both"/>
        <w:rPr>
          <w:lang w:val="sr-Latn-ME"/>
        </w:rPr>
      </w:pPr>
    </w:p>
    <w:p w14:paraId="02A744BE" w14:textId="6A7AFA71" w:rsidR="00C8324B" w:rsidRPr="001407B6" w:rsidRDefault="00833755" w:rsidP="001407B6">
      <w:pPr>
        <w:pStyle w:val="BodyText"/>
        <w:ind w:left="0"/>
        <w:jc w:val="both"/>
        <w:rPr>
          <w:lang w:val="sr-Latn-ME"/>
        </w:rPr>
      </w:pPr>
      <w:r w:rsidRPr="001407B6">
        <w:rPr>
          <w:lang w:val="sr-Latn-ME"/>
        </w:rPr>
        <w:lastRenderedPageBreak/>
        <w:t>Bezbjed</w:t>
      </w:r>
      <w:r w:rsidR="00EA133D" w:rsidRPr="001407B6">
        <w:rPr>
          <w:lang w:val="sr-Latn-ME"/>
        </w:rPr>
        <w:t>nost i efikasnost sevelamer karbonata kod hiperfosfatemičkih pedijatrijskih pacijenata sa hroničnom bubrežnom insuficijencijom (CKD) je proc</w:t>
      </w:r>
      <w:r w:rsidR="00E101D5" w:rsidRPr="001407B6">
        <w:rPr>
          <w:lang w:val="sr-Latn-ME"/>
        </w:rPr>
        <w:t>j</w:t>
      </w:r>
      <w:r w:rsidR="00EA133D" w:rsidRPr="001407B6">
        <w:rPr>
          <w:lang w:val="sr-Latn-ME"/>
        </w:rPr>
        <w:t>enjivana u randomizovanoj, placebo kontrolisanoj, multicentričnoj studiji sa dvoned</w:t>
      </w:r>
      <w:r w:rsidR="00B71F92" w:rsidRPr="001407B6">
        <w:rPr>
          <w:lang w:val="sr-Latn-ME"/>
        </w:rPr>
        <w:t>j</w:t>
      </w:r>
      <w:r w:rsidR="00EA133D" w:rsidRPr="001407B6">
        <w:rPr>
          <w:lang w:val="sr-Latn-ME"/>
        </w:rPr>
        <w:t>eljnom fiksnom dozom (FDP) praćenom nerandomizovanim periodom titracije doze (DTP) u trajanju od 6 m</w:t>
      </w:r>
      <w:r w:rsidR="00B71F92" w:rsidRPr="001407B6">
        <w:rPr>
          <w:lang w:val="sr-Latn-ME"/>
        </w:rPr>
        <w:t>j</w:t>
      </w:r>
      <w:r w:rsidR="00EA133D" w:rsidRPr="001407B6">
        <w:rPr>
          <w:lang w:val="sr-Latn-ME"/>
        </w:rPr>
        <w:t>eseci. Ukupno 101 pacijent (6 do 18 godina starosti) sa t</w:t>
      </w:r>
      <w:r w:rsidR="00B71F92" w:rsidRPr="001407B6">
        <w:rPr>
          <w:lang w:val="sr-Latn-ME"/>
        </w:rPr>
        <w:t>j</w:t>
      </w:r>
      <w:r w:rsidR="00EA133D" w:rsidRPr="001407B6">
        <w:rPr>
          <w:lang w:val="sr-Latn-ME"/>
        </w:rPr>
        <w:t>elesnom površinom / BSA-body surface area/ od 0,8 do 2,4m2 su bili randomizovani u studiji. 49 pacijenata je dobijalo sevelamer karbonat</w:t>
      </w:r>
      <w:r w:rsidR="00E101D5" w:rsidRPr="001407B6">
        <w:rPr>
          <w:lang w:val="sr-Latn-ME"/>
        </w:rPr>
        <w:t>,</w:t>
      </w:r>
      <w:r w:rsidR="00EA133D" w:rsidRPr="001407B6">
        <w:rPr>
          <w:lang w:val="sr-Latn-ME"/>
        </w:rPr>
        <w:t xml:space="preserve"> a 51 pacijent je je dobijao placebo u trajanju od 2 ned</w:t>
      </w:r>
      <w:r w:rsidR="00B71F92" w:rsidRPr="001407B6">
        <w:rPr>
          <w:lang w:val="sr-Latn-ME"/>
        </w:rPr>
        <w:t>j</w:t>
      </w:r>
      <w:r w:rsidR="00EA133D" w:rsidRPr="001407B6">
        <w:rPr>
          <w:lang w:val="sr-Latn-ME"/>
        </w:rPr>
        <w:t>elje (FDP – fixed dose posology). Posl</w:t>
      </w:r>
      <w:r w:rsidR="00B71F92" w:rsidRPr="001407B6">
        <w:rPr>
          <w:lang w:val="sr-Latn-ME"/>
        </w:rPr>
        <w:t>ij</w:t>
      </w:r>
      <w:r w:rsidR="00EA133D" w:rsidRPr="001407B6">
        <w:rPr>
          <w:lang w:val="sr-Latn-ME"/>
        </w:rPr>
        <w:t>e toga svi pacijenti su dobijali sevelamer karbonat u trajanju od 26 ned</w:t>
      </w:r>
      <w:r w:rsidR="00B71F92" w:rsidRPr="001407B6">
        <w:rPr>
          <w:lang w:val="sr-Latn-ME"/>
        </w:rPr>
        <w:t>j</w:t>
      </w:r>
      <w:r w:rsidR="00EA133D" w:rsidRPr="001407B6">
        <w:rPr>
          <w:lang w:val="sr-Latn-ME"/>
        </w:rPr>
        <w:t xml:space="preserve">elja perioda titracije doze (DTP). Studija je ispunila primarni cilj, što znači da je sevelamer karbonat smanjio </w:t>
      </w:r>
      <w:r w:rsidRPr="001407B6">
        <w:rPr>
          <w:lang w:val="sr-Latn-ME"/>
        </w:rPr>
        <w:t>vrijedno</w:t>
      </w:r>
      <w:r w:rsidR="00EA133D" w:rsidRPr="001407B6">
        <w:rPr>
          <w:lang w:val="sr-Latn-ME"/>
        </w:rPr>
        <w:t xml:space="preserve">st fosfora u serumu za srednju </w:t>
      </w:r>
      <w:r w:rsidRPr="001407B6">
        <w:rPr>
          <w:lang w:val="sr-Latn-ME"/>
        </w:rPr>
        <w:t>vrijedno</w:t>
      </w:r>
      <w:r w:rsidR="00EA133D" w:rsidRPr="001407B6">
        <w:rPr>
          <w:lang w:val="sr-Latn-ME"/>
        </w:rPr>
        <w:t>st (dobijenu metodom najmanjih kvadrata) razlike 0,90 mg</w:t>
      </w:r>
      <w:r w:rsidR="00385747" w:rsidRPr="001407B6">
        <w:rPr>
          <w:lang w:val="sr-Latn-ME"/>
        </w:rPr>
        <w:t>/dl</w:t>
      </w:r>
      <w:r w:rsidR="00EA133D" w:rsidRPr="001407B6">
        <w:rPr>
          <w:lang w:val="sr-Latn-ME"/>
        </w:rPr>
        <w:t xml:space="preserve"> u odnosu na placebo, kao i sekundarne ciljeve efikasnosti.</w:t>
      </w:r>
      <w:r w:rsidR="00F41C55" w:rsidRPr="001407B6">
        <w:rPr>
          <w:lang w:val="sr-Latn-ME"/>
        </w:rPr>
        <w:t xml:space="preserve"> </w:t>
      </w:r>
      <w:r w:rsidR="00EA133D" w:rsidRPr="001407B6">
        <w:rPr>
          <w:lang w:val="sr-Latn-ME"/>
        </w:rPr>
        <w:t>Kod pedijatrijskih pacijenata sa hiperfosfatemijom, koja je posl</w:t>
      </w:r>
      <w:r w:rsidR="00B71F92" w:rsidRPr="001407B6">
        <w:rPr>
          <w:lang w:val="sr-Latn-ME"/>
        </w:rPr>
        <w:t>je</w:t>
      </w:r>
      <w:r w:rsidR="00EA133D" w:rsidRPr="001407B6">
        <w:rPr>
          <w:lang w:val="sr-Latn-ME"/>
        </w:rPr>
        <w:t xml:space="preserve">dica hroničnog oboljenja bubrega, sevelamer karbonat je značajno redukovao </w:t>
      </w:r>
      <w:r w:rsidRPr="001407B6">
        <w:rPr>
          <w:lang w:val="sr-Latn-ME"/>
        </w:rPr>
        <w:t>vrijedno</w:t>
      </w:r>
      <w:r w:rsidR="00EA133D" w:rsidRPr="001407B6">
        <w:rPr>
          <w:lang w:val="sr-Latn-ME"/>
        </w:rPr>
        <w:t>st fosfora u serumu u poređenju sa placebom tokom dv</w:t>
      </w:r>
      <w:r w:rsidR="00B71F92" w:rsidRPr="001407B6">
        <w:rPr>
          <w:lang w:val="sr-Latn-ME"/>
        </w:rPr>
        <w:t>ij</w:t>
      </w:r>
      <w:r w:rsidR="00EA133D" w:rsidRPr="001407B6">
        <w:rPr>
          <w:lang w:val="sr-Latn-ME"/>
        </w:rPr>
        <w:t>e ned</w:t>
      </w:r>
      <w:r w:rsidR="00B71F92" w:rsidRPr="001407B6">
        <w:rPr>
          <w:lang w:val="sr-Latn-ME"/>
        </w:rPr>
        <w:t>j</w:t>
      </w:r>
      <w:r w:rsidR="00EA133D" w:rsidRPr="001407B6">
        <w:rPr>
          <w:lang w:val="sr-Latn-ME"/>
        </w:rPr>
        <w:t>elje FDP.</w:t>
      </w:r>
      <w:r w:rsidR="00F41C55" w:rsidRPr="001407B6">
        <w:rPr>
          <w:lang w:val="sr-Latn-ME"/>
        </w:rPr>
        <w:t xml:space="preserve"> </w:t>
      </w:r>
      <w:r w:rsidR="00EA133D" w:rsidRPr="001407B6">
        <w:rPr>
          <w:lang w:val="sr-Latn-ME"/>
        </w:rPr>
        <w:t>Terapijski odgovor je održan kod pedijatrijskih pacijenata koji su dobijali sevelamer karbonat tokom šestom</w:t>
      </w:r>
      <w:r w:rsidR="00B71F92" w:rsidRPr="001407B6">
        <w:rPr>
          <w:lang w:val="sr-Latn-ME"/>
        </w:rPr>
        <w:t>j</w:t>
      </w:r>
      <w:r w:rsidR="00EA133D" w:rsidRPr="001407B6">
        <w:rPr>
          <w:lang w:val="sr-Latn-ME"/>
        </w:rPr>
        <w:t xml:space="preserve">esečnog ispitivanja otvorenog tipa perioda titracije doze. Na kraju terapije 27% pedijatrijskih pacijenata dostiglo je odgovarajuće </w:t>
      </w:r>
      <w:r w:rsidRPr="001407B6">
        <w:rPr>
          <w:lang w:val="sr-Latn-ME"/>
        </w:rPr>
        <w:t>vrijedno</w:t>
      </w:r>
      <w:r w:rsidR="00EA133D" w:rsidRPr="001407B6">
        <w:rPr>
          <w:lang w:val="sr-Latn-ME"/>
        </w:rPr>
        <w:t>sti fosfora u serumu. Ove cifre su bile 23% u podgrupi pacijenata na hemodijalizi, odnosno 15% kod pacijenata na peritonealnoj dijalizi. Površina t</w:t>
      </w:r>
      <w:r w:rsidR="00B71F92" w:rsidRPr="001407B6">
        <w:rPr>
          <w:lang w:val="sr-Latn-ME"/>
        </w:rPr>
        <w:t>ij</w:t>
      </w:r>
      <w:r w:rsidR="00EA133D" w:rsidRPr="001407B6">
        <w:rPr>
          <w:lang w:val="sr-Latn-ME"/>
        </w:rPr>
        <w:t>ela (BSA) nije imala uticaja na terapijski odgovor tokom dv</w:t>
      </w:r>
      <w:r w:rsidR="00B71F92" w:rsidRPr="001407B6">
        <w:rPr>
          <w:lang w:val="sr-Latn-ME"/>
        </w:rPr>
        <w:t>ij</w:t>
      </w:r>
      <w:r w:rsidR="00EA133D" w:rsidRPr="001407B6">
        <w:rPr>
          <w:lang w:val="sr-Latn-ME"/>
        </w:rPr>
        <w:t>e ned</w:t>
      </w:r>
      <w:r w:rsidR="00B71F92" w:rsidRPr="001407B6">
        <w:rPr>
          <w:lang w:val="sr-Latn-ME"/>
        </w:rPr>
        <w:t>j</w:t>
      </w:r>
      <w:r w:rsidR="00EA133D" w:rsidRPr="001407B6">
        <w:rPr>
          <w:lang w:val="sr-Latn-ME"/>
        </w:rPr>
        <w:t xml:space="preserve">elje </w:t>
      </w:r>
      <w:r w:rsidR="00D41A5F" w:rsidRPr="001407B6">
        <w:rPr>
          <w:lang w:val="sr-Latn-ME"/>
        </w:rPr>
        <w:t>primjen</w:t>
      </w:r>
      <w:r w:rsidR="00EA133D" w:rsidRPr="001407B6">
        <w:rPr>
          <w:lang w:val="sr-Latn-ME"/>
        </w:rPr>
        <w:t xml:space="preserve">e fiksne doze. Takođe, kod pedijatrijskih pacijenata koji su imali </w:t>
      </w:r>
      <w:r w:rsidRPr="001407B6">
        <w:rPr>
          <w:lang w:val="sr-Latn-ME"/>
        </w:rPr>
        <w:t>vrijedno</w:t>
      </w:r>
      <w:r w:rsidR="00EA133D" w:rsidRPr="001407B6">
        <w:rPr>
          <w:lang w:val="sr-Latn-ME"/>
        </w:rPr>
        <w:t>sti fosfora u serumu manje od 7,0 mg</w:t>
      </w:r>
      <w:r w:rsidR="00385747" w:rsidRPr="001407B6">
        <w:rPr>
          <w:lang w:val="sr-Latn-ME"/>
        </w:rPr>
        <w:t>/dl</w:t>
      </w:r>
      <w:r w:rsidR="00EA133D" w:rsidRPr="001407B6">
        <w:rPr>
          <w:lang w:val="sr-Latn-ME"/>
        </w:rPr>
        <w:t xml:space="preserve">, </w:t>
      </w:r>
      <w:r w:rsidR="00603339" w:rsidRPr="001407B6">
        <w:rPr>
          <w:lang w:val="sr-Latn-ME"/>
        </w:rPr>
        <w:t>zabiljež</w:t>
      </w:r>
      <w:r w:rsidR="00EA133D" w:rsidRPr="001407B6">
        <w:rPr>
          <w:lang w:val="sr-Latn-ME"/>
        </w:rPr>
        <w:t>en je izostanak odgovora.</w:t>
      </w:r>
      <w:r w:rsidR="00F41C55" w:rsidRPr="001407B6">
        <w:rPr>
          <w:lang w:val="sr-Latn-ME"/>
        </w:rPr>
        <w:t xml:space="preserve"> </w:t>
      </w:r>
      <w:r w:rsidR="00EA133D" w:rsidRPr="001407B6">
        <w:rPr>
          <w:lang w:val="sr-Latn-ME"/>
        </w:rPr>
        <w:t>Većina neželjenih događaja koji su prijavljeni kao povezani ili moguće povezani sa sevelamer karbonatom su bili gastrointestinalne prirode. Za vr</w:t>
      </w:r>
      <w:r w:rsidR="00B71F92" w:rsidRPr="001407B6">
        <w:rPr>
          <w:lang w:val="sr-Latn-ME"/>
        </w:rPr>
        <w:t>ij</w:t>
      </w:r>
      <w:r w:rsidR="00EA133D" w:rsidRPr="001407B6">
        <w:rPr>
          <w:lang w:val="sr-Latn-ME"/>
        </w:rPr>
        <w:t xml:space="preserve">eme trajanja studije, tokom </w:t>
      </w:r>
      <w:r w:rsidR="00D41A5F" w:rsidRPr="001407B6">
        <w:rPr>
          <w:lang w:val="sr-Latn-ME"/>
        </w:rPr>
        <w:t>primjen</w:t>
      </w:r>
      <w:r w:rsidR="00EA133D" w:rsidRPr="001407B6">
        <w:rPr>
          <w:lang w:val="sr-Latn-ME"/>
        </w:rPr>
        <w:t xml:space="preserve">e sevelamer karbonata, </w:t>
      </w:r>
      <w:r w:rsidR="00603339" w:rsidRPr="001407B6">
        <w:rPr>
          <w:lang w:val="sr-Latn-ME"/>
        </w:rPr>
        <w:t>nijesu</w:t>
      </w:r>
      <w:r w:rsidR="00EA133D" w:rsidRPr="001407B6">
        <w:rPr>
          <w:lang w:val="sr-Latn-ME"/>
        </w:rPr>
        <w:t xml:space="preserve"> uočeni novi rizici ili </w:t>
      </w:r>
      <w:r w:rsidRPr="001407B6">
        <w:rPr>
          <w:lang w:val="sr-Latn-ME"/>
        </w:rPr>
        <w:t>bezbjed</w:t>
      </w:r>
      <w:r w:rsidR="00EA133D" w:rsidRPr="001407B6">
        <w:rPr>
          <w:lang w:val="sr-Latn-ME"/>
        </w:rPr>
        <w:t>nosni signali.</w:t>
      </w:r>
    </w:p>
    <w:p w14:paraId="6604E72A" w14:textId="77777777" w:rsidR="00C8324B" w:rsidRPr="001407B6" w:rsidRDefault="00C8324B" w:rsidP="001407B6">
      <w:pPr>
        <w:pStyle w:val="BodyText"/>
        <w:ind w:left="0"/>
        <w:jc w:val="both"/>
        <w:rPr>
          <w:lang w:val="sr-Latn-ME"/>
        </w:rPr>
      </w:pPr>
    </w:p>
    <w:p w14:paraId="652534AA" w14:textId="77777777" w:rsidR="00C8324B" w:rsidRPr="001407B6" w:rsidRDefault="00EA133D" w:rsidP="001407B6">
      <w:pPr>
        <w:pStyle w:val="Heading2"/>
        <w:numPr>
          <w:ilvl w:val="1"/>
          <w:numId w:val="1"/>
        </w:numPr>
        <w:spacing w:line="251" w:lineRule="exact"/>
        <w:ind w:left="426" w:hanging="426"/>
        <w:jc w:val="both"/>
        <w:rPr>
          <w:lang w:val="sr-Latn-ME"/>
        </w:rPr>
      </w:pPr>
      <w:r w:rsidRPr="001407B6">
        <w:rPr>
          <w:lang w:val="sr-Latn-ME"/>
        </w:rPr>
        <w:t>Farmakokinetički</w:t>
      </w:r>
      <w:r w:rsidRPr="001407B6">
        <w:rPr>
          <w:spacing w:val="-7"/>
          <w:lang w:val="sr-Latn-ME"/>
        </w:rPr>
        <w:t xml:space="preserve"> </w:t>
      </w:r>
      <w:r w:rsidRPr="001407B6">
        <w:rPr>
          <w:lang w:val="sr-Latn-ME"/>
        </w:rPr>
        <w:t>podaci</w:t>
      </w:r>
    </w:p>
    <w:p w14:paraId="4C1C598E" w14:textId="77777777" w:rsidR="002C1BAB" w:rsidRPr="001407B6" w:rsidRDefault="002C1BAB" w:rsidP="001407B6">
      <w:pPr>
        <w:pStyle w:val="BodyText"/>
        <w:ind w:right="112"/>
        <w:jc w:val="both"/>
        <w:rPr>
          <w:lang w:val="sr-Latn-ME"/>
        </w:rPr>
      </w:pPr>
    </w:p>
    <w:p w14:paraId="5F6238A5" w14:textId="1385C655" w:rsidR="00C8324B" w:rsidRPr="001407B6" w:rsidRDefault="00EA133D" w:rsidP="001407B6">
      <w:pPr>
        <w:pStyle w:val="BodyText"/>
        <w:ind w:left="0"/>
        <w:jc w:val="both"/>
        <w:rPr>
          <w:lang w:val="sr-Latn-ME"/>
        </w:rPr>
      </w:pPr>
      <w:r w:rsidRPr="001407B6">
        <w:rPr>
          <w:lang w:val="sr-Latn-ME"/>
        </w:rPr>
        <w:t xml:space="preserve">Farmakokinetičke studije </w:t>
      </w:r>
      <w:r w:rsidR="00603339" w:rsidRPr="001407B6">
        <w:rPr>
          <w:lang w:val="sr-Latn-ME"/>
        </w:rPr>
        <w:t>nijesu</w:t>
      </w:r>
      <w:r w:rsidRPr="001407B6">
        <w:rPr>
          <w:lang w:val="sr-Latn-ME"/>
        </w:rPr>
        <w:t xml:space="preserve"> sprovođene sa sevelamer karbonatom. Sevelamer hidrohlorid, koji sadrži isti aktivni d</w:t>
      </w:r>
      <w:r w:rsidR="00B71F92" w:rsidRPr="001407B6">
        <w:rPr>
          <w:lang w:val="sr-Latn-ME"/>
        </w:rPr>
        <w:t>i</w:t>
      </w:r>
      <w:r w:rsidRPr="001407B6">
        <w:rPr>
          <w:lang w:val="sr-Latn-ME"/>
        </w:rPr>
        <w:t xml:space="preserve">o supstance kao </w:t>
      </w:r>
      <w:r w:rsidR="00B71F92" w:rsidRPr="001407B6">
        <w:rPr>
          <w:lang w:val="sr-Latn-ME"/>
        </w:rPr>
        <w:t>i</w:t>
      </w:r>
      <w:r w:rsidRPr="001407B6">
        <w:rPr>
          <w:lang w:val="sr-Latn-ME"/>
        </w:rPr>
        <w:t xml:space="preserve"> sevelamer karbonat, ne resorbuje se iz gastrointestinalnog trakta, kao što je pokazano u studiji resorpcije na zdravim ispitanicima.</w:t>
      </w:r>
    </w:p>
    <w:p w14:paraId="0E1677FC" w14:textId="43DB9026" w:rsidR="00C072FE" w:rsidRPr="001407B6" w:rsidRDefault="00C072FE" w:rsidP="001407B6">
      <w:pPr>
        <w:pStyle w:val="BodyText"/>
        <w:ind w:left="0"/>
        <w:jc w:val="both"/>
        <w:rPr>
          <w:lang w:val="sr-Latn-ME"/>
        </w:rPr>
      </w:pPr>
    </w:p>
    <w:p w14:paraId="5935EB87" w14:textId="359327C3" w:rsidR="00C072FE" w:rsidRPr="001407B6" w:rsidRDefault="00C072FE" w:rsidP="000E632C">
      <w:pPr>
        <w:pStyle w:val="BodyText"/>
        <w:ind w:left="0"/>
        <w:jc w:val="both"/>
        <w:rPr>
          <w:lang w:val="sr-Latn-ME"/>
        </w:rPr>
      </w:pPr>
      <w:r w:rsidRPr="001407B6">
        <w:rPr>
          <w:lang w:val="sr-Latn-ME"/>
        </w:rPr>
        <w:t>U jednogodišnjem kliničkom ispitivanju nijesu zabilježeni znakovi akumulacije sevelamera. Međutim,e može se u potpunosti isključiti mogućnost apsorpcije i akumulacije sevelamera tokom dugotrajnog hroničnog liječenja (duže od godinu dana).</w:t>
      </w:r>
    </w:p>
    <w:p w14:paraId="5623F871" w14:textId="77777777" w:rsidR="00C8324B" w:rsidRPr="001407B6" w:rsidRDefault="00C8324B" w:rsidP="000E632C">
      <w:pPr>
        <w:pStyle w:val="BodyText"/>
        <w:ind w:left="0"/>
        <w:jc w:val="both"/>
        <w:rPr>
          <w:lang w:val="sr-Latn-ME"/>
        </w:rPr>
      </w:pPr>
    </w:p>
    <w:p w14:paraId="3CFEF379" w14:textId="081C3136" w:rsidR="00C8324B" w:rsidRPr="001407B6" w:rsidRDefault="00EA133D">
      <w:pPr>
        <w:pStyle w:val="Heading2"/>
        <w:numPr>
          <w:ilvl w:val="1"/>
          <w:numId w:val="1"/>
        </w:numPr>
        <w:ind w:left="426" w:hanging="426"/>
        <w:jc w:val="both"/>
        <w:rPr>
          <w:lang w:val="sr-Latn-ME"/>
        </w:rPr>
      </w:pPr>
      <w:r w:rsidRPr="001407B6">
        <w:rPr>
          <w:lang w:val="sr-Latn-ME"/>
        </w:rPr>
        <w:t>Pretklinički</w:t>
      </w:r>
      <w:r w:rsidRPr="001407B6">
        <w:rPr>
          <w:spacing w:val="-5"/>
          <w:lang w:val="sr-Latn-ME"/>
        </w:rPr>
        <w:t xml:space="preserve"> </w:t>
      </w:r>
      <w:r w:rsidRPr="001407B6">
        <w:rPr>
          <w:lang w:val="sr-Latn-ME"/>
        </w:rPr>
        <w:t>podaci</w:t>
      </w:r>
      <w:r w:rsidRPr="001407B6">
        <w:rPr>
          <w:spacing w:val="-4"/>
          <w:lang w:val="sr-Latn-ME"/>
        </w:rPr>
        <w:t xml:space="preserve"> </w:t>
      </w:r>
      <w:r w:rsidRPr="001407B6">
        <w:rPr>
          <w:lang w:val="sr-Latn-ME"/>
        </w:rPr>
        <w:t>o</w:t>
      </w:r>
      <w:r w:rsidRPr="001407B6">
        <w:rPr>
          <w:spacing w:val="-4"/>
          <w:lang w:val="sr-Latn-ME"/>
        </w:rPr>
        <w:t xml:space="preserve"> </w:t>
      </w:r>
      <w:r w:rsidR="00833755" w:rsidRPr="001407B6">
        <w:rPr>
          <w:lang w:val="sr-Latn-ME"/>
        </w:rPr>
        <w:t>bezbjed</w:t>
      </w:r>
      <w:r w:rsidRPr="001407B6">
        <w:rPr>
          <w:lang w:val="sr-Latn-ME"/>
        </w:rPr>
        <w:t>nosti</w:t>
      </w:r>
      <w:r w:rsidRPr="001407B6">
        <w:rPr>
          <w:spacing w:val="-5"/>
          <w:lang w:val="sr-Latn-ME"/>
        </w:rPr>
        <w:t xml:space="preserve"> </w:t>
      </w:r>
      <w:r w:rsidR="00D41A5F" w:rsidRPr="001407B6">
        <w:rPr>
          <w:lang w:val="sr-Latn-ME"/>
        </w:rPr>
        <w:t>lijek</w:t>
      </w:r>
      <w:r w:rsidRPr="001407B6">
        <w:rPr>
          <w:lang w:val="sr-Latn-ME"/>
        </w:rPr>
        <w:t>a</w:t>
      </w:r>
    </w:p>
    <w:p w14:paraId="20BBAA1D" w14:textId="77777777" w:rsidR="002C1BAB" w:rsidRPr="001407B6" w:rsidRDefault="002C1BAB">
      <w:pPr>
        <w:pStyle w:val="BodyText"/>
        <w:ind w:right="109"/>
        <w:jc w:val="both"/>
        <w:rPr>
          <w:lang w:val="sr-Latn-ME"/>
        </w:rPr>
      </w:pPr>
    </w:p>
    <w:p w14:paraId="1BCF3C6E" w14:textId="40B93EC0" w:rsidR="00C8324B" w:rsidRPr="001407B6" w:rsidRDefault="00EA133D" w:rsidP="00E97649">
      <w:pPr>
        <w:pStyle w:val="BodyText"/>
        <w:ind w:left="0"/>
        <w:jc w:val="both"/>
        <w:rPr>
          <w:lang w:val="sr-Latn-ME"/>
        </w:rPr>
      </w:pPr>
      <w:r w:rsidRPr="001407B6">
        <w:rPr>
          <w:lang w:val="sr-Latn-ME"/>
        </w:rPr>
        <w:t xml:space="preserve">Na osnovu konvencionalnih prekliničkih studija </w:t>
      </w:r>
      <w:r w:rsidR="00833755" w:rsidRPr="001407B6">
        <w:rPr>
          <w:lang w:val="sr-Latn-ME"/>
        </w:rPr>
        <w:t>bezbjed</w:t>
      </w:r>
      <w:r w:rsidRPr="001407B6">
        <w:rPr>
          <w:lang w:val="sr-Latn-ME"/>
        </w:rPr>
        <w:t>nosti, toksičnosti ponovljene doze ili genotoksičnosti</w:t>
      </w:r>
      <w:r w:rsidR="00B71F92" w:rsidRPr="001407B6">
        <w:rPr>
          <w:lang w:val="sr-Latn-ME"/>
        </w:rPr>
        <w:t>, s</w:t>
      </w:r>
      <w:r w:rsidRPr="001407B6">
        <w:rPr>
          <w:lang w:val="sr-Latn-ME"/>
        </w:rPr>
        <w:t>evelamer nije pokazao neko posebno štetno dejstvo kod ljudi.</w:t>
      </w:r>
    </w:p>
    <w:p w14:paraId="59B4410B" w14:textId="77777777" w:rsidR="00ED42A2" w:rsidRPr="001407B6" w:rsidRDefault="00ED42A2" w:rsidP="00E97649">
      <w:pPr>
        <w:pStyle w:val="BodyText"/>
        <w:ind w:left="0"/>
        <w:jc w:val="both"/>
        <w:rPr>
          <w:lang w:val="sr-Latn-ME"/>
        </w:rPr>
      </w:pPr>
    </w:p>
    <w:p w14:paraId="784E08C5" w14:textId="109C5D4E" w:rsidR="00C8324B" w:rsidRPr="001407B6" w:rsidRDefault="00EA133D" w:rsidP="00E97649">
      <w:pPr>
        <w:pStyle w:val="BodyText"/>
        <w:ind w:left="0"/>
        <w:jc w:val="both"/>
        <w:rPr>
          <w:lang w:val="sr-Latn-ME"/>
        </w:rPr>
      </w:pPr>
      <w:r w:rsidRPr="001407B6">
        <w:rPr>
          <w:lang w:val="sr-Latn-ME"/>
        </w:rPr>
        <w:t xml:space="preserve">Sprovedene su studije karcinogenosti sevelamer hidrohlorida </w:t>
      </w:r>
      <w:r w:rsidR="00D41A5F" w:rsidRPr="001407B6">
        <w:rPr>
          <w:lang w:val="sr-Latn-ME"/>
        </w:rPr>
        <w:t>primjen</w:t>
      </w:r>
      <w:r w:rsidRPr="001407B6">
        <w:rPr>
          <w:lang w:val="sr-Latn-ME"/>
        </w:rPr>
        <w:t>jenim oralno na miševima (doze do 9 g/kg/dan) i pacova (0,3, 1 ili 3 g/kg/dan). Postojala je povećana incidenca tranzicionog ćelijskog papiloma mokraćne bešike u grupi mužjaka pacova koja je primala visoku dozu (a koja je odgovarala dvostrukoj najvišoj dozi za ljude u kliničkim ispitivanjima od 14,4g. Kod miševa nije uočena povećana incidenca tumora (pri dozi koja je odgovarala trostrukoj najvišoj dozi za ljude u kliničkim ispitivanjima).</w:t>
      </w:r>
    </w:p>
    <w:p w14:paraId="16D4FAAB" w14:textId="77777777" w:rsidR="00ED42A2" w:rsidRPr="001407B6" w:rsidRDefault="00ED42A2" w:rsidP="00E97649">
      <w:pPr>
        <w:pStyle w:val="BodyText"/>
        <w:ind w:left="0"/>
        <w:jc w:val="both"/>
        <w:rPr>
          <w:lang w:val="sr-Latn-ME"/>
        </w:rPr>
      </w:pPr>
    </w:p>
    <w:p w14:paraId="64B37256" w14:textId="73301650" w:rsidR="00C8324B" w:rsidRPr="001407B6" w:rsidRDefault="00EA133D" w:rsidP="00E97649">
      <w:pPr>
        <w:pStyle w:val="BodyText"/>
        <w:ind w:left="0"/>
        <w:jc w:val="both"/>
        <w:rPr>
          <w:lang w:val="sr-Latn-ME"/>
        </w:rPr>
      </w:pPr>
      <w:r w:rsidRPr="001407B6">
        <w:rPr>
          <w:lang w:val="sr-Latn-ME"/>
        </w:rPr>
        <w:t xml:space="preserve">U </w:t>
      </w:r>
      <w:r w:rsidRPr="001407B6">
        <w:rPr>
          <w:i/>
          <w:lang w:val="sr-Latn-ME"/>
        </w:rPr>
        <w:t>in vitro</w:t>
      </w:r>
      <w:r w:rsidRPr="001407B6">
        <w:rPr>
          <w:lang w:val="sr-Latn-ME"/>
        </w:rPr>
        <w:t xml:space="preserve"> citogenetskom testu metaboličke aktivacije na sisarima, sevelamer hidrohlorid je izazvao statistički značajno povećanje broja strukturnih hromozomskih aberacija. Rezultati ispitivanja Ames-ovog testa bakterijskih mutacija </w:t>
      </w:r>
      <w:r w:rsidR="00603339" w:rsidRPr="001407B6">
        <w:rPr>
          <w:lang w:val="sr-Latn-ME"/>
        </w:rPr>
        <w:t>nijesu</w:t>
      </w:r>
      <w:r w:rsidRPr="001407B6">
        <w:rPr>
          <w:lang w:val="sr-Latn-ME"/>
        </w:rPr>
        <w:t xml:space="preserve"> ukazali na mutageni potencijal sevelamer hidrohlorida.</w:t>
      </w:r>
    </w:p>
    <w:p w14:paraId="5A1A9A02" w14:textId="77777777" w:rsidR="00ED42A2" w:rsidRPr="001407B6" w:rsidRDefault="00ED42A2" w:rsidP="00E97649">
      <w:pPr>
        <w:pStyle w:val="BodyText"/>
        <w:ind w:left="0"/>
        <w:jc w:val="both"/>
        <w:rPr>
          <w:lang w:val="sr-Latn-ME"/>
        </w:rPr>
      </w:pPr>
    </w:p>
    <w:p w14:paraId="53364859" w14:textId="03A1327D" w:rsidR="00C8324B" w:rsidRPr="001407B6" w:rsidRDefault="00EA133D" w:rsidP="00E97649">
      <w:pPr>
        <w:pStyle w:val="BodyText"/>
        <w:ind w:left="0"/>
        <w:jc w:val="both"/>
        <w:rPr>
          <w:lang w:val="sr-Latn-ME"/>
        </w:rPr>
      </w:pPr>
      <w:r w:rsidRPr="001407B6">
        <w:rPr>
          <w:lang w:val="sr-Latn-ME"/>
        </w:rPr>
        <w:t>Kod pacova i pasa, sevelamer je smanjivao resorpciju liposolubilnih vitamina D, E i K (faktori koagulacije) i</w:t>
      </w:r>
      <w:r w:rsidR="00456450" w:rsidRPr="001407B6">
        <w:rPr>
          <w:lang w:val="sr-Latn-ME"/>
        </w:rPr>
        <w:t xml:space="preserve"> </w:t>
      </w:r>
      <w:r w:rsidRPr="001407B6">
        <w:rPr>
          <w:lang w:val="sr-Latn-ME"/>
        </w:rPr>
        <w:t xml:space="preserve"> folne kiseline.</w:t>
      </w:r>
    </w:p>
    <w:p w14:paraId="2E136277" w14:textId="77777777" w:rsidR="00ED42A2" w:rsidRPr="001407B6" w:rsidRDefault="00ED42A2" w:rsidP="00E97649">
      <w:pPr>
        <w:pStyle w:val="BodyText"/>
        <w:ind w:left="0"/>
        <w:jc w:val="both"/>
        <w:rPr>
          <w:lang w:val="sr-Latn-ME"/>
        </w:rPr>
      </w:pPr>
    </w:p>
    <w:p w14:paraId="648268E1" w14:textId="49932C32" w:rsidR="00C8324B" w:rsidRPr="001407B6" w:rsidRDefault="00EA133D" w:rsidP="00E97649">
      <w:pPr>
        <w:pStyle w:val="BodyText"/>
        <w:ind w:left="0"/>
        <w:jc w:val="both"/>
        <w:rPr>
          <w:lang w:val="sr-Latn-ME"/>
        </w:rPr>
      </w:pPr>
      <w:r w:rsidRPr="001407B6">
        <w:rPr>
          <w:lang w:val="sr-Latn-ME"/>
        </w:rPr>
        <w:t xml:space="preserve">Deficiti skeletne osifikacije su </w:t>
      </w:r>
      <w:r w:rsidR="00603339" w:rsidRPr="001407B6">
        <w:rPr>
          <w:lang w:val="sr-Latn-ME"/>
        </w:rPr>
        <w:t>zabiljež</w:t>
      </w:r>
      <w:r w:rsidRPr="001407B6">
        <w:rPr>
          <w:lang w:val="sr-Latn-ME"/>
        </w:rPr>
        <w:t>eni na nekoliko m</w:t>
      </w:r>
      <w:r w:rsidR="00E47AF3" w:rsidRPr="001407B6">
        <w:rPr>
          <w:lang w:val="sr-Latn-ME"/>
        </w:rPr>
        <w:t>j</w:t>
      </w:r>
      <w:r w:rsidRPr="001407B6">
        <w:rPr>
          <w:lang w:val="sr-Latn-ME"/>
        </w:rPr>
        <w:t>esta kod fetusa ženki pacova pri srednjim i visokim dozama sevelamera (odgovarajuća doza za ljude manja je od maksimalne doze u kliničkim ispitivanjima od 14,4 g). Ovo dejstvo bi moglo biti posl</w:t>
      </w:r>
      <w:r w:rsidR="00E47AF3" w:rsidRPr="001407B6">
        <w:rPr>
          <w:lang w:val="sr-Latn-ME"/>
        </w:rPr>
        <w:t>j</w:t>
      </w:r>
      <w:r w:rsidRPr="001407B6">
        <w:rPr>
          <w:lang w:val="sr-Latn-ME"/>
        </w:rPr>
        <w:t xml:space="preserve">edica smanjene </w:t>
      </w:r>
      <w:r w:rsidR="00833755" w:rsidRPr="001407B6">
        <w:rPr>
          <w:lang w:val="sr-Latn-ME"/>
        </w:rPr>
        <w:t>vrijedno</w:t>
      </w:r>
      <w:r w:rsidRPr="001407B6">
        <w:rPr>
          <w:lang w:val="sr-Latn-ME"/>
        </w:rPr>
        <w:t>sti vitamina D.</w:t>
      </w:r>
    </w:p>
    <w:p w14:paraId="1CDB138F" w14:textId="77777777" w:rsidR="00ED42A2" w:rsidRPr="001407B6" w:rsidRDefault="00ED42A2" w:rsidP="00E97649">
      <w:pPr>
        <w:pStyle w:val="BodyText"/>
        <w:ind w:left="0"/>
        <w:jc w:val="both"/>
        <w:rPr>
          <w:lang w:val="sr-Latn-ME"/>
        </w:rPr>
      </w:pPr>
    </w:p>
    <w:p w14:paraId="79FE64D0" w14:textId="38B54313" w:rsidR="00C8324B" w:rsidRPr="001407B6" w:rsidRDefault="00EA133D" w:rsidP="00E97649">
      <w:pPr>
        <w:pStyle w:val="BodyText"/>
        <w:ind w:left="0"/>
        <w:jc w:val="both"/>
        <w:rPr>
          <w:lang w:val="sr-Latn-ME"/>
        </w:rPr>
      </w:pPr>
      <w:r w:rsidRPr="001407B6">
        <w:rPr>
          <w:lang w:val="sr-Latn-ME"/>
        </w:rPr>
        <w:t>Kada su skotnim ženkama kunića za vr</w:t>
      </w:r>
      <w:r w:rsidR="00E101D5" w:rsidRPr="001407B6">
        <w:rPr>
          <w:lang w:val="sr-Latn-ME"/>
        </w:rPr>
        <w:t>ij</w:t>
      </w:r>
      <w:r w:rsidRPr="001407B6">
        <w:rPr>
          <w:lang w:val="sr-Latn-ME"/>
        </w:rPr>
        <w:t>eme organogeneze lavažom date oralne doze sevelamer hidrihlorida, javilo se povećanje ranih resorpcija u grupi koja je primala visoke doze (odgovarajuća doza za ljude dva puta veća od maksimalne doze u kliničkoj studiji).</w:t>
      </w:r>
    </w:p>
    <w:p w14:paraId="1CCAA8BC" w14:textId="77777777" w:rsidR="00ED42A2" w:rsidRPr="001407B6" w:rsidRDefault="00ED42A2" w:rsidP="00E97649">
      <w:pPr>
        <w:pStyle w:val="BodyText"/>
        <w:ind w:left="0"/>
        <w:jc w:val="both"/>
        <w:rPr>
          <w:lang w:val="sr-Latn-ME"/>
        </w:rPr>
      </w:pPr>
    </w:p>
    <w:p w14:paraId="21D399E8" w14:textId="1B8A1EC2" w:rsidR="00C8324B" w:rsidRPr="001407B6" w:rsidRDefault="00EA133D" w:rsidP="00E97649">
      <w:pPr>
        <w:pStyle w:val="BodyText"/>
        <w:ind w:left="0"/>
        <w:jc w:val="both"/>
        <w:rPr>
          <w:strike/>
          <w:lang w:val="sr-Latn-ME"/>
        </w:rPr>
      </w:pPr>
      <w:r w:rsidRPr="001407B6">
        <w:rPr>
          <w:lang w:val="sr-Latn-ME"/>
        </w:rPr>
        <w:t xml:space="preserve">U ispitivanju gde je </w:t>
      </w:r>
      <w:r w:rsidR="00D41A5F" w:rsidRPr="001407B6">
        <w:rPr>
          <w:lang w:val="sr-Latn-ME"/>
        </w:rPr>
        <w:t>lijek</w:t>
      </w:r>
      <w:r w:rsidRPr="001407B6">
        <w:rPr>
          <w:lang w:val="sr-Latn-ME"/>
        </w:rPr>
        <w:t xml:space="preserve"> dat preko hrane, ženke pacova su bile tretirane 14 dana pr</w:t>
      </w:r>
      <w:r w:rsidR="00E101D5" w:rsidRPr="001407B6">
        <w:rPr>
          <w:lang w:val="sr-Latn-ME"/>
        </w:rPr>
        <w:t>ij</w:t>
      </w:r>
      <w:r w:rsidRPr="001407B6">
        <w:rPr>
          <w:lang w:val="sr-Latn-ME"/>
        </w:rPr>
        <w:t>e parenja i sve vr</w:t>
      </w:r>
      <w:r w:rsidR="00E47AF3" w:rsidRPr="001407B6">
        <w:rPr>
          <w:lang w:val="sr-Latn-ME"/>
        </w:rPr>
        <w:t>ij</w:t>
      </w:r>
      <w:r w:rsidRPr="001407B6">
        <w:rPr>
          <w:lang w:val="sr-Latn-ME"/>
        </w:rPr>
        <w:t>eme trajanja gestacijskog perioda, a mužjaci 28 dana pr</w:t>
      </w:r>
      <w:r w:rsidR="00E47AF3" w:rsidRPr="001407B6">
        <w:rPr>
          <w:lang w:val="sr-Latn-ME"/>
        </w:rPr>
        <w:t>ij</w:t>
      </w:r>
      <w:r w:rsidRPr="001407B6">
        <w:rPr>
          <w:lang w:val="sr-Latn-ME"/>
        </w:rPr>
        <w:t>e parenja. Utvrđeno je da d</w:t>
      </w:r>
      <w:r w:rsidR="00E47AF3" w:rsidRPr="001407B6">
        <w:rPr>
          <w:lang w:val="sr-Latn-ME"/>
        </w:rPr>
        <w:t>j</w:t>
      </w:r>
      <w:r w:rsidRPr="001407B6">
        <w:rPr>
          <w:lang w:val="sr-Latn-ME"/>
        </w:rPr>
        <w:t>elovanje sevelamer</w:t>
      </w:r>
      <w:r w:rsidR="00E101D5" w:rsidRPr="001407B6">
        <w:rPr>
          <w:lang w:val="sr-Latn-ME"/>
        </w:rPr>
        <w:t xml:space="preserve"> hidrohlorida nije narušio plodnost oba pola. Najveća doza u studiji bila je 4,5 g/kg/dan (što na osnovu poređenja relativne tjelesne površine odgovara dvostrukoj najvišoj dozi za ljude u kliničkim ispitivanjima od 13 g/dan).</w:t>
      </w:r>
    </w:p>
    <w:p w14:paraId="1C82533A" w14:textId="24BA13E3" w:rsidR="00310119" w:rsidRPr="001407B6" w:rsidRDefault="00310119">
      <w:pPr>
        <w:pStyle w:val="BodyText"/>
        <w:ind w:right="98"/>
        <w:jc w:val="both"/>
        <w:rPr>
          <w:lang w:val="sr-Latn-ME"/>
        </w:rPr>
      </w:pPr>
    </w:p>
    <w:p w14:paraId="1199B546" w14:textId="77777777" w:rsidR="00B102F3" w:rsidRPr="001407B6" w:rsidRDefault="00B102F3">
      <w:pPr>
        <w:pStyle w:val="BodyText"/>
        <w:ind w:right="98"/>
        <w:jc w:val="both"/>
        <w:rPr>
          <w:lang w:val="sr-Latn-ME"/>
        </w:rPr>
      </w:pPr>
    </w:p>
    <w:p w14:paraId="4DC42DE0" w14:textId="3B917719" w:rsidR="00C8324B" w:rsidRPr="001407B6" w:rsidRDefault="00EA133D" w:rsidP="00E97649">
      <w:pPr>
        <w:pStyle w:val="Heading1"/>
        <w:numPr>
          <w:ilvl w:val="0"/>
          <w:numId w:val="1"/>
        </w:numPr>
        <w:spacing w:before="0"/>
        <w:ind w:left="284" w:hanging="284"/>
        <w:jc w:val="both"/>
        <w:rPr>
          <w:lang w:val="sr-Latn-ME"/>
        </w:rPr>
      </w:pPr>
      <w:r w:rsidRPr="001407B6">
        <w:rPr>
          <w:lang w:val="sr-Latn-ME"/>
        </w:rPr>
        <w:t>FARMACEUTSKI</w:t>
      </w:r>
      <w:r w:rsidRPr="001407B6">
        <w:rPr>
          <w:spacing w:val="-9"/>
          <w:lang w:val="sr-Latn-ME"/>
        </w:rPr>
        <w:t xml:space="preserve"> </w:t>
      </w:r>
      <w:r w:rsidRPr="001407B6">
        <w:rPr>
          <w:lang w:val="sr-Latn-ME"/>
        </w:rPr>
        <w:t>PODACI</w:t>
      </w:r>
    </w:p>
    <w:p w14:paraId="5692DD49" w14:textId="77777777" w:rsidR="00B102F3" w:rsidRPr="001407B6" w:rsidRDefault="00B102F3" w:rsidP="00E97649">
      <w:pPr>
        <w:pStyle w:val="Heading1"/>
        <w:spacing w:before="0"/>
        <w:ind w:left="284" w:firstLine="0"/>
        <w:jc w:val="both"/>
        <w:rPr>
          <w:lang w:val="sr-Latn-ME"/>
        </w:rPr>
      </w:pPr>
    </w:p>
    <w:p w14:paraId="7A20C6FC" w14:textId="3A56B3F7" w:rsidR="00C8324B" w:rsidRPr="001407B6" w:rsidRDefault="00EA133D" w:rsidP="00E97649">
      <w:pPr>
        <w:pStyle w:val="Heading2"/>
        <w:numPr>
          <w:ilvl w:val="1"/>
          <w:numId w:val="1"/>
        </w:numPr>
        <w:ind w:left="426" w:hanging="426"/>
        <w:jc w:val="both"/>
        <w:rPr>
          <w:lang w:val="sr-Latn-ME"/>
        </w:rPr>
      </w:pPr>
      <w:r w:rsidRPr="001407B6">
        <w:rPr>
          <w:lang w:val="sr-Latn-ME"/>
        </w:rPr>
        <w:t>Lista</w:t>
      </w:r>
      <w:r w:rsidRPr="001407B6">
        <w:rPr>
          <w:spacing w:val="-9"/>
          <w:lang w:val="sr-Latn-ME"/>
        </w:rPr>
        <w:t xml:space="preserve"> </w:t>
      </w:r>
      <w:r w:rsidRPr="001407B6">
        <w:rPr>
          <w:lang w:val="sr-Latn-ME"/>
        </w:rPr>
        <w:t>pomoćnih</w:t>
      </w:r>
      <w:r w:rsidRPr="001407B6">
        <w:rPr>
          <w:spacing w:val="-10"/>
          <w:lang w:val="sr-Latn-ME"/>
        </w:rPr>
        <w:t xml:space="preserve"> </w:t>
      </w:r>
      <w:r w:rsidRPr="001407B6">
        <w:rPr>
          <w:lang w:val="sr-Latn-ME"/>
        </w:rPr>
        <w:t>supstanci</w:t>
      </w:r>
      <w:r w:rsidR="00AC3FDD" w:rsidRPr="001407B6">
        <w:rPr>
          <w:lang w:val="sr-Latn-ME"/>
        </w:rPr>
        <w:t xml:space="preserve"> (ekscipijenasa)</w:t>
      </w:r>
    </w:p>
    <w:p w14:paraId="341B0EF7" w14:textId="77777777" w:rsidR="00B102F3" w:rsidRPr="001407B6" w:rsidRDefault="00B102F3" w:rsidP="00E97649">
      <w:pPr>
        <w:pStyle w:val="BodyText"/>
        <w:ind w:left="0"/>
        <w:jc w:val="both"/>
        <w:rPr>
          <w:u w:val="single"/>
          <w:lang w:val="sr-Latn-ME"/>
        </w:rPr>
      </w:pPr>
    </w:p>
    <w:p w14:paraId="567E9EDE" w14:textId="0AE2A686" w:rsidR="00C8324B" w:rsidRPr="001407B6" w:rsidRDefault="00EA133D" w:rsidP="00E97649">
      <w:pPr>
        <w:pStyle w:val="BodyText"/>
        <w:ind w:left="0"/>
        <w:jc w:val="both"/>
        <w:rPr>
          <w:lang w:val="sr-Latn-ME"/>
        </w:rPr>
      </w:pPr>
      <w:r w:rsidRPr="001407B6">
        <w:rPr>
          <w:u w:val="single"/>
          <w:lang w:val="sr-Latn-ME"/>
        </w:rPr>
        <w:t>Jezgro</w:t>
      </w:r>
      <w:r w:rsidRPr="001407B6">
        <w:rPr>
          <w:spacing w:val="-5"/>
          <w:u w:val="single"/>
          <w:lang w:val="sr-Latn-ME"/>
        </w:rPr>
        <w:t xml:space="preserve"> </w:t>
      </w:r>
      <w:r w:rsidRPr="001407B6">
        <w:rPr>
          <w:u w:val="single"/>
          <w:lang w:val="sr-Latn-ME"/>
        </w:rPr>
        <w:t>tablete:</w:t>
      </w:r>
    </w:p>
    <w:p w14:paraId="2E2642BD" w14:textId="7E45D567" w:rsidR="006306D4" w:rsidRPr="001407B6" w:rsidRDefault="00EA133D" w:rsidP="00E97649">
      <w:pPr>
        <w:pStyle w:val="BodyText"/>
        <w:ind w:left="0"/>
        <w:jc w:val="both"/>
        <w:rPr>
          <w:lang w:val="sr-Latn-ME"/>
        </w:rPr>
      </w:pPr>
      <w:r w:rsidRPr="001407B6">
        <w:rPr>
          <w:lang w:val="sr-Latn-ME"/>
        </w:rPr>
        <w:t>celuloza, mikrokristalna</w:t>
      </w:r>
    </w:p>
    <w:p w14:paraId="52A18516" w14:textId="058441DD" w:rsidR="00C8324B" w:rsidRPr="001407B6" w:rsidRDefault="00EA133D" w:rsidP="00E97649">
      <w:pPr>
        <w:pStyle w:val="BodyText"/>
        <w:ind w:left="0"/>
        <w:jc w:val="both"/>
        <w:rPr>
          <w:lang w:val="sr-Latn-ME"/>
        </w:rPr>
      </w:pPr>
      <w:r w:rsidRPr="001407B6">
        <w:rPr>
          <w:lang w:val="sr-Latn-ME"/>
        </w:rPr>
        <w:t>natrijum</w:t>
      </w:r>
      <w:r w:rsidR="00B102F3" w:rsidRPr="001407B6">
        <w:rPr>
          <w:lang w:val="sr-Latn-ME"/>
        </w:rPr>
        <w:t xml:space="preserve"> </w:t>
      </w:r>
      <w:r w:rsidRPr="001407B6">
        <w:rPr>
          <w:lang w:val="sr-Latn-ME"/>
        </w:rPr>
        <w:t>hlorid</w:t>
      </w:r>
    </w:p>
    <w:p w14:paraId="224A5D83" w14:textId="3FEDFD68" w:rsidR="006306D4" w:rsidRPr="001407B6" w:rsidRDefault="00EA133D" w:rsidP="00E97649">
      <w:pPr>
        <w:pStyle w:val="BodyText"/>
        <w:ind w:left="0"/>
        <w:jc w:val="both"/>
        <w:rPr>
          <w:lang w:val="sr-Latn-ME"/>
        </w:rPr>
      </w:pPr>
      <w:r w:rsidRPr="001407B6">
        <w:rPr>
          <w:lang w:val="sr-Latn-ME"/>
        </w:rPr>
        <w:t>cink</w:t>
      </w:r>
      <w:r w:rsidR="00B102F3" w:rsidRPr="001407B6">
        <w:rPr>
          <w:lang w:val="sr-Latn-ME"/>
        </w:rPr>
        <w:t xml:space="preserve"> </w:t>
      </w:r>
      <w:r w:rsidRPr="001407B6">
        <w:rPr>
          <w:lang w:val="sr-Latn-ME"/>
        </w:rPr>
        <w:t>stearat</w:t>
      </w:r>
    </w:p>
    <w:p w14:paraId="197B800D" w14:textId="19F23599" w:rsidR="00C8324B" w:rsidRPr="001407B6" w:rsidRDefault="00EA133D" w:rsidP="00E97649">
      <w:pPr>
        <w:pStyle w:val="BodyText"/>
        <w:ind w:left="0"/>
        <w:jc w:val="both"/>
        <w:rPr>
          <w:lang w:val="sr-Latn-ME"/>
        </w:rPr>
      </w:pPr>
      <w:r w:rsidRPr="001407B6">
        <w:rPr>
          <w:lang w:val="sr-Latn-ME"/>
        </w:rPr>
        <w:t>voda prečišćena</w:t>
      </w:r>
    </w:p>
    <w:p w14:paraId="3B276D30" w14:textId="77777777" w:rsidR="00B102F3" w:rsidRPr="001407B6" w:rsidRDefault="00B102F3" w:rsidP="00E97649">
      <w:pPr>
        <w:pStyle w:val="BodyText"/>
        <w:ind w:left="0"/>
        <w:jc w:val="both"/>
        <w:rPr>
          <w:u w:val="single"/>
          <w:lang w:val="sr-Latn-ME"/>
        </w:rPr>
      </w:pPr>
    </w:p>
    <w:p w14:paraId="31EC2B25" w14:textId="1524ADAC" w:rsidR="00C8324B" w:rsidRPr="001407B6" w:rsidRDefault="00EA133D" w:rsidP="00E97649">
      <w:pPr>
        <w:pStyle w:val="BodyText"/>
        <w:ind w:left="0"/>
        <w:jc w:val="both"/>
        <w:rPr>
          <w:lang w:val="sr-Latn-ME"/>
        </w:rPr>
      </w:pPr>
      <w:r w:rsidRPr="001407B6">
        <w:rPr>
          <w:u w:val="single"/>
          <w:lang w:val="sr-Latn-ME"/>
        </w:rPr>
        <w:t>Film</w:t>
      </w:r>
      <w:r w:rsidRPr="001407B6">
        <w:rPr>
          <w:spacing w:val="-5"/>
          <w:u w:val="single"/>
          <w:lang w:val="sr-Latn-ME"/>
        </w:rPr>
        <w:t xml:space="preserve"> </w:t>
      </w:r>
      <w:r w:rsidRPr="001407B6">
        <w:rPr>
          <w:u w:val="single"/>
          <w:lang w:val="sr-Latn-ME"/>
        </w:rPr>
        <w:t>tablete:</w:t>
      </w:r>
    </w:p>
    <w:p w14:paraId="00C13281" w14:textId="57F34246" w:rsidR="006306D4" w:rsidRPr="001407B6" w:rsidRDefault="00EA133D" w:rsidP="00E97649">
      <w:pPr>
        <w:pStyle w:val="BodyText"/>
        <w:ind w:left="0"/>
        <w:jc w:val="both"/>
        <w:rPr>
          <w:lang w:val="sr-Latn-ME"/>
        </w:rPr>
      </w:pPr>
      <w:r w:rsidRPr="001407B6">
        <w:rPr>
          <w:lang w:val="sr-Latn-ME"/>
        </w:rPr>
        <w:t>hipromeloza (E464)</w:t>
      </w:r>
    </w:p>
    <w:p w14:paraId="3D02BB63" w14:textId="4FACF949" w:rsidR="006306D4" w:rsidRPr="001407B6" w:rsidRDefault="00EA133D" w:rsidP="00E97649">
      <w:pPr>
        <w:pStyle w:val="BodyText"/>
        <w:ind w:left="0"/>
        <w:jc w:val="both"/>
        <w:rPr>
          <w:lang w:val="sr-Latn-ME"/>
        </w:rPr>
      </w:pPr>
      <w:r w:rsidRPr="001407B6">
        <w:rPr>
          <w:lang w:val="sr-Latn-ME"/>
        </w:rPr>
        <w:t>diacetilovani monogliceridi</w:t>
      </w:r>
      <w:r w:rsidR="006306D4" w:rsidRPr="001407B6">
        <w:rPr>
          <w:lang w:val="sr-Latn-ME"/>
        </w:rPr>
        <w:t xml:space="preserve"> </w:t>
      </w:r>
    </w:p>
    <w:p w14:paraId="4C3FFBAA" w14:textId="0EBB253B" w:rsidR="00C8324B" w:rsidRPr="001407B6" w:rsidRDefault="00EA133D" w:rsidP="00E97649">
      <w:pPr>
        <w:pStyle w:val="BodyText"/>
        <w:ind w:left="0"/>
        <w:jc w:val="both"/>
        <w:rPr>
          <w:lang w:val="sr-Latn-ME"/>
        </w:rPr>
      </w:pPr>
      <w:r w:rsidRPr="001407B6">
        <w:rPr>
          <w:lang w:val="sr-Latn-ME"/>
        </w:rPr>
        <w:t>voda prečišćena</w:t>
      </w:r>
      <w:r w:rsidR="006306D4" w:rsidRPr="001407B6">
        <w:rPr>
          <w:lang w:val="sr-Latn-ME"/>
        </w:rPr>
        <w:t>.</w:t>
      </w:r>
    </w:p>
    <w:p w14:paraId="1510060C" w14:textId="77777777" w:rsidR="00C8324B" w:rsidRPr="001407B6" w:rsidRDefault="00C8324B" w:rsidP="00E97649">
      <w:pPr>
        <w:pStyle w:val="BodyText"/>
        <w:ind w:left="0"/>
        <w:jc w:val="both"/>
        <w:rPr>
          <w:lang w:val="sr-Latn-ME"/>
        </w:rPr>
      </w:pPr>
    </w:p>
    <w:p w14:paraId="22C4BD6C" w14:textId="77777777" w:rsidR="00C8324B" w:rsidRPr="001407B6" w:rsidRDefault="00EA133D" w:rsidP="00E97649">
      <w:pPr>
        <w:pStyle w:val="Heading2"/>
        <w:numPr>
          <w:ilvl w:val="1"/>
          <w:numId w:val="1"/>
        </w:numPr>
        <w:ind w:left="426" w:hanging="426"/>
        <w:jc w:val="both"/>
        <w:rPr>
          <w:lang w:val="sr-Latn-ME"/>
        </w:rPr>
      </w:pPr>
      <w:r w:rsidRPr="001407B6">
        <w:rPr>
          <w:lang w:val="sr-Latn-ME"/>
        </w:rPr>
        <w:t>Inkompatibilnost</w:t>
      </w:r>
    </w:p>
    <w:p w14:paraId="70A3A183" w14:textId="77777777" w:rsidR="00C8324B" w:rsidRPr="001407B6" w:rsidRDefault="00C8324B" w:rsidP="00E97649">
      <w:pPr>
        <w:pStyle w:val="BodyText"/>
        <w:ind w:left="0"/>
        <w:jc w:val="both"/>
        <w:rPr>
          <w:b/>
          <w:sz w:val="21"/>
          <w:lang w:val="sr-Latn-ME"/>
        </w:rPr>
      </w:pPr>
    </w:p>
    <w:p w14:paraId="50781128" w14:textId="5D1093A4" w:rsidR="00C8324B" w:rsidRPr="001407B6" w:rsidRDefault="00EA133D" w:rsidP="00E97649">
      <w:pPr>
        <w:pStyle w:val="BodyText"/>
        <w:ind w:left="0"/>
        <w:jc w:val="both"/>
        <w:rPr>
          <w:lang w:val="sr-Latn-ME"/>
        </w:rPr>
      </w:pPr>
      <w:r w:rsidRPr="001407B6">
        <w:rPr>
          <w:lang w:val="sr-Latn-ME"/>
        </w:rPr>
        <w:t xml:space="preserve">Nije </w:t>
      </w:r>
      <w:r w:rsidR="000206AA" w:rsidRPr="001407B6">
        <w:rPr>
          <w:lang w:val="sr-Latn-ME"/>
        </w:rPr>
        <w:t>zabilježena</w:t>
      </w:r>
      <w:r w:rsidRPr="001407B6">
        <w:rPr>
          <w:lang w:val="sr-Latn-ME"/>
        </w:rPr>
        <w:t>.</w:t>
      </w:r>
    </w:p>
    <w:p w14:paraId="2936FB08" w14:textId="77777777" w:rsidR="00C8324B" w:rsidRPr="001407B6" w:rsidRDefault="00C8324B" w:rsidP="00E97649">
      <w:pPr>
        <w:pStyle w:val="BodyText"/>
        <w:ind w:left="0"/>
        <w:jc w:val="both"/>
        <w:rPr>
          <w:lang w:val="sr-Latn-ME"/>
        </w:rPr>
      </w:pPr>
    </w:p>
    <w:p w14:paraId="3D493108" w14:textId="77777777" w:rsidR="00C8324B" w:rsidRPr="001407B6" w:rsidRDefault="00EA133D" w:rsidP="00E97649">
      <w:pPr>
        <w:pStyle w:val="Heading2"/>
        <w:numPr>
          <w:ilvl w:val="1"/>
          <w:numId w:val="1"/>
        </w:numPr>
        <w:spacing w:line="252" w:lineRule="exact"/>
        <w:ind w:left="426" w:hanging="426"/>
        <w:jc w:val="both"/>
        <w:rPr>
          <w:lang w:val="sr-Latn-ME"/>
        </w:rPr>
      </w:pPr>
      <w:r w:rsidRPr="001407B6">
        <w:rPr>
          <w:lang w:val="sr-Latn-ME"/>
        </w:rPr>
        <w:t>Rok</w:t>
      </w:r>
      <w:r w:rsidRPr="001407B6">
        <w:rPr>
          <w:spacing w:val="-4"/>
          <w:lang w:val="sr-Latn-ME"/>
        </w:rPr>
        <w:t xml:space="preserve"> </w:t>
      </w:r>
      <w:r w:rsidRPr="001407B6">
        <w:rPr>
          <w:lang w:val="sr-Latn-ME"/>
        </w:rPr>
        <w:t>upotrebe</w:t>
      </w:r>
    </w:p>
    <w:p w14:paraId="6A3CD7D1" w14:textId="77777777" w:rsidR="002C1BAB" w:rsidRPr="001407B6" w:rsidRDefault="002C1BAB" w:rsidP="00E97649">
      <w:pPr>
        <w:pStyle w:val="BodyText"/>
        <w:spacing w:line="252" w:lineRule="exact"/>
        <w:jc w:val="both"/>
        <w:rPr>
          <w:lang w:val="sr-Latn-ME"/>
        </w:rPr>
      </w:pPr>
    </w:p>
    <w:p w14:paraId="3BEAD28D" w14:textId="69167C5C" w:rsidR="00C8324B" w:rsidRPr="001407B6" w:rsidRDefault="00EA133D" w:rsidP="00E97649">
      <w:pPr>
        <w:pStyle w:val="BodyText"/>
        <w:ind w:left="0"/>
        <w:jc w:val="both"/>
        <w:rPr>
          <w:lang w:val="sr-Latn-ME"/>
        </w:rPr>
      </w:pPr>
      <w:r w:rsidRPr="001407B6">
        <w:rPr>
          <w:lang w:val="sr-Latn-ME"/>
        </w:rPr>
        <w:t>3 godine.</w:t>
      </w:r>
    </w:p>
    <w:p w14:paraId="1A14D156" w14:textId="77777777" w:rsidR="00C8324B" w:rsidRPr="001407B6" w:rsidRDefault="00C8324B" w:rsidP="00E97649">
      <w:pPr>
        <w:pStyle w:val="BodyText"/>
        <w:ind w:left="0"/>
        <w:jc w:val="both"/>
        <w:rPr>
          <w:lang w:val="sr-Latn-ME"/>
        </w:rPr>
      </w:pPr>
    </w:p>
    <w:p w14:paraId="2BAFA0DE" w14:textId="066B10BE" w:rsidR="00C8324B" w:rsidRPr="001407B6" w:rsidRDefault="00EA133D" w:rsidP="00E97649">
      <w:pPr>
        <w:pStyle w:val="Heading2"/>
        <w:numPr>
          <w:ilvl w:val="1"/>
          <w:numId w:val="1"/>
        </w:numPr>
        <w:spacing w:line="252" w:lineRule="exact"/>
        <w:ind w:left="426" w:hanging="426"/>
        <w:jc w:val="both"/>
        <w:rPr>
          <w:lang w:val="sr-Latn-ME"/>
        </w:rPr>
      </w:pPr>
      <w:r w:rsidRPr="001407B6">
        <w:rPr>
          <w:lang w:val="sr-Latn-ME"/>
        </w:rPr>
        <w:t>Posebne</w:t>
      </w:r>
      <w:r w:rsidRPr="001407B6">
        <w:rPr>
          <w:spacing w:val="-5"/>
          <w:lang w:val="sr-Latn-ME"/>
        </w:rPr>
        <w:t xml:space="preserve"> </w:t>
      </w:r>
      <w:r w:rsidRPr="001407B6">
        <w:rPr>
          <w:lang w:val="sr-Latn-ME"/>
        </w:rPr>
        <w:t>mere</w:t>
      </w:r>
      <w:r w:rsidRPr="001407B6">
        <w:rPr>
          <w:spacing w:val="-1"/>
          <w:lang w:val="sr-Latn-ME"/>
        </w:rPr>
        <w:t xml:space="preserve"> </w:t>
      </w:r>
      <w:r w:rsidRPr="001407B6">
        <w:rPr>
          <w:lang w:val="sr-Latn-ME"/>
        </w:rPr>
        <w:t>opreza</w:t>
      </w:r>
      <w:r w:rsidRPr="001407B6">
        <w:rPr>
          <w:spacing w:val="-1"/>
          <w:lang w:val="sr-Latn-ME"/>
        </w:rPr>
        <w:t xml:space="preserve"> </w:t>
      </w:r>
      <w:r w:rsidRPr="001407B6">
        <w:rPr>
          <w:lang w:val="sr-Latn-ME"/>
        </w:rPr>
        <w:t>pri</w:t>
      </w:r>
      <w:r w:rsidRPr="001407B6">
        <w:rPr>
          <w:spacing w:val="-4"/>
          <w:lang w:val="sr-Latn-ME"/>
        </w:rPr>
        <w:t xml:space="preserve"> </w:t>
      </w:r>
      <w:r w:rsidRPr="001407B6">
        <w:rPr>
          <w:lang w:val="sr-Latn-ME"/>
        </w:rPr>
        <w:t>čuvanju</w:t>
      </w:r>
      <w:r w:rsidR="00AC3FDD" w:rsidRPr="001407B6">
        <w:rPr>
          <w:lang w:val="sr-Latn-ME"/>
        </w:rPr>
        <w:t xml:space="preserve"> lijeka</w:t>
      </w:r>
    </w:p>
    <w:p w14:paraId="7A2EE097" w14:textId="77777777" w:rsidR="002C1BAB" w:rsidRPr="001407B6" w:rsidRDefault="002C1BAB" w:rsidP="00E97649">
      <w:pPr>
        <w:pStyle w:val="BodyText"/>
        <w:spacing w:line="251" w:lineRule="exact"/>
        <w:jc w:val="both"/>
        <w:rPr>
          <w:lang w:val="sr-Latn-ME"/>
        </w:rPr>
      </w:pPr>
    </w:p>
    <w:p w14:paraId="0BBB2936" w14:textId="19981373" w:rsidR="00C8324B" w:rsidRPr="001407B6" w:rsidRDefault="00EA133D" w:rsidP="00E97649">
      <w:pPr>
        <w:pStyle w:val="BodyText"/>
        <w:ind w:left="0"/>
        <w:jc w:val="both"/>
        <w:rPr>
          <w:lang w:val="sr-Latn-ME"/>
        </w:rPr>
      </w:pPr>
      <w:r w:rsidRPr="001407B6">
        <w:rPr>
          <w:lang w:val="sr-Latn-ME"/>
        </w:rPr>
        <w:t>Bocu čuvati dobro zatvorenu, radi zaštite od vlage.</w:t>
      </w:r>
    </w:p>
    <w:p w14:paraId="2628B7D0" w14:textId="565D697E" w:rsidR="00C8324B" w:rsidRPr="001407B6" w:rsidRDefault="00EA133D" w:rsidP="00E97649">
      <w:pPr>
        <w:pStyle w:val="BodyText"/>
        <w:ind w:left="0"/>
        <w:jc w:val="both"/>
        <w:rPr>
          <w:lang w:val="sr-Latn-ME"/>
        </w:rPr>
      </w:pPr>
      <w:r w:rsidRPr="001407B6">
        <w:rPr>
          <w:lang w:val="sr-Latn-ME"/>
        </w:rPr>
        <w:t xml:space="preserve">Ovaj </w:t>
      </w:r>
      <w:r w:rsidR="00D41A5F" w:rsidRPr="001407B6">
        <w:rPr>
          <w:lang w:val="sr-Latn-ME"/>
        </w:rPr>
        <w:t>lijek</w:t>
      </w:r>
      <w:r w:rsidRPr="001407B6">
        <w:rPr>
          <w:lang w:val="sr-Latn-ME"/>
        </w:rPr>
        <w:t xml:space="preserve"> ne zaht</w:t>
      </w:r>
      <w:r w:rsidR="00E47AF3" w:rsidRPr="001407B6">
        <w:rPr>
          <w:lang w:val="sr-Latn-ME"/>
        </w:rPr>
        <w:t>j</w:t>
      </w:r>
      <w:r w:rsidRPr="001407B6">
        <w:rPr>
          <w:lang w:val="sr-Latn-ME"/>
        </w:rPr>
        <w:t>eva posebne temperaturne uslove čuvanja.</w:t>
      </w:r>
    </w:p>
    <w:p w14:paraId="0E052276" w14:textId="77777777" w:rsidR="00C8324B" w:rsidRPr="001407B6" w:rsidRDefault="00C8324B" w:rsidP="00E97649">
      <w:pPr>
        <w:pStyle w:val="BodyText"/>
        <w:ind w:left="0"/>
        <w:jc w:val="both"/>
        <w:rPr>
          <w:lang w:val="sr-Latn-ME"/>
        </w:rPr>
      </w:pPr>
    </w:p>
    <w:p w14:paraId="7607B0F4" w14:textId="0CE8F898" w:rsidR="00C8324B" w:rsidRPr="001407B6" w:rsidRDefault="00AC3FDD" w:rsidP="00E97649">
      <w:pPr>
        <w:pStyle w:val="Heading2"/>
        <w:numPr>
          <w:ilvl w:val="1"/>
          <w:numId w:val="1"/>
        </w:numPr>
        <w:ind w:left="426" w:hanging="426"/>
        <w:jc w:val="both"/>
        <w:rPr>
          <w:lang w:val="sr-Latn-ME"/>
        </w:rPr>
      </w:pPr>
      <w:r w:rsidRPr="001407B6">
        <w:rPr>
          <w:lang w:val="sr-Latn-ME"/>
        </w:rPr>
        <w:t>Vrst</w:t>
      </w:r>
      <w:r w:rsidR="00EA133D" w:rsidRPr="001407B6">
        <w:rPr>
          <w:lang w:val="sr-Latn-ME"/>
        </w:rPr>
        <w:t>a</w:t>
      </w:r>
      <w:r w:rsidR="00EA133D" w:rsidRPr="001407B6">
        <w:rPr>
          <w:spacing w:val="-5"/>
          <w:lang w:val="sr-Latn-ME"/>
        </w:rPr>
        <w:t xml:space="preserve"> </w:t>
      </w:r>
      <w:r w:rsidR="00EA133D" w:rsidRPr="001407B6">
        <w:rPr>
          <w:lang w:val="sr-Latn-ME"/>
        </w:rPr>
        <w:t>i</w:t>
      </w:r>
      <w:r w:rsidR="00EA133D" w:rsidRPr="001407B6">
        <w:rPr>
          <w:spacing w:val="-4"/>
          <w:lang w:val="sr-Latn-ME"/>
        </w:rPr>
        <w:t xml:space="preserve"> </w:t>
      </w:r>
      <w:r w:rsidR="00EA133D" w:rsidRPr="001407B6">
        <w:rPr>
          <w:lang w:val="sr-Latn-ME"/>
        </w:rPr>
        <w:t>sadržaj</w:t>
      </w:r>
      <w:r w:rsidR="00EA133D" w:rsidRPr="001407B6">
        <w:rPr>
          <w:spacing w:val="-4"/>
          <w:lang w:val="sr-Latn-ME"/>
        </w:rPr>
        <w:t xml:space="preserve"> </w:t>
      </w:r>
      <w:r w:rsidR="00EA133D" w:rsidRPr="001407B6">
        <w:rPr>
          <w:lang w:val="sr-Latn-ME"/>
        </w:rPr>
        <w:t>pakovanja</w:t>
      </w:r>
    </w:p>
    <w:p w14:paraId="201C784E" w14:textId="77777777" w:rsidR="00C8324B" w:rsidRPr="001407B6" w:rsidRDefault="00C8324B" w:rsidP="00E97649">
      <w:pPr>
        <w:pStyle w:val="BodyText"/>
        <w:ind w:left="0"/>
        <w:jc w:val="both"/>
        <w:rPr>
          <w:b/>
          <w:sz w:val="21"/>
          <w:lang w:val="sr-Latn-ME"/>
        </w:rPr>
      </w:pPr>
    </w:p>
    <w:p w14:paraId="7F3FFEF5" w14:textId="58A4DCCA" w:rsidR="00C8324B" w:rsidRPr="001407B6" w:rsidRDefault="00EA133D" w:rsidP="00E97649">
      <w:pPr>
        <w:pStyle w:val="BodyText"/>
        <w:ind w:left="0"/>
        <w:jc w:val="both"/>
        <w:rPr>
          <w:lang w:val="sr-Latn-ME"/>
        </w:rPr>
      </w:pPr>
      <w:r w:rsidRPr="001407B6">
        <w:rPr>
          <w:lang w:val="sr-Latn-ME"/>
        </w:rPr>
        <w:t xml:space="preserve">Pakovanje </w:t>
      </w:r>
      <w:r w:rsidR="00D41A5F" w:rsidRPr="001407B6">
        <w:rPr>
          <w:lang w:val="sr-Latn-ME"/>
        </w:rPr>
        <w:t>lijek</w:t>
      </w:r>
      <w:r w:rsidRPr="001407B6">
        <w:rPr>
          <w:lang w:val="sr-Latn-ME"/>
        </w:rPr>
        <w:t>a je boca od polipropilena visoke gustine (HDPE) sa polipropilenskim zatvaračem i zapečaćenom zaštitnom folijom. Boca sadrži 180 film tableta.</w:t>
      </w:r>
      <w:r w:rsidR="00E47AF3" w:rsidRPr="001407B6">
        <w:rPr>
          <w:lang w:val="sr-Latn-ME"/>
        </w:rPr>
        <w:t xml:space="preserve"> </w:t>
      </w:r>
      <w:r w:rsidRPr="001407B6">
        <w:rPr>
          <w:lang w:val="sr-Latn-ME"/>
        </w:rPr>
        <w:t xml:space="preserve">Uz bocu </w:t>
      </w:r>
      <w:r w:rsidR="00D41A5F" w:rsidRPr="001407B6">
        <w:rPr>
          <w:lang w:val="sr-Latn-ME"/>
        </w:rPr>
        <w:t>lijek</w:t>
      </w:r>
      <w:r w:rsidRPr="001407B6">
        <w:rPr>
          <w:lang w:val="sr-Latn-ME"/>
        </w:rPr>
        <w:t xml:space="preserve">a se nalazi i Uputstvo za </w:t>
      </w:r>
      <w:r w:rsidR="00D41A5F" w:rsidRPr="001407B6">
        <w:rPr>
          <w:lang w:val="sr-Latn-ME"/>
        </w:rPr>
        <w:t>lijek</w:t>
      </w:r>
      <w:r w:rsidRPr="001407B6">
        <w:rPr>
          <w:lang w:val="sr-Latn-ME"/>
        </w:rPr>
        <w:t>.</w:t>
      </w:r>
    </w:p>
    <w:p w14:paraId="5524E6CD" w14:textId="77777777" w:rsidR="00C8324B" w:rsidRPr="001407B6" w:rsidRDefault="00C8324B" w:rsidP="00E97649">
      <w:pPr>
        <w:pStyle w:val="BodyText"/>
        <w:ind w:left="0"/>
        <w:jc w:val="both"/>
        <w:rPr>
          <w:lang w:val="sr-Latn-ME"/>
        </w:rPr>
      </w:pPr>
    </w:p>
    <w:p w14:paraId="03B73299" w14:textId="48B27D17" w:rsidR="00C8324B" w:rsidRPr="001407B6" w:rsidRDefault="00EA133D" w:rsidP="00E97649">
      <w:pPr>
        <w:pStyle w:val="Heading2"/>
        <w:numPr>
          <w:ilvl w:val="1"/>
          <w:numId w:val="1"/>
        </w:numPr>
        <w:ind w:left="426" w:right="112" w:hanging="426"/>
        <w:jc w:val="both"/>
        <w:rPr>
          <w:lang w:val="sr-Latn-ME"/>
        </w:rPr>
      </w:pPr>
      <w:r w:rsidRPr="001407B6">
        <w:rPr>
          <w:lang w:val="sr-Latn-ME"/>
        </w:rPr>
        <w:t>Posebne</w:t>
      </w:r>
      <w:r w:rsidRPr="001407B6">
        <w:rPr>
          <w:spacing w:val="24"/>
          <w:lang w:val="sr-Latn-ME"/>
        </w:rPr>
        <w:t xml:space="preserve"> </w:t>
      </w:r>
      <w:r w:rsidRPr="001407B6">
        <w:rPr>
          <w:lang w:val="sr-Latn-ME"/>
        </w:rPr>
        <w:t>m</w:t>
      </w:r>
      <w:r w:rsidR="00E47AF3" w:rsidRPr="001407B6">
        <w:rPr>
          <w:lang w:val="sr-Latn-ME"/>
        </w:rPr>
        <w:t>j</w:t>
      </w:r>
      <w:r w:rsidRPr="001407B6">
        <w:rPr>
          <w:lang w:val="sr-Latn-ME"/>
        </w:rPr>
        <w:t>ere</w:t>
      </w:r>
      <w:r w:rsidRPr="001407B6">
        <w:rPr>
          <w:spacing w:val="20"/>
          <w:lang w:val="sr-Latn-ME"/>
        </w:rPr>
        <w:t xml:space="preserve"> </w:t>
      </w:r>
      <w:r w:rsidRPr="001407B6">
        <w:rPr>
          <w:lang w:val="sr-Latn-ME"/>
        </w:rPr>
        <w:t>opreza</w:t>
      </w:r>
      <w:r w:rsidRPr="001407B6">
        <w:rPr>
          <w:spacing w:val="23"/>
          <w:lang w:val="sr-Latn-ME"/>
        </w:rPr>
        <w:t xml:space="preserve"> </w:t>
      </w:r>
      <w:r w:rsidRPr="001407B6">
        <w:rPr>
          <w:lang w:val="sr-Latn-ME"/>
        </w:rPr>
        <w:t>pri</w:t>
      </w:r>
      <w:r w:rsidRPr="001407B6">
        <w:rPr>
          <w:spacing w:val="21"/>
          <w:lang w:val="sr-Latn-ME"/>
        </w:rPr>
        <w:t xml:space="preserve"> </w:t>
      </w:r>
      <w:r w:rsidRPr="001407B6">
        <w:rPr>
          <w:lang w:val="sr-Latn-ME"/>
        </w:rPr>
        <w:t>odlaganju</w:t>
      </w:r>
      <w:r w:rsidRPr="001407B6">
        <w:rPr>
          <w:spacing w:val="28"/>
          <w:lang w:val="sr-Latn-ME"/>
        </w:rPr>
        <w:t xml:space="preserve"> </w:t>
      </w:r>
      <w:r w:rsidRPr="001407B6">
        <w:rPr>
          <w:lang w:val="sr-Latn-ME"/>
        </w:rPr>
        <w:t>materijala</w:t>
      </w:r>
      <w:r w:rsidRPr="001407B6">
        <w:rPr>
          <w:spacing w:val="26"/>
          <w:lang w:val="sr-Latn-ME"/>
        </w:rPr>
        <w:t xml:space="preserve"> </w:t>
      </w:r>
      <w:r w:rsidRPr="001407B6">
        <w:rPr>
          <w:lang w:val="sr-Latn-ME"/>
        </w:rPr>
        <w:t>koji</w:t>
      </w:r>
      <w:r w:rsidRPr="001407B6">
        <w:rPr>
          <w:spacing w:val="24"/>
          <w:lang w:val="sr-Latn-ME"/>
        </w:rPr>
        <w:t xml:space="preserve"> </w:t>
      </w:r>
      <w:r w:rsidRPr="001407B6">
        <w:rPr>
          <w:lang w:val="sr-Latn-ME"/>
        </w:rPr>
        <w:t>treba</w:t>
      </w:r>
      <w:r w:rsidRPr="001407B6">
        <w:rPr>
          <w:spacing w:val="22"/>
          <w:lang w:val="sr-Latn-ME"/>
        </w:rPr>
        <w:t xml:space="preserve"> </w:t>
      </w:r>
      <w:r w:rsidRPr="001407B6">
        <w:rPr>
          <w:lang w:val="sr-Latn-ME"/>
        </w:rPr>
        <w:t>odbaciti</w:t>
      </w:r>
      <w:r w:rsidRPr="001407B6">
        <w:rPr>
          <w:spacing w:val="26"/>
          <w:lang w:val="sr-Latn-ME"/>
        </w:rPr>
        <w:t xml:space="preserve"> </w:t>
      </w:r>
      <w:r w:rsidRPr="001407B6">
        <w:rPr>
          <w:lang w:val="sr-Latn-ME"/>
        </w:rPr>
        <w:t>nakon</w:t>
      </w:r>
      <w:r w:rsidRPr="001407B6">
        <w:rPr>
          <w:spacing w:val="27"/>
          <w:lang w:val="sr-Latn-ME"/>
        </w:rPr>
        <w:t xml:space="preserve"> </w:t>
      </w:r>
      <w:r w:rsidR="00D41A5F" w:rsidRPr="001407B6">
        <w:rPr>
          <w:lang w:val="sr-Latn-ME"/>
        </w:rPr>
        <w:t>primjen</w:t>
      </w:r>
      <w:r w:rsidRPr="001407B6">
        <w:rPr>
          <w:lang w:val="sr-Latn-ME"/>
        </w:rPr>
        <w:t>e</w:t>
      </w:r>
      <w:r w:rsidRPr="001407B6">
        <w:rPr>
          <w:spacing w:val="26"/>
          <w:lang w:val="sr-Latn-ME"/>
        </w:rPr>
        <w:t xml:space="preserve"> </w:t>
      </w:r>
      <w:r w:rsidR="00D41A5F" w:rsidRPr="001407B6">
        <w:rPr>
          <w:lang w:val="sr-Latn-ME"/>
        </w:rPr>
        <w:t>lijek</w:t>
      </w:r>
      <w:r w:rsidRPr="001407B6">
        <w:rPr>
          <w:lang w:val="sr-Latn-ME"/>
        </w:rPr>
        <w:t>a</w:t>
      </w:r>
      <w:r w:rsidRPr="001407B6">
        <w:rPr>
          <w:spacing w:val="21"/>
          <w:lang w:val="sr-Latn-ME"/>
        </w:rPr>
        <w:t xml:space="preserve"> </w:t>
      </w:r>
      <w:r w:rsidRPr="001407B6">
        <w:rPr>
          <w:lang w:val="sr-Latn-ME"/>
        </w:rPr>
        <w:t>(i</w:t>
      </w:r>
      <w:r w:rsidRPr="001407B6">
        <w:rPr>
          <w:spacing w:val="23"/>
          <w:lang w:val="sr-Latn-ME"/>
        </w:rPr>
        <w:t xml:space="preserve"> </w:t>
      </w:r>
      <w:r w:rsidRPr="001407B6">
        <w:rPr>
          <w:lang w:val="sr-Latn-ME"/>
        </w:rPr>
        <w:t>dru</w:t>
      </w:r>
      <w:r w:rsidR="00E47AF3" w:rsidRPr="001407B6">
        <w:rPr>
          <w:lang w:val="sr-Latn-ME"/>
        </w:rPr>
        <w:t xml:space="preserve">ga </w:t>
      </w:r>
      <w:r w:rsidRPr="001407B6">
        <w:rPr>
          <w:lang w:val="sr-Latn-ME"/>
        </w:rPr>
        <w:t>uputstva</w:t>
      </w:r>
      <w:r w:rsidRPr="001407B6">
        <w:rPr>
          <w:spacing w:val="-2"/>
          <w:lang w:val="sr-Latn-ME"/>
        </w:rPr>
        <w:t xml:space="preserve"> </w:t>
      </w:r>
      <w:r w:rsidRPr="001407B6">
        <w:rPr>
          <w:lang w:val="sr-Latn-ME"/>
        </w:rPr>
        <w:t>za</w:t>
      </w:r>
      <w:r w:rsidRPr="001407B6">
        <w:rPr>
          <w:spacing w:val="-1"/>
          <w:lang w:val="sr-Latn-ME"/>
        </w:rPr>
        <w:t xml:space="preserve"> </w:t>
      </w:r>
      <w:r w:rsidRPr="001407B6">
        <w:rPr>
          <w:lang w:val="sr-Latn-ME"/>
        </w:rPr>
        <w:t>rukovanje</w:t>
      </w:r>
      <w:r w:rsidRPr="001407B6">
        <w:rPr>
          <w:spacing w:val="-1"/>
          <w:lang w:val="sr-Latn-ME"/>
        </w:rPr>
        <w:t xml:space="preserve"> </w:t>
      </w:r>
      <w:r w:rsidR="00D41A5F" w:rsidRPr="001407B6">
        <w:rPr>
          <w:lang w:val="sr-Latn-ME"/>
        </w:rPr>
        <w:t>lijek</w:t>
      </w:r>
      <w:r w:rsidRPr="001407B6">
        <w:rPr>
          <w:lang w:val="sr-Latn-ME"/>
        </w:rPr>
        <w:t>om)</w:t>
      </w:r>
    </w:p>
    <w:p w14:paraId="261CCF2E" w14:textId="77777777" w:rsidR="00C8324B" w:rsidRPr="001407B6" w:rsidRDefault="00C8324B" w:rsidP="00E97649">
      <w:pPr>
        <w:pStyle w:val="BodyText"/>
        <w:ind w:left="0"/>
        <w:jc w:val="both"/>
        <w:rPr>
          <w:b/>
          <w:sz w:val="21"/>
          <w:lang w:val="sr-Latn-ME"/>
        </w:rPr>
      </w:pPr>
    </w:p>
    <w:p w14:paraId="3A44E902" w14:textId="00FAF6CB" w:rsidR="00C8324B" w:rsidRPr="001407B6" w:rsidRDefault="00EA133D" w:rsidP="00E97649">
      <w:pPr>
        <w:pStyle w:val="BodyText"/>
        <w:ind w:left="0"/>
        <w:jc w:val="both"/>
        <w:rPr>
          <w:lang w:val="sr-Latn-ME"/>
        </w:rPr>
      </w:pPr>
      <w:r w:rsidRPr="001407B6">
        <w:rPr>
          <w:lang w:val="sr-Latn-ME"/>
        </w:rPr>
        <w:t xml:space="preserve">Svu neiskorišćenu količinu </w:t>
      </w:r>
      <w:r w:rsidR="00D41A5F" w:rsidRPr="001407B6">
        <w:rPr>
          <w:lang w:val="sr-Latn-ME"/>
        </w:rPr>
        <w:t>lijek</w:t>
      </w:r>
      <w:r w:rsidRPr="001407B6">
        <w:rPr>
          <w:lang w:val="sr-Latn-ME"/>
        </w:rPr>
        <w:t xml:space="preserve">a kao i otpadni materijal koji ostaje nakon upotrebe </w:t>
      </w:r>
      <w:r w:rsidR="00D41A5F" w:rsidRPr="001407B6">
        <w:rPr>
          <w:lang w:val="sr-Latn-ME"/>
        </w:rPr>
        <w:t>lijek</w:t>
      </w:r>
      <w:r w:rsidRPr="001407B6">
        <w:rPr>
          <w:lang w:val="sr-Latn-ME"/>
        </w:rPr>
        <w:t>a treba odbaciti u skladu sa lokalnim propisima.</w:t>
      </w:r>
    </w:p>
    <w:p w14:paraId="36DA67DE" w14:textId="0D97B83A" w:rsidR="00D7299C" w:rsidRPr="001407B6" w:rsidRDefault="00D7299C" w:rsidP="00E97649">
      <w:pPr>
        <w:pStyle w:val="BodyText"/>
        <w:ind w:left="0"/>
        <w:jc w:val="both"/>
        <w:rPr>
          <w:lang w:val="sr-Latn-ME"/>
        </w:rPr>
      </w:pPr>
    </w:p>
    <w:p w14:paraId="10833B5A" w14:textId="77777777" w:rsidR="00B102F3" w:rsidRPr="001407B6" w:rsidRDefault="00B102F3" w:rsidP="00E97649">
      <w:pPr>
        <w:pStyle w:val="BodyText"/>
        <w:jc w:val="both"/>
        <w:rPr>
          <w:lang w:val="sr-Latn-ME"/>
        </w:rPr>
      </w:pPr>
    </w:p>
    <w:p w14:paraId="00ABCEA4" w14:textId="77777777" w:rsidR="00C8324B" w:rsidRPr="001407B6" w:rsidRDefault="00EA133D" w:rsidP="00E97649">
      <w:pPr>
        <w:pStyle w:val="Heading1"/>
        <w:numPr>
          <w:ilvl w:val="0"/>
          <w:numId w:val="1"/>
        </w:numPr>
        <w:spacing w:before="0"/>
        <w:ind w:left="284" w:hanging="284"/>
        <w:jc w:val="both"/>
        <w:rPr>
          <w:lang w:val="sr-Latn-ME"/>
        </w:rPr>
      </w:pPr>
      <w:r w:rsidRPr="001407B6">
        <w:rPr>
          <w:lang w:val="sr-Latn-ME"/>
        </w:rPr>
        <w:t>NOSILAC</w:t>
      </w:r>
      <w:r w:rsidRPr="001407B6">
        <w:rPr>
          <w:spacing w:val="-4"/>
          <w:lang w:val="sr-Latn-ME"/>
        </w:rPr>
        <w:t xml:space="preserve"> </w:t>
      </w:r>
      <w:r w:rsidRPr="001407B6">
        <w:rPr>
          <w:lang w:val="sr-Latn-ME"/>
        </w:rPr>
        <w:t>DOZVOLE</w:t>
      </w:r>
    </w:p>
    <w:p w14:paraId="5F073E9E" w14:textId="77777777" w:rsidR="0060450E" w:rsidRPr="001407B6" w:rsidRDefault="0060450E" w:rsidP="00E97649">
      <w:pPr>
        <w:pStyle w:val="BodyText"/>
        <w:jc w:val="both"/>
        <w:rPr>
          <w:lang w:val="sr-Latn-ME"/>
        </w:rPr>
      </w:pPr>
    </w:p>
    <w:p w14:paraId="718108F0" w14:textId="140D5875" w:rsidR="0060450E" w:rsidRPr="001407B6" w:rsidRDefault="0060450E" w:rsidP="00E97649">
      <w:pPr>
        <w:pStyle w:val="BodyText"/>
        <w:ind w:left="0"/>
        <w:jc w:val="both"/>
        <w:rPr>
          <w:lang w:val="sr-Latn-ME"/>
        </w:rPr>
      </w:pPr>
      <w:r w:rsidRPr="001407B6">
        <w:rPr>
          <w:lang w:val="sr-Latn-ME"/>
        </w:rPr>
        <w:t>AMICUS PHARMA D.O.O. PODGORICA</w:t>
      </w:r>
    </w:p>
    <w:p w14:paraId="1177643E" w14:textId="73CF8A3C" w:rsidR="00C8324B" w:rsidRPr="001407B6" w:rsidRDefault="0060450E" w:rsidP="00E97649">
      <w:pPr>
        <w:pStyle w:val="BodyText"/>
        <w:ind w:left="0"/>
        <w:jc w:val="both"/>
        <w:rPr>
          <w:lang w:val="sr-Latn-ME"/>
        </w:rPr>
      </w:pPr>
      <w:r w:rsidRPr="001407B6">
        <w:rPr>
          <w:lang w:val="sr-Latn-ME"/>
        </w:rPr>
        <w:t>Bulevar Džordža Vašingtona 51, 81 000 Podgorica</w:t>
      </w:r>
    </w:p>
    <w:p w14:paraId="7BF71C40" w14:textId="07EE7D45" w:rsidR="00D7299C" w:rsidRPr="001407B6" w:rsidRDefault="00D7299C" w:rsidP="00E97649">
      <w:pPr>
        <w:pStyle w:val="BodyText"/>
        <w:ind w:left="0"/>
        <w:jc w:val="both"/>
        <w:rPr>
          <w:lang w:val="sr-Latn-ME"/>
        </w:rPr>
      </w:pPr>
    </w:p>
    <w:p w14:paraId="63486946" w14:textId="77777777" w:rsidR="00B102F3" w:rsidRPr="001407B6" w:rsidRDefault="00B102F3" w:rsidP="00E97649">
      <w:pPr>
        <w:pStyle w:val="BodyText"/>
        <w:jc w:val="both"/>
        <w:rPr>
          <w:lang w:val="sr-Latn-ME"/>
        </w:rPr>
      </w:pPr>
    </w:p>
    <w:p w14:paraId="2C4D6136" w14:textId="5744433B" w:rsidR="00C8324B" w:rsidRPr="001407B6" w:rsidRDefault="00EA133D" w:rsidP="00E97649">
      <w:pPr>
        <w:pStyle w:val="Heading1"/>
        <w:numPr>
          <w:ilvl w:val="0"/>
          <w:numId w:val="1"/>
        </w:numPr>
        <w:spacing w:before="0"/>
        <w:ind w:left="284" w:hanging="284"/>
        <w:jc w:val="both"/>
        <w:rPr>
          <w:lang w:val="sr-Latn-ME"/>
        </w:rPr>
      </w:pPr>
      <w:r w:rsidRPr="001407B6">
        <w:rPr>
          <w:lang w:val="sr-Latn-ME"/>
        </w:rPr>
        <w:t>BROJ</w:t>
      </w:r>
      <w:r w:rsidRPr="001407B6">
        <w:rPr>
          <w:spacing w:val="-3"/>
          <w:lang w:val="sr-Latn-ME"/>
        </w:rPr>
        <w:t xml:space="preserve"> </w:t>
      </w:r>
      <w:r w:rsidRPr="001407B6">
        <w:rPr>
          <w:lang w:val="sr-Latn-ME"/>
        </w:rPr>
        <w:t>DOZVOLE</w:t>
      </w:r>
      <w:r w:rsidRPr="001407B6">
        <w:rPr>
          <w:spacing w:val="-3"/>
          <w:lang w:val="sr-Latn-ME"/>
        </w:rPr>
        <w:t xml:space="preserve"> </w:t>
      </w:r>
      <w:r w:rsidRPr="001407B6">
        <w:rPr>
          <w:lang w:val="sr-Latn-ME"/>
        </w:rPr>
        <w:t>ZA</w:t>
      </w:r>
      <w:r w:rsidRPr="001407B6">
        <w:rPr>
          <w:spacing w:val="-3"/>
          <w:lang w:val="sr-Latn-ME"/>
        </w:rPr>
        <w:t xml:space="preserve"> </w:t>
      </w:r>
      <w:r w:rsidRPr="001407B6">
        <w:rPr>
          <w:lang w:val="sr-Latn-ME"/>
        </w:rPr>
        <w:t>STAVLJANJE</w:t>
      </w:r>
      <w:r w:rsidRPr="001407B6">
        <w:rPr>
          <w:spacing w:val="-3"/>
          <w:lang w:val="sr-Latn-ME"/>
        </w:rPr>
        <w:t xml:space="preserve"> </w:t>
      </w:r>
      <w:r w:rsidR="00D41A5F" w:rsidRPr="001407B6">
        <w:rPr>
          <w:lang w:val="sr-Latn-ME"/>
        </w:rPr>
        <w:t>LIJEK</w:t>
      </w:r>
      <w:r w:rsidRPr="001407B6">
        <w:rPr>
          <w:lang w:val="sr-Latn-ME"/>
        </w:rPr>
        <w:t>A</w:t>
      </w:r>
      <w:r w:rsidRPr="001407B6">
        <w:rPr>
          <w:spacing w:val="-3"/>
          <w:lang w:val="sr-Latn-ME"/>
        </w:rPr>
        <w:t xml:space="preserve"> </w:t>
      </w:r>
      <w:r w:rsidRPr="001407B6">
        <w:rPr>
          <w:lang w:val="sr-Latn-ME"/>
        </w:rPr>
        <w:t>U</w:t>
      </w:r>
      <w:r w:rsidRPr="001407B6">
        <w:rPr>
          <w:spacing w:val="-3"/>
          <w:lang w:val="sr-Latn-ME"/>
        </w:rPr>
        <w:t xml:space="preserve"> </w:t>
      </w:r>
      <w:r w:rsidRPr="001407B6">
        <w:rPr>
          <w:lang w:val="sr-Latn-ME"/>
        </w:rPr>
        <w:t>PROMET</w:t>
      </w:r>
    </w:p>
    <w:p w14:paraId="58520115" w14:textId="77777777" w:rsidR="00A455CC" w:rsidRPr="001407B6" w:rsidRDefault="00A455CC" w:rsidP="00E97649">
      <w:pPr>
        <w:jc w:val="both"/>
        <w:rPr>
          <w:color w:val="000000"/>
          <w:lang w:val="sr-Latn-ME"/>
        </w:rPr>
      </w:pPr>
    </w:p>
    <w:p w14:paraId="3F16D5A6" w14:textId="4561D2E0" w:rsidR="00C81CA0" w:rsidRPr="001407B6" w:rsidRDefault="00A455CC" w:rsidP="00E97649">
      <w:pPr>
        <w:jc w:val="both"/>
        <w:rPr>
          <w:color w:val="000000"/>
          <w:lang w:val="sr-Latn-ME"/>
        </w:rPr>
      </w:pPr>
      <w:r w:rsidRPr="001407B6">
        <w:rPr>
          <w:color w:val="000000"/>
          <w:lang w:val="sr-Latn-ME"/>
        </w:rPr>
        <w:lastRenderedPageBreak/>
        <w:t xml:space="preserve">2030/14/101 </w:t>
      </w:r>
      <w:r w:rsidR="00C81CA0" w:rsidRPr="001407B6">
        <w:rPr>
          <w:color w:val="000000"/>
          <w:lang w:val="sr-Latn-ME"/>
        </w:rPr>
        <w:t>–</w:t>
      </w:r>
      <w:r w:rsidR="00441A93" w:rsidRPr="001407B6">
        <w:rPr>
          <w:color w:val="000000"/>
          <w:lang w:val="sr-Latn-ME"/>
        </w:rPr>
        <w:t xml:space="preserve"> </w:t>
      </w:r>
      <w:r w:rsidRPr="001407B6">
        <w:rPr>
          <w:color w:val="000000"/>
          <w:lang w:val="sr-Latn-ME"/>
        </w:rPr>
        <w:t>5581</w:t>
      </w:r>
    </w:p>
    <w:p w14:paraId="73BEDE49" w14:textId="77777777" w:rsidR="00D7299C" w:rsidRPr="001407B6" w:rsidRDefault="00D7299C" w:rsidP="00E97649">
      <w:pPr>
        <w:jc w:val="both"/>
        <w:rPr>
          <w:color w:val="000000"/>
          <w:lang w:val="sr-Latn-ME"/>
        </w:rPr>
      </w:pPr>
    </w:p>
    <w:p w14:paraId="2923E9A6" w14:textId="77777777" w:rsidR="00C81CA0" w:rsidRPr="001407B6" w:rsidRDefault="00C81CA0" w:rsidP="00E97649">
      <w:pPr>
        <w:jc w:val="both"/>
        <w:rPr>
          <w:color w:val="000000"/>
          <w:lang w:val="sr-Latn-ME"/>
        </w:rPr>
      </w:pPr>
    </w:p>
    <w:p w14:paraId="4F436EC3" w14:textId="073E16E5" w:rsidR="00C8324B" w:rsidRPr="001407B6" w:rsidRDefault="00EA133D" w:rsidP="00E97649">
      <w:pPr>
        <w:pStyle w:val="ListParagraph"/>
        <w:numPr>
          <w:ilvl w:val="0"/>
          <w:numId w:val="1"/>
        </w:numPr>
        <w:ind w:left="284" w:hanging="284"/>
        <w:jc w:val="both"/>
        <w:rPr>
          <w:b/>
          <w:bCs/>
          <w:lang w:val="sr-Latn-ME"/>
        </w:rPr>
      </w:pPr>
      <w:r w:rsidRPr="001407B6">
        <w:rPr>
          <w:b/>
          <w:bCs/>
          <w:lang w:val="sr-Latn-ME"/>
        </w:rPr>
        <w:t>DATUM</w:t>
      </w:r>
      <w:r w:rsidRPr="001407B6">
        <w:rPr>
          <w:b/>
          <w:bCs/>
          <w:spacing w:val="25"/>
          <w:lang w:val="sr-Latn-ME"/>
        </w:rPr>
        <w:t xml:space="preserve"> </w:t>
      </w:r>
      <w:r w:rsidRPr="001407B6">
        <w:rPr>
          <w:b/>
          <w:bCs/>
          <w:lang w:val="sr-Latn-ME"/>
        </w:rPr>
        <w:t>PRVE</w:t>
      </w:r>
      <w:r w:rsidRPr="001407B6">
        <w:rPr>
          <w:b/>
          <w:bCs/>
          <w:spacing w:val="25"/>
          <w:lang w:val="sr-Latn-ME"/>
        </w:rPr>
        <w:t xml:space="preserve"> </w:t>
      </w:r>
      <w:r w:rsidR="004D7817" w:rsidRPr="001407B6">
        <w:rPr>
          <w:b/>
          <w:bCs/>
          <w:lang w:val="sr-Latn-ME"/>
        </w:rPr>
        <w:t>DOZVOLE/OBNOVE DOZVOLE ZA STAVLJANJE LIJEKA U PROMET</w:t>
      </w:r>
    </w:p>
    <w:p w14:paraId="2E7ECF72" w14:textId="77777777" w:rsidR="00B102F3" w:rsidRPr="001407B6" w:rsidRDefault="00B102F3" w:rsidP="00E97649">
      <w:pPr>
        <w:pStyle w:val="BodyText"/>
        <w:spacing w:line="251" w:lineRule="exact"/>
        <w:jc w:val="both"/>
        <w:rPr>
          <w:lang w:val="sr-Latn-ME"/>
        </w:rPr>
      </w:pPr>
    </w:p>
    <w:p w14:paraId="68FD089A" w14:textId="50BE458B" w:rsidR="00C8324B" w:rsidRPr="001407B6" w:rsidRDefault="00EA133D" w:rsidP="00E97649">
      <w:pPr>
        <w:pStyle w:val="BodyText"/>
        <w:spacing w:line="251" w:lineRule="exact"/>
        <w:ind w:left="0"/>
        <w:jc w:val="both"/>
        <w:rPr>
          <w:lang w:val="sr-Latn-ME"/>
        </w:rPr>
      </w:pPr>
      <w:r w:rsidRPr="001407B6">
        <w:rPr>
          <w:lang w:val="sr-Latn-ME"/>
        </w:rPr>
        <w:t>Datum</w:t>
      </w:r>
      <w:r w:rsidRPr="001407B6">
        <w:rPr>
          <w:spacing w:val="-3"/>
          <w:lang w:val="sr-Latn-ME"/>
        </w:rPr>
        <w:t xml:space="preserve"> </w:t>
      </w:r>
      <w:r w:rsidRPr="001407B6">
        <w:rPr>
          <w:lang w:val="sr-Latn-ME"/>
        </w:rPr>
        <w:t>prve</w:t>
      </w:r>
      <w:r w:rsidRPr="001407B6">
        <w:rPr>
          <w:spacing w:val="-2"/>
          <w:lang w:val="sr-Latn-ME"/>
        </w:rPr>
        <w:t xml:space="preserve"> </w:t>
      </w:r>
      <w:r w:rsidRPr="001407B6">
        <w:rPr>
          <w:lang w:val="sr-Latn-ME"/>
        </w:rPr>
        <w:t>dozvole:</w:t>
      </w:r>
      <w:r w:rsidRPr="001407B6">
        <w:rPr>
          <w:spacing w:val="-3"/>
          <w:lang w:val="sr-Latn-ME"/>
        </w:rPr>
        <w:t xml:space="preserve"> </w:t>
      </w:r>
      <w:r w:rsidR="00A455CC" w:rsidRPr="001407B6">
        <w:rPr>
          <w:lang w:val="sr-Latn-ME"/>
        </w:rPr>
        <w:t>14.02.2014.</w:t>
      </w:r>
    </w:p>
    <w:p w14:paraId="691E1857" w14:textId="1AA9D52D" w:rsidR="00D7299C" w:rsidRPr="001407B6" w:rsidRDefault="00D7299C" w:rsidP="00E97649">
      <w:pPr>
        <w:pStyle w:val="BodyText"/>
        <w:spacing w:line="251" w:lineRule="exact"/>
        <w:ind w:left="0"/>
        <w:jc w:val="both"/>
        <w:rPr>
          <w:lang w:val="sr-Latn-ME"/>
        </w:rPr>
      </w:pPr>
    </w:p>
    <w:p w14:paraId="0063F239" w14:textId="77777777" w:rsidR="00B102F3" w:rsidRPr="001407B6" w:rsidRDefault="00B102F3" w:rsidP="00E97649">
      <w:pPr>
        <w:pStyle w:val="BodyText"/>
        <w:spacing w:line="251" w:lineRule="exact"/>
        <w:jc w:val="both"/>
        <w:rPr>
          <w:lang w:val="sr-Latn-ME"/>
        </w:rPr>
      </w:pPr>
    </w:p>
    <w:p w14:paraId="0574699B" w14:textId="77777777" w:rsidR="00C8324B" w:rsidRPr="001407B6" w:rsidRDefault="00EA133D" w:rsidP="00E97649">
      <w:pPr>
        <w:pStyle w:val="Heading1"/>
        <w:numPr>
          <w:ilvl w:val="0"/>
          <w:numId w:val="1"/>
        </w:numPr>
        <w:spacing w:before="0"/>
        <w:ind w:left="426" w:hanging="426"/>
        <w:jc w:val="both"/>
        <w:rPr>
          <w:lang w:val="sr-Latn-ME"/>
        </w:rPr>
      </w:pPr>
      <w:r w:rsidRPr="001407B6">
        <w:rPr>
          <w:lang w:val="sr-Latn-ME"/>
        </w:rPr>
        <w:t>DATUM</w:t>
      </w:r>
      <w:r w:rsidRPr="001407B6">
        <w:rPr>
          <w:spacing w:val="-4"/>
          <w:lang w:val="sr-Latn-ME"/>
        </w:rPr>
        <w:t xml:space="preserve"> </w:t>
      </w:r>
      <w:r w:rsidRPr="001407B6">
        <w:rPr>
          <w:lang w:val="sr-Latn-ME"/>
        </w:rPr>
        <w:t>REVIZIJE</w:t>
      </w:r>
      <w:r w:rsidRPr="001407B6">
        <w:rPr>
          <w:spacing w:val="-3"/>
          <w:lang w:val="sr-Latn-ME"/>
        </w:rPr>
        <w:t xml:space="preserve"> </w:t>
      </w:r>
      <w:r w:rsidRPr="001407B6">
        <w:rPr>
          <w:lang w:val="sr-Latn-ME"/>
        </w:rPr>
        <w:t>TEKSTA</w:t>
      </w:r>
    </w:p>
    <w:p w14:paraId="7485E103" w14:textId="77777777" w:rsidR="00B102F3" w:rsidRPr="001407B6" w:rsidRDefault="00B102F3" w:rsidP="00E97649">
      <w:pPr>
        <w:pStyle w:val="BodyText"/>
        <w:jc w:val="both"/>
        <w:rPr>
          <w:lang w:val="sr-Latn-ME"/>
        </w:rPr>
      </w:pPr>
    </w:p>
    <w:p w14:paraId="5E0406CB" w14:textId="3699CA69" w:rsidR="00C8324B" w:rsidRPr="001407B6" w:rsidRDefault="00A922C2" w:rsidP="00E97649">
      <w:pPr>
        <w:pStyle w:val="BodyText"/>
        <w:ind w:left="0"/>
        <w:jc w:val="both"/>
        <w:rPr>
          <w:lang w:val="sr-Latn-ME"/>
        </w:rPr>
      </w:pPr>
      <w:r w:rsidRPr="001407B6">
        <w:rPr>
          <w:lang w:val="sr-Latn-ME"/>
        </w:rPr>
        <w:t>Novem</w:t>
      </w:r>
      <w:r w:rsidR="00F333B3" w:rsidRPr="001407B6">
        <w:rPr>
          <w:lang w:val="sr-Latn-ME"/>
        </w:rPr>
        <w:t>bar</w:t>
      </w:r>
      <w:r w:rsidR="00EA133D" w:rsidRPr="001407B6">
        <w:rPr>
          <w:lang w:val="sr-Latn-ME"/>
        </w:rPr>
        <w:t>,</w:t>
      </w:r>
      <w:r w:rsidR="00EA133D" w:rsidRPr="001407B6">
        <w:rPr>
          <w:spacing w:val="-2"/>
          <w:lang w:val="sr-Latn-ME"/>
        </w:rPr>
        <w:t xml:space="preserve"> </w:t>
      </w:r>
      <w:r w:rsidR="00EA133D" w:rsidRPr="001407B6">
        <w:rPr>
          <w:lang w:val="sr-Latn-ME"/>
        </w:rPr>
        <w:t>202</w:t>
      </w:r>
      <w:r w:rsidR="0025089C" w:rsidRPr="001407B6">
        <w:rPr>
          <w:lang w:val="sr-Latn-ME"/>
        </w:rPr>
        <w:t>4</w:t>
      </w:r>
      <w:r w:rsidR="00EA133D" w:rsidRPr="001407B6">
        <w:rPr>
          <w:lang w:val="sr-Latn-ME"/>
        </w:rPr>
        <w:t>.</w:t>
      </w:r>
      <w:r w:rsidR="00B102F3" w:rsidRPr="001407B6">
        <w:rPr>
          <w:lang w:val="sr-Latn-ME"/>
        </w:rPr>
        <w:t xml:space="preserve"> godine</w:t>
      </w:r>
    </w:p>
    <w:sectPr w:rsidR="00C8324B" w:rsidRPr="001407B6" w:rsidSect="00DE6F66">
      <w:footerReference w:type="default" r:id="rId11"/>
      <w:pgSz w:w="11910" w:h="16840"/>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890F5" w14:textId="77777777" w:rsidR="00170463" w:rsidRDefault="00170463">
      <w:r>
        <w:separator/>
      </w:r>
    </w:p>
  </w:endnote>
  <w:endnote w:type="continuationSeparator" w:id="0">
    <w:p w14:paraId="3B044472" w14:textId="77777777" w:rsidR="00170463" w:rsidRDefault="0017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B5111" w14:textId="2790DB01" w:rsidR="00385747" w:rsidRPr="00B23F69" w:rsidRDefault="00385747" w:rsidP="00B102F3">
    <w:pPr>
      <w:pStyle w:val="Footer"/>
      <w:jc w:val="center"/>
    </w:pPr>
    <w:r w:rsidRPr="00B23F69">
      <w:fldChar w:fldCharType="begin"/>
    </w:r>
    <w:r w:rsidRPr="00B23F69">
      <w:instrText xml:space="preserve"> PAGE </w:instrText>
    </w:r>
    <w:r w:rsidRPr="00B23F69">
      <w:fldChar w:fldCharType="separate"/>
    </w:r>
    <w:r w:rsidR="001407B6">
      <w:rPr>
        <w:noProof/>
      </w:rPr>
      <w:t>2</w:t>
    </w:r>
    <w:r w:rsidRPr="00B23F69">
      <w:fldChar w:fldCharType="end"/>
    </w:r>
    <w:r w:rsidRPr="00B23F69">
      <w:t xml:space="preserve"> / </w:t>
    </w:r>
    <w:r w:rsidR="00170463">
      <w:fldChar w:fldCharType="begin"/>
    </w:r>
    <w:r w:rsidR="00170463">
      <w:instrText xml:space="preserve"> NUMPAGES </w:instrText>
    </w:r>
    <w:r w:rsidR="00170463">
      <w:fldChar w:fldCharType="separate"/>
    </w:r>
    <w:r w:rsidR="001407B6">
      <w:rPr>
        <w:noProof/>
      </w:rPr>
      <w:t>10</w:t>
    </w:r>
    <w:r w:rsidR="00170463">
      <w:rPr>
        <w:noProof/>
      </w:rPr>
      <w:fldChar w:fldCharType="end"/>
    </w:r>
  </w:p>
  <w:p w14:paraId="33251734" w14:textId="0BDC83DB" w:rsidR="00385747" w:rsidRDefault="0038574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BBF13" w14:textId="77777777" w:rsidR="00170463" w:rsidRDefault="00170463">
      <w:r>
        <w:separator/>
      </w:r>
    </w:p>
  </w:footnote>
  <w:footnote w:type="continuationSeparator" w:id="0">
    <w:p w14:paraId="07E42F01" w14:textId="77777777" w:rsidR="00170463" w:rsidRDefault="00170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039F"/>
    <w:multiLevelType w:val="multilevel"/>
    <w:tmpl w:val="5A409F2A"/>
    <w:lvl w:ilvl="0">
      <w:start w:val="1"/>
      <w:numFmt w:val="decimal"/>
      <w:lvlText w:val="%1."/>
      <w:lvlJc w:val="left"/>
      <w:pPr>
        <w:ind w:left="364" w:hanging="222"/>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16" w:hanging="384"/>
      </w:pPr>
      <w:rPr>
        <w:rFonts w:ascii="Times New Roman" w:eastAsia="Times New Roman" w:hAnsi="Times New Roman" w:cs="Times New Roman" w:hint="default"/>
        <w:b/>
        <w:bCs/>
        <w:i w:val="0"/>
        <w:iCs w:val="0"/>
        <w:spacing w:val="-1"/>
        <w:w w:val="100"/>
        <w:sz w:val="22"/>
        <w:szCs w:val="22"/>
      </w:rPr>
    </w:lvl>
    <w:lvl w:ilvl="2">
      <w:numFmt w:val="bullet"/>
      <w:lvlText w:val=""/>
      <w:lvlJc w:val="left"/>
      <w:pPr>
        <w:ind w:left="952" w:hanging="360"/>
      </w:pPr>
      <w:rPr>
        <w:rFonts w:ascii="Symbol" w:eastAsia="Symbol" w:hAnsi="Symbol" w:cs="Symbol" w:hint="default"/>
        <w:b w:val="0"/>
        <w:bCs w:val="0"/>
        <w:i w:val="0"/>
        <w:iCs w:val="0"/>
        <w:w w:val="100"/>
        <w:sz w:val="22"/>
        <w:szCs w:val="22"/>
      </w:rPr>
    </w:lvl>
    <w:lvl w:ilvl="3">
      <w:numFmt w:val="bullet"/>
      <w:lvlText w:val="•"/>
      <w:lvlJc w:val="left"/>
      <w:pPr>
        <w:ind w:left="2088" w:hanging="360"/>
      </w:pPr>
      <w:rPr>
        <w:rFonts w:hint="default"/>
      </w:rPr>
    </w:lvl>
    <w:lvl w:ilvl="4">
      <w:numFmt w:val="bullet"/>
      <w:lvlText w:val="•"/>
      <w:lvlJc w:val="left"/>
      <w:pPr>
        <w:ind w:left="3216" w:hanging="360"/>
      </w:pPr>
      <w:rPr>
        <w:rFonts w:hint="default"/>
      </w:rPr>
    </w:lvl>
    <w:lvl w:ilvl="5">
      <w:numFmt w:val="bullet"/>
      <w:lvlText w:val="•"/>
      <w:lvlJc w:val="left"/>
      <w:pPr>
        <w:ind w:left="4344" w:hanging="360"/>
      </w:pPr>
      <w:rPr>
        <w:rFonts w:hint="default"/>
      </w:rPr>
    </w:lvl>
    <w:lvl w:ilvl="6">
      <w:numFmt w:val="bullet"/>
      <w:lvlText w:val="•"/>
      <w:lvlJc w:val="left"/>
      <w:pPr>
        <w:ind w:left="5472" w:hanging="360"/>
      </w:pPr>
      <w:rPr>
        <w:rFonts w:hint="default"/>
      </w:rPr>
    </w:lvl>
    <w:lvl w:ilvl="7">
      <w:numFmt w:val="bullet"/>
      <w:lvlText w:val="•"/>
      <w:lvlJc w:val="left"/>
      <w:pPr>
        <w:ind w:left="6600" w:hanging="360"/>
      </w:pPr>
      <w:rPr>
        <w:rFonts w:hint="default"/>
      </w:rPr>
    </w:lvl>
    <w:lvl w:ilvl="8">
      <w:numFmt w:val="bullet"/>
      <w:lvlText w:val="•"/>
      <w:lvlJc w:val="left"/>
      <w:pPr>
        <w:ind w:left="772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4B"/>
    <w:rsid w:val="000206AA"/>
    <w:rsid w:val="00072842"/>
    <w:rsid w:val="000933BF"/>
    <w:rsid w:val="000E632C"/>
    <w:rsid w:val="000E7A0B"/>
    <w:rsid w:val="00107497"/>
    <w:rsid w:val="001407B6"/>
    <w:rsid w:val="00170463"/>
    <w:rsid w:val="001E4D1B"/>
    <w:rsid w:val="00200714"/>
    <w:rsid w:val="0022351A"/>
    <w:rsid w:val="0025089C"/>
    <w:rsid w:val="00283355"/>
    <w:rsid w:val="0028409C"/>
    <w:rsid w:val="002C1BAB"/>
    <w:rsid w:val="002F06FA"/>
    <w:rsid w:val="002F3E7B"/>
    <w:rsid w:val="002F5E0A"/>
    <w:rsid w:val="00310119"/>
    <w:rsid w:val="00324F55"/>
    <w:rsid w:val="003445E0"/>
    <w:rsid w:val="00344A27"/>
    <w:rsid w:val="00364D67"/>
    <w:rsid w:val="00385747"/>
    <w:rsid w:val="003969D7"/>
    <w:rsid w:val="003B0772"/>
    <w:rsid w:val="003E2EAA"/>
    <w:rsid w:val="00422B9B"/>
    <w:rsid w:val="00423DCF"/>
    <w:rsid w:val="00441A93"/>
    <w:rsid w:val="00456450"/>
    <w:rsid w:val="004601BF"/>
    <w:rsid w:val="00471CB0"/>
    <w:rsid w:val="004D7817"/>
    <w:rsid w:val="005029A6"/>
    <w:rsid w:val="0050489A"/>
    <w:rsid w:val="005143EC"/>
    <w:rsid w:val="00527744"/>
    <w:rsid w:val="005C4F6B"/>
    <w:rsid w:val="005F75A7"/>
    <w:rsid w:val="00603339"/>
    <w:rsid w:val="0060450E"/>
    <w:rsid w:val="006306D4"/>
    <w:rsid w:val="00636992"/>
    <w:rsid w:val="00637F5E"/>
    <w:rsid w:val="00677B36"/>
    <w:rsid w:val="00705E01"/>
    <w:rsid w:val="0072165D"/>
    <w:rsid w:val="007327F0"/>
    <w:rsid w:val="00815F6E"/>
    <w:rsid w:val="00833755"/>
    <w:rsid w:val="00861AAA"/>
    <w:rsid w:val="008A7521"/>
    <w:rsid w:val="008F20F2"/>
    <w:rsid w:val="0094783D"/>
    <w:rsid w:val="009C2F60"/>
    <w:rsid w:val="009F22EA"/>
    <w:rsid w:val="00A14977"/>
    <w:rsid w:val="00A455CC"/>
    <w:rsid w:val="00A755B7"/>
    <w:rsid w:val="00A922C2"/>
    <w:rsid w:val="00AA391B"/>
    <w:rsid w:val="00AC3FDD"/>
    <w:rsid w:val="00B102F3"/>
    <w:rsid w:val="00B250D4"/>
    <w:rsid w:val="00B51AE9"/>
    <w:rsid w:val="00B53C44"/>
    <w:rsid w:val="00B71F92"/>
    <w:rsid w:val="00BE0F8E"/>
    <w:rsid w:val="00BE3CB1"/>
    <w:rsid w:val="00BF56A9"/>
    <w:rsid w:val="00C03C1D"/>
    <w:rsid w:val="00C072FE"/>
    <w:rsid w:val="00C1718E"/>
    <w:rsid w:val="00C5531F"/>
    <w:rsid w:val="00C72E95"/>
    <w:rsid w:val="00C81CA0"/>
    <w:rsid w:val="00C8324B"/>
    <w:rsid w:val="00C9103E"/>
    <w:rsid w:val="00CE5918"/>
    <w:rsid w:val="00CF08AF"/>
    <w:rsid w:val="00D13ED2"/>
    <w:rsid w:val="00D378B0"/>
    <w:rsid w:val="00D41A5F"/>
    <w:rsid w:val="00D7299C"/>
    <w:rsid w:val="00DE6F66"/>
    <w:rsid w:val="00E05714"/>
    <w:rsid w:val="00E07A8F"/>
    <w:rsid w:val="00E101D5"/>
    <w:rsid w:val="00E16D8B"/>
    <w:rsid w:val="00E21D5F"/>
    <w:rsid w:val="00E26330"/>
    <w:rsid w:val="00E47AF3"/>
    <w:rsid w:val="00E66089"/>
    <w:rsid w:val="00E749C0"/>
    <w:rsid w:val="00E97649"/>
    <w:rsid w:val="00EA133D"/>
    <w:rsid w:val="00ED42A2"/>
    <w:rsid w:val="00F333B3"/>
    <w:rsid w:val="00F41C55"/>
    <w:rsid w:val="00F50D61"/>
    <w:rsid w:val="00F939EB"/>
    <w:rsid w:val="00FE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9690C"/>
  <w15:docId w15:val="{955CF5E7-E5EF-4E55-8A9C-AD9CB8C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8"/>
      <w:ind w:left="452" w:hanging="221"/>
      <w:outlineLvl w:val="0"/>
    </w:pPr>
    <w:rPr>
      <w:b/>
      <w:bCs/>
    </w:rPr>
  </w:style>
  <w:style w:type="paragraph" w:styleId="Heading2">
    <w:name w:val="heading 2"/>
    <w:basedOn w:val="Normal"/>
    <w:uiPriority w:val="9"/>
    <w:unhideWhenUsed/>
    <w:qFormat/>
    <w:pPr>
      <w:ind w:left="616" w:hanging="385"/>
      <w:outlineLvl w:val="1"/>
    </w:pPr>
    <w:rPr>
      <w:b/>
      <w:bCs/>
    </w:rPr>
  </w:style>
  <w:style w:type="paragraph" w:styleId="Heading3">
    <w:name w:val="heading 3"/>
    <w:basedOn w:val="Normal"/>
    <w:uiPriority w:val="9"/>
    <w:unhideWhenUsed/>
    <w:qFormat/>
    <w:pPr>
      <w:spacing w:before="1" w:line="251" w:lineRule="exact"/>
      <w:ind w:left="232"/>
      <w:jc w:val="both"/>
      <w:outlineLvl w:val="2"/>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32"/>
    </w:pPr>
  </w:style>
  <w:style w:type="paragraph" w:styleId="ListParagraph">
    <w:name w:val="List Paragraph"/>
    <w:basedOn w:val="Normal"/>
    <w:uiPriority w:val="1"/>
    <w:qFormat/>
    <w:pPr>
      <w:ind w:left="952" w:hanging="385"/>
    </w:pPr>
  </w:style>
  <w:style w:type="paragraph" w:customStyle="1" w:styleId="TableParagraph">
    <w:name w:val="Table Paragraph"/>
    <w:basedOn w:val="Normal"/>
    <w:uiPriority w:val="1"/>
    <w:qFormat/>
    <w:rPr>
      <w:u w:val="single" w:color="000000"/>
    </w:rPr>
  </w:style>
  <w:style w:type="character" w:styleId="Hyperlink">
    <w:name w:val="Hyperlink"/>
    <w:basedOn w:val="DefaultParagraphFont"/>
    <w:semiHidden/>
    <w:unhideWhenUsed/>
    <w:rsid w:val="0025089C"/>
    <w:rPr>
      <w:color w:val="0000FF" w:themeColor="hyperlink"/>
      <w:u w:val="single"/>
    </w:rPr>
  </w:style>
  <w:style w:type="paragraph" w:styleId="NoSpacing">
    <w:name w:val="No Spacing"/>
    <w:uiPriority w:val="1"/>
    <w:qFormat/>
    <w:rsid w:val="0025089C"/>
    <w:pPr>
      <w:widowControl/>
      <w:autoSpaceDE/>
      <w:autoSpaceDN/>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21D5F"/>
    <w:rPr>
      <w:rFonts w:ascii="Times New Roman" w:eastAsia="Times New Roman" w:hAnsi="Times New Roman" w:cs="Times New Roman"/>
    </w:rPr>
  </w:style>
  <w:style w:type="paragraph" w:styleId="Revision">
    <w:name w:val="Revision"/>
    <w:hidden/>
    <w:uiPriority w:val="99"/>
    <w:semiHidden/>
    <w:rsid w:val="0022351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B102F3"/>
    <w:pPr>
      <w:tabs>
        <w:tab w:val="center" w:pos="4680"/>
        <w:tab w:val="right" w:pos="9360"/>
      </w:tabs>
    </w:pPr>
  </w:style>
  <w:style w:type="character" w:customStyle="1" w:styleId="HeaderChar">
    <w:name w:val="Header Char"/>
    <w:basedOn w:val="DefaultParagraphFont"/>
    <w:link w:val="Header"/>
    <w:uiPriority w:val="99"/>
    <w:rsid w:val="00B102F3"/>
    <w:rPr>
      <w:rFonts w:ascii="Times New Roman" w:eastAsia="Times New Roman" w:hAnsi="Times New Roman" w:cs="Times New Roman"/>
    </w:rPr>
  </w:style>
  <w:style w:type="paragraph" w:styleId="Footer">
    <w:name w:val="footer"/>
    <w:basedOn w:val="Normal"/>
    <w:link w:val="FooterChar"/>
    <w:unhideWhenUsed/>
    <w:rsid w:val="00B102F3"/>
    <w:pPr>
      <w:tabs>
        <w:tab w:val="center" w:pos="4680"/>
        <w:tab w:val="right" w:pos="9360"/>
      </w:tabs>
    </w:pPr>
  </w:style>
  <w:style w:type="character" w:customStyle="1" w:styleId="FooterChar">
    <w:name w:val="Footer Char"/>
    <w:basedOn w:val="DefaultParagraphFont"/>
    <w:link w:val="Footer"/>
    <w:rsid w:val="00B102F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15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F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04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10</Pages>
  <Words>3964</Words>
  <Characters>22596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Nikezić</cp:lastModifiedBy>
  <cp:revision>26</cp:revision>
  <dcterms:created xsi:type="dcterms:W3CDTF">2024-11-19T13:15:00Z</dcterms:created>
  <dcterms:modified xsi:type="dcterms:W3CDTF">2024-11-25T13:20:00Z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Microsoft Word(14.0)</vt:lpwstr>
  </property>
  <property fmtid="{D5CDD505-2E9C-101B-9397-08002B2CF9AE}" pid="4" name="LastSaved">
    <vt:filetime>2022-03-07T00:00:00Z</vt:filetime>
  </property>
</Properties>
</file>