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A7A69" w14:textId="77777777" w:rsidR="00095D7E" w:rsidRDefault="008740DD">
      <w:pPr>
        <w:jc w:val="center"/>
        <w:rPr>
          <w:b/>
          <w:bCs/>
          <w:iCs/>
          <w:szCs w:val="22"/>
          <w:u w:val="single"/>
          <w:lang w:val="sr-Latn-ME"/>
        </w:rPr>
      </w:pPr>
      <w:r>
        <w:rPr>
          <w:b/>
          <w:bCs/>
          <w:iCs/>
          <w:szCs w:val="22"/>
          <w:u w:val="single"/>
          <w:lang w:val="sr-Latn-ME"/>
        </w:rPr>
        <w:t>SAŽETAK KARAKTERISTIKA LIJEKA</w:t>
      </w:r>
    </w:p>
    <w:p w14:paraId="3F46D268" w14:textId="77777777" w:rsidR="00095D7E" w:rsidRDefault="00095D7E">
      <w:pPr>
        <w:rPr>
          <w:b/>
          <w:bCs/>
          <w:i/>
          <w:iCs/>
          <w:szCs w:val="22"/>
          <w:u w:val="single"/>
          <w:lang w:val="sr-Latn-ME"/>
        </w:rPr>
      </w:pPr>
    </w:p>
    <w:p w14:paraId="1B02A578" w14:textId="77777777" w:rsidR="00095D7E" w:rsidRDefault="00095D7E">
      <w:pPr>
        <w:tabs>
          <w:tab w:val="clear" w:pos="567"/>
          <w:tab w:val="left" w:pos="540"/>
          <w:tab w:val="left" w:pos="569"/>
        </w:tabs>
        <w:rPr>
          <w:bCs/>
          <w:szCs w:val="22"/>
          <w:lang w:val="sr-Latn-ME"/>
        </w:rPr>
      </w:pPr>
    </w:p>
    <w:p w14:paraId="4F929D39" w14:textId="77777777" w:rsidR="00095D7E" w:rsidRDefault="008740DD">
      <w:pPr>
        <w:tabs>
          <w:tab w:val="clear" w:pos="567"/>
          <w:tab w:val="left" w:pos="540"/>
          <w:tab w:val="left" w:pos="569"/>
        </w:tabs>
        <w:rPr>
          <w:b/>
          <w:bCs/>
          <w:szCs w:val="22"/>
          <w:lang w:val="sr-Latn-ME"/>
        </w:rPr>
      </w:pPr>
      <w:r>
        <w:rPr>
          <w:b/>
          <w:bCs/>
          <w:szCs w:val="22"/>
          <w:lang w:val="sr-Latn-ME"/>
        </w:rPr>
        <w:t>1.</w:t>
      </w:r>
      <w:r>
        <w:rPr>
          <w:b/>
          <w:bCs/>
          <w:szCs w:val="22"/>
          <w:lang w:val="sr-Latn-ME"/>
        </w:rPr>
        <w:tab/>
        <w:t>NAZIV LIJEKA</w:t>
      </w:r>
    </w:p>
    <w:p w14:paraId="46A66920" w14:textId="77777777" w:rsidR="00095D7E" w:rsidRDefault="00095D7E">
      <w:pPr>
        <w:rPr>
          <w:szCs w:val="22"/>
          <w:lang w:val="sr-Latn-ME"/>
        </w:rPr>
      </w:pPr>
    </w:p>
    <w:p w14:paraId="791BCD29" w14:textId="77777777" w:rsidR="00095D7E" w:rsidRDefault="008740DD">
      <w:pPr>
        <w:tabs>
          <w:tab w:val="left" w:pos="284"/>
        </w:tabs>
        <w:rPr>
          <w:bCs/>
          <w:szCs w:val="22"/>
          <w:lang w:val="sr-Latn-ME" w:eastAsia="sr-Latn-CS"/>
        </w:rPr>
      </w:pPr>
      <w:bookmarkStart w:id="0" w:name="_Hlk174542245"/>
      <w:r>
        <w:rPr>
          <w:szCs w:val="22"/>
          <w:lang w:val="sr-Latn-ME" w:eastAsia="sr-Latn-CS"/>
        </w:rPr>
        <w:t>Roxiper</w:t>
      </w:r>
      <w:bookmarkEnd w:id="0"/>
      <w:r>
        <w:rPr>
          <w:szCs w:val="22"/>
          <w:lang w:val="sr-Latn-ME" w:eastAsia="sr-Latn-CS"/>
        </w:rPr>
        <w:t>, 10 mg + 4 mg + 1,25 mg, film tableta</w:t>
      </w:r>
    </w:p>
    <w:p w14:paraId="3A9A843F" w14:textId="77777777" w:rsidR="00095D7E" w:rsidRDefault="008740DD">
      <w:pPr>
        <w:tabs>
          <w:tab w:val="left" w:pos="284"/>
        </w:tabs>
        <w:rPr>
          <w:szCs w:val="22"/>
          <w:lang w:val="sr-Latn-ME" w:eastAsia="sr-Latn-CS"/>
        </w:rPr>
      </w:pPr>
      <w:r>
        <w:rPr>
          <w:szCs w:val="22"/>
          <w:lang w:val="sr-Latn-ME" w:eastAsia="sr-Latn-CS"/>
        </w:rPr>
        <w:t>Roxiper, 20 mg + 4 mg + 1,25 mg, film tableta</w:t>
      </w:r>
    </w:p>
    <w:p w14:paraId="54D04385" w14:textId="77777777" w:rsidR="00095D7E" w:rsidRDefault="008740DD">
      <w:pPr>
        <w:tabs>
          <w:tab w:val="left" w:pos="284"/>
        </w:tabs>
        <w:rPr>
          <w:bCs/>
          <w:szCs w:val="22"/>
          <w:lang w:val="sr-Latn-ME" w:eastAsia="sr-Latn-CS"/>
        </w:rPr>
      </w:pPr>
      <w:r>
        <w:rPr>
          <w:szCs w:val="22"/>
          <w:lang w:val="sr-Latn-ME" w:eastAsia="sr-Latn-CS"/>
        </w:rPr>
        <w:t>Roxiper, 10 mg + 8 mg + 2,5 mg, film tableta</w:t>
      </w:r>
    </w:p>
    <w:p w14:paraId="54BB2EF7" w14:textId="77777777" w:rsidR="00095D7E" w:rsidRDefault="008740DD">
      <w:pPr>
        <w:tabs>
          <w:tab w:val="left" w:pos="284"/>
        </w:tabs>
        <w:rPr>
          <w:bCs/>
          <w:szCs w:val="22"/>
          <w:lang w:val="sr-Latn-ME" w:eastAsia="sr-Latn-CS"/>
        </w:rPr>
      </w:pPr>
      <w:r>
        <w:rPr>
          <w:szCs w:val="22"/>
          <w:lang w:val="sr-Latn-ME" w:eastAsia="sr-Latn-CS"/>
        </w:rPr>
        <w:t>Roxiper, 20 mg + 8 mg + 2,5 mg, film tableta</w:t>
      </w:r>
    </w:p>
    <w:p w14:paraId="2C0597EB" w14:textId="77777777" w:rsidR="00095D7E" w:rsidRDefault="00095D7E">
      <w:pPr>
        <w:rPr>
          <w:bCs/>
          <w:szCs w:val="22"/>
          <w:lang w:val="sr-Latn-ME"/>
        </w:rPr>
      </w:pPr>
    </w:p>
    <w:p w14:paraId="6DA1D235" w14:textId="77777777" w:rsidR="00095D7E" w:rsidRDefault="008740DD">
      <w:pPr>
        <w:widowControl w:val="0"/>
        <w:rPr>
          <w:i/>
          <w:noProof/>
          <w:szCs w:val="22"/>
          <w:lang w:val="sr-Latn-ME"/>
        </w:rPr>
      </w:pPr>
      <w:r>
        <w:rPr>
          <w:i/>
          <w:szCs w:val="22"/>
          <w:lang w:val="sr-Latn-ME"/>
        </w:rPr>
        <w:t>INN: rosuvastatin, perindopril, indapamid</w:t>
      </w:r>
    </w:p>
    <w:p w14:paraId="740A322A" w14:textId="77777777" w:rsidR="00095D7E" w:rsidRDefault="00095D7E">
      <w:pPr>
        <w:rPr>
          <w:bCs/>
          <w:szCs w:val="22"/>
          <w:lang w:val="sr-Latn-ME"/>
        </w:rPr>
      </w:pPr>
    </w:p>
    <w:p w14:paraId="46335949" w14:textId="77777777" w:rsidR="00095D7E" w:rsidRDefault="00095D7E">
      <w:pPr>
        <w:rPr>
          <w:bCs/>
          <w:szCs w:val="22"/>
          <w:lang w:val="sr-Latn-ME"/>
        </w:rPr>
      </w:pPr>
    </w:p>
    <w:p w14:paraId="3AF5323E" w14:textId="77777777" w:rsidR="00095D7E" w:rsidRDefault="008740DD">
      <w:pPr>
        <w:tabs>
          <w:tab w:val="clear" w:pos="567"/>
          <w:tab w:val="left" w:pos="540"/>
          <w:tab w:val="left" w:pos="569"/>
        </w:tabs>
        <w:rPr>
          <w:b/>
          <w:bCs/>
          <w:szCs w:val="22"/>
          <w:lang w:val="sr-Latn-ME"/>
        </w:rPr>
      </w:pPr>
      <w:r>
        <w:rPr>
          <w:b/>
          <w:bCs/>
          <w:szCs w:val="22"/>
          <w:lang w:val="sr-Latn-ME"/>
        </w:rPr>
        <w:t xml:space="preserve">2. </w:t>
      </w:r>
      <w:r>
        <w:rPr>
          <w:b/>
          <w:bCs/>
          <w:szCs w:val="22"/>
          <w:lang w:val="sr-Latn-ME"/>
        </w:rPr>
        <w:tab/>
        <w:t>KVALITATIVNI I KVANTITATIVNI SASTAV</w:t>
      </w:r>
    </w:p>
    <w:p w14:paraId="6B953D80" w14:textId="77777777" w:rsidR="00095D7E" w:rsidRDefault="00095D7E">
      <w:pPr>
        <w:rPr>
          <w:szCs w:val="22"/>
          <w:lang w:val="sr-Latn-ME"/>
        </w:rPr>
      </w:pPr>
    </w:p>
    <w:p w14:paraId="5765548E" w14:textId="77777777" w:rsidR="00095D7E" w:rsidRDefault="008740DD">
      <w:pPr>
        <w:tabs>
          <w:tab w:val="left" w:pos="284"/>
        </w:tabs>
        <w:rPr>
          <w:bCs/>
          <w:i/>
          <w:szCs w:val="22"/>
          <w:lang w:val="sr-Latn-ME" w:eastAsia="sr-Latn-CS"/>
        </w:rPr>
      </w:pPr>
      <w:r>
        <w:rPr>
          <w:i/>
          <w:szCs w:val="22"/>
          <w:lang w:val="sr-Latn-ME" w:eastAsia="sr-Latn-CS"/>
        </w:rPr>
        <w:t>Roxiper, 10 mg + 4 mg + 1,25 mg, film tableta:</w:t>
      </w:r>
    </w:p>
    <w:p w14:paraId="6569AB91" w14:textId="77777777" w:rsidR="00095D7E" w:rsidRDefault="008740DD">
      <w:pPr>
        <w:tabs>
          <w:tab w:val="left" w:pos="284"/>
        </w:tabs>
        <w:rPr>
          <w:szCs w:val="22"/>
          <w:lang w:val="sr-Latn-ME" w:eastAsia="sr-Latn-CS"/>
        </w:rPr>
      </w:pPr>
      <w:r>
        <w:rPr>
          <w:szCs w:val="22"/>
          <w:lang w:val="sr-Latn-ME" w:eastAsia="sr-Latn-CS"/>
        </w:rPr>
        <w:t>Svaka film tableta sadrži 10 mg rosuvastatina (u obliku rosuvastatin kalcijuma), 4 mg perindopril terc-butilamina i 1,25 mg indapamida.</w:t>
      </w:r>
    </w:p>
    <w:p w14:paraId="21E7CDAB" w14:textId="77777777" w:rsidR="00095D7E" w:rsidRDefault="00095D7E">
      <w:pPr>
        <w:tabs>
          <w:tab w:val="left" w:pos="284"/>
        </w:tabs>
        <w:rPr>
          <w:szCs w:val="22"/>
          <w:lang w:val="sr-Latn-ME" w:eastAsia="sr-Latn-CS"/>
        </w:rPr>
      </w:pPr>
    </w:p>
    <w:p w14:paraId="54C9D37D" w14:textId="77777777" w:rsidR="00095D7E" w:rsidRDefault="008740DD">
      <w:pPr>
        <w:tabs>
          <w:tab w:val="left" w:pos="284"/>
        </w:tabs>
        <w:rPr>
          <w:i/>
          <w:szCs w:val="22"/>
          <w:lang w:val="sr-Latn-ME" w:eastAsia="sr-Latn-CS"/>
        </w:rPr>
      </w:pPr>
      <w:r>
        <w:rPr>
          <w:i/>
          <w:szCs w:val="22"/>
          <w:lang w:val="sr-Latn-ME" w:eastAsia="sr-Latn-CS"/>
        </w:rPr>
        <w:t>Roxiper, 20 mg + 4 mg + 1,25 mg, film tableta:</w:t>
      </w:r>
    </w:p>
    <w:p w14:paraId="5DC34F5B" w14:textId="77777777" w:rsidR="00095D7E" w:rsidRDefault="008740DD">
      <w:pPr>
        <w:tabs>
          <w:tab w:val="left" w:pos="284"/>
        </w:tabs>
        <w:rPr>
          <w:szCs w:val="22"/>
          <w:lang w:val="sr-Latn-ME" w:eastAsia="sr-Latn-CS"/>
        </w:rPr>
      </w:pPr>
      <w:r>
        <w:rPr>
          <w:szCs w:val="22"/>
          <w:lang w:val="sr-Latn-ME" w:eastAsia="sr-Latn-CS"/>
        </w:rPr>
        <w:t>Svaka film tableta sadrži 20 mg rosuvastatina (u obliku rosuvastatin kalcijuma), 4 mg perindopril terc-butilamina i 1,25 mg indapamida.</w:t>
      </w:r>
    </w:p>
    <w:p w14:paraId="28C833F2" w14:textId="77777777" w:rsidR="00095D7E" w:rsidRDefault="00095D7E">
      <w:pPr>
        <w:tabs>
          <w:tab w:val="left" w:pos="284"/>
        </w:tabs>
        <w:rPr>
          <w:szCs w:val="22"/>
          <w:lang w:val="sr-Latn-ME" w:eastAsia="sr-Latn-CS"/>
        </w:rPr>
      </w:pPr>
    </w:p>
    <w:p w14:paraId="237D953F" w14:textId="77777777" w:rsidR="00095D7E" w:rsidRDefault="008740DD">
      <w:pPr>
        <w:tabs>
          <w:tab w:val="left" w:pos="284"/>
        </w:tabs>
        <w:rPr>
          <w:bCs/>
          <w:i/>
          <w:szCs w:val="22"/>
          <w:lang w:val="sr-Latn-ME" w:eastAsia="sr-Latn-CS"/>
        </w:rPr>
      </w:pPr>
      <w:r>
        <w:rPr>
          <w:i/>
          <w:szCs w:val="22"/>
          <w:lang w:val="sr-Latn-ME" w:eastAsia="sr-Latn-CS"/>
        </w:rPr>
        <w:t>Roxiper, 10 mg + 8 mg + 2,5 mg, film tableta:</w:t>
      </w:r>
    </w:p>
    <w:p w14:paraId="23D34C8F" w14:textId="77777777" w:rsidR="00095D7E" w:rsidRDefault="008740DD">
      <w:pPr>
        <w:tabs>
          <w:tab w:val="left" w:pos="284"/>
        </w:tabs>
        <w:rPr>
          <w:szCs w:val="22"/>
          <w:lang w:val="sr-Latn-ME" w:eastAsia="sr-Latn-CS"/>
        </w:rPr>
      </w:pPr>
      <w:r>
        <w:rPr>
          <w:szCs w:val="22"/>
          <w:lang w:val="sr-Latn-ME" w:eastAsia="sr-Latn-CS"/>
        </w:rPr>
        <w:t>Svaka film tableta sadrži 10 mg rosuvastatina (u obliku rosuvastatin kalcijuma), 8 mg perindopril terc-butilamina i 2,5 mg indapamida.</w:t>
      </w:r>
    </w:p>
    <w:p w14:paraId="7C2CC60A" w14:textId="77777777" w:rsidR="00095D7E" w:rsidRDefault="00095D7E">
      <w:pPr>
        <w:tabs>
          <w:tab w:val="left" w:pos="284"/>
        </w:tabs>
        <w:rPr>
          <w:szCs w:val="22"/>
          <w:lang w:val="sr-Latn-ME" w:eastAsia="sr-Latn-CS"/>
        </w:rPr>
      </w:pPr>
    </w:p>
    <w:p w14:paraId="5CB66165" w14:textId="77777777" w:rsidR="00095D7E" w:rsidRDefault="008740DD">
      <w:pPr>
        <w:tabs>
          <w:tab w:val="left" w:pos="284"/>
        </w:tabs>
        <w:rPr>
          <w:bCs/>
          <w:i/>
          <w:szCs w:val="22"/>
          <w:lang w:val="sr-Latn-ME" w:eastAsia="sr-Latn-CS"/>
        </w:rPr>
      </w:pPr>
      <w:r>
        <w:rPr>
          <w:i/>
          <w:szCs w:val="22"/>
          <w:lang w:val="sr-Latn-ME" w:eastAsia="sr-Latn-CS"/>
        </w:rPr>
        <w:t>Roxiper, 20 mg + 8 mg + 2,5 mg, film tableta:</w:t>
      </w:r>
    </w:p>
    <w:p w14:paraId="5BC351F5" w14:textId="77777777" w:rsidR="00095D7E" w:rsidRDefault="008740DD">
      <w:pPr>
        <w:tabs>
          <w:tab w:val="left" w:pos="284"/>
        </w:tabs>
        <w:rPr>
          <w:szCs w:val="22"/>
          <w:lang w:val="sr-Latn-ME" w:eastAsia="sr-Latn-CS"/>
        </w:rPr>
      </w:pPr>
      <w:r>
        <w:rPr>
          <w:szCs w:val="22"/>
          <w:lang w:val="sr-Latn-ME" w:eastAsia="sr-Latn-CS"/>
        </w:rPr>
        <w:t>Svaka film tableta sadrži 20 mg rosuvastatina (u obliku rosuvastatin kalcijuma), 8 mg perindopril terc-butilamina i 2,5 mg indapamida.</w:t>
      </w:r>
    </w:p>
    <w:p w14:paraId="6F2BFDEA" w14:textId="77777777" w:rsidR="00095D7E" w:rsidRDefault="00095D7E">
      <w:pPr>
        <w:rPr>
          <w:szCs w:val="22"/>
          <w:lang w:val="sr-Latn-ME"/>
        </w:rPr>
      </w:pPr>
    </w:p>
    <w:p w14:paraId="05B8F904" w14:textId="77777777" w:rsidR="00095D7E" w:rsidRDefault="008740DD">
      <w:pPr>
        <w:rPr>
          <w:szCs w:val="22"/>
          <w:lang w:val="sr-Latn-ME"/>
        </w:rPr>
      </w:pPr>
      <w:r>
        <w:rPr>
          <w:szCs w:val="22"/>
          <w:lang w:val="sr-Latn-ME"/>
        </w:rPr>
        <w:t>Za spisak svih ekscipijenasa, pogledati dio 6.1.</w:t>
      </w:r>
    </w:p>
    <w:p w14:paraId="2435BD6F" w14:textId="77777777" w:rsidR="00095D7E" w:rsidRDefault="00095D7E">
      <w:pPr>
        <w:rPr>
          <w:szCs w:val="22"/>
          <w:lang w:val="sr-Latn-ME"/>
        </w:rPr>
      </w:pPr>
    </w:p>
    <w:p w14:paraId="3CB120E5" w14:textId="77777777" w:rsidR="00095D7E" w:rsidRDefault="00095D7E">
      <w:pPr>
        <w:rPr>
          <w:szCs w:val="22"/>
          <w:lang w:val="sr-Latn-ME"/>
        </w:rPr>
      </w:pPr>
    </w:p>
    <w:p w14:paraId="7247B54C" w14:textId="77777777" w:rsidR="00095D7E" w:rsidRDefault="008740DD">
      <w:pPr>
        <w:tabs>
          <w:tab w:val="clear" w:pos="567"/>
          <w:tab w:val="left" w:pos="540"/>
          <w:tab w:val="left" w:pos="569"/>
        </w:tabs>
        <w:rPr>
          <w:b/>
          <w:bCs/>
          <w:szCs w:val="22"/>
          <w:lang w:val="sr-Latn-ME"/>
        </w:rPr>
      </w:pPr>
      <w:r>
        <w:rPr>
          <w:b/>
          <w:bCs/>
          <w:szCs w:val="22"/>
          <w:lang w:val="sr-Latn-ME"/>
        </w:rPr>
        <w:t xml:space="preserve">3. </w:t>
      </w:r>
      <w:r>
        <w:rPr>
          <w:b/>
          <w:bCs/>
          <w:szCs w:val="22"/>
          <w:lang w:val="sr-Latn-ME"/>
        </w:rPr>
        <w:tab/>
        <w:t xml:space="preserve">FARMACEUTSKI OBLIK </w:t>
      </w:r>
    </w:p>
    <w:p w14:paraId="44032915" w14:textId="77777777" w:rsidR="00095D7E" w:rsidRDefault="00095D7E">
      <w:pPr>
        <w:rPr>
          <w:bCs/>
          <w:szCs w:val="22"/>
          <w:lang w:val="sr-Latn-ME"/>
        </w:rPr>
      </w:pPr>
    </w:p>
    <w:p w14:paraId="484BE9DD" w14:textId="77777777" w:rsidR="00095D7E" w:rsidRDefault="008740DD">
      <w:pPr>
        <w:rPr>
          <w:i/>
          <w:szCs w:val="22"/>
          <w:lang w:val="sr-Latn-ME"/>
        </w:rPr>
      </w:pPr>
      <w:r>
        <w:rPr>
          <w:szCs w:val="22"/>
          <w:lang w:val="sr-Latn-ME"/>
        </w:rPr>
        <w:t>Film tableta.</w:t>
      </w:r>
    </w:p>
    <w:p w14:paraId="235797F5" w14:textId="77777777" w:rsidR="00095D7E" w:rsidRDefault="00095D7E">
      <w:pPr>
        <w:rPr>
          <w:bCs/>
          <w:szCs w:val="22"/>
          <w:lang w:val="sr-Latn-ME"/>
        </w:rPr>
      </w:pPr>
    </w:p>
    <w:p w14:paraId="726D4F38" w14:textId="77777777" w:rsidR="00095D7E" w:rsidRDefault="008740DD">
      <w:pPr>
        <w:jc w:val="both"/>
        <w:rPr>
          <w:szCs w:val="22"/>
          <w:lang w:val="sr-Latn-ME"/>
        </w:rPr>
      </w:pPr>
      <w:r>
        <w:rPr>
          <w:b/>
          <w:szCs w:val="22"/>
          <w:lang w:val="sr-Latn-ME"/>
        </w:rPr>
        <w:t>Roxiper, 10 mg + 4 mg + 1,25 mg, film tablete:</w:t>
      </w:r>
      <w:r>
        <w:rPr>
          <w:szCs w:val="22"/>
          <w:lang w:val="sr-Latn-ME"/>
        </w:rPr>
        <w:t xml:space="preserve"> crvenkastosmeđe, okrugle, blago bikonveksne film tablete sa zakošenim ivicama, sa utisnutom oznakom PIR1 na jednoj strani tablete, dijametra 7,5 mm.</w:t>
      </w:r>
    </w:p>
    <w:p w14:paraId="6685008B" w14:textId="77777777" w:rsidR="00095D7E" w:rsidRDefault="00095D7E">
      <w:pPr>
        <w:jc w:val="both"/>
        <w:rPr>
          <w:szCs w:val="22"/>
          <w:lang w:val="sr-Latn-ME"/>
        </w:rPr>
      </w:pPr>
    </w:p>
    <w:p w14:paraId="1772AF3D" w14:textId="77777777" w:rsidR="00095D7E" w:rsidRDefault="008740DD">
      <w:pPr>
        <w:jc w:val="both"/>
        <w:rPr>
          <w:szCs w:val="22"/>
          <w:lang w:val="sr-Latn-ME"/>
        </w:rPr>
      </w:pPr>
      <w:r>
        <w:rPr>
          <w:b/>
          <w:szCs w:val="22"/>
          <w:lang w:val="sr-Latn-ME"/>
        </w:rPr>
        <w:t>Roxiper, 20 mg + 4 mg + 1,25 mg, film tablete:</w:t>
      </w:r>
      <w:r>
        <w:rPr>
          <w:szCs w:val="22"/>
          <w:lang w:val="sr-Latn-ME"/>
        </w:rPr>
        <w:t xml:space="preserve"> gotovo ružičaste, okrugle, blago bikonveksne film tablete sa zakošenim ivicama, sa utisnutom oznakom PIR2 na jednoj strani tablete, dijametra 10 mm.</w:t>
      </w:r>
    </w:p>
    <w:p w14:paraId="25B9695D" w14:textId="77777777" w:rsidR="00095D7E" w:rsidRDefault="00095D7E">
      <w:pPr>
        <w:jc w:val="both"/>
        <w:rPr>
          <w:szCs w:val="22"/>
          <w:lang w:val="sr-Latn-ME"/>
        </w:rPr>
      </w:pPr>
    </w:p>
    <w:p w14:paraId="550BE316" w14:textId="77777777" w:rsidR="00095D7E" w:rsidRDefault="008740DD">
      <w:pPr>
        <w:jc w:val="both"/>
        <w:rPr>
          <w:szCs w:val="22"/>
          <w:lang w:val="sr-Latn-ME"/>
        </w:rPr>
      </w:pPr>
      <w:r>
        <w:rPr>
          <w:b/>
          <w:szCs w:val="22"/>
          <w:lang w:val="sr-Latn-ME"/>
        </w:rPr>
        <w:t>Roxiper, 10 mg + 8 mg + 2,5 mg, film tablete:</w:t>
      </w:r>
      <w:r>
        <w:rPr>
          <w:szCs w:val="22"/>
          <w:lang w:val="sr-Latn-ME"/>
        </w:rPr>
        <w:t xml:space="preserve"> svijetlo ružičaste, okrugle, blago bikonveksne film tablete sa zakošenim ivicama, sa utisnutom oznakom PIR3 na jednoj strani tablete, dijametra 10 mm.</w:t>
      </w:r>
    </w:p>
    <w:p w14:paraId="441395B7" w14:textId="77777777" w:rsidR="00095D7E" w:rsidRDefault="00095D7E">
      <w:pPr>
        <w:jc w:val="both"/>
        <w:rPr>
          <w:szCs w:val="22"/>
          <w:lang w:val="sr-Latn-ME"/>
        </w:rPr>
      </w:pPr>
    </w:p>
    <w:p w14:paraId="3E635556" w14:textId="77777777" w:rsidR="00095D7E" w:rsidRDefault="008740DD">
      <w:pPr>
        <w:jc w:val="both"/>
        <w:rPr>
          <w:szCs w:val="22"/>
          <w:lang w:val="sr-Latn-ME"/>
        </w:rPr>
      </w:pPr>
      <w:r>
        <w:rPr>
          <w:b/>
          <w:szCs w:val="22"/>
          <w:lang w:val="sr-Latn-ME"/>
        </w:rPr>
        <w:t>Roxiper, 20 mg + 8 mg + 2,5 mg, film tablete:</w:t>
      </w:r>
      <w:r>
        <w:rPr>
          <w:szCs w:val="22"/>
          <w:lang w:val="sr-Latn-ME"/>
        </w:rPr>
        <w:t xml:space="preserve"> blijedo ružičastosmeđe, okrugle, blago bikonveksne film tablete sa zakošenim ivicama, sa utisnutom oznakom PIR4 na jednoj strani tablete, dijametra 10 mm.</w:t>
      </w:r>
    </w:p>
    <w:p w14:paraId="03CDA581" w14:textId="77777777" w:rsidR="00095D7E" w:rsidRDefault="00095D7E">
      <w:pPr>
        <w:rPr>
          <w:bCs/>
          <w:szCs w:val="22"/>
          <w:lang w:val="sr-Latn-ME"/>
        </w:rPr>
      </w:pPr>
    </w:p>
    <w:p w14:paraId="0352F080" w14:textId="77777777" w:rsidR="00095D7E" w:rsidRDefault="00095D7E">
      <w:pPr>
        <w:rPr>
          <w:bCs/>
          <w:szCs w:val="22"/>
          <w:lang w:val="sr-Latn-ME"/>
        </w:rPr>
      </w:pPr>
    </w:p>
    <w:p w14:paraId="1FE11F8A" w14:textId="77777777" w:rsidR="00095D7E" w:rsidRDefault="008740DD">
      <w:pPr>
        <w:tabs>
          <w:tab w:val="clear" w:pos="567"/>
          <w:tab w:val="left" w:pos="540"/>
          <w:tab w:val="left" w:pos="569"/>
        </w:tabs>
        <w:rPr>
          <w:b/>
          <w:bCs/>
          <w:szCs w:val="22"/>
          <w:lang w:val="sr-Latn-ME"/>
        </w:rPr>
      </w:pPr>
      <w:r>
        <w:rPr>
          <w:b/>
          <w:bCs/>
          <w:szCs w:val="22"/>
          <w:lang w:val="sr-Latn-ME"/>
        </w:rPr>
        <w:t xml:space="preserve">4. </w:t>
      </w:r>
      <w:r>
        <w:rPr>
          <w:b/>
          <w:bCs/>
          <w:szCs w:val="22"/>
          <w:lang w:val="sr-Latn-ME"/>
        </w:rPr>
        <w:tab/>
        <w:t>KLINIČKI PODACI</w:t>
      </w:r>
    </w:p>
    <w:p w14:paraId="1A83BE17" w14:textId="77777777" w:rsidR="00095D7E" w:rsidRDefault="00095D7E">
      <w:pPr>
        <w:tabs>
          <w:tab w:val="clear" w:pos="567"/>
          <w:tab w:val="left" w:pos="540"/>
          <w:tab w:val="left" w:pos="569"/>
        </w:tabs>
        <w:rPr>
          <w:bCs/>
          <w:szCs w:val="22"/>
          <w:lang w:val="sr-Latn-ME"/>
        </w:rPr>
      </w:pPr>
    </w:p>
    <w:p w14:paraId="4B203160" w14:textId="77777777" w:rsidR="00095D7E" w:rsidRDefault="008740DD">
      <w:pPr>
        <w:tabs>
          <w:tab w:val="clear" w:pos="567"/>
          <w:tab w:val="left" w:pos="540"/>
          <w:tab w:val="left" w:pos="569"/>
        </w:tabs>
        <w:rPr>
          <w:b/>
          <w:bCs/>
          <w:szCs w:val="22"/>
          <w:lang w:val="sr-Latn-ME"/>
        </w:rPr>
      </w:pPr>
      <w:r>
        <w:rPr>
          <w:b/>
          <w:bCs/>
          <w:szCs w:val="22"/>
          <w:lang w:val="sr-Latn-ME"/>
        </w:rPr>
        <w:t xml:space="preserve">4.1. </w:t>
      </w:r>
      <w:r>
        <w:rPr>
          <w:b/>
          <w:bCs/>
          <w:szCs w:val="22"/>
          <w:lang w:val="sr-Latn-ME"/>
        </w:rPr>
        <w:tab/>
        <w:t>Terapijske indikacije</w:t>
      </w:r>
    </w:p>
    <w:p w14:paraId="2D13127B" w14:textId="77777777" w:rsidR="00095D7E" w:rsidRDefault="00095D7E">
      <w:pPr>
        <w:tabs>
          <w:tab w:val="clear" w:pos="567"/>
          <w:tab w:val="left" w:pos="540"/>
          <w:tab w:val="left" w:pos="569"/>
        </w:tabs>
        <w:rPr>
          <w:bCs/>
          <w:szCs w:val="22"/>
          <w:lang w:val="sr-Latn-ME"/>
        </w:rPr>
      </w:pPr>
    </w:p>
    <w:p w14:paraId="4FB8D405" w14:textId="77777777" w:rsidR="00095D7E" w:rsidRDefault="008740DD">
      <w:pPr>
        <w:jc w:val="both"/>
        <w:rPr>
          <w:szCs w:val="22"/>
          <w:lang w:val="sr-Latn-ME"/>
        </w:rPr>
      </w:pPr>
      <w:r>
        <w:rPr>
          <w:szCs w:val="22"/>
          <w:lang w:val="sr-Latn-ME"/>
        </w:rPr>
        <w:lastRenderedPageBreak/>
        <w:t>Lijek Roxiper je indikovan kao supstituciona terapija kod odraslih pacijenata kod kojih je postignuta odgovarajuća kontrola istovremenom primjenom perindoprila, indapamida i rosuvastatina, davanih u istim dozama kao u ovoj kombinaciji u liječenju esencijalne hipertenzije i jednom od sljedećih stanja: hiperholesterolemija (primarna hiperholesterolemija [tip IIa, uključujući heterozigotnu porodičnu hiperholesterolemiju], mješovita dislipidemija [tip IIb] ili homozigotna porodična hiperholesterolemija).</w:t>
      </w:r>
    </w:p>
    <w:p w14:paraId="00AAADC5" w14:textId="77777777" w:rsidR="00095D7E" w:rsidRDefault="00095D7E">
      <w:pPr>
        <w:tabs>
          <w:tab w:val="clear" w:pos="567"/>
          <w:tab w:val="left" w:pos="540"/>
          <w:tab w:val="left" w:pos="569"/>
        </w:tabs>
        <w:rPr>
          <w:bCs/>
          <w:szCs w:val="22"/>
          <w:lang w:val="sr-Latn-ME"/>
        </w:rPr>
      </w:pPr>
    </w:p>
    <w:p w14:paraId="2ED90BE6" w14:textId="77777777" w:rsidR="00095D7E" w:rsidRDefault="008740DD">
      <w:pPr>
        <w:tabs>
          <w:tab w:val="clear" w:pos="567"/>
          <w:tab w:val="left" w:pos="540"/>
          <w:tab w:val="left" w:pos="569"/>
        </w:tabs>
        <w:rPr>
          <w:b/>
          <w:bCs/>
          <w:szCs w:val="22"/>
          <w:lang w:val="sr-Latn-ME"/>
        </w:rPr>
      </w:pPr>
      <w:r>
        <w:rPr>
          <w:b/>
          <w:bCs/>
          <w:szCs w:val="22"/>
          <w:lang w:val="sr-Latn-ME"/>
        </w:rPr>
        <w:t xml:space="preserve">4.2. </w:t>
      </w:r>
      <w:r>
        <w:rPr>
          <w:b/>
          <w:bCs/>
          <w:szCs w:val="22"/>
          <w:lang w:val="sr-Latn-ME"/>
        </w:rPr>
        <w:tab/>
        <w:t>Doziranje i način primjene</w:t>
      </w:r>
    </w:p>
    <w:p w14:paraId="57AA4C46" w14:textId="77777777" w:rsidR="00095D7E" w:rsidRDefault="00095D7E">
      <w:pPr>
        <w:tabs>
          <w:tab w:val="clear" w:pos="567"/>
          <w:tab w:val="left" w:pos="540"/>
          <w:tab w:val="left" w:pos="569"/>
        </w:tabs>
        <w:rPr>
          <w:bCs/>
          <w:szCs w:val="22"/>
          <w:lang w:val="sr-Latn-ME"/>
        </w:rPr>
      </w:pPr>
    </w:p>
    <w:p w14:paraId="3B3CF6FA" w14:textId="77777777" w:rsidR="00095D7E" w:rsidRDefault="008740DD">
      <w:pPr>
        <w:tabs>
          <w:tab w:val="clear" w:pos="567"/>
          <w:tab w:val="left" w:pos="540"/>
          <w:tab w:val="left" w:pos="569"/>
        </w:tabs>
        <w:rPr>
          <w:bCs/>
          <w:szCs w:val="22"/>
          <w:u w:val="single"/>
          <w:lang w:val="sr-Latn-ME"/>
        </w:rPr>
      </w:pPr>
      <w:r>
        <w:rPr>
          <w:bCs/>
          <w:szCs w:val="22"/>
          <w:u w:val="single"/>
          <w:lang w:val="sr-Latn-ME"/>
        </w:rPr>
        <w:t>Doziranje</w:t>
      </w:r>
    </w:p>
    <w:p w14:paraId="2CDBB960" w14:textId="77777777" w:rsidR="00095D7E" w:rsidRDefault="00095D7E">
      <w:pPr>
        <w:tabs>
          <w:tab w:val="clear" w:pos="567"/>
          <w:tab w:val="left" w:pos="540"/>
          <w:tab w:val="left" w:pos="569"/>
        </w:tabs>
        <w:rPr>
          <w:bCs/>
          <w:szCs w:val="22"/>
          <w:u w:val="single"/>
          <w:lang w:val="sr-Latn-ME"/>
        </w:rPr>
      </w:pPr>
    </w:p>
    <w:p w14:paraId="04636894" w14:textId="77777777" w:rsidR="00095D7E" w:rsidRDefault="008740DD">
      <w:pPr>
        <w:rPr>
          <w:szCs w:val="22"/>
          <w:lang w:val="sr-Latn-ME"/>
        </w:rPr>
      </w:pPr>
      <w:r>
        <w:rPr>
          <w:szCs w:val="22"/>
          <w:lang w:val="sr-Latn-ME"/>
        </w:rPr>
        <w:t>Preporučena doza lijeka Roxiper je jedna tableta dnevno. Najbolje je da se uzima ujutru, prije obroka.</w:t>
      </w:r>
    </w:p>
    <w:p w14:paraId="74AF9AED" w14:textId="77777777" w:rsidR="00095D7E" w:rsidRDefault="00095D7E">
      <w:pPr>
        <w:rPr>
          <w:szCs w:val="22"/>
          <w:lang w:val="sr-Latn-ME"/>
        </w:rPr>
      </w:pPr>
    </w:p>
    <w:p w14:paraId="0FD779E6" w14:textId="77777777" w:rsidR="00095D7E" w:rsidRDefault="008740DD">
      <w:pPr>
        <w:rPr>
          <w:szCs w:val="22"/>
          <w:lang w:val="sr-Latn-ME"/>
        </w:rPr>
      </w:pPr>
      <w:r>
        <w:rPr>
          <w:szCs w:val="22"/>
          <w:lang w:val="sr-Latn-ME"/>
        </w:rPr>
        <w:t>Kombinacija sa fiksnim dozama nije pogodna za inicijalnu terapiju.</w:t>
      </w:r>
    </w:p>
    <w:p w14:paraId="586C3383" w14:textId="77777777" w:rsidR="00095D7E" w:rsidRDefault="00095D7E">
      <w:pPr>
        <w:rPr>
          <w:szCs w:val="22"/>
          <w:lang w:val="sr-Latn-ME"/>
        </w:rPr>
      </w:pPr>
    </w:p>
    <w:p w14:paraId="4A0102F4" w14:textId="77777777" w:rsidR="00095D7E" w:rsidRDefault="008740DD">
      <w:pPr>
        <w:jc w:val="both"/>
        <w:rPr>
          <w:szCs w:val="22"/>
          <w:lang w:val="sr-Latn-ME"/>
        </w:rPr>
      </w:pPr>
      <w:r>
        <w:rPr>
          <w:szCs w:val="22"/>
          <w:lang w:val="sr-Latn-ME"/>
        </w:rPr>
        <w:t>Prije prelaska na lijek Roxiper krvni pritisak pacijenata mora biti kontrolisan stabilnim dozama monokomponenata, davanim u isto vrijeme. Doza lijeka Roxiper mora biti zasnovana na dozama pojedinačnih komponenti kombinacije u trenutku prelaska.</w:t>
      </w:r>
    </w:p>
    <w:p w14:paraId="23DB26BB" w14:textId="77777777" w:rsidR="00095D7E" w:rsidRDefault="00095D7E">
      <w:pPr>
        <w:jc w:val="both"/>
        <w:rPr>
          <w:szCs w:val="22"/>
          <w:lang w:val="sr-Latn-ME"/>
        </w:rPr>
      </w:pPr>
    </w:p>
    <w:p w14:paraId="2969907A" w14:textId="77777777" w:rsidR="00095D7E" w:rsidRDefault="008740DD">
      <w:pPr>
        <w:jc w:val="both"/>
        <w:rPr>
          <w:szCs w:val="22"/>
          <w:lang w:val="sr-Latn-ME"/>
        </w:rPr>
      </w:pPr>
      <w:r>
        <w:rPr>
          <w:szCs w:val="22"/>
          <w:lang w:val="sr-Latn-ME"/>
        </w:rPr>
        <w:t>Ako je potrebna promjena doziranja bilo koje aktivne supstance u fiksnoj kombinaciji iz bilo kog razloga (npr. novo dijagnostikovano povezano oboljenje, promjena stanja pacijenta ili usljed interakcija lijeka), treba ponovo koristiti pojedinačne komponente da bi se utvrdilo doziranje.</w:t>
      </w:r>
    </w:p>
    <w:p w14:paraId="51D8692B" w14:textId="77777777" w:rsidR="00095D7E" w:rsidRDefault="00095D7E">
      <w:pPr>
        <w:widowControl w:val="0"/>
        <w:rPr>
          <w:szCs w:val="22"/>
          <w:lang w:val="sr-Latn-ME"/>
        </w:rPr>
      </w:pPr>
    </w:p>
    <w:p w14:paraId="76477015" w14:textId="77777777" w:rsidR="00095D7E" w:rsidRDefault="008740DD">
      <w:pPr>
        <w:widowControl w:val="0"/>
        <w:autoSpaceDE w:val="0"/>
        <w:autoSpaceDN w:val="0"/>
        <w:adjustRightInd w:val="0"/>
        <w:rPr>
          <w:bCs/>
          <w:i/>
          <w:szCs w:val="22"/>
          <w:u w:val="single"/>
          <w:lang w:val="sr-Latn-ME"/>
        </w:rPr>
      </w:pPr>
      <w:r>
        <w:rPr>
          <w:i/>
          <w:szCs w:val="22"/>
          <w:u w:val="single"/>
          <w:lang w:val="sr-Latn-ME"/>
        </w:rPr>
        <w:t>Posebne populacije</w:t>
      </w:r>
    </w:p>
    <w:p w14:paraId="2DA3D130" w14:textId="77777777" w:rsidR="00095D7E" w:rsidRDefault="00095D7E">
      <w:pPr>
        <w:widowControl w:val="0"/>
        <w:rPr>
          <w:i/>
          <w:szCs w:val="22"/>
          <w:lang w:val="sr-Latn-ME"/>
        </w:rPr>
      </w:pPr>
    </w:p>
    <w:p w14:paraId="009CE626" w14:textId="77777777" w:rsidR="00095D7E" w:rsidRDefault="008740DD">
      <w:pPr>
        <w:widowControl w:val="0"/>
        <w:jc w:val="both"/>
        <w:rPr>
          <w:i/>
          <w:szCs w:val="22"/>
          <w:lang w:val="sr-Latn-ME"/>
        </w:rPr>
      </w:pPr>
      <w:r>
        <w:rPr>
          <w:i/>
          <w:szCs w:val="22"/>
          <w:lang w:val="sr-Latn-ME"/>
        </w:rPr>
        <w:t>Starije osobe</w:t>
      </w:r>
    </w:p>
    <w:p w14:paraId="1E35ECC4" w14:textId="77777777" w:rsidR="00095D7E" w:rsidRDefault="008740DD">
      <w:pPr>
        <w:tabs>
          <w:tab w:val="center" w:pos="4536"/>
          <w:tab w:val="right" w:pos="9072"/>
        </w:tabs>
        <w:jc w:val="both"/>
        <w:rPr>
          <w:iCs/>
          <w:szCs w:val="22"/>
          <w:lang w:val="sr-Latn-ME"/>
        </w:rPr>
      </w:pPr>
      <w:r>
        <w:rPr>
          <w:szCs w:val="22"/>
          <w:lang w:val="sr-Latn-ME"/>
        </w:rPr>
        <w:t>Starije osobe mogu da se liječe ovim lijekom ako je funkcija bubrega normalna i nakon procjene odgovora krvnog pritiska.</w:t>
      </w:r>
    </w:p>
    <w:p w14:paraId="15C8CE15" w14:textId="77777777" w:rsidR="00095D7E" w:rsidRDefault="00095D7E">
      <w:pPr>
        <w:tabs>
          <w:tab w:val="center" w:pos="4536"/>
          <w:tab w:val="right" w:pos="9072"/>
        </w:tabs>
        <w:jc w:val="both"/>
        <w:rPr>
          <w:iCs/>
          <w:szCs w:val="22"/>
          <w:lang w:val="sr-Latn-ME"/>
        </w:rPr>
      </w:pPr>
    </w:p>
    <w:p w14:paraId="5396C76B" w14:textId="77777777" w:rsidR="00095D7E" w:rsidRDefault="008740DD">
      <w:pPr>
        <w:widowControl w:val="0"/>
        <w:jc w:val="both"/>
        <w:rPr>
          <w:i/>
          <w:iCs/>
          <w:szCs w:val="22"/>
          <w:lang w:val="sr-Latn-ME"/>
        </w:rPr>
      </w:pPr>
      <w:r>
        <w:rPr>
          <w:i/>
          <w:szCs w:val="22"/>
          <w:lang w:val="sr-Latn-ME"/>
        </w:rPr>
        <w:t>Oštećenje bubrega</w:t>
      </w:r>
    </w:p>
    <w:p w14:paraId="3156946A" w14:textId="77777777" w:rsidR="00AE6074" w:rsidRPr="00AE6074" w:rsidRDefault="008740DD" w:rsidP="00AE6074">
      <w:pPr>
        <w:pStyle w:val="Default"/>
        <w:widowControl w:val="0"/>
        <w:jc w:val="both"/>
        <w:rPr>
          <w:sz w:val="22"/>
          <w:szCs w:val="22"/>
          <w:lang w:val="mk-MK"/>
        </w:rPr>
      </w:pPr>
      <w:r>
        <w:rPr>
          <w:snapToGrid/>
          <w:color w:val="auto"/>
          <w:sz w:val="22"/>
          <w:szCs w:val="22"/>
          <w:lang w:val="sr-Latn-ME"/>
        </w:rPr>
        <w:t xml:space="preserve">Kod pacijenata sa teškom renalnom insuficijencijom (klirens kreatinina ispod 30 mL/min) ova terapija je kontraindikovana. </w:t>
      </w:r>
    </w:p>
    <w:p w14:paraId="5A6D3683" w14:textId="4E804E30" w:rsidR="00095D7E" w:rsidRPr="00AE6074" w:rsidRDefault="00AE6074">
      <w:pPr>
        <w:pStyle w:val="Default"/>
        <w:widowControl w:val="0"/>
        <w:jc w:val="both"/>
        <w:rPr>
          <w:sz w:val="22"/>
          <w:szCs w:val="22"/>
          <w:lang w:val="mk-MK"/>
        </w:rPr>
      </w:pPr>
      <w:r w:rsidRPr="00172805">
        <w:rPr>
          <w:sz w:val="22"/>
          <w:szCs w:val="22"/>
          <w:lang w:val="mk-MK"/>
        </w:rPr>
        <w:t>Kod pacijenata sa um</w:t>
      </w:r>
      <w:r w:rsidRPr="00172805">
        <w:rPr>
          <w:sz w:val="22"/>
          <w:szCs w:val="22"/>
          <w:lang w:val="sr-Latn-ME"/>
        </w:rPr>
        <w:t>j</w:t>
      </w:r>
      <w:r w:rsidRPr="00172805">
        <w:rPr>
          <w:sz w:val="22"/>
          <w:szCs w:val="22"/>
          <w:lang w:val="mk-MK"/>
        </w:rPr>
        <w:t>erenim oštećenjem funkcije bubrega (klirens kreatinina</w:t>
      </w:r>
      <w:r w:rsidRPr="00172805">
        <w:rPr>
          <w:sz w:val="22"/>
          <w:szCs w:val="22"/>
          <w:lang w:val="sr-Latn-ME"/>
        </w:rPr>
        <w:t xml:space="preserve"> </w:t>
      </w:r>
      <w:r w:rsidR="0073154E" w:rsidRPr="00172805">
        <w:rPr>
          <w:snapToGrid/>
          <w:color w:val="auto"/>
          <w:sz w:val="22"/>
          <w:szCs w:val="22"/>
          <w:lang w:val="sr-Latn-ME"/>
        </w:rPr>
        <w:t xml:space="preserve">30-60 mL/min), </w:t>
      </w:r>
      <w:r w:rsidRPr="00172805">
        <w:rPr>
          <w:snapToGrid/>
          <w:color w:val="auto"/>
          <w:sz w:val="22"/>
          <w:szCs w:val="22"/>
          <w:lang w:val="sr-Latn-ME"/>
        </w:rPr>
        <w:t>upotreba l</w:t>
      </w:r>
      <w:r w:rsidR="0073154E" w:rsidRPr="00172805">
        <w:rPr>
          <w:snapToGrid/>
          <w:color w:val="auto"/>
          <w:sz w:val="22"/>
          <w:szCs w:val="22"/>
          <w:lang w:val="sr-Latn-ME"/>
        </w:rPr>
        <w:t>ijek</w:t>
      </w:r>
      <w:r w:rsidRPr="00172805">
        <w:rPr>
          <w:snapToGrid/>
          <w:color w:val="auto"/>
          <w:sz w:val="22"/>
          <w:szCs w:val="22"/>
          <w:lang w:val="sr-Latn-ME"/>
        </w:rPr>
        <w:t>a</w:t>
      </w:r>
      <w:r w:rsidR="0073154E" w:rsidRPr="00172805">
        <w:rPr>
          <w:snapToGrid/>
          <w:color w:val="auto"/>
          <w:sz w:val="22"/>
          <w:szCs w:val="22"/>
          <w:lang w:val="sr-Latn-ME"/>
        </w:rPr>
        <w:t xml:space="preserve"> Roxiper </w:t>
      </w:r>
      <w:r w:rsidRPr="00172805">
        <w:rPr>
          <w:snapToGrid/>
          <w:color w:val="auto"/>
          <w:sz w:val="22"/>
          <w:szCs w:val="22"/>
          <w:lang w:val="sr-Latn-ME"/>
        </w:rPr>
        <w:t>u jačinama</w:t>
      </w:r>
      <w:r w:rsidR="0073154E" w:rsidRPr="00172805">
        <w:rPr>
          <w:snapToGrid/>
          <w:color w:val="auto"/>
          <w:sz w:val="22"/>
          <w:szCs w:val="22"/>
          <w:lang w:val="sr-Latn-ME"/>
        </w:rPr>
        <w:t xml:space="preserve"> 10 mg</w:t>
      </w:r>
      <w:r w:rsidRPr="00172805">
        <w:rPr>
          <w:snapToGrid/>
          <w:color w:val="auto"/>
          <w:sz w:val="22"/>
          <w:szCs w:val="22"/>
          <w:lang w:val="sr-Latn-ME"/>
        </w:rPr>
        <w:t xml:space="preserve"> + </w:t>
      </w:r>
      <w:r w:rsidR="0073154E" w:rsidRPr="00172805">
        <w:rPr>
          <w:snapToGrid/>
          <w:color w:val="auto"/>
          <w:sz w:val="22"/>
          <w:szCs w:val="22"/>
          <w:lang w:val="sr-Latn-ME"/>
        </w:rPr>
        <w:t>8 mg</w:t>
      </w:r>
      <w:r w:rsidRPr="00172805">
        <w:rPr>
          <w:snapToGrid/>
          <w:color w:val="auto"/>
          <w:sz w:val="22"/>
          <w:szCs w:val="22"/>
          <w:lang w:val="sr-Latn-ME"/>
        </w:rPr>
        <w:t xml:space="preserve"> + </w:t>
      </w:r>
      <w:r w:rsidR="0073154E" w:rsidRPr="00172805">
        <w:rPr>
          <w:snapToGrid/>
          <w:color w:val="auto"/>
          <w:sz w:val="22"/>
          <w:szCs w:val="22"/>
          <w:lang w:val="sr-Latn-ME"/>
        </w:rPr>
        <w:t xml:space="preserve">2.5 mg </w:t>
      </w:r>
      <w:r w:rsidRPr="00172805">
        <w:rPr>
          <w:snapToGrid/>
          <w:color w:val="auto"/>
          <w:sz w:val="22"/>
          <w:szCs w:val="22"/>
          <w:lang w:val="sr-Latn-ME"/>
        </w:rPr>
        <w:t>i</w:t>
      </w:r>
      <w:r w:rsidR="0073154E" w:rsidRPr="00172805">
        <w:rPr>
          <w:snapToGrid/>
          <w:color w:val="auto"/>
          <w:sz w:val="22"/>
          <w:szCs w:val="22"/>
          <w:lang w:val="sr-Latn-ME"/>
        </w:rPr>
        <w:t xml:space="preserve"> 20 mg</w:t>
      </w:r>
      <w:r w:rsidRPr="00172805">
        <w:rPr>
          <w:snapToGrid/>
          <w:color w:val="auto"/>
          <w:sz w:val="22"/>
          <w:szCs w:val="22"/>
          <w:lang w:val="sr-Latn-ME"/>
        </w:rPr>
        <w:t xml:space="preserve"> + </w:t>
      </w:r>
      <w:r w:rsidR="0073154E" w:rsidRPr="00172805">
        <w:rPr>
          <w:snapToGrid/>
          <w:color w:val="auto"/>
          <w:sz w:val="22"/>
          <w:szCs w:val="22"/>
          <w:lang w:val="sr-Latn-ME"/>
        </w:rPr>
        <w:t>8 mg</w:t>
      </w:r>
      <w:r w:rsidRPr="00172805">
        <w:rPr>
          <w:snapToGrid/>
          <w:color w:val="auto"/>
          <w:sz w:val="22"/>
          <w:szCs w:val="22"/>
          <w:lang w:val="sr-Latn-ME"/>
        </w:rPr>
        <w:t xml:space="preserve"> + </w:t>
      </w:r>
      <w:r w:rsidR="0073154E" w:rsidRPr="00172805">
        <w:rPr>
          <w:snapToGrid/>
          <w:color w:val="auto"/>
          <w:sz w:val="22"/>
          <w:szCs w:val="22"/>
          <w:lang w:val="sr-Latn-ME"/>
        </w:rPr>
        <w:t xml:space="preserve">2.5 mg </w:t>
      </w:r>
      <w:r w:rsidRPr="00172805">
        <w:rPr>
          <w:snapToGrid/>
          <w:color w:val="auto"/>
          <w:sz w:val="22"/>
          <w:szCs w:val="22"/>
          <w:lang w:val="sr-Latn-ME"/>
        </w:rPr>
        <w:t>je kontraindikovana</w:t>
      </w:r>
      <w:r w:rsidR="0073154E" w:rsidRPr="00172805">
        <w:rPr>
          <w:snapToGrid/>
          <w:color w:val="auto"/>
          <w:sz w:val="22"/>
          <w:szCs w:val="22"/>
          <w:lang w:val="sr-Latn-ME"/>
        </w:rPr>
        <w:t xml:space="preserve">. </w:t>
      </w:r>
      <w:r w:rsidR="008740DD" w:rsidRPr="00172805">
        <w:rPr>
          <w:snapToGrid/>
          <w:color w:val="auto"/>
          <w:sz w:val="22"/>
          <w:szCs w:val="22"/>
          <w:lang w:val="sr-Latn-ME"/>
        </w:rPr>
        <w:t>Lijek</w:t>
      </w:r>
      <w:r w:rsidR="008740DD">
        <w:rPr>
          <w:snapToGrid/>
          <w:color w:val="auto"/>
          <w:sz w:val="22"/>
          <w:szCs w:val="22"/>
          <w:lang w:val="sr-Latn-ME"/>
        </w:rPr>
        <w:t xml:space="preserve"> Roxiper nije pogodan za pacijente čiji je klirens kreatinina &lt; 60 mL/min. Kod ovih pacijenata se preporučuje individualna titracija doze sa monokomponentnim ljekovima (vidjeti dio 4.4).</w:t>
      </w:r>
    </w:p>
    <w:p w14:paraId="2AD131A2" w14:textId="77777777" w:rsidR="00095D7E" w:rsidRDefault="008740DD">
      <w:pPr>
        <w:pStyle w:val="Default"/>
        <w:widowControl w:val="0"/>
        <w:jc w:val="both"/>
        <w:rPr>
          <w:snapToGrid/>
          <w:color w:val="auto"/>
          <w:sz w:val="22"/>
          <w:szCs w:val="22"/>
          <w:lang w:val="sr-Latn-ME"/>
        </w:rPr>
      </w:pPr>
      <w:r>
        <w:rPr>
          <w:snapToGrid/>
          <w:color w:val="auto"/>
          <w:sz w:val="22"/>
          <w:szCs w:val="22"/>
          <w:lang w:val="sr-Latn-ME"/>
        </w:rPr>
        <w:t>Kod pacijenata sa klirensom kreatinina jednakim ili većim od 60 mL/min, nije potrebno prilagođavanje doze.</w:t>
      </w:r>
    </w:p>
    <w:p w14:paraId="3669D8DD" w14:textId="77777777" w:rsidR="00095D7E" w:rsidRDefault="008740DD">
      <w:pPr>
        <w:widowControl w:val="0"/>
        <w:autoSpaceDE w:val="0"/>
        <w:autoSpaceDN w:val="0"/>
        <w:adjustRightInd w:val="0"/>
        <w:jc w:val="both"/>
        <w:rPr>
          <w:szCs w:val="22"/>
          <w:lang w:val="sr-Latn-ME"/>
        </w:rPr>
      </w:pPr>
      <w:r>
        <w:rPr>
          <w:szCs w:val="22"/>
          <w:lang w:val="sr-Latn-ME"/>
        </w:rPr>
        <w:t>Uobičajene ljekarske kontrole treba da uključuju često praćenje koncentracije kreatinina i kalijuma.</w:t>
      </w:r>
    </w:p>
    <w:p w14:paraId="15B154EE" w14:textId="77777777" w:rsidR="00095D7E" w:rsidRDefault="00095D7E">
      <w:pPr>
        <w:widowControl w:val="0"/>
        <w:autoSpaceDE w:val="0"/>
        <w:autoSpaceDN w:val="0"/>
        <w:adjustRightInd w:val="0"/>
        <w:jc w:val="both"/>
        <w:rPr>
          <w:szCs w:val="22"/>
          <w:lang w:val="sr-Latn-ME"/>
        </w:rPr>
      </w:pPr>
    </w:p>
    <w:p w14:paraId="4F13DC3E" w14:textId="77777777" w:rsidR="00095D7E" w:rsidRDefault="008740DD">
      <w:pPr>
        <w:widowControl w:val="0"/>
        <w:jc w:val="both"/>
        <w:rPr>
          <w:i/>
          <w:iCs/>
          <w:szCs w:val="22"/>
          <w:lang w:val="sr-Latn-ME"/>
        </w:rPr>
      </w:pPr>
      <w:r>
        <w:rPr>
          <w:i/>
          <w:szCs w:val="22"/>
          <w:lang w:val="sr-Latn-ME"/>
        </w:rPr>
        <w:t>Oštećenje jetre</w:t>
      </w:r>
    </w:p>
    <w:p w14:paraId="47F50FB0" w14:textId="77777777" w:rsidR="00095D7E" w:rsidRDefault="008740DD">
      <w:pPr>
        <w:widowControl w:val="0"/>
        <w:autoSpaceDE w:val="0"/>
        <w:autoSpaceDN w:val="0"/>
        <w:adjustRightInd w:val="0"/>
        <w:jc w:val="both"/>
        <w:rPr>
          <w:szCs w:val="22"/>
          <w:lang w:val="sr-Latn-ME"/>
        </w:rPr>
      </w:pPr>
      <w:r>
        <w:rPr>
          <w:szCs w:val="22"/>
          <w:lang w:val="sr-Latn-ME"/>
        </w:rPr>
        <w:t>Terapija je kontraindikovana kod teškog oštećenja jetre. Lijek Roxiper je kontraindikovan kod pacijenata sa aktivnom bolešću jetre (vidjeti dio 4.3).</w:t>
      </w:r>
    </w:p>
    <w:p w14:paraId="1F67B2A0" w14:textId="77777777" w:rsidR="00095D7E" w:rsidRDefault="008740DD">
      <w:pPr>
        <w:widowControl w:val="0"/>
        <w:autoSpaceDE w:val="0"/>
        <w:autoSpaceDN w:val="0"/>
        <w:adjustRightInd w:val="0"/>
        <w:jc w:val="both"/>
        <w:rPr>
          <w:szCs w:val="22"/>
          <w:lang w:val="sr-Latn-ME"/>
        </w:rPr>
      </w:pPr>
      <w:r>
        <w:rPr>
          <w:szCs w:val="22"/>
          <w:lang w:val="sr-Latn-ME"/>
        </w:rPr>
        <w:t>Kod pacijenata sa umjerenim oštećenjem jetre nije potrebno prilagođavati dozu.</w:t>
      </w:r>
    </w:p>
    <w:p w14:paraId="683C55E0" w14:textId="77777777" w:rsidR="00095D7E" w:rsidRDefault="008740DD">
      <w:pPr>
        <w:widowControl w:val="0"/>
        <w:autoSpaceDE w:val="0"/>
        <w:autoSpaceDN w:val="0"/>
        <w:adjustRightInd w:val="0"/>
        <w:jc w:val="both"/>
        <w:rPr>
          <w:szCs w:val="22"/>
          <w:lang w:val="sr-Latn-ME"/>
        </w:rPr>
      </w:pPr>
      <w:r>
        <w:rPr>
          <w:szCs w:val="22"/>
          <w:lang w:val="sr-Latn-ME"/>
        </w:rPr>
        <w:t>Nije bilo povećanja sistemske izloženosti rosuvastatinu kod ispitanika sa Child-Pugh skorom 7 ili nižim. Međutim, primijećena je povećana sistemska izloženost kod ispitanika sa Child-Pugh skorom 8 i 9 (vidjeti dio 5.2). Kod ovih pacijenata treba razmotriti procjenu funkcije bubrega (vidjeti dio 4.4). Nema iskustava sa ispitanicima sa Child-Pugh skorom iznad 9.</w:t>
      </w:r>
    </w:p>
    <w:p w14:paraId="6DB76397" w14:textId="77777777" w:rsidR="00095D7E" w:rsidRDefault="00095D7E">
      <w:pPr>
        <w:widowControl w:val="0"/>
        <w:autoSpaceDE w:val="0"/>
        <w:autoSpaceDN w:val="0"/>
        <w:adjustRightInd w:val="0"/>
        <w:jc w:val="both"/>
        <w:rPr>
          <w:szCs w:val="22"/>
          <w:lang w:val="sr-Latn-ME"/>
        </w:rPr>
      </w:pPr>
    </w:p>
    <w:p w14:paraId="2F74834E" w14:textId="77777777" w:rsidR="00095D7E" w:rsidRDefault="008740DD">
      <w:pPr>
        <w:widowControl w:val="0"/>
        <w:jc w:val="both"/>
        <w:rPr>
          <w:i/>
          <w:szCs w:val="22"/>
          <w:lang w:val="sr-Latn-ME"/>
        </w:rPr>
      </w:pPr>
      <w:r>
        <w:rPr>
          <w:i/>
          <w:szCs w:val="22"/>
          <w:lang w:val="sr-Latn-ME"/>
        </w:rPr>
        <w:t>Rasa</w:t>
      </w:r>
    </w:p>
    <w:p w14:paraId="23DE0D19" w14:textId="77777777" w:rsidR="00095D7E" w:rsidRDefault="008740DD">
      <w:pPr>
        <w:widowControl w:val="0"/>
        <w:jc w:val="both"/>
        <w:rPr>
          <w:szCs w:val="22"/>
          <w:lang w:val="sr-Latn-ME"/>
        </w:rPr>
      </w:pPr>
      <w:r>
        <w:rPr>
          <w:szCs w:val="22"/>
          <w:lang w:val="sr-Latn-ME"/>
        </w:rPr>
        <w:t>Zabilježena je povećana sistemska izloženost kod ispitanika azijskog porijekla (vidjeti djelove 4.3, 4.4. i 5.2).</w:t>
      </w:r>
    </w:p>
    <w:p w14:paraId="18A92FAE" w14:textId="77777777" w:rsidR="00095D7E" w:rsidRDefault="00095D7E">
      <w:pPr>
        <w:widowControl w:val="0"/>
        <w:rPr>
          <w:szCs w:val="22"/>
          <w:lang w:val="sr-Latn-ME"/>
        </w:rPr>
      </w:pPr>
    </w:p>
    <w:p w14:paraId="2D96F782" w14:textId="77777777" w:rsidR="00095D7E" w:rsidRDefault="008740DD">
      <w:pPr>
        <w:widowControl w:val="0"/>
        <w:jc w:val="both"/>
        <w:rPr>
          <w:i/>
          <w:szCs w:val="22"/>
          <w:lang w:val="sr-Latn-ME"/>
        </w:rPr>
      </w:pPr>
      <w:r>
        <w:rPr>
          <w:i/>
          <w:szCs w:val="22"/>
          <w:lang w:val="sr-Latn-ME"/>
        </w:rPr>
        <w:t>Genetski polimorfizam</w:t>
      </w:r>
    </w:p>
    <w:p w14:paraId="13A21324" w14:textId="77777777" w:rsidR="00095D7E" w:rsidRDefault="008740DD">
      <w:pPr>
        <w:widowControl w:val="0"/>
        <w:jc w:val="both"/>
        <w:rPr>
          <w:szCs w:val="22"/>
          <w:lang w:val="sr-Latn-ME"/>
        </w:rPr>
      </w:pPr>
      <w:r>
        <w:rPr>
          <w:szCs w:val="22"/>
          <w:lang w:val="sr-Latn-ME"/>
        </w:rPr>
        <w:t>Poznato je da određene vrste genetskog polimorfizma mogu da dovedu do povećane izloženosti rosuvastatinu (vidjeti dio 5.2). Pacijentima za koje se zna da imaju ove specifične vrste polimorfizma, preporučuju se niže dnevne doze rosuvastatina.</w:t>
      </w:r>
    </w:p>
    <w:p w14:paraId="0E7CC1B5" w14:textId="77777777" w:rsidR="00095D7E" w:rsidRDefault="008740DD">
      <w:pPr>
        <w:widowControl w:val="0"/>
        <w:rPr>
          <w:i/>
          <w:szCs w:val="22"/>
          <w:lang w:val="sr-Latn-ME"/>
        </w:rPr>
      </w:pPr>
      <w:r>
        <w:rPr>
          <w:i/>
          <w:szCs w:val="22"/>
          <w:lang w:val="sr-Latn-ME"/>
        </w:rPr>
        <w:lastRenderedPageBreak/>
        <w:t>Istovremena terapija</w:t>
      </w:r>
    </w:p>
    <w:p w14:paraId="632007E8" w14:textId="77777777" w:rsidR="00095D7E" w:rsidRDefault="008740DD">
      <w:pPr>
        <w:tabs>
          <w:tab w:val="center" w:pos="4536"/>
          <w:tab w:val="right" w:pos="9072"/>
        </w:tabs>
        <w:jc w:val="both"/>
        <w:rPr>
          <w:iCs/>
          <w:szCs w:val="22"/>
          <w:lang w:val="sr-Latn-ME"/>
        </w:rPr>
      </w:pPr>
      <w:r>
        <w:rPr>
          <w:szCs w:val="22"/>
          <w:lang w:val="sr-Latn-ME"/>
        </w:rPr>
        <w:t>Rosuvastatin je supstrat različitih transportnih proteina (npr. OATP1B1 i BCRP). Rizik od miopatije (uključujući i rabdomiolizu) povećava se kada se rosuvastatin primjenjuje istovremeno sa određenim ljekovima koji mogu da povećaju koncentraciju rosuvastatina u plazmi usljed interakcija sa ovim transportnim proteinima (npr. ciklosporin i neki inhibitori proteaze, uključujući kombinacije ritonavira sa atazanavirom, lopinavirom i/ili tipranavirom, vidjeti djelove 4.4. i 4.5). Kada god je to moguće, trebalo bi razmotriti druge ljekove i, ako je neophodno, razmotriti privremeni prekid terapije rosuvastatinom. U slučaju kada je istovremena primjena ovih ljekova sa rosuvastatinom neizbježna, mora se pažljivo razmotriti odnos rizika i koristi kod istovremene terapije te prilagođavanje doziranja rosuvastatina (vidjeti dio 4.5).</w:t>
      </w:r>
    </w:p>
    <w:p w14:paraId="5EDC303D" w14:textId="77777777" w:rsidR="00095D7E" w:rsidRDefault="00095D7E">
      <w:pPr>
        <w:tabs>
          <w:tab w:val="center" w:pos="4536"/>
          <w:tab w:val="right" w:pos="9072"/>
        </w:tabs>
        <w:jc w:val="both"/>
        <w:rPr>
          <w:iCs/>
          <w:szCs w:val="22"/>
          <w:lang w:val="sr-Latn-ME"/>
        </w:rPr>
      </w:pPr>
    </w:p>
    <w:p w14:paraId="40336FA6" w14:textId="77777777" w:rsidR="00095D7E" w:rsidRDefault="008740DD">
      <w:pPr>
        <w:widowControl w:val="0"/>
        <w:jc w:val="both"/>
        <w:rPr>
          <w:i/>
          <w:szCs w:val="22"/>
          <w:lang w:val="sr-Latn-ME"/>
        </w:rPr>
      </w:pPr>
      <w:r>
        <w:rPr>
          <w:i/>
          <w:szCs w:val="22"/>
          <w:lang w:val="sr-Latn-ME"/>
        </w:rPr>
        <w:t>Pedijatrijska populacija</w:t>
      </w:r>
    </w:p>
    <w:p w14:paraId="104F04D4" w14:textId="77777777" w:rsidR="00095D7E" w:rsidRDefault="008740DD">
      <w:pPr>
        <w:tabs>
          <w:tab w:val="clear" w:pos="567"/>
          <w:tab w:val="left" w:pos="569"/>
          <w:tab w:val="center" w:pos="4536"/>
          <w:tab w:val="right" w:pos="9072"/>
        </w:tabs>
        <w:jc w:val="both"/>
        <w:rPr>
          <w:iCs/>
          <w:szCs w:val="22"/>
          <w:lang w:val="sr-Latn-ME"/>
        </w:rPr>
      </w:pPr>
      <w:r>
        <w:rPr>
          <w:szCs w:val="22"/>
          <w:lang w:val="sr-Latn-ME"/>
        </w:rPr>
        <w:t>Lijek Roxiper se ne smije koristiti kod djece i adolescenata zato što nije utvrđena efikasnost i bezbjednost lijeka Roxiper u ovim uzrasnim grupama.</w:t>
      </w:r>
    </w:p>
    <w:p w14:paraId="42790478" w14:textId="77777777" w:rsidR="00095D7E" w:rsidRDefault="00095D7E">
      <w:pPr>
        <w:tabs>
          <w:tab w:val="clear" w:pos="567"/>
          <w:tab w:val="left" w:pos="540"/>
          <w:tab w:val="left" w:pos="569"/>
        </w:tabs>
        <w:rPr>
          <w:bCs/>
          <w:szCs w:val="22"/>
          <w:u w:val="single"/>
          <w:lang w:val="sr-Latn-ME"/>
        </w:rPr>
      </w:pPr>
    </w:p>
    <w:p w14:paraId="37AD4610" w14:textId="77777777" w:rsidR="00095D7E" w:rsidRDefault="008740DD">
      <w:pPr>
        <w:tabs>
          <w:tab w:val="clear" w:pos="567"/>
          <w:tab w:val="left" w:pos="540"/>
          <w:tab w:val="left" w:pos="569"/>
        </w:tabs>
        <w:rPr>
          <w:bCs/>
          <w:szCs w:val="22"/>
          <w:u w:val="single"/>
          <w:lang w:val="sr-Latn-ME"/>
        </w:rPr>
      </w:pPr>
      <w:r>
        <w:rPr>
          <w:bCs/>
          <w:szCs w:val="22"/>
          <w:u w:val="single"/>
          <w:lang w:val="sr-Latn-ME"/>
        </w:rPr>
        <w:t>Način primjene</w:t>
      </w:r>
    </w:p>
    <w:p w14:paraId="0D659ED2" w14:textId="77777777" w:rsidR="00095D7E" w:rsidRDefault="00095D7E">
      <w:pPr>
        <w:tabs>
          <w:tab w:val="clear" w:pos="567"/>
          <w:tab w:val="left" w:pos="540"/>
          <w:tab w:val="left" w:pos="569"/>
        </w:tabs>
        <w:rPr>
          <w:bCs/>
          <w:szCs w:val="22"/>
          <w:lang w:val="sr-Latn-ME"/>
        </w:rPr>
      </w:pPr>
    </w:p>
    <w:p w14:paraId="0E8A8AF3" w14:textId="77777777" w:rsidR="00095D7E" w:rsidRDefault="008740DD">
      <w:pPr>
        <w:tabs>
          <w:tab w:val="clear" w:pos="567"/>
          <w:tab w:val="left" w:pos="569"/>
          <w:tab w:val="center" w:pos="4536"/>
          <w:tab w:val="right" w:pos="9072"/>
        </w:tabs>
        <w:rPr>
          <w:iCs/>
          <w:szCs w:val="22"/>
          <w:lang w:val="sr-Latn-ME"/>
        </w:rPr>
      </w:pPr>
      <w:r>
        <w:rPr>
          <w:szCs w:val="22"/>
          <w:lang w:val="sr-Latn-ME"/>
        </w:rPr>
        <w:t>Za oralnu primjenu.</w:t>
      </w:r>
    </w:p>
    <w:p w14:paraId="740149A4" w14:textId="77777777" w:rsidR="00095D7E" w:rsidRDefault="00095D7E">
      <w:pPr>
        <w:tabs>
          <w:tab w:val="clear" w:pos="567"/>
          <w:tab w:val="left" w:pos="540"/>
          <w:tab w:val="left" w:pos="569"/>
        </w:tabs>
        <w:rPr>
          <w:bCs/>
          <w:szCs w:val="22"/>
          <w:lang w:val="sr-Latn-ME"/>
        </w:rPr>
      </w:pPr>
    </w:p>
    <w:p w14:paraId="70730FB6" w14:textId="77777777" w:rsidR="00095D7E" w:rsidRDefault="008740DD">
      <w:pPr>
        <w:tabs>
          <w:tab w:val="clear" w:pos="567"/>
          <w:tab w:val="left" w:pos="540"/>
          <w:tab w:val="left" w:pos="569"/>
        </w:tabs>
        <w:rPr>
          <w:b/>
          <w:bCs/>
          <w:szCs w:val="22"/>
          <w:lang w:val="sr-Latn-ME"/>
        </w:rPr>
      </w:pPr>
      <w:r>
        <w:rPr>
          <w:b/>
          <w:bCs/>
          <w:szCs w:val="22"/>
          <w:lang w:val="sr-Latn-ME"/>
        </w:rPr>
        <w:t xml:space="preserve">4.3. </w:t>
      </w:r>
      <w:r>
        <w:rPr>
          <w:b/>
          <w:bCs/>
          <w:szCs w:val="22"/>
          <w:lang w:val="sr-Latn-ME"/>
        </w:rPr>
        <w:tab/>
        <w:t>Kontraindikacije</w:t>
      </w:r>
    </w:p>
    <w:p w14:paraId="092EB221" w14:textId="77777777" w:rsidR="00095D7E" w:rsidRDefault="00095D7E">
      <w:pPr>
        <w:tabs>
          <w:tab w:val="clear" w:pos="567"/>
          <w:tab w:val="left" w:pos="540"/>
          <w:tab w:val="left" w:pos="569"/>
        </w:tabs>
        <w:rPr>
          <w:bCs/>
          <w:szCs w:val="22"/>
          <w:lang w:val="sr-Latn-ME"/>
        </w:rPr>
      </w:pPr>
    </w:p>
    <w:p w14:paraId="5F745CF3" w14:textId="77777777" w:rsidR="00095D7E" w:rsidRDefault="008740DD">
      <w:pPr>
        <w:widowControl w:val="0"/>
        <w:rPr>
          <w:szCs w:val="22"/>
          <w:u w:val="single"/>
          <w:lang w:val="sr-Latn-ME"/>
        </w:rPr>
      </w:pPr>
      <w:r>
        <w:rPr>
          <w:szCs w:val="22"/>
          <w:u w:val="single"/>
          <w:lang w:val="sr-Latn-ME"/>
        </w:rPr>
        <w:t>U vezi sa rosuvastatinom:</w:t>
      </w:r>
    </w:p>
    <w:p w14:paraId="0E1EC2A1" w14:textId="77777777" w:rsidR="00095D7E" w:rsidRDefault="008740DD">
      <w:pPr>
        <w:widowControl w:val="0"/>
        <w:numPr>
          <w:ilvl w:val="0"/>
          <w:numId w:val="9"/>
        </w:numPr>
        <w:tabs>
          <w:tab w:val="clear" w:pos="567"/>
        </w:tabs>
        <w:autoSpaceDE w:val="0"/>
        <w:autoSpaceDN w:val="0"/>
        <w:adjustRightInd w:val="0"/>
        <w:spacing w:line="240" w:lineRule="auto"/>
        <w:ind w:left="567" w:hanging="567"/>
        <w:jc w:val="both"/>
        <w:rPr>
          <w:szCs w:val="22"/>
          <w:lang w:val="sr-Latn-ME"/>
        </w:rPr>
      </w:pPr>
      <w:r>
        <w:rPr>
          <w:szCs w:val="22"/>
          <w:lang w:val="sr-Latn-ME"/>
        </w:rPr>
        <w:t>preosjetljivost na rosuvastatin,</w:t>
      </w:r>
    </w:p>
    <w:p w14:paraId="4D1D40A0" w14:textId="77777777" w:rsidR="00095D7E" w:rsidRDefault="008740DD">
      <w:pPr>
        <w:widowControl w:val="0"/>
        <w:numPr>
          <w:ilvl w:val="0"/>
          <w:numId w:val="9"/>
        </w:numPr>
        <w:tabs>
          <w:tab w:val="clear" w:pos="567"/>
        </w:tabs>
        <w:autoSpaceDE w:val="0"/>
        <w:autoSpaceDN w:val="0"/>
        <w:adjustRightInd w:val="0"/>
        <w:spacing w:line="240" w:lineRule="auto"/>
        <w:ind w:left="567" w:hanging="567"/>
        <w:jc w:val="both"/>
        <w:rPr>
          <w:szCs w:val="22"/>
          <w:lang w:val="sr-Latn-ME"/>
        </w:rPr>
      </w:pPr>
      <w:r>
        <w:rPr>
          <w:szCs w:val="22"/>
          <w:lang w:val="sr-Latn-ME"/>
        </w:rPr>
        <w:t>aktivno oboljenje jetre uključujući nerazjašnjen, perzistentan porast transaminaza u serumu i povećane vrijednosti transaminaze koje 3 x prelaze gornju granicu normale (GGN),</w:t>
      </w:r>
    </w:p>
    <w:p w14:paraId="7645256B" w14:textId="77777777" w:rsidR="00095D7E" w:rsidRDefault="008740DD">
      <w:pPr>
        <w:widowControl w:val="0"/>
        <w:numPr>
          <w:ilvl w:val="0"/>
          <w:numId w:val="9"/>
        </w:numPr>
        <w:tabs>
          <w:tab w:val="clear" w:pos="567"/>
        </w:tabs>
        <w:autoSpaceDE w:val="0"/>
        <w:autoSpaceDN w:val="0"/>
        <w:adjustRightInd w:val="0"/>
        <w:spacing w:line="240" w:lineRule="auto"/>
        <w:ind w:left="567" w:hanging="567"/>
        <w:jc w:val="both"/>
        <w:rPr>
          <w:szCs w:val="22"/>
          <w:lang w:val="sr-Latn-ME"/>
        </w:rPr>
      </w:pPr>
      <w:r>
        <w:rPr>
          <w:szCs w:val="22"/>
          <w:lang w:val="sr-Latn-ME"/>
        </w:rPr>
        <w:t>pacijenti sa miopatijom,</w:t>
      </w:r>
    </w:p>
    <w:p w14:paraId="55B97E45" w14:textId="77777777" w:rsidR="00095D7E" w:rsidRDefault="008740DD">
      <w:pPr>
        <w:widowControl w:val="0"/>
        <w:numPr>
          <w:ilvl w:val="0"/>
          <w:numId w:val="9"/>
        </w:numPr>
        <w:tabs>
          <w:tab w:val="clear" w:pos="567"/>
        </w:tabs>
        <w:autoSpaceDE w:val="0"/>
        <w:autoSpaceDN w:val="0"/>
        <w:adjustRightInd w:val="0"/>
        <w:spacing w:line="240" w:lineRule="auto"/>
        <w:ind w:left="567" w:hanging="567"/>
        <w:jc w:val="both"/>
        <w:rPr>
          <w:szCs w:val="22"/>
          <w:lang w:val="sr-Latn-ME"/>
        </w:rPr>
      </w:pPr>
      <w:r>
        <w:rPr>
          <w:szCs w:val="22"/>
          <w:lang w:val="sr-Latn-ME"/>
        </w:rPr>
        <w:t>istovremena primjena u kombinaciji sa lijekom sofosbuvir/velpatasvir/voksilaprevir (vidjeti dio 4.5),</w:t>
      </w:r>
    </w:p>
    <w:p w14:paraId="482DF568" w14:textId="77777777" w:rsidR="00095D7E" w:rsidRDefault="008740DD">
      <w:pPr>
        <w:widowControl w:val="0"/>
        <w:numPr>
          <w:ilvl w:val="0"/>
          <w:numId w:val="9"/>
        </w:numPr>
        <w:tabs>
          <w:tab w:val="clear" w:pos="567"/>
        </w:tabs>
        <w:autoSpaceDE w:val="0"/>
        <w:autoSpaceDN w:val="0"/>
        <w:adjustRightInd w:val="0"/>
        <w:spacing w:line="240" w:lineRule="auto"/>
        <w:ind w:left="567" w:hanging="567"/>
        <w:jc w:val="both"/>
        <w:rPr>
          <w:szCs w:val="22"/>
          <w:lang w:val="sr-Latn-ME"/>
        </w:rPr>
      </w:pPr>
      <w:r>
        <w:rPr>
          <w:szCs w:val="22"/>
          <w:lang w:val="sr-Latn-ME"/>
        </w:rPr>
        <w:t>pacijenti koji istovremeno uzimaju ciklosporin,</w:t>
      </w:r>
    </w:p>
    <w:p w14:paraId="262C768B" w14:textId="77777777" w:rsidR="00095D7E" w:rsidRDefault="008740DD">
      <w:pPr>
        <w:widowControl w:val="0"/>
        <w:numPr>
          <w:ilvl w:val="0"/>
          <w:numId w:val="9"/>
        </w:numPr>
        <w:tabs>
          <w:tab w:val="clear" w:pos="567"/>
        </w:tabs>
        <w:autoSpaceDE w:val="0"/>
        <w:autoSpaceDN w:val="0"/>
        <w:adjustRightInd w:val="0"/>
        <w:spacing w:line="240" w:lineRule="auto"/>
        <w:ind w:left="567" w:hanging="567"/>
        <w:jc w:val="both"/>
        <w:rPr>
          <w:szCs w:val="22"/>
          <w:lang w:val="sr-Latn-ME"/>
        </w:rPr>
      </w:pPr>
      <w:r>
        <w:rPr>
          <w:szCs w:val="22"/>
          <w:lang w:val="sr-Latn-ME"/>
        </w:rPr>
        <w:t>trudnoća i laktacija i kod žena u reproduktivnom periodu koje ne koriste odgovarajuće kontraceptivne mjere.</w:t>
      </w:r>
    </w:p>
    <w:p w14:paraId="12CC6B38" w14:textId="77777777" w:rsidR="00095D7E" w:rsidRDefault="00095D7E">
      <w:pPr>
        <w:widowControl w:val="0"/>
        <w:jc w:val="both"/>
        <w:rPr>
          <w:szCs w:val="22"/>
          <w:u w:val="single"/>
          <w:lang w:val="sr-Latn-ME"/>
        </w:rPr>
      </w:pPr>
    </w:p>
    <w:p w14:paraId="473A0A13" w14:textId="77777777" w:rsidR="00095D7E" w:rsidRDefault="008740DD">
      <w:pPr>
        <w:widowControl w:val="0"/>
        <w:jc w:val="both"/>
        <w:rPr>
          <w:szCs w:val="22"/>
          <w:u w:val="single"/>
          <w:lang w:val="sr-Latn-ME"/>
        </w:rPr>
      </w:pPr>
      <w:r>
        <w:rPr>
          <w:szCs w:val="22"/>
          <w:u w:val="single"/>
          <w:lang w:val="sr-Latn-ME"/>
        </w:rPr>
        <w:t>U vezi sa perindoprilom:</w:t>
      </w:r>
    </w:p>
    <w:p w14:paraId="18A166BA" w14:textId="77777777" w:rsidR="00095D7E" w:rsidRDefault="008740DD">
      <w:pPr>
        <w:widowControl w:val="0"/>
        <w:numPr>
          <w:ilvl w:val="0"/>
          <w:numId w:val="8"/>
        </w:numPr>
        <w:autoSpaceDE w:val="0"/>
        <w:autoSpaceDN w:val="0"/>
        <w:spacing w:line="240" w:lineRule="auto"/>
        <w:jc w:val="both"/>
        <w:rPr>
          <w:szCs w:val="22"/>
          <w:lang w:val="sr-Latn-ME"/>
        </w:rPr>
      </w:pPr>
      <w:r>
        <w:rPr>
          <w:szCs w:val="22"/>
          <w:lang w:val="sr-Latn-ME"/>
        </w:rPr>
        <w:t>preosjetljivost na perindopril ili neki drugi ACE inhibitor,</w:t>
      </w:r>
    </w:p>
    <w:p w14:paraId="02EEAFA9" w14:textId="77777777" w:rsidR="00095D7E" w:rsidRDefault="008740DD">
      <w:pPr>
        <w:widowControl w:val="0"/>
        <w:numPr>
          <w:ilvl w:val="0"/>
          <w:numId w:val="8"/>
        </w:numPr>
        <w:autoSpaceDE w:val="0"/>
        <w:autoSpaceDN w:val="0"/>
        <w:adjustRightInd w:val="0"/>
        <w:spacing w:line="240" w:lineRule="auto"/>
        <w:jc w:val="both"/>
        <w:rPr>
          <w:szCs w:val="22"/>
          <w:lang w:val="sr-Latn-ME"/>
        </w:rPr>
      </w:pPr>
      <w:r>
        <w:rPr>
          <w:szCs w:val="22"/>
          <w:lang w:val="sr-Latn-ME"/>
        </w:rPr>
        <w:t>angioedem (Kvinkeov edem) povezan sa prethodnom terapijom ACE inhibitorima u anamnezi (vidjeti dio 4.4),</w:t>
      </w:r>
    </w:p>
    <w:p w14:paraId="19D5A1D1" w14:textId="77777777" w:rsidR="00095D7E" w:rsidRDefault="008740DD">
      <w:pPr>
        <w:widowControl w:val="0"/>
        <w:numPr>
          <w:ilvl w:val="0"/>
          <w:numId w:val="8"/>
        </w:numPr>
        <w:autoSpaceDE w:val="0"/>
        <w:autoSpaceDN w:val="0"/>
        <w:spacing w:line="240" w:lineRule="auto"/>
        <w:jc w:val="both"/>
        <w:rPr>
          <w:szCs w:val="22"/>
          <w:lang w:val="sr-Latn-ME"/>
        </w:rPr>
      </w:pPr>
      <w:r>
        <w:rPr>
          <w:szCs w:val="22"/>
          <w:lang w:val="sr-Latn-ME"/>
        </w:rPr>
        <w:t>nasljedni ili idiopatski angioedem,</w:t>
      </w:r>
    </w:p>
    <w:p w14:paraId="33AD83FA" w14:textId="77777777" w:rsidR="00095D7E" w:rsidRDefault="008740DD">
      <w:pPr>
        <w:widowControl w:val="0"/>
        <w:numPr>
          <w:ilvl w:val="0"/>
          <w:numId w:val="8"/>
        </w:numPr>
        <w:autoSpaceDE w:val="0"/>
        <w:autoSpaceDN w:val="0"/>
        <w:adjustRightInd w:val="0"/>
        <w:spacing w:line="240" w:lineRule="auto"/>
        <w:jc w:val="both"/>
        <w:rPr>
          <w:szCs w:val="22"/>
          <w:lang w:val="sr-Latn-ME"/>
        </w:rPr>
      </w:pPr>
      <w:r>
        <w:rPr>
          <w:szCs w:val="22"/>
          <w:lang w:val="sr-Latn-ME"/>
        </w:rPr>
        <w:t>drugi i treći trimestar trudnoće (vidjeti djelove 4.4. i</w:t>
      </w:r>
      <w:r>
        <w:rPr>
          <w:i/>
          <w:szCs w:val="22"/>
          <w:lang w:val="sr-Latn-ME"/>
        </w:rPr>
        <w:t xml:space="preserve"> </w:t>
      </w:r>
      <w:r>
        <w:rPr>
          <w:szCs w:val="22"/>
          <w:lang w:val="sr-Latn-ME"/>
        </w:rPr>
        <w:t>4.6),</w:t>
      </w:r>
    </w:p>
    <w:p w14:paraId="22ACEF61" w14:textId="77777777" w:rsidR="00095D7E" w:rsidRDefault="008740DD">
      <w:pPr>
        <w:widowControl w:val="0"/>
        <w:numPr>
          <w:ilvl w:val="0"/>
          <w:numId w:val="8"/>
        </w:numPr>
        <w:autoSpaceDE w:val="0"/>
        <w:autoSpaceDN w:val="0"/>
        <w:adjustRightInd w:val="0"/>
        <w:spacing w:line="240" w:lineRule="auto"/>
        <w:jc w:val="both"/>
        <w:rPr>
          <w:szCs w:val="22"/>
          <w:lang w:val="sr-Latn-ME"/>
        </w:rPr>
      </w:pPr>
      <w:r>
        <w:rPr>
          <w:szCs w:val="22"/>
          <w:lang w:val="sr-Latn-ME"/>
        </w:rPr>
        <w:t>istovremena primjena lijeka Roxiper sa ljekovima koji sadrže aliskiren je kontraindikovana kod pacijenata koji imaju dijabetes melitus ili smanjenu funkciju bubrega (GFR &lt; 60 mL/min/1,73 m</w:t>
      </w:r>
      <w:r>
        <w:rPr>
          <w:szCs w:val="22"/>
          <w:vertAlign w:val="superscript"/>
          <w:lang w:val="sr-Latn-ME"/>
        </w:rPr>
        <w:t>2</w:t>
      </w:r>
      <w:r>
        <w:rPr>
          <w:szCs w:val="22"/>
          <w:lang w:val="sr-Latn-ME"/>
        </w:rPr>
        <w:t>) (vidjeti djelove 4.5. i 5.1),</w:t>
      </w:r>
    </w:p>
    <w:p w14:paraId="5F6822BF" w14:textId="77777777" w:rsidR="00095D7E" w:rsidRDefault="008740DD">
      <w:pPr>
        <w:ind w:left="567" w:hanging="567"/>
        <w:jc w:val="both"/>
        <w:rPr>
          <w:szCs w:val="22"/>
          <w:lang w:val="sr-Latn-ME"/>
        </w:rPr>
      </w:pPr>
      <w:r>
        <w:rPr>
          <w:szCs w:val="22"/>
          <w:lang w:val="sr-Latn-ME"/>
        </w:rPr>
        <w:t xml:space="preserve">- </w:t>
      </w:r>
      <w:r>
        <w:rPr>
          <w:szCs w:val="22"/>
          <w:lang w:val="sr-Latn-ME"/>
        </w:rPr>
        <w:tab/>
        <w:t>istovremena primjena sa terapijom sakubitril/valsartan. Terapija lijekom Roxiper se ne smije započeti prije nego što prođe 36 sati od zadnje doze sakubitrila/valsartana (vidjeti takođe djelove 4.4. i 4.5),</w:t>
      </w:r>
    </w:p>
    <w:p w14:paraId="3909D04E" w14:textId="77777777" w:rsidR="00095D7E" w:rsidRDefault="008740DD">
      <w:pPr>
        <w:ind w:left="567" w:hanging="567"/>
        <w:jc w:val="both"/>
        <w:rPr>
          <w:szCs w:val="22"/>
          <w:lang w:val="sr-Latn-ME"/>
        </w:rPr>
      </w:pPr>
      <w:r>
        <w:rPr>
          <w:szCs w:val="22"/>
          <w:lang w:val="sr-Latn-ME" w:eastAsia="sr-Latn-RS"/>
        </w:rPr>
        <w:t xml:space="preserve">- </w:t>
      </w:r>
      <w:r>
        <w:rPr>
          <w:szCs w:val="22"/>
          <w:lang w:val="sr-Latn-ME" w:eastAsia="sr-Latn-RS"/>
        </w:rPr>
        <w:tab/>
        <w:t xml:space="preserve">ekstrakorporalno liječenje koje dovodi do kontakta krvi s negativno nabijenim površinama </w:t>
      </w:r>
      <w:r>
        <w:rPr>
          <w:szCs w:val="22"/>
          <w:lang w:val="sr-Latn-ME"/>
        </w:rPr>
        <w:t>(vidjeti dio 4.5),</w:t>
      </w:r>
    </w:p>
    <w:p w14:paraId="48890EC9" w14:textId="77777777" w:rsidR="00095D7E" w:rsidRDefault="008740DD">
      <w:pPr>
        <w:ind w:left="567" w:hanging="567"/>
        <w:jc w:val="both"/>
        <w:rPr>
          <w:szCs w:val="22"/>
          <w:shd w:val="clear" w:color="auto" w:fill="F8F9FA"/>
          <w:lang w:val="sr-Latn-ME"/>
        </w:rPr>
      </w:pPr>
      <w:r>
        <w:rPr>
          <w:szCs w:val="22"/>
          <w:lang w:val="sr-Latn-ME"/>
        </w:rPr>
        <w:t xml:space="preserve">- </w:t>
      </w:r>
      <w:r>
        <w:rPr>
          <w:szCs w:val="22"/>
          <w:lang w:val="sr-Latn-ME"/>
        </w:rPr>
        <w:tab/>
        <w:t>značajna bilateralna stenoza bubrežne arterije ili stenoza arterije jednog funkcionalnog bubrega (vidjeti dio 4.4).</w:t>
      </w:r>
    </w:p>
    <w:p w14:paraId="4D0915AD" w14:textId="77777777" w:rsidR="00095D7E" w:rsidRDefault="00095D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right="-240"/>
        <w:rPr>
          <w:color w:val="222222"/>
          <w:szCs w:val="22"/>
          <w:lang w:val="sr-Latn-ME" w:eastAsia="sr-Latn-RS"/>
        </w:rPr>
      </w:pPr>
    </w:p>
    <w:p w14:paraId="709173D3" w14:textId="77777777" w:rsidR="00095D7E" w:rsidRDefault="008740DD">
      <w:pPr>
        <w:widowControl w:val="0"/>
        <w:jc w:val="both"/>
        <w:rPr>
          <w:szCs w:val="22"/>
          <w:u w:val="single"/>
          <w:lang w:val="sr-Latn-ME"/>
        </w:rPr>
      </w:pPr>
      <w:r>
        <w:rPr>
          <w:szCs w:val="22"/>
          <w:u w:val="single"/>
          <w:lang w:val="sr-Latn-ME"/>
        </w:rPr>
        <w:t>U vezi sa indapamidom:</w:t>
      </w:r>
    </w:p>
    <w:p w14:paraId="171547A9" w14:textId="77777777" w:rsidR="00095D7E" w:rsidRDefault="008740DD">
      <w:pPr>
        <w:widowControl w:val="0"/>
        <w:numPr>
          <w:ilvl w:val="0"/>
          <w:numId w:val="6"/>
        </w:numPr>
        <w:spacing w:line="240" w:lineRule="auto"/>
        <w:jc w:val="both"/>
        <w:rPr>
          <w:szCs w:val="22"/>
          <w:lang w:val="sr-Latn-ME"/>
        </w:rPr>
      </w:pPr>
      <w:r>
        <w:rPr>
          <w:szCs w:val="22"/>
          <w:lang w:val="sr-Latn-ME"/>
        </w:rPr>
        <w:t>preosjetljivost na indapamid ili na neki drugi sulfonamid,</w:t>
      </w:r>
    </w:p>
    <w:p w14:paraId="266AE85A" w14:textId="77777777" w:rsidR="00095D7E" w:rsidRDefault="008740DD">
      <w:pPr>
        <w:widowControl w:val="0"/>
        <w:numPr>
          <w:ilvl w:val="0"/>
          <w:numId w:val="6"/>
        </w:numPr>
        <w:autoSpaceDE w:val="0"/>
        <w:autoSpaceDN w:val="0"/>
        <w:adjustRightInd w:val="0"/>
        <w:spacing w:line="240" w:lineRule="auto"/>
        <w:jc w:val="both"/>
        <w:rPr>
          <w:szCs w:val="22"/>
          <w:lang w:val="sr-Latn-ME"/>
        </w:rPr>
      </w:pPr>
      <w:r>
        <w:rPr>
          <w:szCs w:val="22"/>
          <w:lang w:val="sr-Latn-ME"/>
        </w:rPr>
        <w:t>hepatička encefalopatija,</w:t>
      </w:r>
    </w:p>
    <w:p w14:paraId="6E6082E2" w14:textId="77777777" w:rsidR="00095D7E" w:rsidRDefault="008740DD">
      <w:pPr>
        <w:widowControl w:val="0"/>
        <w:numPr>
          <w:ilvl w:val="0"/>
          <w:numId w:val="6"/>
        </w:numPr>
        <w:autoSpaceDE w:val="0"/>
        <w:autoSpaceDN w:val="0"/>
        <w:adjustRightInd w:val="0"/>
        <w:spacing w:line="240" w:lineRule="auto"/>
        <w:jc w:val="both"/>
        <w:rPr>
          <w:szCs w:val="22"/>
          <w:lang w:val="sr-Latn-ME"/>
        </w:rPr>
      </w:pPr>
      <w:r>
        <w:rPr>
          <w:szCs w:val="22"/>
          <w:lang w:val="sr-Latn-ME"/>
        </w:rPr>
        <w:t>teško oštećenje jetre,</w:t>
      </w:r>
    </w:p>
    <w:p w14:paraId="078A0F2B" w14:textId="77777777" w:rsidR="00095D7E" w:rsidRDefault="008740DD">
      <w:pPr>
        <w:widowControl w:val="0"/>
        <w:numPr>
          <w:ilvl w:val="0"/>
          <w:numId w:val="6"/>
        </w:numPr>
        <w:spacing w:line="240" w:lineRule="auto"/>
        <w:jc w:val="both"/>
        <w:rPr>
          <w:szCs w:val="22"/>
          <w:lang w:val="sr-Latn-ME"/>
        </w:rPr>
      </w:pPr>
      <w:r>
        <w:rPr>
          <w:szCs w:val="22"/>
          <w:lang w:val="sr-Latn-ME"/>
        </w:rPr>
        <w:t>hipokalemija.</w:t>
      </w:r>
    </w:p>
    <w:p w14:paraId="567489DC" w14:textId="77777777" w:rsidR="00095D7E" w:rsidRDefault="00095D7E">
      <w:pPr>
        <w:widowControl w:val="0"/>
        <w:rPr>
          <w:szCs w:val="22"/>
          <w:lang w:val="sr-Latn-ME"/>
        </w:rPr>
      </w:pPr>
    </w:p>
    <w:p w14:paraId="4FD9A153" w14:textId="77777777" w:rsidR="00095D7E" w:rsidRDefault="00095D7E">
      <w:pPr>
        <w:widowControl w:val="0"/>
        <w:rPr>
          <w:szCs w:val="22"/>
          <w:lang w:val="sr-Latn-ME"/>
        </w:rPr>
      </w:pPr>
    </w:p>
    <w:p w14:paraId="6B0ED646" w14:textId="77777777" w:rsidR="00095D7E" w:rsidRDefault="008740DD">
      <w:pPr>
        <w:widowControl w:val="0"/>
        <w:jc w:val="both"/>
        <w:rPr>
          <w:szCs w:val="22"/>
          <w:u w:val="single"/>
          <w:lang w:val="sr-Latn-ME"/>
        </w:rPr>
      </w:pPr>
      <w:r>
        <w:rPr>
          <w:szCs w:val="22"/>
          <w:u w:val="single"/>
          <w:lang w:val="sr-Latn-ME"/>
        </w:rPr>
        <w:lastRenderedPageBreak/>
        <w:t>U vezi sa lijekom Roxiper:</w:t>
      </w:r>
    </w:p>
    <w:p w14:paraId="333F3590" w14:textId="77777777" w:rsidR="00095D7E" w:rsidRDefault="008740DD">
      <w:pPr>
        <w:widowControl w:val="0"/>
        <w:autoSpaceDE w:val="0"/>
        <w:autoSpaceDN w:val="0"/>
        <w:adjustRightInd w:val="0"/>
        <w:jc w:val="both"/>
        <w:rPr>
          <w:szCs w:val="22"/>
          <w:lang w:val="sr-Latn-ME"/>
        </w:rPr>
      </w:pPr>
      <w:r>
        <w:rPr>
          <w:szCs w:val="22"/>
          <w:lang w:val="sr-Latn-ME"/>
        </w:rPr>
        <w:t>Sve kontraindikacije povezane sa pojedinačnim komponentama, koje su gore navedene, moraju se primijeniti i na lijek Roxiper.</w:t>
      </w:r>
    </w:p>
    <w:p w14:paraId="1AF6B227" w14:textId="77777777" w:rsidR="00095D7E" w:rsidRDefault="008740DD">
      <w:pPr>
        <w:widowControl w:val="0"/>
        <w:numPr>
          <w:ilvl w:val="0"/>
          <w:numId w:val="7"/>
        </w:numPr>
        <w:spacing w:line="240" w:lineRule="auto"/>
        <w:jc w:val="both"/>
        <w:rPr>
          <w:szCs w:val="22"/>
          <w:lang w:val="sr-Latn-ME"/>
        </w:rPr>
      </w:pPr>
      <w:r>
        <w:rPr>
          <w:szCs w:val="22"/>
          <w:lang w:val="sr-Latn-ME"/>
        </w:rPr>
        <w:t>preosjetljivost na bilo koju pomoćnu supstancu navedenu u dijelu 6.1,</w:t>
      </w:r>
    </w:p>
    <w:p w14:paraId="051D37AC" w14:textId="77777777" w:rsidR="00095D7E" w:rsidRDefault="008740DD">
      <w:pPr>
        <w:widowControl w:val="0"/>
        <w:numPr>
          <w:ilvl w:val="0"/>
          <w:numId w:val="7"/>
        </w:numPr>
        <w:spacing w:line="240" w:lineRule="auto"/>
        <w:jc w:val="both"/>
        <w:rPr>
          <w:szCs w:val="22"/>
          <w:lang w:val="sr-Latn-ME"/>
        </w:rPr>
      </w:pPr>
      <w:r>
        <w:rPr>
          <w:szCs w:val="22"/>
          <w:lang w:val="sr-Latn-ME"/>
        </w:rPr>
        <w:t>teška renalna insuficijencija (klirens kreatinina ispod 30 mL/min).</w:t>
      </w:r>
    </w:p>
    <w:p w14:paraId="4CED691F" w14:textId="77777777" w:rsidR="00095D7E" w:rsidRDefault="00095D7E">
      <w:pPr>
        <w:widowControl w:val="0"/>
        <w:jc w:val="both"/>
        <w:rPr>
          <w:szCs w:val="22"/>
          <w:lang w:val="sr-Latn-ME"/>
        </w:rPr>
      </w:pPr>
    </w:p>
    <w:p w14:paraId="4AE6A779" w14:textId="77777777" w:rsidR="00095D7E" w:rsidRDefault="008740DD">
      <w:pPr>
        <w:widowControl w:val="0"/>
        <w:jc w:val="both"/>
        <w:rPr>
          <w:szCs w:val="22"/>
          <w:lang w:val="sr-Latn-ME"/>
        </w:rPr>
      </w:pPr>
      <w:r>
        <w:rPr>
          <w:szCs w:val="22"/>
          <w:lang w:val="sr-Latn-ME"/>
        </w:rPr>
        <w:t>S obzirom na to da ne postoji dovoljno kliničkih iskustava, lijek Roxiper ne treba koristiti kod:</w:t>
      </w:r>
    </w:p>
    <w:p w14:paraId="0DB3A54D" w14:textId="77777777" w:rsidR="00095D7E" w:rsidRDefault="008740DD">
      <w:pPr>
        <w:widowControl w:val="0"/>
        <w:numPr>
          <w:ilvl w:val="0"/>
          <w:numId w:val="7"/>
        </w:numPr>
        <w:spacing w:line="240" w:lineRule="auto"/>
        <w:jc w:val="both"/>
        <w:rPr>
          <w:szCs w:val="22"/>
          <w:lang w:val="sr-Latn-ME"/>
        </w:rPr>
      </w:pPr>
      <w:r>
        <w:rPr>
          <w:szCs w:val="22"/>
          <w:lang w:val="sr-Latn-ME"/>
        </w:rPr>
        <w:t>pacijenata na dijalizi,</w:t>
      </w:r>
    </w:p>
    <w:p w14:paraId="3FD9345E" w14:textId="77777777" w:rsidR="00095D7E" w:rsidRDefault="008740DD">
      <w:pPr>
        <w:widowControl w:val="0"/>
        <w:numPr>
          <w:ilvl w:val="0"/>
          <w:numId w:val="7"/>
        </w:numPr>
        <w:spacing w:line="240" w:lineRule="auto"/>
        <w:jc w:val="both"/>
        <w:rPr>
          <w:szCs w:val="22"/>
          <w:lang w:val="sr-Latn-ME"/>
        </w:rPr>
      </w:pPr>
      <w:r>
        <w:rPr>
          <w:szCs w:val="22"/>
          <w:lang w:val="sr-Latn-ME"/>
        </w:rPr>
        <w:t>pacijenata sa dekompenzovanom srčanom insuficijencijom koji nijesu na adekvatnoj terapiji.</w:t>
      </w:r>
    </w:p>
    <w:p w14:paraId="0ABAD93C" w14:textId="77777777" w:rsidR="00095D7E" w:rsidRDefault="00095D7E">
      <w:pPr>
        <w:tabs>
          <w:tab w:val="clear" w:pos="567"/>
          <w:tab w:val="left" w:pos="540"/>
          <w:tab w:val="left" w:pos="569"/>
        </w:tabs>
        <w:rPr>
          <w:bCs/>
          <w:szCs w:val="22"/>
          <w:lang w:val="sr-Latn-ME"/>
        </w:rPr>
      </w:pPr>
    </w:p>
    <w:p w14:paraId="3D2C9988" w14:textId="77777777" w:rsidR="00095D7E" w:rsidRDefault="008740DD">
      <w:pPr>
        <w:tabs>
          <w:tab w:val="clear" w:pos="567"/>
          <w:tab w:val="left" w:pos="540"/>
          <w:tab w:val="left" w:pos="569"/>
        </w:tabs>
        <w:rPr>
          <w:b/>
          <w:bCs/>
          <w:szCs w:val="22"/>
          <w:lang w:val="sr-Latn-ME"/>
        </w:rPr>
      </w:pPr>
      <w:r>
        <w:rPr>
          <w:b/>
          <w:bCs/>
          <w:szCs w:val="22"/>
          <w:lang w:val="sr-Latn-ME"/>
        </w:rPr>
        <w:t xml:space="preserve">4.4. </w:t>
      </w:r>
      <w:r>
        <w:rPr>
          <w:b/>
          <w:bCs/>
          <w:szCs w:val="22"/>
          <w:lang w:val="sr-Latn-ME"/>
        </w:rPr>
        <w:tab/>
        <w:t>Posebna upozorenja i mjere opreza pri upotrebi lijeka</w:t>
      </w:r>
    </w:p>
    <w:p w14:paraId="730ABBDD" w14:textId="77777777" w:rsidR="00095D7E" w:rsidRDefault="00095D7E">
      <w:pPr>
        <w:widowControl w:val="0"/>
        <w:rPr>
          <w:szCs w:val="22"/>
          <w:u w:val="single"/>
          <w:lang w:val="sr-Latn-ME"/>
        </w:rPr>
      </w:pPr>
    </w:p>
    <w:p w14:paraId="7DD5F5BB" w14:textId="77777777" w:rsidR="00095D7E" w:rsidRDefault="008740DD">
      <w:pPr>
        <w:widowControl w:val="0"/>
        <w:jc w:val="both"/>
        <w:rPr>
          <w:iCs/>
          <w:szCs w:val="22"/>
          <w:u w:val="single"/>
          <w:lang w:val="sr-Latn-ME"/>
        </w:rPr>
      </w:pPr>
      <w:r>
        <w:rPr>
          <w:szCs w:val="22"/>
          <w:u w:val="single"/>
          <w:lang w:val="sr-Latn-ME"/>
        </w:rPr>
        <w:t>Litijum</w:t>
      </w:r>
    </w:p>
    <w:p w14:paraId="14410F3B" w14:textId="77777777" w:rsidR="00095D7E" w:rsidRDefault="008740DD">
      <w:pPr>
        <w:widowControl w:val="0"/>
        <w:tabs>
          <w:tab w:val="left" w:pos="709"/>
          <w:tab w:val="left" w:pos="993"/>
        </w:tabs>
        <w:jc w:val="both"/>
        <w:rPr>
          <w:szCs w:val="22"/>
          <w:lang w:val="sr-Latn-ME"/>
        </w:rPr>
      </w:pPr>
      <w:r>
        <w:rPr>
          <w:szCs w:val="22"/>
          <w:lang w:val="sr-Latn-ME"/>
        </w:rPr>
        <w:t>Kombinovanje litijuma i kombinacije perindoprila i indapamida generalno se ne preporučuju (vidjeti dio 4.5).</w:t>
      </w:r>
    </w:p>
    <w:p w14:paraId="1EF20D7F" w14:textId="77777777" w:rsidR="00095D7E" w:rsidRDefault="00095D7E">
      <w:pPr>
        <w:widowControl w:val="0"/>
        <w:autoSpaceDE w:val="0"/>
        <w:autoSpaceDN w:val="0"/>
        <w:adjustRightInd w:val="0"/>
        <w:jc w:val="both"/>
        <w:rPr>
          <w:b/>
          <w:szCs w:val="22"/>
          <w:u w:val="single"/>
          <w:lang w:val="sr-Latn-ME"/>
        </w:rPr>
      </w:pPr>
    </w:p>
    <w:p w14:paraId="46FC8A6B" w14:textId="77777777" w:rsidR="00095D7E" w:rsidRDefault="008740DD">
      <w:pPr>
        <w:widowControl w:val="0"/>
        <w:tabs>
          <w:tab w:val="left" w:pos="0"/>
          <w:tab w:val="left" w:pos="709"/>
        </w:tabs>
        <w:jc w:val="both"/>
        <w:rPr>
          <w:szCs w:val="22"/>
          <w:u w:val="single"/>
          <w:lang w:val="sr-Latn-ME"/>
        </w:rPr>
      </w:pPr>
      <w:r>
        <w:rPr>
          <w:szCs w:val="22"/>
          <w:u w:val="single"/>
          <w:lang w:val="sr-Latn-ME"/>
        </w:rPr>
        <w:t>Neutropenija/agranulocitoza/trombocitopenija/anemija</w:t>
      </w:r>
    </w:p>
    <w:p w14:paraId="6156F712" w14:textId="77777777" w:rsidR="00095D7E" w:rsidRDefault="008740DD">
      <w:pPr>
        <w:jc w:val="both"/>
        <w:rPr>
          <w:szCs w:val="22"/>
          <w:lang w:val="sr-Latn-ME"/>
        </w:rPr>
      </w:pPr>
      <w:r>
        <w:rPr>
          <w:szCs w:val="22"/>
          <w:lang w:val="sr-Latn-ME"/>
        </w:rPr>
        <w:t>Kod pacijenata koji dobijaju ACE inhibitore zabilježene su i neutropenija/agranulocitoza, trombocitopenija i anemija. Kod pacijenata sa normalnom funkcijom bubrega, kod kojih nema drugih komplikacija, neutropenija se rijetko javlja. Perindopril treba veoma oprezno koristiti kod pacijenata sa kolagenim oboljenjem krvnih sudova, kod pacijenata koji su na imunosupresivnoj terapiji, zatim na terapiji alopurinolom ili prokainamidom, kao i kod onih kod kojih je prisutna kombinacija ovih komplikujućih faktora, naročito ako već od ranije postoji oslabljena funkcija bubrega. Kod nekih od ovih pacijenata razvila se i teška infekcija, koja u nekoliko slučajeva nije mogla da se suzbije intenzivnom terapijom antibioticima. Ako se ovim pacijentima daje perindopril, preporučljivo je da se kod njih obavlja periodična kontrola broja bijelih krvnih zrnaca i da se posavjetuju da prijave svaki znak infekcije (npr. bol u grlu, temperatura) (vidjeti djelove 4.5. i 4.8).</w:t>
      </w:r>
    </w:p>
    <w:p w14:paraId="60516353" w14:textId="77777777" w:rsidR="00095D7E" w:rsidRDefault="00095D7E">
      <w:pPr>
        <w:jc w:val="both"/>
        <w:rPr>
          <w:szCs w:val="22"/>
          <w:lang w:val="sr-Latn-ME"/>
        </w:rPr>
      </w:pPr>
    </w:p>
    <w:p w14:paraId="2D5C55AC" w14:textId="77777777" w:rsidR="00095D7E" w:rsidRDefault="008740DD">
      <w:pPr>
        <w:jc w:val="both"/>
        <w:rPr>
          <w:szCs w:val="22"/>
          <w:u w:val="single"/>
          <w:lang w:val="sr-Latn-ME"/>
        </w:rPr>
      </w:pPr>
      <w:r>
        <w:rPr>
          <w:szCs w:val="22"/>
          <w:u w:val="single"/>
          <w:lang w:val="sr-Latn-ME"/>
        </w:rPr>
        <w:t xml:space="preserve">Renovaskularna hipertenzija </w:t>
      </w:r>
    </w:p>
    <w:p w14:paraId="4A4F7E40" w14:textId="77777777" w:rsidR="00095D7E" w:rsidRDefault="008740DD">
      <w:pPr>
        <w:jc w:val="both"/>
        <w:rPr>
          <w:szCs w:val="22"/>
          <w:lang w:val="sr-Latn-ME"/>
        </w:rPr>
      </w:pPr>
      <w:r>
        <w:rPr>
          <w:szCs w:val="22"/>
          <w:lang w:val="sr-Latn-ME"/>
        </w:rPr>
        <w:t>Postoji povećani rizik od hipotenzije i renalne insuficijencije kada se pacijenti sa bilateralnom stenozom renalne arterije ili stenozom arterije jednog funkcionalnog bubrega liječe ACE inhibitorima (vidjeti dio 4.3). Liječenje diureticima može biti doprinosni faktor. Gubitak bubrežne funkcije može se javiti i uz manje promjene serumskog kreatinina čak i kod pacijenata sa unilateralnom stenozom renalne arterije.</w:t>
      </w:r>
    </w:p>
    <w:p w14:paraId="66AB4420" w14:textId="77777777" w:rsidR="00095D7E" w:rsidRDefault="00095D7E">
      <w:pPr>
        <w:widowControl w:val="0"/>
        <w:rPr>
          <w:szCs w:val="22"/>
          <w:lang w:val="sr-Latn-ME"/>
        </w:rPr>
      </w:pPr>
    </w:p>
    <w:p w14:paraId="53616886" w14:textId="77777777" w:rsidR="00095D7E" w:rsidRDefault="008740DD">
      <w:pPr>
        <w:widowControl w:val="0"/>
        <w:tabs>
          <w:tab w:val="left" w:pos="709"/>
        </w:tabs>
        <w:jc w:val="both"/>
        <w:rPr>
          <w:szCs w:val="22"/>
          <w:u w:val="single"/>
          <w:lang w:val="sr-Latn-ME"/>
        </w:rPr>
      </w:pPr>
      <w:r>
        <w:rPr>
          <w:szCs w:val="22"/>
          <w:u w:val="single"/>
          <w:lang w:val="sr-Latn-ME"/>
        </w:rPr>
        <w:t>Preosjetljivost/angioedem</w:t>
      </w:r>
    </w:p>
    <w:p w14:paraId="5AF3C1E8" w14:textId="77777777" w:rsidR="00095D7E" w:rsidRDefault="008740DD">
      <w:pPr>
        <w:widowControl w:val="0"/>
        <w:autoSpaceDE w:val="0"/>
        <w:autoSpaceDN w:val="0"/>
        <w:adjustRightInd w:val="0"/>
        <w:jc w:val="both"/>
        <w:rPr>
          <w:bCs/>
          <w:szCs w:val="22"/>
          <w:lang w:val="sr-Latn-ME"/>
        </w:rPr>
      </w:pPr>
      <w:r>
        <w:rPr>
          <w:szCs w:val="22"/>
          <w:lang w:val="sr-Latn-ME"/>
        </w:rPr>
        <w:t>Angioedem lica, ekstremiteta, usana, jezika, glotisa i/ili larinksa rijetko je zabilježen kod pacijenata liječenih inhibitorima angiotenzinske konvertaze, uključujući i perindopril (vidjeti dio 4.8). On može da se pojavi bilo kada u toku terapije. U takvim slučajevima treba odmah ukinuti perindopril i uvesti odgovarajući nadzor, kako bi se prije otpuštanja pacijenta obezbijedilo kompletno povlačenje simptoma. U onim slučajevima kada je otok ograničen na lice i usne, ovo stanje se obično povlači bez terapije, iako se pokazalo da su antihistaminici bili korisni u ublažavanju simptoma.</w:t>
      </w:r>
    </w:p>
    <w:p w14:paraId="5462CA54" w14:textId="77777777" w:rsidR="00095D7E" w:rsidRDefault="00095D7E">
      <w:pPr>
        <w:widowControl w:val="0"/>
        <w:autoSpaceDE w:val="0"/>
        <w:autoSpaceDN w:val="0"/>
        <w:adjustRightInd w:val="0"/>
        <w:jc w:val="both"/>
        <w:rPr>
          <w:bCs/>
          <w:szCs w:val="22"/>
          <w:lang w:val="sr-Latn-ME"/>
        </w:rPr>
      </w:pPr>
    </w:p>
    <w:p w14:paraId="6CF8EBAE" w14:textId="77777777" w:rsidR="00095D7E" w:rsidRDefault="008740DD">
      <w:pPr>
        <w:widowControl w:val="0"/>
        <w:jc w:val="both"/>
        <w:rPr>
          <w:bCs/>
          <w:szCs w:val="22"/>
          <w:lang w:val="sr-Latn-ME"/>
        </w:rPr>
      </w:pPr>
      <w:r>
        <w:rPr>
          <w:szCs w:val="22"/>
          <w:lang w:val="sr-Latn-ME"/>
        </w:rPr>
        <w:t>Angioedem u kombinaciji sa edemom larinksa može biti fatalan. Kada su uključeni jezik, glotis ili larinks, što može da izazove opstrukciju disajnih puteva, treba odmah uvesti odgovarajuću terapiju, koja uključuje subkutanu primjenu epinefrina u rastvoru 1:1000 (0,3 ml do 0,5 ml) i/ili mjere koje obezbjeđuju prohodnost disajnih puteva.</w:t>
      </w:r>
    </w:p>
    <w:p w14:paraId="24765305" w14:textId="77777777" w:rsidR="00095D7E" w:rsidRDefault="00095D7E">
      <w:pPr>
        <w:pStyle w:val="EMEAEnBodyText"/>
        <w:widowControl w:val="0"/>
        <w:tabs>
          <w:tab w:val="left" w:pos="567"/>
        </w:tabs>
        <w:spacing w:before="0" w:after="0"/>
        <w:rPr>
          <w:bCs/>
          <w:szCs w:val="22"/>
          <w:lang w:val="sr-Latn-ME"/>
        </w:rPr>
      </w:pPr>
    </w:p>
    <w:p w14:paraId="6A5BB45D" w14:textId="77777777" w:rsidR="00095D7E" w:rsidRDefault="008740DD">
      <w:pPr>
        <w:widowControl w:val="0"/>
        <w:jc w:val="both"/>
        <w:rPr>
          <w:bCs/>
          <w:szCs w:val="22"/>
          <w:lang w:val="sr-Latn-ME"/>
        </w:rPr>
      </w:pPr>
      <w:r>
        <w:rPr>
          <w:szCs w:val="22"/>
          <w:lang w:val="sr-Latn-ME"/>
        </w:rPr>
        <w:t>Kod pacijenata crne rase koji su dobijali ACE inhibitore zabilježena je veća incidenca angioedema u poređenju sa pacijentima drugih rasa.</w:t>
      </w:r>
    </w:p>
    <w:p w14:paraId="5B2353E9" w14:textId="77777777" w:rsidR="00095D7E" w:rsidRDefault="00095D7E">
      <w:pPr>
        <w:widowControl w:val="0"/>
        <w:jc w:val="both"/>
        <w:rPr>
          <w:bCs/>
          <w:szCs w:val="22"/>
          <w:lang w:val="sr-Latn-ME"/>
        </w:rPr>
      </w:pPr>
    </w:p>
    <w:p w14:paraId="755702B5" w14:textId="77777777" w:rsidR="00095D7E" w:rsidRDefault="008740DD">
      <w:pPr>
        <w:widowControl w:val="0"/>
        <w:jc w:val="both"/>
        <w:rPr>
          <w:bCs/>
          <w:szCs w:val="22"/>
          <w:lang w:val="sr-Latn-ME"/>
        </w:rPr>
      </w:pPr>
      <w:r>
        <w:rPr>
          <w:szCs w:val="22"/>
          <w:lang w:val="sr-Latn-ME"/>
        </w:rPr>
        <w:t>Kod pacijenata sa angioedemom u anamnezi, koji nije bio povezan sa terapijom ACE inhibitorima, u toku terapije ACE inhibitorima postoji veći rizik od pojave angioedema (vidjeti dio 4.3).</w:t>
      </w:r>
    </w:p>
    <w:p w14:paraId="260FDDA1" w14:textId="77777777" w:rsidR="00095D7E" w:rsidRDefault="00095D7E">
      <w:pPr>
        <w:widowControl w:val="0"/>
        <w:jc w:val="both"/>
        <w:rPr>
          <w:bCs/>
          <w:szCs w:val="22"/>
          <w:lang w:val="sr-Latn-ME"/>
        </w:rPr>
      </w:pPr>
    </w:p>
    <w:p w14:paraId="49B63757" w14:textId="77777777" w:rsidR="00095D7E" w:rsidRDefault="008740DD">
      <w:pPr>
        <w:widowControl w:val="0"/>
        <w:tabs>
          <w:tab w:val="left" w:pos="0"/>
        </w:tabs>
        <w:jc w:val="both"/>
        <w:outlineLvl w:val="0"/>
        <w:rPr>
          <w:bCs/>
          <w:szCs w:val="22"/>
          <w:lang w:val="sr-Latn-ME"/>
        </w:rPr>
      </w:pPr>
      <w:r>
        <w:rPr>
          <w:szCs w:val="22"/>
          <w:lang w:val="sr-Latn-ME"/>
        </w:rPr>
        <w:t xml:space="preserve">Intestinalni angioedem je rijetko bio zabilježen kod pacijenata liječenih ACE inhibitorima. Kod ovih pacijenata se javlja bol u abdomenu (sa mučninom i povraćanjem ili bez njih), a u nekim slučajevima nije bilo ranijeg facijalnog angioedema i nivoi C-1 esteraze su bili normalni. Angioedem je bio </w:t>
      </w:r>
      <w:r>
        <w:rPr>
          <w:szCs w:val="22"/>
          <w:lang w:val="sr-Latn-ME"/>
        </w:rPr>
        <w:lastRenderedPageBreak/>
        <w:t>dijagnostikovan procedurama koje su uključivale kompjuterizovanu tomografiju (CT skener) abdomena ili ultrazvuk, ili pri operaciji, a simptomi su nestajali poslije ukidanja ACE inhibitora. Intestinalni angioedem treba isključiti u diferencijalnoj dijagnozi kod pacijenata na ACE inhibitorima kod kojih se javio bol u abdomenu.</w:t>
      </w:r>
    </w:p>
    <w:p w14:paraId="6E75D3E1" w14:textId="77777777" w:rsidR="00095D7E" w:rsidRDefault="00095D7E">
      <w:pPr>
        <w:widowControl w:val="0"/>
        <w:tabs>
          <w:tab w:val="left" w:pos="0"/>
        </w:tabs>
        <w:outlineLvl w:val="0"/>
        <w:rPr>
          <w:bCs/>
          <w:szCs w:val="22"/>
          <w:lang w:val="sr-Latn-ME"/>
        </w:rPr>
      </w:pPr>
    </w:p>
    <w:p w14:paraId="394E3F52" w14:textId="77777777" w:rsidR="00095D7E" w:rsidRDefault="008740DD">
      <w:pPr>
        <w:widowControl w:val="0"/>
        <w:tabs>
          <w:tab w:val="left" w:pos="0"/>
        </w:tabs>
        <w:jc w:val="both"/>
        <w:outlineLvl w:val="0"/>
        <w:rPr>
          <w:szCs w:val="22"/>
          <w:lang w:val="sr-Latn-ME"/>
        </w:rPr>
      </w:pPr>
      <w:r>
        <w:rPr>
          <w:szCs w:val="22"/>
          <w:lang w:val="sr-Latn-ME"/>
        </w:rPr>
        <w:t>Istovremena primjena ACE inhibitora sa sakubitrilom/valsartanom je kontraindikovana zbog povećanog rizika od angioedema. Liječenje sakubitrilom/valsartanom ne smije se započeti prije isteka 36 sati od zadnje doze perindoprila. Liječenje perindoprilom ne smije se započeti prije isteka 36 sati od zadnje doze sakubitrila/valsartana (vidjeti djelove 4.3. i 4.5).</w:t>
      </w:r>
    </w:p>
    <w:p w14:paraId="09E00BE0" w14:textId="77777777" w:rsidR="00095D7E" w:rsidRDefault="00095D7E">
      <w:pPr>
        <w:widowControl w:val="0"/>
        <w:tabs>
          <w:tab w:val="left" w:pos="0"/>
        </w:tabs>
        <w:jc w:val="both"/>
        <w:outlineLvl w:val="0"/>
        <w:rPr>
          <w:szCs w:val="22"/>
          <w:lang w:val="sr-Latn-ME"/>
        </w:rPr>
      </w:pPr>
    </w:p>
    <w:p w14:paraId="7334571B" w14:textId="77777777" w:rsidR="00095D7E" w:rsidRDefault="008740DD">
      <w:pPr>
        <w:widowControl w:val="0"/>
        <w:tabs>
          <w:tab w:val="left" w:pos="0"/>
        </w:tabs>
        <w:jc w:val="both"/>
        <w:outlineLvl w:val="0"/>
        <w:rPr>
          <w:szCs w:val="22"/>
          <w:lang w:val="sr-Latn-ME"/>
        </w:rPr>
      </w:pPr>
      <w:r>
        <w:rPr>
          <w:szCs w:val="22"/>
          <w:lang w:val="sr-Latn-ME"/>
        </w:rPr>
        <w:t xml:space="preserve">Istovremena upotreba ACE inhibitora sa </w:t>
      </w:r>
      <w:r>
        <w:rPr>
          <w:noProof/>
          <w:szCs w:val="22"/>
        </w:rPr>
        <w:t xml:space="preserve">drugim NEP inhibitorima (npr. </w:t>
      </w:r>
      <w:r>
        <w:rPr>
          <w:szCs w:val="22"/>
          <w:lang w:val="sr-Latn-ME"/>
        </w:rPr>
        <w:t xml:space="preserve">racekadotrilom), mTOR inhibitorima (npr. sirolimus, everolimus, temsirolimus) i gliptinima (npr. linagliptinom, saksagliptinom, sitagliptinom, vildagliptinom) može dovesti do povećanog rizika od angioedema (npr. oticanje disajnih puteva ili jezika, sa respiratornim oštećenjem ili bez njega) (vidjeti dio 4.5). Treba voditi računa pri započinjanju terapije </w:t>
      </w:r>
      <w:r>
        <w:rPr>
          <w:noProof/>
          <w:szCs w:val="22"/>
        </w:rPr>
        <w:t>NEP inhibitorima (npr.</w:t>
      </w:r>
      <w:r>
        <w:rPr>
          <w:bCs/>
          <w:szCs w:val="22"/>
          <w:lang w:val="en-US"/>
        </w:rPr>
        <w:t xml:space="preserve"> </w:t>
      </w:r>
      <w:r>
        <w:rPr>
          <w:szCs w:val="22"/>
          <w:lang w:val="sr-Latn-ME"/>
        </w:rPr>
        <w:t xml:space="preserve">racekadotrilom), mTOR inhibitorima (npr. sirolimus, everolimus, temsirolimus) i </w:t>
      </w:r>
      <w:r>
        <w:rPr>
          <w:rFonts w:eastAsia="Verdana"/>
          <w:szCs w:val="22"/>
        </w:rPr>
        <w:t>gliptinima (npr. linagliptinom, saxagliptinom, sitagliptinom,</w:t>
      </w:r>
      <w:r>
        <w:rPr>
          <w:szCs w:val="22"/>
          <w:lang w:val="sr-Latn-ME"/>
        </w:rPr>
        <w:t xml:space="preserve"> vildagliptinom) kod pacijenata koji već uzimaju ACE inhibitor.</w:t>
      </w:r>
    </w:p>
    <w:p w14:paraId="39FE92A2" w14:textId="77777777" w:rsidR="00095D7E" w:rsidRDefault="00095D7E">
      <w:pPr>
        <w:widowControl w:val="0"/>
        <w:autoSpaceDE w:val="0"/>
        <w:autoSpaceDN w:val="0"/>
        <w:adjustRightInd w:val="0"/>
        <w:jc w:val="both"/>
        <w:rPr>
          <w:szCs w:val="22"/>
          <w:lang w:val="sr-Latn-ME"/>
        </w:rPr>
      </w:pPr>
    </w:p>
    <w:p w14:paraId="764C1303" w14:textId="77777777" w:rsidR="00095D7E" w:rsidRDefault="008740DD">
      <w:pPr>
        <w:widowControl w:val="0"/>
        <w:jc w:val="both"/>
        <w:rPr>
          <w:szCs w:val="22"/>
          <w:u w:val="single"/>
          <w:lang w:val="sr-Latn-ME"/>
        </w:rPr>
      </w:pPr>
      <w:r>
        <w:rPr>
          <w:szCs w:val="22"/>
          <w:u w:val="single"/>
          <w:lang w:val="sr-Latn-ME"/>
        </w:rPr>
        <w:t>Anafilaktoidne reakcije tokom desenzitizacije</w:t>
      </w:r>
    </w:p>
    <w:p w14:paraId="5F8242D7" w14:textId="77777777" w:rsidR="00095D7E" w:rsidRDefault="008740DD">
      <w:pPr>
        <w:pStyle w:val="BodyTextIndent"/>
        <w:widowControl w:val="0"/>
        <w:tabs>
          <w:tab w:val="left" w:pos="0"/>
        </w:tabs>
        <w:spacing w:after="0"/>
        <w:ind w:left="0"/>
        <w:jc w:val="both"/>
        <w:rPr>
          <w:szCs w:val="22"/>
          <w:lang w:val="sr-Latn-ME"/>
        </w:rPr>
      </w:pPr>
      <w:r>
        <w:rPr>
          <w:szCs w:val="22"/>
          <w:lang w:val="sr-Latn-ME"/>
        </w:rPr>
        <w:t>Zabilježeni su izolovani slučajevi pacijenata kod kojih je došlo do pojave iznenadnih anafilaktičkih/anafilaktoidnih reakcija opasnih po život dok su primali ACE inhibitore tokom desenzitizacije na otrov himenoptera (pčele, ose). ACE inhibitore treba pažljivo koristiti kod alergičnih pacijenata koji se nalaze na desenzitizaciji i izbjegavati kod onih koji su trenutno na imunoterapiji otrovom. Međutim, moguće je spriječiti pojavu ovih reakcija privremenim prekidanjem terapije ACE inhibitorima najmanje 24 sata prije terapije kod pacijenata kojima je neophodna i terapija ACE inhibitorima i desenzitizacija.</w:t>
      </w:r>
    </w:p>
    <w:p w14:paraId="234B098D" w14:textId="77777777" w:rsidR="00095D7E" w:rsidRDefault="00095D7E">
      <w:pPr>
        <w:pStyle w:val="BodyTextIndent"/>
        <w:widowControl w:val="0"/>
        <w:tabs>
          <w:tab w:val="left" w:pos="0"/>
        </w:tabs>
        <w:spacing w:after="0"/>
        <w:ind w:left="0"/>
        <w:jc w:val="both"/>
        <w:rPr>
          <w:szCs w:val="22"/>
          <w:lang w:val="sr-Latn-ME"/>
        </w:rPr>
      </w:pPr>
    </w:p>
    <w:p w14:paraId="10BA18BA" w14:textId="77777777" w:rsidR="00095D7E" w:rsidRDefault="008740DD">
      <w:pPr>
        <w:widowControl w:val="0"/>
        <w:jc w:val="both"/>
        <w:rPr>
          <w:iCs/>
          <w:szCs w:val="22"/>
          <w:u w:val="single"/>
          <w:lang w:val="sr-Latn-ME"/>
        </w:rPr>
      </w:pPr>
      <w:r>
        <w:rPr>
          <w:szCs w:val="22"/>
          <w:u w:val="single"/>
          <w:lang w:val="sr-Latn-ME"/>
        </w:rPr>
        <w:t>Anafilaktoidne reakcije tokom LDL afereze</w:t>
      </w:r>
    </w:p>
    <w:p w14:paraId="4E535B61" w14:textId="77777777" w:rsidR="00095D7E" w:rsidRDefault="008740DD">
      <w:pPr>
        <w:widowControl w:val="0"/>
        <w:jc w:val="both"/>
        <w:rPr>
          <w:szCs w:val="22"/>
          <w:lang w:val="sr-Latn-ME"/>
        </w:rPr>
      </w:pPr>
      <w:r>
        <w:rPr>
          <w:szCs w:val="22"/>
          <w:lang w:val="sr-Latn-ME"/>
        </w:rPr>
        <w:t>Kod pacijenata koji dobijaju ACE inhibitore za vrijeme afereze lipoproteina niske gustine (LDL) dekstran-sulfatom rijetko su se javljale anafilaktoidne reakcije opasne po život. Ove reakcije izbjegnute su privremenim obustavljanjem terapije ACE inhibitorima prije svake afereze.</w:t>
      </w:r>
    </w:p>
    <w:p w14:paraId="6EE580D6" w14:textId="77777777" w:rsidR="00095D7E" w:rsidRDefault="00095D7E">
      <w:pPr>
        <w:widowControl w:val="0"/>
        <w:autoSpaceDE w:val="0"/>
        <w:autoSpaceDN w:val="0"/>
        <w:adjustRightInd w:val="0"/>
        <w:jc w:val="both"/>
        <w:rPr>
          <w:szCs w:val="22"/>
          <w:lang w:val="sr-Latn-ME"/>
        </w:rPr>
      </w:pPr>
    </w:p>
    <w:p w14:paraId="758C8175" w14:textId="77777777" w:rsidR="00095D7E" w:rsidRDefault="008740DD">
      <w:pPr>
        <w:widowControl w:val="0"/>
        <w:jc w:val="both"/>
        <w:rPr>
          <w:iCs/>
          <w:szCs w:val="22"/>
          <w:u w:val="single"/>
          <w:lang w:val="sr-Latn-ME"/>
        </w:rPr>
      </w:pPr>
      <w:r>
        <w:rPr>
          <w:szCs w:val="22"/>
          <w:u w:val="single"/>
          <w:lang w:val="sr-Latn-ME"/>
        </w:rPr>
        <w:t>Pacijenti na hemodijalizi</w:t>
      </w:r>
    </w:p>
    <w:p w14:paraId="2A4F5F1D" w14:textId="77777777" w:rsidR="00095D7E" w:rsidRDefault="008740DD">
      <w:pPr>
        <w:widowControl w:val="0"/>
        <w:autoSpaceDE w:val="0"/>
        <w:autoSpaceDN w:val="0"/>
        <w:adjustRightInd w:val="0"/>
        <w:jc w:val="both"/>
        <w:rPr>
          <w:szCs w:val="22"/>
          <w:lang w:val="sr-Latn-ME"/>
        </w:rPr>
      </w:pPr>
      <w:r>
        <w:rPr>
          <w:szCs w:val="22"/>
          <w:lang w:val="sr-Latn-ME"/>
        </w:rPr>
        <w:t>Kod pacijenata na dijalizi membranama sa velikim fluksom (npr. AN 69</w:t>
      </w:r>
      <w:r>
        <w:rPr>
          <w:szCs w:val="22"/>
          <w:vertAlign w:val="superscript"/>
          <w:lang w:val="sr-Latn-ME"/>
        </w:rPr>
        <w:t>®</w:t>
      </w:r>
      <w:r>
        <w:rPr>
          <w:szCs w:val="22"/>
          <w:lang w:val="sr-Latn-ME"/>
        </w:rPr>
        <w:t>), koji su istovremeno liječeni ACE inhibitorom, zabilježene su anafilaktoidne reakcije. Kod takvih pacijenata treba razmotriti mogućnost primjene drugog tipa membrane za dijalizu ili druge klase antihipertenzivnog lijeka.</w:t>
      </w:r>
    </w:p>
    <w:p w14:paraId="4200ADE2" w14:textId="77777777" w:rsidR="00095D7E" w:rsidRDefault="00095D7E">
      <w:pPr>
        <w:widowControl w:val="0"/>
        <w:tabs>
          <w:tab w:val="left" w:pos="0"/>
        </w:tabs>
        <w:rPr>
          <w:szCs w:val="22"/>
          <w:u w:val="single"/>
          <w:lang w:val="sr-Latn-ME"/>
        </w:rPr>
      </w:pPr>
    </w:p>
    <w:p w14:paraId="2F1B827B" w14:textId="77777777" w:rsidR="00095D7E" w:rsidRDefault="008740DD">
      <w:pPr>
        <w:jc w:val="both"/>
        <w:rPr>
          <w:szCs w:val="22"/>
          <w:u w:val="single"/>
          <w:lang w:val="sr-Latn-ME"/>
        </w:rPr>
      </w:pPr>
      <w:r>
        <w:rPr>
          <w:szCs w:val="22"/>
          <w:u w:val="single"/>
          <w:lang w:val="sr-Latn-ME"/>
        </w:rPr>
        <w:t>Primarni aldosteronizam</w:t>
      </w:r>
    </w:p>
    <w:p w14:paraId="4D69782F" w14:textId="77777777" w:rsidR="00095D7E" w:rsidRDefault="008740DD">
      <w:pPr>
        <w:jc w:val="both"/>
        <w:rPr>
          <w:szCs w:val="22"/>
          <w:lang w:val="sr-Latn-ME"/>
        </w:rPr>
      </w:pPr>
      <w:r>
        <w:rPr>
          <w:szCs w:val="22"/>
          <w:lang w:val="sr-Latn-ME"/>
        </w:rPr>
        <w:t>Pacijenti sa primarnim hiperaldosteronizmom generalno neće reagovati na antihipertenzivne lijekove koji djeluju putem inhibicije renin-angiotenzinskog sistema. Stoga se ne preporučuje upotreba ovog proizvoda.</w:t>
      </w:r>
    </w:p>
    <w:p w14:paraId="62347232" w14:textId="77777777" w:rsidR="00095D7E" w:rsidRDefault="00095D7E">
      <w:pPr>
        <w:widowControl w:val="0"/>
        <w:tabs>
          <w:tab w:val="left" w:pos="0"/>
        </w:tabs>
        <w:jc w:val="both"/>
        <w:rPr>
          <w:szCs w:val="22"/>
          <w:u w:val="single"/>
          <w:lang w:val="sr-Latn-ME"/>
        </w:rPr>
      </w:pPr>
    </w:p>
    <w:p w14:paraId="110DE12D" w14:textId="77777777" w:rsidR="00095D7E" w:rsidRDefault="008740DD">
      <w:pPr>
        <w:widowControl w:val="0"/>
        <w:tabs>
          <w:tab w:val="left" w:pos="0"/>
        </w:tabs>
        <w:jc w:val="both"/>
        <w:rPr>
          <w:szCs w:val="22"/>
          <w:u w:val="single"/>
          <w:lang w:val="sr-Latn-ME"/>
        </w:rPr>
      </w:pPr>
      <w:r>
        <w:rPr>
          <w:szCs w:val="22"/>
          <w:u w:val="single"/>
          <w:lang w:val="sr-Latn-ME"/>
        </w:rPr>
        <w:t>Koncentracija kalijuma</w:t>
      </w:r>
    </w:p>
    <w:p w14:paraId="5C843C3C" w14:textId="77777777" w:rsidR="00095D7E" w:rsidRDefault="008740DD">
      <w:pPr>
        <w:widowControl w:val="0"/>
        <w:autoSpaceDE w:val="0"/>
        <w:autoSpaceDN w:val="0"/>
        <w:adjustRightInd w:val="0"/>
        <w:jc w:val="both"/>
        <w:rPr>
          <w:szCs w:val="22"/>
          <w:lang w:val="sr-Latn-ME"/>
        </w:rPr>
      </w:pPr>
      <w:r>
        <w:rPr>
          <w:szCs w:val="22"/>
          <w:lang w:val="sr-Latn-ME"/>
        </w:rPr>
        <w:t>Gubitak kalijuma sa hipokalemijom predstavlja veliki rizik prilikom upotrebe tiazidnih diuretika i diuretika sličnih tiazidnim. Hipokalijemija može uzrokovati poremećaje mišića. Prijavljeni su slučajevi rabdomiolize, uglavnom u kontekstu teške hipokalijemije. Rizik od pojave nižih vrijednosti kalijuma (&lt; 3,4 mmol/L) treba spriječiti u visoko rizičnim grupama kao što su stariji i/ili pothranjeni pacijenti, bez obzira na to da li primaju ili ne primaju više ljekova istovremeno, kod pacijenata koji imaju edem i ascit, a boluju od ciroze, srčanih bolesnika i kod pacijenata sa srčanom insuficijencijom. U takvim slučajevima hipokalemija povećava kardiotoksičnost kardiotoničnih glikozida i rizik od aritmija.</w:t>
      </w:r>
    </w:p>
    <w:p w14:paraId="5807AF2C" w14:textId="77777777" w:rsidR="00095D7E" w:rsidRDefault="00095D7E">
      <w:pPr>
        <w:widowControl w:val="0"/>
        <w:autoSpaceDE w:val="0"/>
        <w:autoSpaceDN w:val="0"/>
        <w:adjustRightInd w:val="0"/>
        <w:jc w:val="both"/>
        <w:rPr>
          <w:szCs w:val="22"/>
          <w:lang w:val="sr-Latn-ME"/>
        </w:rPr>
      </w:pPr>
    </w:p>
    <w:p w14:paraId="39D821F9" w14:textId="77777777" w:rsidR="00095D7E" w:rsidRDefault="008740DD">
      <w:pPr>
        <w:widowControl w:val="0"/>
        <w:autoSpaceDE w:val="0"/>
        <w:autoSpaceDN w:val="0"/>
        <w:adjustRightInd w:val="0"/>
        <w:jc w:val="both"/>
        <w:rPr>
          <w:szCs w:val="22"/>
          <w:lang w:val="sr-Latn-ME"/>
        </w:rPr>
      </w:pPr>
      <w:r>
        <w:rPr>
          <w:szCs w:val="22"/>
          <w:lang w:val="sr-Latn-ME"/>
        </w:rPr>
        <w:t xml:space="preserve">Kombinacija perindoprila i indapamida ne sprečava pojavu hipokalemije, posebno kod pacijenata koji boluju od dijabetesa ili kod pacijenata sa oštećenjem funkcije bubrega. Kao i kod drugih antihipertenzivnih ljekova u kombinaciji sa diuretikom, treba redovno pratiti koncentracije kalijuma u plazmi. Ako je utvrđen nizak nivo kalijuma, potrebna je korekcija. </w:t>
      </w:r>
    </w:p>
    <w:p w14:paraId="339C1204" w14:textId="77777777" w:rsidR="00095D7E" w:rsidRDefault="008740DD">
      <w:pPr>
        <w:widowControl w:val="0"/>
        <w:autoSpaceDE w:val="0"/>
        <w:autoSpaceDN w:val="0"/>
        <w:adjustRightInd w:val="0"/>
        <w:jc w:val="both"/>
        <w:rPr>
          <w:szCs w:val="22"/>
          <w:lang w:val="sr-Latn-ME"/>
        </w:rPr>
      </w:pPr>
      <w:r>
        <w:rPr>
          <w:szCs w:val="22"/>
          <w:lang w:val="sr-Latn-ME"/>
        </w:rPr>
        <w:t xml:space="preserve">Hipokalijemija praćena niskom koncentracijom magnezijuma u serumu može biti neizlečiva, ukoliko se </w:t>
      </w:r>
      <w:r>
        <w:rPr>
          <w:szCs w:val="22"/>
          <w:lang w:val="sr-Latn-ME"/>
        </w:rPr>
        <w:lastRenderedPageBreak/>
        <w:t>nivo magnezijuma u serumu ne poboljša.</w:t>
      </w:r>
    </w:p>
    <w:p w14:paraId="056C0503" w14:textId="77777777" w:rsidR="00095D7E" w:rsidRDefault="00095D7E">
      <w:pPr>
        <w:widowControl w:val="0"/>
        <w:autoSpaceDE w:val="0"/>
        <w:autoSpaceDN w:val="0"/>
        <w:adjustRightInd w:val="0"/>
        <w:jc w:val="both"/>
        <w:rPr>
          <w:szCs w:val="22"/>
          <w:highlight w:val="magenta"/>
          <w:lang w:val="sr-Latn-ME"/>
        </w:rPr>
      </w:pPr>
    </w:p>
    <w:p w14:paraId="1C090A9A" w14:textId="77777777" w:rsidR="00095D7E" w:rsidRDefault="008740DD">
      <w:pPr>
        <w:widowControl w:val="0"/>
        <w:autoSpaceDE w:val="0"/>
        <w:autoSpaceDN w:val="0"/>
        <w:adjustRightInd w:val="0"/>
        <w:jc w:val="both"/>
        <w:rPr>
          <w:szCs w:val="22"/>
          <w:lang w:val="sr-Latn-ME"/>
        </w:rPr>
      </w:pPr>
      <w:r>
        <w:rPr>
          <w:szCs w:val="22"/>
          <w:lang w:val="sr-Latn-ME"/>
        </w:rPr>
        <w:t>Nivo magnezijuma</w:t>
      </w:r>
      <w:r w:rsidR="00E10969">
        <w:rPr>
          <w:szCs w:val="22"/>
          <w:lang w:val="sr-Latn-ME"/>
        </w:rPr>
        <w:t xml:space="preserve"> u plazmi</w:t>
      </w:r>
    </w:p>
    <w:p w14:paraId="21E86680" w14:textId="77777777" w:rsidR="00095D7E" w:rsidRDefault="008740DD">
      <w:pPr>
        <w:widowControl w:val="0"/>
        <w:autoSpaceDE w:val="0"/>
        <w:autoSpaceDN w:val="0"/>
        <w:adjustRightInd w:val="0"/>
        <w:jc w:val="both"/>
        <w:rPr>
          <w:szCs w:val="22"/>
        </w:rPr>
      </w:pPr>
      <w:r>
        <w:rPr>
          <w:szCs w:val="22"/>
        </w:rPr>
        <w:t>Primijećeno je da tiazidni i njima srodni diuretici uključujući indapamid povećavaju urinarnu sekreciju magnezijuma, što može dovesti do hipomagnezemije (vidjeti odjeljak 4.5 i 4.8)</w:t>
      </w:r>
    </w:p>
    <w:p w14:paraId="6BB10AF3" w14:textId="77777777" w:rsidR="00095D7E" w:rsidRDefault="00095D7E">
      <w:pPr>
        <w:widowControl w:val="0"/>
        <w:autoSpaceDE w:val="0"/>
        <w:autoSpaceDN w:val="0"/>
        <w:adjustRightInd w:val="0"/>
        <w:jc w:val="both"/>
        <w:rPr>
          <w:szCs w:val="22"/>
          <w:lang w:val="sr-Latn-ME"/>
        </w:rPr>
      </w:pPr>
    </w:p>
    <w:p w14:paraId="057772F5" w14:textId="77777777" w:rsidR="006A64EA" w:rsidRDefault="006A64EA">
      <w:pPr>
        <w:widowControl w:val="0"/>
        <w:jc w:val="both"/>
        <w:rPr>
          <w:szCs w:val="22"/>
          <w:u w:val="single"/>
          <w:lang w:val="sr-Latn-ME"/>
        </w:rPr>
      </w:pPr>
    </w:p>
    <w:p w14:paraId="5281C439" w14:textId="77777777" w:rsidR="00095D7E" w:rsidRDefault="008740DD">
      <w:pPr>
        <w:widowControl w:val="0"/>
        <w:jc w:val="both"/>
        <w:rPr>
          <w:szCs w:val="22"/>
          <w:u w:val="single"/>
          <w:lang w:val="sr-Latn-ME"/>
        </w:rPr>
      </w:pPr>
      <w:r>
        <w:rPr>
          <w:szCs w:val="22"/>
          <w:u w:val="single"/>
          <w:lang w:val="sr-Latn-ME"/>
        </w:rPr>
        <w:t>Diuretici koji štede kalijum, suplementi kalijuma ili soli kalijuma</w:t>
      </w:r>
    </w:p>
    <w:p w14:paraId="57519769" w14:textId="77777777" w:rsidR="00095D7E" w:rsidRDefault="008740DD">
      <w:pPr>
        <w:widowControl w:val="0"/>
        <w:jc w:val="both"/>
        <w:rPr>
          <w:szCs w:val="22"/>
          <w:lang w:val="sr-Latn-ME"/>
        </w:rPr>
      </w:pPr>
      <w:r>
        <w:rPr>
          <w:szCs w:val="22"/>
          <w:lang w:val="sr-Latn-ME"/>
        </w:rPr>
        <w:t>Kombinovanje perindoprila i ljekova koji štede kalijum, suplemenata kalijuma ili soli kalijuma  generalno se ne preporučuje (vidjeti dio 4.5).</w:t>
      </w:r>
    </w:p>
    <w:p w14:paraId="702A8A75" w14:textId="77777777" w:rsidR="00095D7E" w:rsidRDefault="00095D7E">
      <w:pPr>
        <w:widowControl w:val="0"/>
        <w:rPr>
          <w:szCs w:val="22"/>
          <w:u w:val="single"/>
          <w:lang w:val="sr-Latn-ME"/>
        </w:rPr>
      </w:pPr>
    </w:p>
    <w:p w14:paraId="2B0E9940" w14:textId="77777777" w:rsidR="00095D7E" w:rsidRDefault="008740DD">
      <w:pPr>
        <w:widowControl w:val="0"/>
        <w:rPr>
          <w:bCs/>
          <w:iCs/>
          <w:szCs w:val="22"/>
          <w:u w:val="single"/>
          <w:lang w:val="sr-Latn-ME"/>
        </w:rPr>
      </w:pPr>
      <w:r>
        <w:rPr>
          <w:szCs w:val="22"/>
          <w:u w:val="single"/>
          <w:lang w:val="sr-Latn-ME"/>
        </w:rPr>
        <w:t>Hiperkalemija</w:t>
      </w:r>
    </w:p>
    <w:p w14:paraId="6A19F1B5" w14:textId="77777777" w:rsidR="00095D7E" w:rsidRDefault="008740DD">
      <w:pPr>
        <w:widowControl w:val="0"/>
        <w:jc w:val="both"/>
        <w:rPr>
          <w:bCs/>
          <w:iCs/>
          <w:szCs w:val="22"/>
          <w:lang w:val="sr-Latn-ME"/>
        </w:rPr>
      </w:pPr>
      <w:r>
        <w:rPr>
          <w:szCs w:val="22"/>
          <w:lang w:val="sr-Latn-ME"/>
        </w:rPr>
        <w:t xml:space="preserve">ACE inhibitori mogu uzrokovati hiperkalemiju jer inhibiraju oslobađanje aldosterona. Efekat obično nije značajan kod pacijenata sa normalnom funkcijom bubrega. Faktori rizika za razvoj hiperkalemije uključuju insuficijenciju bubrega, pogoršanje funkcije bubrega, starost (&gt; 70 godina), dijabetes melitus, pojavu pratećih događaja, naročito dehidriranje, akutnu srčanu dekompenzaciju, metaboličku acidozu i istovremenu primjenu diuretika koji štede kalijum (npr. spironolakton, eplerenon, triamteren ili amilorid), suplemenata kalijuma ili zamjena za kuhinjsku so koje sadrže kalijum; ili su prisutni kod onih pacijenata koji uzimaju druge ljekove koji su povezani sa porastom kalijuma u serumu (npr. heparin, trimetoprim ili kotrimoksazol, takođe poznat kao trimetoprim/sulfametoksazol, a posebno antagonisti aldosterona ili blokatori angiotenzinskih receptora, </w:t>
      </w:r>
      <w:r>
        <w:rPr>
          <w:color w:val="222222"/>
          <w:szCs w:val="22"/>
          <w:shd w:val="clear" w:color="auto" w:fill="F8F9FA"/>
          <w:lang w:val="sr-Latn-ME"/>
        </w:rPr>
        <w:t xml:space="preserve">acetilsalicilna kiselina ≥ 3 g/dan, COX-2 inhibitori i neselektivni NSAID, imunosupresivni agensi kao što su ciklosporin ili takrolimus). </w:t>
      </w:r>
      <w:r>
        <w:rPr>
          <w:szCs w:val="22"/>
          <w:lang w:val="sr-Latn-ME"/>
        </w:rPr>
        <w:t xml:space="preserve">Primjena suplemenata kalijuma, diuretika koji štede kalijum ili zamjena za kuhinjsku so koje sadrže kalijum, posebno kod pacijenata sa slabijom funkcijom bubrega, može da dovede do značajnog porasta koncentracije kalijuma u serumu. Hiperkalemija može da izazove teške, ponekad fatalne aritmije. </w:t>
      </w:r>
      <w:r>
        <w:rPr>
          <w:szCs w:val="22"/>
          <w:lang w:val="sr-Latn-ME"/>
        </w:rPr>
        <w:br/>
      </w:r>
      <w:r>
        <w:rPr>
          <w:color w:val="222222"/>
          <w:szCs w:val="22"/>
          <w:shd w:val="clear" w:color="auto" w:fill="F8F9FA"/>
          <w:lang w:val="sr-Latn-ME"/>
        </w:rPr>
        <w:t>Ako se istovremena primjena gore spomenutih sredstava smatra prikladnom, treba ih koristiti s oprezom i uz često praćenje nivoa kalijuma u serumu</w:t>
      </w:r>
      <w:r>
        <w:rPr>
          <w:color w:val="00B050"/>
          <w:szCs w:val="22"/>
          <w:lang w:val="sr-Latn-ME"/>
        </w:rPr>
        <w:t xml:space="preserve">. </w:t>
      </w:r>
      <w:r>
        <w:rPr>
          <w:szCs w:val="22"/>
          <w:lang w:val="sr-Latn-ME"/>
        </w:rPr>
        <w:t>Diuretike koji štede kalijum i blokatore angiotenzinskih receptora treba koristiti s oprezom kod pacijenata koji koriste ACE inhibitore, a potrebno je pratiti i serumski kalijum i funkciju bubrega.</w:t>
      </w:r>
      <w:r>
        <w:rPr>
          <w:b/>
          <w:i/>
          <w:szCs w:val="22"/>
          <w:lang w:val="sr-Latn-ME"/>
        </w:rPr>
        <w:t xml:space="preserve"> </w:t>
      </w:r>
      <w:r>
        <w:rPr>
          <w:szCs w:val="22"/>
          <w:lang w:val="sr-Latn-ME"/>
        </w:rPr>
        <w:t>(vidjeti dio 4.5).</w:t>
      </w:r>
    </w:p>
    <w:p w14:paraId="005A9535" w14:textId="77777777" w:rsidR="00886A9C" w:rsidRPr="00886A9C" w:rsidRDefault="00886A9C" w:rsidP="00886A9C">
      <w:pPr>
        <w:widowControl w:val="0"/>
        <w:jc w:val="both"/>
        <w:rPr>
          <w:bCs/>
          <w:iCs/>
          <w:szCs w:val="22"/>
          <w:u w:val="single"/>
          <w:lang w:val="sr-Latn-ME"/>
        </w:rPr>
      </w:pPr>
    </w:p>
    <w:p w14:paraId="55511AE6" w14:textId="77777777" w:rsidR="00095D7E" w:rsidRDefault="008740DD">
      <w:pPr>
        <w:widowControl w:val="0"/>
        <w:jc w:val="both"/>
        <w:rPr>
          <w:bCs/>
          <w:iCs/>
          <w:szCs w:val="22"/>
          <w:u w:val="single"/>
          <w:lang w:val="sr-Latn-ME"/>
        </w:rPr>
      </w:pPr>
      <w:r>
        <w:rPr>
          <w:szCs w:val="22"/>
          <w:u w:val="single"/>
          <w:lang w:val="sr-Latn-ME"/>
        </w:rPr>
        <w:t>Trudnoća</w:t>
      </w:r>
    </w:p>
    <w:p w14:paraId="2381C27F" w14:textId="77777777" w:rsidR="00095D7E" w:rsidRDefault="008740DD">
      <w:pPr>
        <w:widowControl w:val="0"/>
        <w:autoSpaceDE w:val="0"/>
        <w:autoSpaceDN w:val="0"/>
        <w:adjustRightInd w:val="0"/>
        <w:jc w:val="both"/>
        <w:rPr>
          <w:szCs w:val="22"/>
          <w:lang w:val="sr-Latn-ME"/>
        </w:rPr>
      </w:pPr>
      <w:r>
        <w:rPr>
          <w:szCs w:val="22"/>
          <w:lang w:val="sr-Latn-ME"/>
        </w:rPr>
        <w:t>ACE inhibitore ne treba uvoditi tokom trudnoće. Osim ako se ne smatra da je nastavak terapije ACE inhibitorima neophodan, pacijentkinje koje planiraju trudnoću treba prebaciti na alterantivne antihipertenzivne terapije, koje imaju utvrđen bezbjednosni profil za upotrebu tokom trudnoće. Kada se dijagnostikuje trudnoća, liječenje ACE inhibitorima treba odmah prekinuti i, ukoliko je moguće, treba započeti alternativnu terapiju (vidjeti djelove 4.3. i 4.6).</w:t>
      </w:r>
    </w:p>
    <w:p w14:paraId="440F4CEA" w14:textId="77777777" w:rsidR="00095D7E" w:rsidRDefault="00095D7E">
      <w:pPr>
        <w:widowControl w:val="0"/>
        <w:jc w:val="both"/>
        <w:rPr>
          <w:b/>
          <w:szCs w:val="22"/>
          <w:u w:val="single"/>
          <w:lang w:val="sr-Latn-ME"/>
        </w:rPr>
      </w:pPr>
    </w:p>
    <w:p w14:paraId="1A06917D" w14:textId="77777777" w:rsidR="00095D7E" w:rsidRDefault="008740DD">
      <w:pPr>
        <w:widowControl w:val="0"/>
        <w:tabs>
          <w:tab w:val="left" w:pos="0"/>
          <w:tab w:val="left" w:pos="709"/>
        </w:tabs>
        <w:jc w:val="both"/>
        <w:rPr>
          <w:iCs/>
          <w:szCs w:val="22"/>
          <w:u w:val="single"/>
          <w:lang w:val="sr-Latn-ME"/>
        </w:rPr>
      </w:pPr>
      <w:r>
        <w:rPr>
          <w:szCs w:val="22"/>
          <w:u w:val="single"/>
          <w:lang w:val="sr-Latn-ME"/>
        </w:rPr>
        <w:t>Fotosenzitivnost</w:t>
      </w:r>
    </w:p>
    <w:p w14:paraId="09083225" w14:textId="77777777" w:rsidR="00095D7E" w:rsidRDefault="008740DD">
      <w:pPr>
        <w:widowControl w:val="0"/>
        <w:autoSpaceDE w:val="0"/>
        <w:autoSpaceDN w:val="0"/>
        <w:adjustRightInd w:val="0"/>
        <w:jc w:val="both"/>
        <w:rPr>
          <w:szCs w:val="22"/>
          <w:lang w:val="sr-Latn-ME"/>
        </w:rPr>
      </w:pPr>
      <w:r>
        <w:rPr>
          <w:szCs w:val="22"/>
          <w:lang w:val="sr-Latn-ME"/>
        </w:rPr>
        <w:t>Zabilježeni su slučajevi fotosenzitivnih reakcija sa tiazidima i njima srodnim tiazidnim diureticima (vidjeti dio 4.8). Ako se fotosenzitivne reakcije jave tokom terapije, preporučuje se njeno prekidanje. Ako se smatra da je ponovna primjena diuretika neophodna, preporučuje se zaštita izloženih površina od sunca ili od vještačkih UVA zraka.</w:t>
      </w:r>
    </w:p>
    <w:p w14:paraId="1A785EBB" w14:textId="77777777" w:rsidR="00095D7E" w:rsidRDefault="00095D7E">
      <w:pPr>
        <w:widowControl w:val="0"/>
        <w:autoSpaceDE w:val="0"/>
        <w:autoSpaceDN w:val="0"/>
        <w:adjustRightInd w:val="0"/>
        <w:rPr>
          <w:b/>
          <w:szCs w:val="22"/>
          <w:lang w:val="sr-Latn-ME"/>
        </w:rPr>
      </w:pPr>
    </w:p>
    <w:p w14:paraId="16D6E2A2" w14:textId="77777777" w:rsidR="00095D7E" w:rsidRDefault="008740DD">
      <w:pPr>
        <w:widowControl w:val="0"/>
        <w:tabs>
          <w:tab w:val="left" w:pos="0"/>
          <w:tab w:val="left" w:pos="709"/>
        </w:tabs>
        <w:jc w:val="both"/>
        <w:rPr>
          <w:szCs w:val="22"/>
          <w:u w:val="single"/>
          <w:lang w:val="sr-Latn-ME"/>
        </w:rPr>
      </w:pPr>
      <w:r>
        <w:rPr>
          <w:szCs w:val="22"/>
          <w:u w:val="single"/>
          <w:lang w:val="sr-Latn-ME"/>
        </w:rPr>
        <w:t>Oštećenje funkcije bubrega</w:t>
      </w:r>
    </w:p>
    <w:p w14:paraId="4CC12B41" w14:textId="77777777" w:rsidR="00095D7E" w:rsidRDefault="008740DD">
      <w:pPr>
        <w:widowControl w:val="0"/>
        <w:jc w:val="both"/>
        <w:rPr>
          <w:szCs w:val="22"/>
          <w:lang w:val="sr-Latn-ME"/>
        </w:rPr>
      </w:pPr>
      <w:r>
        <w:rPr>
          <w:szCs w:val="22"/>
          <w:lang w:val="sr-Latn-ME"/>
        </w:rPr>
        <w:t>U slučaju teške renalne insuficijencije (klirens kreatinina &lt; 30 mmol), liječenje je kontraindikovano. Lijek Roxiper nije pogodan za upotrebu kod pacijenata sa klirensom kreatinina &lt; 60 mL/min. Kod ovih pacijenata se preporučuje individualna titracija doze sa monokomponentnim ljekovima (vidjeti dio 4.2).</w:t>
      </w:r>
    </w:p>
    <w:p w14:paraId="29A5449E" w14:textId="77777777" w:rsidR="00095D7E" w:rsidRDefault="00095D7E">
      <w:pPr>
        <w:widowControl w:val="0"/>
        <w:jc w:val="both"/>
        <w:rPr>
          <w:szCs w:val="22"/>
          <w:lang w:val="sr-Latn-ME"/>
        </w:rPr>
      </w:pPr>
    </w:p>
    <w:p w14:paraId="4446195F" w14:textId="77777777" w:rsidR="00095D7E" w:rsidRDefault="008740DD">
      <w:pPr>
        <w:pStyle w:val="Header"/>
        <w:widowControl w:val="0"/>
        <w:tabs>
          <w:tab w:val="left" w:pos="0"/>
        </w:tabs>
        <w:jc w:val="both"/>
        <w:rPr>
          <w:rFonts w:ascii="Times New Roman" w:hAnsi="Times New Roman"/>
          <w:sz w:val="22"/>
          <w:szCs w:val="22"/>
          <w:lang w:val="sr-Latn-ME"/>
        </w:rPr>
      </w:pPr>
      <w:r>
        <w:rPr>
          <w:rFonts w:ascii="Times New Roman" w:hAnsi="Times New Roman"/>
          <w:sz w:val="22"/>
          <w:szCs w:val="22"/>
          <w:lang w:val="sr-Latn-ME"/>
        </w:rPr>
        <w:t>Kod izvjesnog broja pacijenata koji boluju od hipertenzije, bez prethodno utvrđenih bubrežnih lezija, a kod kojih analize krvi pokažu funkcionalnu renalnu insuficijenciju, treba prekinuti sa terapijom i početi je ponovo ili sa nižim dozama ili samo sa jednom aktivnom supstancom.</w:t>
      </w:r>
    </w:p>
    <w:p w14:paraId="50481F49" w14:textId="77777777" w:rsidR="00095D7E" w:rsidRDefault="00095D7E">
      <w:pPr>
        <w:pStyle w:val="Header"/>
        <w:widowControl w:val="0"/>
        <w:tabs>
          <w:tab w:val="left" w:pos="0"/>
        </w:tabs>
        <w:jc w:val="both"/>
        <w:rPr>
          <w:rFonts w:ascii="Times New Roman" w:hAnsi="Times New Roman"/>
          <w:sz w:val="22"/>
          <w:szCs w:val="22"/>
          <w:lang w:val="sr-Latn-ME"/>
        </w:rPr>
      </w:pPr>
    </w:p>
    <w:p w14:paraId="79E5222F" w14:textId="77777777" w:rsidR="00095D7E" w:rsidRDefault="008740DD">
      <w:pPr>
        <w:pStyle w:val="a"/>
        <w:widowControl w:val="0"/>
        <w:tabs>
          <w:tab w:val="left" w:pos="0"/>
        </w:tabs>
        <w:jc w:val="both"/>
        <w:rPr>
          <w:sz w:val="22"/>
          <w:szCs w:val="22"/>
          <w:lang w:val="sr-Latn-ME"/>
        </w:rPr>
      </w:pPr>
      <w:r>
        <w:rPr>
          <w:sz w:val="22"/>
          <w:szCs w:val="22"/>
          <w:lang w:val="sr-Latn-ME"/>
        </w:rPr>
        <w:t xml:space="preserve">Kod ovih pacijenata uobičajeno medicinsko praćenje podrazumijeva učestalo određivanje koncentracije kalijuma i kreatinina dvije nedjelje nakon početka terapije, a zatim svaka dva mjeseca tokom uspostavljenog stabilnog terapijskog odgovora. Oštećenje funkcije bubrega zabilježeno je uglavnom kod pacijenata sa teškom srčanom insuficijencijom ili već postojećom renalnom insuficijencijom, </w:t>
      </w:r>
      <w:r>
        <w:rPr>
          <w:sz w:val="22"/>
          <w:szCs w:val="22"/>
          <w:lang w:val="sr-Latn-ME"/>
        </w:rPr>
        <w:lastRenderedPageBreak/>
        <w:t>uključujući i stenozu bubrežne arterije.</w:t>
      </w:r>
    </w:p>
    <w:p w14:paraId="665D7024" w14:textId="77777777" w:rsidR="00095D7E" w:rsidRDefault="00095D7E">
      <w:pPr>
        <w:pStyle w:val="a"/>
        <w:widowControl w:val="0"/>
        <w:tabs>
          <w:tab w:val="left" w:pos="0"/>
        </w:tabs>
        <w:jc w:val="both"/>
        <w:rPr>
          <w:b/>
          <w:i/>
          <w:sz w:val="22"/>
          <w:szCs w:val="22"/>
          <w:u w:val="single"/>
          <w:lang w:val="sr-Latn-ME"/>
        </w:rPr>
      </w:pPr>
    </w:p>
    <w:p w14:paraId="29A3F3B7" w14:textId="77777777" w:rsidR="00095D7E" w:rsidRDefault="008740DD">
      <w:pPr>
        <w:widowControl w:val="0"/>
        <w:jc w:val="both"/>
        <w:rPr>
          <w:szCs w:val="22"/>
          <w:lang w:val="sr-Latn-ME"/>
        </w:rPr>
      </w:pPr>
      <w:r>
        <w:rPr>
          <w:szCs w:val="22"/>
          <w:lang w:val="sr-Latn-ME"/>
        </w:rPr>
        <w:t>Ovaj lijek se obično ne preporučuje u slučaju bilateralne stenoze bubrežnih arterija ili stenoze arterije jednog funkcionalnog bubrega.</w:t>
      </w:r>
    </w:p>
    <w:p w14:paraId="11C976C5" w14:textId="77777777" w:rsidR="00095D7E" w:rsidRDefault="00095D7E">
      <w:pPr>
        <w:widowControl w:val="0"/>
        <w:jc w:val="both"/>
        <w:rPr>
          <w:szCs w:val="22"/>
          <w:lang w:val="sr-Latn-ME"/>
        </w:rPr>
      </w:pPr>
    </w:p>
    <w:p w14:paraId="78DE1B63" w14:textId="77777777" w:rsidR="00095D7E" w:rsidRDefault="008740DD">
      <w:pPr>
        <w:widowControl w:val="0"/>
        <w:jc w:val="both"/>
        <w:rPr>
          <w:szCs w:val="22"/>
          <w:lang w:val="sr-Latn-ME"/>
        </w:rPr>
      </w:pPr>
      <w:r>
        <w:rPr>
          <w:szCs w:val="22"/>
          <w:lang w:val="sr-Latn-ME"/>
        </w:rPr>
        <w:t>Proteinurija, otkrivena testiranjem pomoću kontrolnog štapića i pretežno tubularna po porijeklu, primijećena je kod pacijenata koji su liječeni visokim dozama rosuvastatina, naročito 40 mg, i bila je prolazna ili povremena u većini slučajeva. Pokazalo se da se sa pojavom proteinurije nije moglo predvidjeti akutno ili progresivno oboljenje bubrega (vidjeti dio 4.8).</w:t>
      </w:r>
    </w:p>
    <w:p w14:paraId="7BCD8B2A" w14:textId="77777777" w:rsidR="00095D7E" w:rsidRDefault="00095D7E">
      <w:pPr>
        <w:widowControl w:val="0"/>
        <w:rPr>
          <w:szCs w:val="22"/>
          <w:lang w:val="sr-Latn-ME"/>
        </w:rPr>
      </w:pPr>
    </w:p>
    <w:p w14:paraId="1760C12C" w14:textId="77777777" w:rsidR="00095D7E" w:rsidRDefault="008740DD">
      <w:pPr>
        <w:widowControl w:val="0"/>
        <w:rPr>
          <w:szCs w:val="22"/>
          <w:u w:val="single"/>
          <w:lang w:val="sr-Latn-ME"/>
        </w:rPr>
      </w:pPr>
      <w:r>
        <w:rPr>
          <w:szCs w:val="22"/>
          <w:u w:val="single"/>
          <w:lang w:val="sr-Latn-ME"/>
        </w:rPr>
        <w:t>Bubrežna funkcija i diuretici</w:t>
      </w:r>
    </w:p>
    <w:p w14:paraId="75DF72A6" w14:textId="77777777" w:rsidR="00095D7E" w:rsidRDefault="008740DD">
      <w:pPr>
        <w:widowControl w:val="0"/>
        <w:jc w:val="both"/>
        <w:rPr>
          <w:szCs w:val="22"/>
          <w:lang w:val="sr-Latn-ME"/>
        </w:rPr>
      </w:pPr>
      <w:r>
        <w:rPr>
          <w:szCs w:val="22"/>
          <w:lang w:val="sr-Latn-ME"/>
        </w:rPr>
        <w:t>Tiazidni diuretici i diuretici slični tiazidnim u potpunosti su efikasni jedino ukoliko je funkcija bubrega normalna ili samo blago oštećena (koncentracija kreatinina niža od približno 25 mg/L, tj. 220 µmol/L za odrasle).</w:t>
      </w:r>
    </w:p>
    <w:p w14:paraId="183E36F4" w14:textId="77777777" w:rsidR="00095D7E" w:rsidRDefault="00095D7E">
      <w:pPr>
        <w:widowControl w:val="0"/>
        <w:jc w:val="both"/>
        <w:rPr>
          <w:szCs w:val="22"/>
          <w:lang w:val="sr-Latn-ME"/>
        </w:rPr>
      </w:pPr>
    </w:p>
    <w:p w14:paraId="25CEF0CE" w14:textId="77777777" w:rsidR="00095D7E" w:rsidRDefault="008740DD">
      <w:pPr>
        <w:widowControl w:val="0"/>
        <w:jc w:val="both"/>
        <w:rPr>
          <w:szCs w:val="22"/>
          <w:lang w:val="sr-Latn-ME"/>
        </w:rPr>
      </w:pPr>
      <w:r>
        <w:rPr>
          <w:szCs w:val="22"/>
          <w:lang w:val="sr-Latn-ME"/>
        </w:rPr>
        <w:t>Kod starijih pacijenata, koncentraciju kreatinina treba preračunati uzevši u obzir starost, tjelesnu masu i pol pacijenta, koristeći Kokroftovu formulu:</w:t>
      </w:r>
    </w:p>
    <w:p w14:paraId="0EF8D13A" w14:textId="77777777" w:rsidR="00095D7E" w:rsidRDefault="00095D7E">
      <w:pPr>
        <w:widowControl w:val="0"/>
        <w:rPr>
          <w:szCs w:val="22"/>
          <w:lang w:val="sr-Latn-ME"/>
        </w:rPr>
      </w:pPr>
    </w:p>
    <w:p w14:paraId="7A7F4EFF" w14:textId="77777777" w:rsidR="00095D7E" w:rsidRDefault="008740DD">
      <w:pPr>
        <w:widowControl w:val="0"/>
        <w:rPr>
          <w:bCs/>
          <w:szCs w:val="22"/>
          <w:lang w:val="sr-Latn-ME"/>
        </w:rPr>
      </w:pPr>
      <w:r>
        <w:rPr>
          <w:szCs w:val="22"/>
          <w:lang w:val="sr-Latn-ME"/>
        </w:rPr>
        <w:t>Cl</w:t>
      </w:r>
      <w:r>
        <w:rPr>
          <w:szCs w:val="22"/>
          <w:vertAlign w:val="subscript"/>
          <w:lang w:val="sr-Latn-ME"/>
        </w:rPr>
        <w:t>cr</w:t>
      </w:r>
      <w:r>
        <w:rPr>
          <w:szCs w:val="22"/>
          <w:lang w:val="sr-Latn-ME"/>
        </w:rPr>
        <w:t xml:space="preserve"> = (140 - starost) × tjelesna masa / 0,814 × nivo kreatinina u plazmi</w:t>
      </w:r>
    </w:p>
    <w:p w14:paraId="01067DEF" w14:textId="77777777" w:rsidR="00095D7E" w:rsidRDefault="00095D7E">
      <w:pPr>
        <w:widowControl w:val="0"/>
        <w:rPr>
          <w:szCs w:val="22"/>
          <w:lang w:val="sr-Latn-ME"/>
        </w:rPr>
      </w:pPr>
    </w:p>
    <w:p w14:paraId="7119DF83" w14:textId="77777777" w:rsidR="00095D7E" w:rsidRDefault="008740DD">
      <w:pPr>
        <w:widowControl w:val="0"/>
        <w:rPr>
          <w:szCs w:val="22"/>
          <w:lang w:val="sr-Latn-ME"/>
        </w:rPr>
      </w:pPr>
      <w:r>
        <w:rPr>
          <w:szCs w:val="22"/>
          <w:lang w:val="sr-Latn-ME"/>
        </w:rPr>
        <w:t>sa: starošću izraženom u godinama,</w:t>
      </w:r>
    </w:p>
    <w:p w14:paraId="08A08C72" w14:textId="77777777" w:rsidR="00095D7E" w:rsidRDefault="008740DD">
      <w:pPr>
        <w:widowControl w:val="0"/>
        <w:rPr>
          <w:szCs w:val="22"/>
          <w:lang w:val="sr-Latn-ME"/>
        </w:rPr>
      </w:pPr>
      <w:r>
        <w:rPr>
          <w:szCs w:val="22"/>
          <w:lang w:val="sr-Latn-ME"/>
        </w:rPr>
        <w:t>tjelesnom masom u kg,</w:t>
      </w:r>
    </w:p>
    <w:p w14:paraId="1238A6FE" w14:textId="77777777" w:rsidR="00095D7E" w:rsidRDefault="008740DD">
      <w:pPr>
        <w:widowControl w:val="0"/>
        <w:rPr>
          <w:szCs w:val="22"/>
          <w:lang w:val="sr-Latn-ME"/>
        </w:rPr>
      </w:pPr>
      <w:r>
        <w:rPr>
          <w:szCs w:val="22"/>
          <w:lang w:val="sr-Latn-ME"/>
        </w:rPr>
        <w:t>nivoom kreatinina u plazmi u µmol/L.</w:t>
      </w:r>
    </w:p>
    <w:p w14:paraId="226B0CE2" w14:textId="77777777" w:rsidR="00095D7E" w:rsidRDefault="00095D7E">
      <w:pPr>
        <w:widowControl w:val="0"/>
        <w:rPr>
          <w:szCs w:val="22"/>
          <w:lang w:val="sr-Latn-ME"/>
        </w:rPr>
      </w:pPr>
    </w:p>
    <w:p w14:paraId="7FD9ECD3" w14:textId="77777777" w:rsidR="00095D7E" w:rsidRDefault="008740DD">
      <w:pPr>
        <w:widowControl w:val="0"/>
        <w:rPr>
          <w:szCs w:val="22"/>
          <w:lang w:val="sr-Latn-ME"/>
        </w:rPr>
      </w:pPr>
      <w:r>
        <w:rPr>
          <w:szCs w:val="22"/>
          <w:lang w:val="sr-Latn-ME"/>
        </w:rPr>
        <w:t>Ova formula može da se primjenjuje za starije muškarce, a za žene bi je trebalo prilagoditi množenjem rezultata sa 0,85.</w:t>
      </w:r>
    </w:p>
    <w:p w14:paraId="665F59BB" w14:textId="77777777" w:rsidR="00095D7E" w:rsidRDefault="00095D7E">
      <w:pPr>
        <w:widowControl w:val="0"/>
        <w:rPr>
          <w:szCs w:val="22"/>
          <w:lang w:val="sr-Latn-ME"/>
        </w:rPr>
      </w:pPr>
    </w:p>
    <w:p w14:paraId="7302372B" w14:textId="77777777" w:rsidR="00095D7E" w:rsidRDefault="008740DD">
      <w:pPr>
        <w:widowControl w:val="0"/>
        <w:jc w:val="both"/>
        <w:rPr>
          <w:szCs w:val="22"/>
          <w:lang w:val="sr-Latn-ME"/>
        </w:rPr>
      </w:pPr>
      <w:r>
        <w:rPr>
          <w:szCs w:val="22"/>
          <w:lang w:val="sr-Latn-ME"/>
        </w:rPr>
        <w:t>Hipovolemija, nastala usljed gubitka tečnosti i natrijuma izazvanog diureticima na početku terapije indapamidom, prouzrokuje smanjenje glomerularne filtracije. To može dovesti do povećanja koncentracije uree i kreatinina u krvi. Ova prolazna funkcionalna renalna insuficijencija nema neželjene efekte kod pacijenata sa normalnom bubrežnom funkcijom, ali može da pogorša već postojeće oštećenje bubrega.</w:t>
      </w:r>
    </w:p>
    <w:p w14:paraId="370B5D77" w14:textId="77777777" w:rsidR="00095D7E" w:rsidRDefault="00095D7E">
      <w:pPr>
        <w:widowControl w:val="0"/>
        <w:jc w:val="both"/>
        <w:rPr>
          <w:szCs w:val="22"/>
          <w:lang w:val="sr-Latn-ME"/>
        </w:rPr>
      </w:pPr>
    </w:p>
    <w:p w14:paraId="4A0D66FC" w14:textId="77777777" w:rsidR="00095D7E" w:rsidRDefault="008740DD">
      <w:pPr>
        <w:widowControl w:val="0"/>
        <w:tabs>
          <w:tab w:val="left" w:pos="0"/>
        </w:tabs>
        <w:jc w:val="both"/>
        <w:rPr>
          <w:szCs w:val="22"/>
          <w:u w:val="single"/>
          <w:lang w:val="sr-Latn-ME"/>
        </w:rPr>
      </w:pPr>
      <w:r>
        <w:rPr>
          <w:szCs w:val="22"/>
          <w:u w:val="single"/>
          <w:lang w:val="sr-Latn-ME"/>
        </w:rPr>
        <w:t>Hipotenzija i gubitak tečnosti i elektrolita</w:t>
      </w:r>
    </w:p>
    <w:p w14:paraId="7F34B9B2" w14:textId="77777777" w:rsidR="00095D7E" w:rsidRDefault="008740DD">
      <w:pPr>
        <w:widowControl w:val="0"/>
        <w:tabs>
          <w:tab w:val="left" w:pos="0"/>
        </w:tabs>
        <w:jc w:val="both"/>
        <w:rPr>
          <w:szCs w:val="22"/>
          <w:lang w:val="sr-Latn-ME"/>
        </w:rPr>
      </w:pPr>
      <w:r>
        <w:rPr>
          <w:szCs w:val="22"/>
          <w:lang w:val="sr-Latn-ME"/>
        </w:rPr>
        <w:t>Postoji rizik od pojave iznenadne hipotenzije kod pacijenata sa već postojećim gubitkom natrijuma (posebno kod osoba sa stenozom bubrežne arterije). Stoga je potrebno sprovesti sistematsko testiranje u potrazi za kliničkim znacima gubitka tečnosti i elektrolita, koji se mogu javiti sa povremenim napadima dijareje ili povraćanja. Kod pacijenata kod kojih postoji ovaj problem treba redovno pratiti koncentracije elektrolita u plazmi.</w:t>
      </w:r>
    </w:p>
    <w:p w14:paraId="24C4CDF0" w14:textId="77777777" w:rsidR="00095D7E" w:rsidRDefault="00095D7E">
      <w:pPr>
        <w:widowControl w:val="0"/>
        <w:tabs>
          <w:tab w:val="left" w:pos="0"/>
        </w:tabs>
        <w:jc w:val="both"/>
        <w:rPr>
          <w:szCs w:val="22"/>
          <w:lang w:val="sr-Latn-ME"/>
        </w:rPr>
      </w:pPr>
    </w:p>
    <w:p w14:paraId="2D1D35CC" w14:textId="77777777" w:rsidR="00095D7E" w:rsidRDefault="008740DD">
      <w:pPr>
        <w:widowControl w:val="0"/>
        <w:tabs>
          <w:tab w:val="left" w:pos="0"/>
        </w:tabs>
        <w:jc w:val="both"/>
        <w:rPr>
          <w:szCs w:val="22"/>
          <w:lang w:val="sr-Latn-ME"/>
        </w:rPr>
      </w:pPr>
      <w:r>
        <w:rPr>
          <w:szCs w:val="22"/>
          <w:lang w:val="sr-Latn-ME"/>
        </w:rPr>
        <w:t>Ukoliko je prisutna izražena hipotenzija, može biti potrebna primjena intravenske infuzije izotoničnog rastvora.</w:t>
      </w:r>
    </w:p>
    <w:p w14:paraId="54A5A322" w14:textId="77777777" w:rsidR="00095D7E" w:rsidRDefault="008740DD">
      <w:pPr>
        <w:widowControl w:val="0"/>
        <w:tabs>
          <w:tab w:val="left" w:pos="0"/>
        </w:tabs>
        <w:jc w:val="both"/>
        <w:rPr>
          <w:szCs w:val="22"/>
          <w:lang w:val="sr-Latn-ME"/>
        </w:rPr>
      </w:pPr>
      <w:r>
        <w:rPr>
          <w:szCs w:val="22"/>
          <w:lang w:val="sr-Latn-ME"/>
        </w:rPr>
        <w:t>Prolazna hipotenzija nije razlog da se prekine sa terapijom. Nakon uspostavljanja zadovoljavajuće zapremine krvi i krvnog pritiska, ponovo se može početi terapija uz smanjenu dozu lijeka ili sa samo jednim sastojkom.</w:t>
      </w:r>
    </w:p>
    <w:p w14:paraId="717028E3" w14:textId="77777777" w:rsidR="00095D7E" w:rsidRDefault="00095D7E">
      <w:pPr>
        <w:widowControl w:val="0"/>
        <w:tabs>
          <w:tab w:val="left" w:pos="0"/>
        </w:tabs>
        <w:jc w:val="both"/>
        <w:rPr>
          <w:szCs w:val="22"/>
          <w:lang w:val="sr-Latn-ME"/>
        </w:rPr>
      </w:pPr>
    </w:p>
    <w:p w14:paraId="76DD8EFD" w14:textId="77777777" w:rsidR="00095D7E" w:rsidRDefault="008740DD">
      <w:pPr>
        <w:widowControl w:val="0"/>
        <w:tabs>
          <w:tab w:val="left" w:pos="0"/>
        </w:tabs>
        <w:jc w:val="both"/>
        <w:rPr>
          <w:szCs w:val="22"/>
          <w:u w:val="single"/>
          <w:lang w:val="sr-Latn-ME"/>
        </w:rPr>
      </w:pPr>
      <w:r>
        <w:rPr>
          <w:szCs w:val="22"/>
          <w:u w:val="single"/>
          <w:lang w:val="sr-Latn-ME"/>
        </w:rPr>
        <w:t>Rizik od arterijske hipotenzije i/ili renalne insuficijencije (u slučajevima srčane insuficijencije, gubitka tečnosti, gubitka elektrolita itd.)</w:t>
      </w:r>
    </w:p>
    <w:p w14:paraId="2CC369EF" w14:textId="77777777" w:rsidR="00095D7E" w:rsidRDefault="008740DD">
      <w:pPr>
        <w:widowControl w:val="0"/>
        <w:tabs>
          <w:tab w:val="left" w:pos="0"/>
        </w:tabs>
        <w:jc w:val="both"/>
        <w:rPr>
          <w:szCs w:val="22"/>
          <w:lang w:val="sr-Latn-ME"/>
        </w:rPr>
      </w:pPr>
      <w:r>
        <w:rPr>
          <w:szCs w:val="22"/>
          <w:lang w:val="sr-Latn-ME"/>
        </w:rPr>
        <w:t>Zabilježena je značajna stimulacija sistema renin-angiotenzin-aldosteron, posebno prilikom značajnog gubitka tečnosti i elektrolita (stroga dijeta sa ograničenim natrijumom ili produžena terapija diureticima), kod pacijenata čiji je krvni pritisak u početku bio nizak, u slučajevima stenoze renalne arterije, kongestivne srčane insuficijencije ili ciroze sa edemom i ascitom.</w:t>
      </w:r>
    </w:p>
    <w:p w14:paraId="5FC3D090" w14:textId="77777777" w:rsidR="00095D7E" w:rsidRDefault="00095D7E">
      <w:pPr>
        <w:widowControl w:val="0"/>
        <w:tabs>
          <w:tab w:val="left" w:pos="0"/>
        </w:tabs>
        <w:jc w:val="both"/>
        <w:rPr>
          <w:szCs w:val="22"/>
          <w:lang w:val="sr-Latn-ME"/>
        </w:rPr>
      </w:pPr>
    </w:p>
    <w:p w14:paraId="7624FCE0" w14:textId="77777777" w:rsidR="00095D7E" w:rsidRDefault="008740DD">
      <w:pPr>
        <w:widowControl w:val="0"/>
        <w:tabs>
          <w:tab w:val="left" w:pos="0"/>
        </w:tabs>
        <w:jc w:val="both"/>
        <w:rPr>
          <w:szCs w:val="22"/>
          <w:lang w:val="sr-Latn-ME"/>
        </w:rPr>
      </w:pPr>
      <w:r>
        <w:rPr>
          <w:szCs w:val="22"/>
          <w:lang w:val="sr-Latn-ME"/>
        </w:rPr>
        <w:t xml:space="preserve">Blokiranje ovog sistema inhibitorom angiotenzin konvertujućeg enzima može stoga da dovede, posebno prilikom prvog davanja i tokom prve dvije nedjelje terapije, do iznenadnog pada vrijednosti krvnog pritiska i/ili povećane koncentracije kreatinina u plazmi, što ukazuje da je došlo do funkcionalne renalne </w:t>
      </w:r>
      <w:r>
        <w:rPr>
          <w:szCs w:val="22"/>
          <w:lang w:val="sr-Latn-ME"/>
        </w:rPr>
        <w:lastRenderedPageBreak/>
        <w:t>insuficijencije. Povremeno, mada rijetko, do ove pojave dolazi naglo i u različitim vremenskim intervalima.</w:t>
      </w:r>
    </w:p>
    <w:p w14:paraId="0406120B" w14:textId="77777777" w:rsidR="00095D7E" w:rsidRDefault="008740DD">
      <w:pPr>
        <w:widowControl w:val="0"/>
        <w:tabs>
          <w:tab w:val="left" w:pos="0"/>
        </w:tabs>
        <w:jc w:val="both"/>
        <w:rPr>
          <w:szCs w:val="22"/>
          <w:lang w:val="sr-Latn-ME"/>
        </w:rPr>
      </w:pPr>
      <w:r>
        <w:rPr>
          <w:szCs w:val="22"/>
          <w:lang w:val="sr-Latn-ME"/>
        </w:rPr>
        <w:t>U tim slučajevima terapiju perindoprilom treba započeti nižim dozama pa ih postepeno povećavati.</w:t>
      </w:r>
    </w:p>
    <w:p w14:paraId="77EEDC6D" w14:textId="77777777" w:rsidR="00095D7E" w:rsidRDefault="00095D7E">
      <w:pPr>
        <w:widowControl w:val="0"/>
        <w:tabs>
          <w:tab w:val="left" w:pos="0"/>
          <w:tab w:val="left" w:pos="284"/>
        </w:tabs>
        <w:rPr>
          <w:szCs w:val="22"/>
          <w:lang w:val="sr-Latn-ME"/>
        </w:rPr>
      </w:pPr>
    </w:p>
    <w:p w14:paraId="218B36CA" w14:textId="77777777" w:rsidR="00095D7E" w:rsidRDefault="008740DD">
      <w:pPr>
        <w:widowControl w:val="0"/>
        <w:tabs>
          <w:tab w:val="left" w:pos="0"/>
          <w:tab w:val="left" w:pos="284"/>
        </w:tabs>
        <w:jc w:val="both"/>
        <w:rPr>
          <w:szCs w:val="22"/>
          <w:lang w:val="sr-Latn-ME"/>
        </w:rPr>
      </w:pPr>
      <w:r>
        <w:rPr>
          <w:szCs w:val="22"/>
          <w:u w:val="single"/>
          <w:lang w:val="sr-Latn-ME"/>
        </w:rPr>
        <w:t>Renovaskularna hipertenzija</w:t>
      </w:r>
      <w:r>
        <w:rPr>
          <w:szCs w:val="22"/>
          <w:lang w:val="sr-Latn-ME"/>
        </w:rPr>
        <w:t xml:space="preserve"> </w:t>
      </w:r>
    </w:p>
    <w:p w14:paraId="74C19A27" w14:textId="77777777" w:rsidR="00095D7E" w:rsidRDefault="008740DD">
      <w:pPr>
        <w:widowControl w:val="0"/>
        <w:autoSpaceDE w:val="0"/>
        <w:autoSpaceDN w:val="0"/>
        <w:adjustRightInd w:val="0"/>
        <w:jc w:val="both"/>
        <w:rPr>
          <w:szCs w:val="22"/>
          <w:lang w:val="sr-Latn-ME"/>
        </w:rPr>
      </w:pPr>
      <w:r>
        <w:rPr>
          <w:szCs w:val="22"/>
          <w:lang w:val="sr-Latn-ME"/>
        </w:rPr>
        <w:t>Renovaskularna hipertenzija liječi se revaskularizacijom. Ipak, inhibitori angiotenzin konvertujućeg enzima mogu biti korisni kod pacijenata sa renovaskularnom hipertenzijom koji čekaju na korektivni operativni zahvat ili kada takav operativni zahvat nije moguć.</w:t>
      </w:r>
    </w:p>
    <w:p w14:paraId="4243C1E7" w14:textId="77777777" w:rsidR="00095D7E" w:rsidRDefault="008740DD">
      <w:pPr>
        <w:widowControl w:val="0"/>
        <w:autoSpaceDE w:val="0"/>
        <w:autoSpaceDN w:val="0"/>
        <w:adjustRightInd w:val="0"/>
        <w:jc w:val="both"/>
        <w:rPr>
          <w:szCs w:val="22"/>
          <w:lang w:val="sr-Latn-ME"/>
        </w:rPr>
      </w:pPr>
      <w:r>
        <w:rPr>
          <w:szCs w:val="22"/>
          <w:lang w:val="sr-Latn-ME"/>
        </w:rPr>
        <w:t>Liječenje kombinacijom perindopril/indapamid kod pacijenata sa poznatom ili suspektnom stenozom bubrežne arterije mora se započeti u bolnici.</w:t>
      </w:r>
    </w:p>
    <w:p w14:paraId="3C729EF3" w14:textId="77777777" w:rsidR="00095D7E" w:rsidRDefault="00095D7E">
      <w:pPr>
        <w:widowControl w:val="0"/>
        <w:autoSpaceDE w:val="0"/>
        <w:autoSpaceDN w:val="0"/>
        <w:adjustRightInd w:val="0"/>
        <w:jc w:val="both"/>
        <w:rPr>
          <w:szCs w:val="22"/>
          <w:lang w:val="sr-Latn-ME"/>
        </w:rPr>
      </w:pPr>
    </w:p>
    <w:p w14:paraId="14489690" w14:textId="77777777" w:rsidR="00095D7E" w:rsidRDefault="008740DD">
      <w:pPr>
        <w:widowControl w:val="0"/>
        <w:jc w:val="both"/>
        <w:rPr>
          <w:szCs w:val="22"/>
          <w:u w:val="single"/>
          <w:lang w:val="sr-Latn-ME"/>
        </w:rPr>
      </w:pPr>
      <w:r>
        <w:rPr>
          <w:szCs w:val="22"/>
          <w:u w:val="single"/>
          <w:lang w:val="sr-Latn-ME"/>
        </w:rPr>
        <w:t>Stenoza aorte i mitralnog zaliska/hipertrofična kardiomiopatija</w:t>
      </w:r>
    </w:p>
    <w:p w14:paraId="3FC4D453" w14:textId="77777777" w:rsidR="00095D7E" w:rsidRDefault="008740DD">
      <w:pPr>
        <w:widowControl w:val="0"/>
        <w:autoSpaceDE w:val="0"/>
        <w:autoSpaceDN w:val="0"/>
        <w:adjustRightInd w:val="0"/>
        <w:jc w:val="both"/>
        <w:rPr>
          <w:szCs w:val="22"/>
          <w:lang w:val="sr-Latn-ME"/>
        </w:rPr>
      </w:pPr>
      <w:r>
        <w:rPr>
          <w:szCs w:val="22"/>
          <w:lang w:val="sr-Latn-ME"/>
        </w:rPr>
        <w:t>ACE inhibitore treba oprezno koristiti kod pacijenata sa opstrukcijom protoka iz lijeve komore.</w:t>
      </w:r>
    </w:p>
    <w:p w14:paraId="7D124EF6" w14:textId="77777777" w:rsidR="00095D7E" w:rsidRDefault="00095D7E">
      <w:pPr>
        <w:widowControl w:val="0"/>
        <w:autoSpaceDE w:val="0"/>
        <w:autoSpaceDN w:val="0"/>
        <w:adjustRightInd w:val="0"/>
        <w:rPr>
          <w:szCs w:val="22"/>
          <w:u w:val="single"/>
          <w:lang w:val="sr-Latn-ME"/>
        </w:rPr>
      </w:pPr>
    </w:p>
    <w:p w14:paraId="426C3944" w14:textId="77777777" w:rsidR="00095D7E" w:rsidRDefault="008740DD">
      <w:pPr>
        <w:widowControl w:val="0"/>
        <w:autoSpaceDE w:val="0"/>
        <w:autoSpaceDN w:val="0"/>
        <w:adjustRightInd w:val="0"/>
        <w:rPr>
          <w:szCs w:val="22"/>
          <w:u w:val="single"/>
          <w:lang w:val="sr-Latn-ME"/>
        </w:rPr>
      </w:pPr>
      <w:r>
        <w:rPr>
          <w:szCs w:val="22"/>
          <w:u w:val="single"/>
          <w:lang w:val="sr-Latn-ME"/>
        </w:rPr>
        <w:t>Kašalj</w:t>
      </w:r>
    </w:p>
    <w:p w14:paraId="4CDDAFF5" w14:textId="77777777" w:rsidR="00095D7E" w:rsidRDefault="008740DD">
      <w:pPr>
        <w:widowControl w:val="0"/>
        <w:autoSpaceDE w:val="0"/>
        <w:autoSpaceDN w:val="0"/>
        <w:adjustRightInd w:val="0"/>
        <w:jc w:val="both"/>
        <w:rPr>
          <w:szCs w:val="22"/>
          <w:lang w:val="sr-Latn-ME"/>
        </w:rPr>
      </w:pPr>
      <w:r>
        <w:rPr>
          <w:szCs w:val="22"/>
          <w:lang w:val="sr-Latn-ME"/>
        </w:rPr>
        <w:t>Tokom primjene inhibitora angiotenzin konvertujućeg enzima zabilježeni su slučajevi pojave suvog kašlja. On je karakterističan po svojoj upornosti i po tome što nestaje kada se prekine terapija. Treba uzeti u obzir jatrogenu etiologiju u slučaju javljanja ovog simptoma. Ako se propisivanje inhibitora angiotenzin konvertujućeg enzima i dalje smatra prioritetnim, treba razmotriti nastavak terapije.</w:t>
      </w:r>
    </w:p>
    <w:p w14:paraId="6FB42411" w14:textId="77777777" w:rsidR="00095D7E" w:rsidRDefault="00095D7E">
      <w:pPr>
        <w:widowControl w:val="0"/>
        <w:autoSpaceDE w:val="0"/>
        <w:autoSpaceDN w:val="0"/>
        <w:adjustRightInd w:val="0"/>
        <w:jc w:val="both"/>
        <w:rPr>
          <w:szCs w:val="22"/>
          <w:lang w:val="sr-Latn-ME"/>
        </w:rPr>
      </w:pPr>
    </w:p>
    <w:p w14:paraId="6CD886C0" w14:textId="77777777" w:rsidR="00095D7E" w:rsidRDefault="008740DD">
      <w:pPr>
        <w:widowControl w:val="0"/>
        <w:autoSpaceDE w:val="0"/>
        <w:autoSpaceDN w:val="0"/>
        <w:adjustRightInd w:val="0"/>
        <w:jc w:val="both"/>
        <w:rPr>
          <w:iCs/>
          <w:szCs w:val="22"/>
          <w:u w:val="single"/>
          <w:lang w:val="sr-Latn-ME"/>
        </w:rPr>
      </w:pPr>
      <w:r>
        <w:rPr>
          <w:szCs w:val="22"/>
          <w:u w:val="single"/>
          <w:lang w:val="sr-Latn-ME"/>
        </w:rPr>
        <w:t>Intersticijalna bolest pluća</w:t>
      </w:r>
    </w:p>
    <w:p w14:paraId="49B66737" w14:textId="77777777" w:rsidR="00095D7E" w:rsidRDefault="008740DD">
      <w:pPr>
        <w:widowControl w:val="0"/>
        <w:autoSpaceDE w:val="0"/>
        <w:autoSpaceDN w:val="0"/>
        <w:adjustRightInd w:val="0"/>
        <w:jc w:val="both"/>
        <w:rPr>
          <w:iCs/>
          <w:szCs w:val="22"/>
          <w:lang w:val="sr-Latn-ME"/>
        </w:rPr>
      </w:pPr>
      <w:r>
        <w:rPr>
          <w:szCs w:val="22"/>
          <w:lang w:val="sr-Latn-ME"/>
        </w:rPr>
        <w:t>Kao izuzetak, sa nekim statinima zabilježeni su slučajevi intersticijalne bolesti pluća, naročito kod dugotrajne terapije (vidjeti dio 4.8). Simptomi mogu da uključuju dispneju, neproduktivni kašalj i pogoršanje opšteg zdravstvenog stanja (zamor, gubitak težine i temperatura). Ako se posumnja da se kod pacijenta javila intersticijalna bolest pluća, treba prekinuti terapiju statinima.</w:t>
      </w:r>
    </w:p>
    <w:p w14:paraId="75A27F5F" w14:textId="77777777" w:rsidR="00095D7E" w:rsidRDefault="00095D7E">
      <w:pPr>
        <w:widowControl w:val="0"/>
        <w:autoSpaceDE w:val="0"/>
        <w:autoSpaceDN w:val="0"/>
        <w:adjustRightInd w:val="0"/>
        <w:jc w:val="both"/>
        <w:rPr>
          <w:szCs w:val="22"/>
          <w:lang w:val="sr-Latn-ME"/>
        </w:rPr>
      </w:pPr>
    </w:p>
    <w:p w14:paraId="75FD49E8" w14:textId="77777777" w:rsidR="00095D7E" w:rsidRDefault="008740DD">
      <w:pPr>
        <w:widowControl w:val="0"/>
        <w:jc w:val="both"/>
        <w:rPr>
          <w:iCs/>
          <w:szCs w:val="22"/>
          <w:u w:val="single"/>
          <w:lang w:val="sr-Latn-ME"/>
        </w:rPr>
      </w:pPr>
      <w:r>
        <w:rPr>
          <w:szCs w:val="22"/>
          <w:u w:val="single"/>
          <w:lang w:val="sr-Latn-ME"/>
        </w:rPr>
        <w:t>Oštećenje jetre</w:t>
      </w:r>
    </w:p>
    <w:p w14:paraId="110946CA" w14:textId="77777777" w:rsidR="00095D7E" w:rsidRDefault="008740DD">
      <w:pPr>
        <w:widowControl w:val="0"/>
        <w:jc w:val="both"/>
        <w:rPr>
          <w:bCs/>
          <w:iCs/>
          <w:szCs w:val="22"/>
          <w:lang w:val="sr-Latn-ME"/>
        </w:rPr>
      </w:pPr>
      <w:r>
        <w:rPr>
          <w:szCs w:val="22"/>
          <w:lang w:val="sr-Latn-ME"/>
        </w:rPr>
        <w:t>ACE inhibitori se veoma rijetko dovode u vezu sa sindromom koji počinje holestatskom žuticom i koji se razvija do fulminantne hepatičke nekroze, a (ponekad) i do smrti. Mehanizam ovog sindroma nije razjašnjen. Pacijenti koji su dobijali ACE inhibitore i kod kojih se javila žutica ili izraženi porast enzima jetre treba da prekinu uzimanje ACE inhibitora i da se na odgovarajući način medicinski prate (vidjeti dio 4.8).</w:t>
      </w:r>
    </w:p>
    <w:p w14:paraId="2BED7073" w14:textId="77777777" w:rsidR="00095D7E" w:rsidRDefault="00095D7E">
      <w:pPr>
        <w:widowControl w:val="0"/>
        <w:jc w:val="both"/>
        <w:rPr>
          <w:bCs/>
          <w:iCs/>
          <w:szCs w:val="22"/>
          <w:lang w:val="sr-Latn-ME"/>
        </w:rPr>
      </w:pPr>
    </w:p>
    <w:p w14:paraId="4EFFC70A" w14:textId="77777777" w:rsidR="00095D7E" w:rsidRDefault="008740DD">
      <w:pPr>
        <w:widowControl w:val="0"/>
        <w:autoSpaceDE w:val="0"/>
        <w:autoSpaceDN w:val="0"/>
        <w:adjustRightInd w:val="0"/>
        <w:jc w:val="both"/>
        <w:rPr>
          <w:iCs/>
          <w:szCs w:val="22"/>
          <w:u w:val="single"/>
          <w:lang w:val="sr-Latn-ME"/>
        </w:rPr>
      </w:pPr>
      <w:r>
        <w:rPr>
          <w:iCs/>
          <w:szCs w:val="22"/>
          <w:u w:val="single"/>
          <w:lang w:val="sr-Latn-ME"/>
        </w:rPr>
        <w:t>Hepatička encefalopatija</w:t>
      </w:r>
    </w:p>
    <w:p w14:paraId="4583AD9D" w14:textId="77777777" w:rsidR="00095D7E" w:rsidRDefault="008740DD">
      <w:pPr>
        <w:widowControl w:val="0"/>
        <w:autoSpaceDE w:val="0"/>
        <w:autoSpaceDN w:val="0"/>
        <w:adjustRightInd w:val="0"/>
        <w:jc w:val="both"/>
        <w:rPr>
          <w:szCs w:val="22"/>
          <w:lang w:val="sr-Latn-ME"/>
        </w:rPr>
      </w:pPr>
      <w:r>
        <w:rPr>
          <w:szCs w:val="22"/>
          <w:lang w:val="sr-Latn-ME"/>
        </w:rPr>
        <w:t>Kada je smanjena funkcija jetre, tiazidni diuretici i tiazidima srodni diuretici mogu da izazovu, pogotovo u slučaju elektrolitnog disbalansa, hepatičku encefalopatiju, koja može dovesti do hepatičke kome. Ukoliko do ovoga dođe, istog trenutka treba prekinuti sa davanjem diuretika.</w:t>
      </w:r>
    </w:p>
    <w:p w14:paraId="67A837D9" w14:textId="77777777" w:rsidR="00095D7E" w:rsidRDefault="00095D7E">
      <w:pPr>
        <w:widowControl w:val="0"/>
        <w:jc w:val="both"/>
        <w:rPr>
          <w:bCs/>
          <w:iCs/>
          <w:szCs w:val="22"/>
          <w:lang w:val="sr-Latn-ME"/>
        </w:rPr>
      </w:pPr>
    </w:p>
    <w:p w14:paraId="3B737B8A" w14:textId="77777777" w:rsidR="00095D7E" w:rsidRDefault="008740DD">
      <w:pPr>
        <w:widowControl w:val="0"/>
        <w:jc w:val="both"/>
        <w:rPr>
          <w:iCs/>
          <w:szCs w:val="22"/>
          <w:u w:val="single"/>
          <w:lang w:val="sr-Latn-ME"/>
        </w:rPr>
      </w:pPr>
      <w:r>
        <w:rPr>
          <w:szCs w:val="22"/>
          <w:u w:val="single"/>
          <w:lang w:val="sr-Latn-ME"/>
        </w:rPr>
        <w:t>Koncentracija natrijuma</w:t>
      </w:r>
    </w:p>
    <w:p w14:paraId="585732B3" w14:textId="77777777" w:rsidR="00095D7E" w:rsidRDefault="008740DD">
      <w:pPr>
        <w:widowControl w:val="0"/>
        <w:autoSpaceDE w:val="0"/>
        <w:autoSpaceDN w:val="0"/>
        <w:adjustRightInd w:val="0"/>
        <w:jc w:val="both"/>
        <w:rPr>
          <w:szCs w:val="22"/>
          <w:lang w:val="sr-Latn-ME"/>
        </w:rPr>
      </w:pPr>
      <w:r>
        <w:rPr>
          <w:szCs w:val="22"/>
          <w:lang w:val="sr-Latn-ME"/>
        </w:rPr>
        <w:t>Koncentraciju natrijuma treba provjeriti prije početka terapije, a zatim u redovnim intervalima. Svi diuretici mogu izazvati smanjenje nivoa natrijuma, što može imati ozbiljne posljedice. U početku smanjenje koncentracije natrijuma može da prođe asimptomatski i stoga je redovna provjera posebno važna. Ovo mjerenje treba češće raditi kod starijih pacijenata i kod pacijenata koji boluju od ciroze (vidjeti djelove 4.8. i 4.9).</w:t>
      </w:r>
    </w:p>
    <w:p w14:paraId="2440E781" w14:textId="77777777" w:rsidR="00095D7E" w:rsidRDefault="008740DD">
      <w:pPr>
        <w:widowControl w:val="0"/>
        <w:autoSpaceDE w:val="0"/>
        <w:autoSpaceDN w:val="0"/>
        <w:adjustRightInd w:val="0"/>
        <w:jc w:val="both"/>
        <w:rPr>
          <w:szCs w:val="22"/>
          <w:lang w:val="sr-Latn-ME"/>
        </w:rPr>
      </w:pPr>
      <w:r>
        <w:rPr>
          <w:szCs w:val="22"/>
          <w:lang w:val="sr-Latn-ME"/>
        </w:rPr>
        <w:t>Hiponatremija s hipovolemijom može biti odgovorna za dehidrataciju i ortostatsku hipotenziju. Istovremeni gubitak hloridnih jona može dovesti do sekundarne kompenzacione metaboličke alkaloze: učestalost i stepen ovog efekta su neznatni.</w:t>
      </w:r>
    </w:p>
    <w:p w14:paraId="68FDF79C" w14:textId="77777777" w:rsidR="00095D7E" w:rsidRDefault="00095D7E">
      <w:pPr>
        <w:widowControl w:val="0"/>
        <w:autoSpaceDE w:val="0"/>
        <w:autoSpaceDN w:val="0"/>
        <w:adjustRightInd w:val="0"/>
        <w:rPr>
          <w:szCs w:val="22"/>
          <w:lang w:val="sr-Latn-ME"/>
        </w:rPr>
      </w:pPr>
    </w:p>
    <w:p w14:paraId="7210FAE7" w14:textId="77777777" w:rsidR="00095D7E" w:rsidRDefault="008740DD">
      <w:pPr>
        <w:widowControl w:val="0"/>
        <w:autoSpaceDE w:val="0"/>
        <w:autoSpaceDN w:val="0"/>
        <w:adjustRightInd w:val="0"/>
        <w:jc w:val="both"/>
        <w:rPr>
          <w:szCs w:val="22"/>
          <w:u w:val="single"/>
          <w:lang w:val="sr-Latn-ME"/>
        </w:rPr>
      </w:pPr>
      <w:r>
        <w:rPr>
          <w:szCs w:val="22"/>
          <w:u w:val="single"/>
          <w:lang w:val="sr-Latn-ME"/>
        </w:rPr>
        <w:t>Produženje QT intervala</w:t>
      </w:r>
    </w:p>
    <w:p w14:paraId="10766AF4" w14:textId="77777777" w:rsidR="00095D7E" w:rsidRDefault="008740DD">
      <w:pPr>
        <w:widowControl w:val="0"/>
        <w:autoSpaceDE w:val="0"/>
        <w:autoSpaceDN w:val="0"/>
        <w:adjustRightInd w:val="0"/>
        <w:jc w:val="both"/>
        <w:rPr>
          <w:szCs w:val="22"/>
          <w:lang w:val="sr-Latn-ME"/>
        </w:rPr>
      </w:pPr>
      <w:r>
        <w:rPr>
          <w:szCs w:val="22"/>
          <w:lang w:val="sr-Latn-ME"/>
        </w:rPr>
        <w:t xml:space="preserve">Pacijenti kod kojih je prisutan produžen QT interval takođe podliježu riziku, bez obzira na to da li je uzrok urođen ili jatrogen. Hipokalemija, kao i bradikardija, djeluje kao faktor koji pospješuje nastanak teških aritmija, posebno pojavu </w:t>
      </w:r>
      <w:r>
        <w:rPr>
          <w:i/>
          <w:szCs w:val="22"/>
          <w:lang w:val="sr-Latn-ME"/>
        </w:rPr>
        <w:t>torsades de pointes</w:t>
      </w:r>
      <w:r>
        <w:rPr>
          <w:szCs w:val="22"/>
          <w:lang w:val="sr-Latn-ME"/>
        </w:rPr>
        <w:t>, što može da ima fatalan ishod.</w:t>
      </w:r>
    </w:p>
    <w:p w14:paraId="29F1D002" w14:textId="77777777" w:rsidR="00095D7E" w:rsidRDefault="00095D7E">
      <w:pPr>
        <w:widowControl w:val="0"/>
        <w:autoSpaceDE w:val="0"/>
        <w:autoSpaceDN w:val="0"/>
        <w:adjustRightInd w:val="0"/>
        <w:jc w:val="both"/>
        <w:rPr>
          <w:szCs w:val="22"/>
          <w:lang w:val="sr-Latn-ME"/>
        </w:rPr>
      </w:pPr>
    </w:p>
    <w:p w14:paraId="3CC5AD80" w14:textId="77777777" w:rsidR="00095D7E" w:rsidRDefault="008740DD">
      <w:pPr>
        <w:widowControl w:val="0"/>
        <w:jc w:val="both"/>
        <w:rPr>
          <w:szCs w:val="22"/>
          <w:lang w:val="sr-Latn-ME"/>
        </w:rPr>
      </w:pPr>
      <w:r>
        <w:rPr>
          <w:szCs w:val="22"/>
          <w:lang w:val="sr-Latn-ME"/>
        </w:rPr>
        <w:t>U svim slučajevima neophodna je učestala provjera koncentracije kalijuma. Prvo mjerenje koncentracije kalijuma u plazmi treba obaviti tokom prve nedjelje nakon započinjanja terapije.</w:t>
      </w:r>
    </w:p>
    <w:p w14:paraId="069DDA00" w14:textId="77777777" w:rsidR="00095D7E" w:rsidRDefault="008740DD">
      <w:pPr>
        <w:widowControl w:val="0"/>
        <w:autoSpaceDE w:val="0"/>
        <w:autoSpaceDN w:val="0"/>
        <w:adjustRightInd w:val="0"/>
        <w:jc w:val="both"/>
        <w:rPr>
          <w:szCs w:val="22"/>
          <w:lang w:val="sr-Latn-ME"/>
        </w:rPr>
      </w:pPr>
      <w:r>
        <w:rPr>
          <w:szCs w:val="22"/>
          <w:lang w:val="sr-Latn-ME"/>
        </w:rPr>
        <w:t>Ukoliko su zabilježene niske vrijednosti kalijuma, potrebno ih je korigovati.</w:t>
      </w:r>
    </w:p>
    <w:p w14:paraId="70C0E4F3" w14:textId="77777777" w:rsidR="00095D7E" w:rsidRDefault="00095D7E">
      <w:pPr>
        <w:widowControl w:val="0"/>
        <w:autoSpaceDE w:val="0"/>
        <w:autoSpaceDN w:val="0"/>
        <w:adjustRightInd w:val="0"/>
        <w:jc w:val="both"/>
        <w:rPr>
          <w:szCs w:val="22"/>
          <w:lang w:val="sr-Latn-ME"/>
        </w:rPr>
      </w:pPr>
    </w:p>
    <w:p w14:paraId="331C2BE6" w14:textId="77777777" w:rsidR="00095D7E" w:rsidRDefault="008740DD">
      <w:pPr>
        <w:widowControl w:val="0"/>
        <w:tabs>
          <w:tab w:val="left" w:pos="0"/>
        </w:tabs>
        <w:jc w:val="both"/>
        <w:rPr>
          <w:iCs/>
          <w:szCs w:val="22"/>
          <w:u w:val="single"/>
          <w:lang w:val="sr-Latn-ME"/>
        </w:rPr>
      </w:pPr>
      <w:r>
        <w:rPr>
          <w:szCs w:val="22"/>
          <w:u w:val="single"/>
          <w:lang w:val="sr-Latn-ME"/>
        </w:rPr>
        <w:t>Koncentracija kalcijuma</w:t>
      </w:r>
    </w:p>
    <w:p w14:paraId="5ACCE680" w14:textId="77777777" w:rsidR="00095D7E" w:rsidRDefault="008740DD">
      <w:pPr>
        <w:widowControl w:val="0"/>
        <w:autoSpaceDE w:val="0"/>
        <w:autoSpaceDN w:val="0"/>
        <w:adjustRightInd w:val="0"/>
        <w:jc w:val="both"/>
        <w:rPr>
          <w:szCs w:val="22"/>
          <w:lang w:val="sr-Latn-ME"/>
        </w:rPr>
      </w:pPr>
      <w:r>
        <w:rPr>
          <w:szCs w:val="22"/>
          <w:lang w:val="sr-Latn-ME"/>
        </w:rPr>
        <w:t>Tiazidni diuretici i tiazidima srodni diuretici mogu da dovedu do smanjenja izlučivanja kalcijuma urinom i time do blagog i prolaznog povećanja koncentracije kalcijuma u plazmi. Značajno povećanje koncentracije kalcijuma može da bude povezano sa nedijagnostikovanim hiperparatireoidizmom. Terapiju tada treba prekinuti prije ispitivanja paratireoidne funkcije.</w:t>
      </w:r>
    </w:p>
    <w:p w14:paraId="028E3E74" w14:textId="77777777" w:rsidR="00095D7E" w:rsidRPr="00AE6074" w:rsidRDefault="00095D7E">
      <w:pPr>
        <w:widowControl w:val="0"/>
        <w:autoSpaceDE w:val="0"/>
        <w:autoSpaceDN w:val="0"/>
        <w:adjustRightInd w:val="0"/>
        <w:jc w:val="both"/>
        <w:rPr>
          <w:strike/>
          <w:szCs w:val="22"/>
          <w:lang w:val="sr-Latn-ME"/>
        </w:rPr>
      </w:pPr>
    </w:p>
    <w:p w14:paraId="25FEA728" w14:textId="77777777" w:rsidR="00095D7E" w:rsidRDefault="008740DD">
      <w:pPr>
        <w:widowControl w:val="0"/>
        <w:autoSpaceDE w:val="0"/>
        <w:autoSpaceDN w:val="0"/>
        <w:adjustRightInd w:val="0"/>
        <w:jc w:val="both"/>
        <w:rPr>
          <w:szCs w:val="22"/>
          <w:u w:val="single"/>
          <w:lang w:val="sr-Latn-ME"/>
        </w:rPr>
      </w:pPr>
      <w:r>
        <w:rPr>
          <w:szCs w:val="22"/>
          <w:u w:val="single"/>
          <w:lang w:val="sr-Latn-ME"/>
        </w:rPr>
        <w:t>Mokraćna kiselina</w:t>
      </w:r>
    </w:p>
    <w:p w14:paraId="355F7A28" w14:textId="77777777" w:rsidR="00095D7E" w:rsidRDefault="008740DD">
      <w:pPr>
        <w:widowControl w:val="0"/>
        <w:autoSpaceDE w:val="0"/>
        <w:autoSpaceDN w:val="0"/>
        <w:adjustRightInd w:val="0"/>
        <w:jc w:val="both"/>
        <w:rPr>
          <w:szCs w:val="22"/>
          <w:lang w:val="sr-Latn-ME"/>
        </w:rPr>
      </w:pPr>
      <w:r>
        <w:rPr>
          <w:szCs w:val="22"/>
          <w:lang w:val="sr-Latn-ME"/>
        </w:rPr>
        <w:t>Sklonost ka napadima gihta je povećana kod hiperurikemičnih pacijenata.</w:t>
      </w:r>
    </w:p>
    <w:p w14:paraId="2ADE2C18" w14:textId="77777777" w:rsidR="00095D7E" w:rsidRDefault="00095D7E">
      <w:pPr>
        <w:widowControl w:val="0"/>
        <w:autoSpaceDE w:val="0"/>
        <w:autoSpaceDN w:val="0"/>
        <w:adjustRightInd w:val="0"/>
        <w:jc w:val="both"/>
        <w:rPr>
          <w:szCs w:val="22"/>
          <w:lang w:val="sr-Latn-ME"/>
        </w:rPr>
      </w:pPr>
    </w:p>
    <w:p w14:paraId="284E6D36" w14:textId="77777777" w:rsidR="00095D7E" w:rsidRDefault="008740DD">
      <w:pPr>
        <w:widowControl w:val="0"/>
        <w:jc w:val="both"/>
        <w:rPr>
          <w:iCs/>
          <w:szCs w:val="22"/>
          <w:u w:val="single"/>
          <w:lang w:val="sr-Latn-ME"/>
        </w:rPr>
      </w:pPr>
      <w:r>
        <w:rPr>
          <w:szCs w:val="22"/>
          <w:u w:val="single"/>
          <w:lang w:val="sr-Latn-ME"/>
        </w:rPr>
        <w:t>Starije osobe</w:t>
      </w:r>
    </w:p>
    <w:p w14:paraId="63C077F2" w14:textId="77777777" w:rsidR="00095D7E" w:rsidRDefault="008740DD">
      <w:pPr>
        <w:widowControl w:val="0"/>
        <w:jc w:val="both"/>
        <w:rPr>
          <w:szCs w:val="22"/>
          <w:lang w:val="sr-Latn-ME"/>
        </w:rPr>
      </w:pPr>
      <w:r>
        <w:rPr>
          <w:szCs w:val="22"/>
          <w:lang w:val="sr-Latn-ME"/>
        </w:rPr>
        <w:t>Prije započinjanja terapije treba procijeniti funkciju bubrega i odrediti koncentraciju kalijuma. Početnu dozu lijeka treba zatim prilagođavati prema tome na koji način se mijenjaju vrijednosti krvnog pritiska, posebno u slučajevima kada dolazi do gubitka tečnosti i elektrolita, kako bi se spriječila iznenadna hipotenzija.</w:t>
      </w:r>
    </w:p>
    <w:p w14:paraId="69C67C1E" w14:textId="77777777" w:rsidR="00095D7E" w:rsidRDefault="00095D7E">
      <w:pPr>
        <w:widowControl w:val="0"/>
        <w:jc w:val="both"/>
        <w:rPr>
          <w:szCs w:val="22"/>
          <w:lang w:val="sr-Latn-ME"/>
        </w:rPr>
      </w:pPr>
    </w:p>
    <w:p w14:paraId="7E9478BD" w14:textId="77777777" w:rsidR="00095D7E" w:rsidRDefault="008740DD">
      <w:pPr>
        <w:widowControl w:val="0"/>
        <w:jc w:val="both"/>
        <w:rPr>
          <w:szCs w:val="22"/>
          <w:u w:val="single"/>
          <w:lang w:val="sr-Latn-ME"/>
        </w:rPr>
      </w:pPr>
      <w:r>
        <w:rPr>
          <w:szCs w:val="22"/>
          <w:u w:val="single"/>
          <w:lang w:val="sr-Latn-ME"/>
        </w:rPr>
        <w:t>Pacijenti koji boluju od ateroskleroze</w:t>
      </w:r>
    </w:p>
    <w:p w14:paraId="20E8F5CE" w14:textId="77777777" w:rsidR="00095D7E" w:rsidRDefault="008740DD">
      <w:pPr>
        <w:widowControl w:val="0"/>
        <w:jc w:val="both"/>
        <w:rPr>
          <w:szCs w:val="22"/>
          <w:lang w:val="sr-Latn-ME"/>
        </w:rPr>
      </w:pPr>
      <w:r>
        <w:rPr>
          <w:szCs w:val="22"/>
          <w:lang w:val="sr-Latn-ME"/>
        </w:rPr>
        <w:t>Rizik od pojave hipotenzije postoji kod svih pacijenata, ali posebno treba voditi računa o pacijentima sa ishemičnim bolestima srca ili insuficijencijom cerebralne cirkulacije, kod kojih terapiju perindoprilom treba započeti nižom dozom lijeka.</w:t>
      </w:r>
    </w:p>
    <w:p w14:paraId="242A9F27" w14:textId="77777777" w:rsidR="00095D7E" w:rsidRDefault="00095D7E">
      <w:pPr>
        <w:widowControl w:val="0"/>
        <w:jc w:val="both"/>
        <w:rPr>
          <w:iCs/>
          <w:szCs w:val="22"/>
          <w:u w:val="single"/>
          <w:lang w:val="sr-Latn-ME"/>
        </w:rPr>
      </w:pPr>
    </w:p>
    <w:p w14:paraId="1228614E" w14:textId="77777777" w:rsidR="00095D7E" w:rsidRDefault="008740DD">
      <w:pPr>
        <w:widowControl w:val="0"/>
        <w:jc w:val="both"/>
        <w:rPr>
          <w:iCs/>
          <w:szCs w:val="22"/>
          <w:u w:val="single"/>
          <w:lang w:val="sr-Latn-ME"/>
        </w:rPr>
      </w:pPr>
      <w:r>
        <w:rPr>
          <w:szCs w:val="22"/>
          <w:u w:val="single"/>
          <w:lang w:val="sr-Latn-ME"/>
        </w:rPr>
        <w:t>Pacijenti sa dijabetesom</w:t>
      </w:r>
    </w:p>
    <w:p w14:paraId="3229A16A" w14:textId="77777777" w:rsidR="00095D7E" w:rsidRDefault="008740DD">
      <w:pPr>
        <w:widowControl w:val="0"/>
        <w:jc w:val="both"/>
        <w:rPr>
          <w:szCs w:val="22"/>
          <w:lang w:val="sr-Latn-ME"/>
        </w:rPr>
      </w:pPr>
      <w:r>
        <w:rPr>
          <w:szCs w:val="22"/>
          <w:lang w:val="sr-Latn-ME"/>
        </w:rPr>
        <w:t>Kod pacijenata sa insulin zavisnim dijabetes melitusom (spontana sklonost ka povećanju nivoa kalijuma), liječenje treba započeti pod medicinskim nadzorom uz smanjenu početnu dozu.</w:t>
      </w:r>
      <w:r>
        <w:rPr>
          <w:color w:val="222222"/>
          <w:szCs w:val="22"/>
          <w:shd w:val="clear" w:color="auto" w:fill="F8F9FA"/>
          <w:lang w:val="sr-Latn-ME"/>
        </w:rPr>
        <w:t xml:space="preserve"> Glikemija </w:t>
      </w:r>
      <w:r>
        <w:rPr>
          <w:szCs w:val="22"/>
          <w:lang w:val="sr-Latn-ME"/>
        </w:rPr>
        <w:t>treba pažljivo da se prati kod pacijenata koji su ranije liječeni oralnim antidijabetičkim ljekovima ili insulinom, naročito tokom prvih nekoliko mjeseci terapije ACE inhibitorom (vidjeti dio 4.5</w:t>
      </w:r>
      <w:r>
        <w:rPr>
          <w:bCs/>
          <w:szCs w:val="22"/>
        </w:rPr>
        <w:t>)</w:t>
      </w:r>
      <w:r>
        <w:rPr>
          <w:szCs w:val="22"/>
          <w:lang w:val="sr-Latn-ME"/>
        </w:rPr>
        <w:t>.</w:t>
      </w:r>
    </w:p>
    <w:p w14:paraId="02221C34" w14:textId="77777777" w:rsidR="00095D7E" w:rsidRDefault="00095D7E">
      <w:pPr>
        <w:widowControl w:val="0"/>
        <w:jc w:val="both"/>
        <w:rPr>
          <w:bCs/>
          <w:szCs w:val="22"/>
          <w:lang w:val="sr-Latn-ME"/>
        </w:rPr>
      </w:pPr>
    </w:p>
    <w:p w14:paraId="71A0AF4F" w14:textId="77777777" w:rsidR="00095D7E" w:rsidRDefault="008740DD">
      <w:pPr>
        <w:widowControl w:val="0"/>
        <w:jc w:val="both"/>
        <w:rPr>
          <w:bCs/>
          <w:szCs w:val="22"/>
          <w:lang w:val="sr-Latn-ME"/>
        </w:rPr>
      </w:pPr>
      <w:r>
        <w:rPr>
          <w:szCs w:val="22"/>
          <w:lang w:val="sr-Latn-ME"/>
        </w:rPr>
        <w:t>Postoje dokazi koji ukazuju na to da statini kao klasa podižu vrijednosti glukoze u krvi i kod nekih pacijenata, sa visokim rizikom od nastanka dijabetesa, mogu da dovedu do nivoa hiperglikemije za koji su potrebne formalne mjere za dijabetes. Ovaj rizik, međutim, nadmašuje smanjenje vaskularnog rizika primjenom statina i zbog toga on ne treba da bude razlog za prekid terapije statinom. Pacijente sa rizikom (preprandijalna glukoza od 5,6 do 6,9 mmol/L, BMI &gt; 30 kg/m</w:t>
      </w:r>
      <w:r>
        <w:rPr>
          <w:szCs w:val="22"/>
          <w:vertAlign w:val="superscript"/>
          <w:lang w:val="sr-Latn-ME"/>
        </w:rPr>
        <w:t>2</w:t>
      </w:r>
      <w:r>
        <w:rPr>
          <w:szCs w:val="22"/>
          <w:lang w:val="sr-Latn-ME"/>
        </w:rPr>
        <w:t>, povišeni trigliceridi, hipertenzija) treba pratiti i klinički i biohemijski u skladu sa nacionalnim smjernicama.</w:t>
      </w:r>
    </w:p>
    <w:p w14:paraId="3C72614A" w14:textId="77777777" w:rsidR="00095D7E" w:rsidRDefault="008740DD">
      <w:pPr>
        <w:widowControl w:val="0"/>
        <w:jc w:val="both"/>
        <w:rPr>
          <w:bCs/>
          <w:szCs w:val="22"/>
          <w:lang w:val="sr-Latn-ME"/>
        </w:rPr>
      </w:pPr>
      <w:r>
        <w:rPr>
          <w:szCs w:val="22"/>
          <w:lang w:val="sr-Latn-ME"/>
        </w:rPr>
        <w:t>U studiji JUPITER zabilježena je ukupna frekvencija dijabetes melitusa od 2,8% za rosuvastatin i 2,3% za placebo, uglavnom kod pacijenata sa preprandijalnom glukozom od 5,6 do 6,9 mmol/L.</w:t>
      </w:r>
    </w:p>
    <w:p w14:paraId="0B0B1A8B" w14:textId="77777777" w:rsidR="00095D7E" w:rsidRDefault="00095D7E">
      <w:pPr>
        <w:widowControl w:val="0"/>
        <w:jc w:val="both"/>
        <w:rPr>
          <w:szCs w:val="22"/>
          <w:u w:val="single"/>
          <w:lang w:val="sr-Latn-ME"/>
        </w:rPr>
      </w:pPr>
    </w:p>
    <w:p w14:paraId="440604FD" w14:textId="77777777" w:rsidR="00095D7E" w:rsidRDefault="008740DD">
      <w:pPr>
        <w:widowControl w:val="0"/>
        <w:jc w:val="both"/>
        <w:rPr>
          <w:szCs w:val="22"/>
          <w:u w:val="single"/>
          <w:lang w:val="sr-Latn-ME"/>
        </w:rPr>
      </w:pPr>
      <w:r>
        <w:rPr>
          <w:szCs w:val="22"/>
          <w:u w:val="single"/>
          <w:lang w:val="sr-Latn-ME"/>
        </w:rPr>
        <w:t>Glukoza u krvi</w:t>
      </w:r>
    </w:p>
    <w:p w14:paraId="35FA241E" w14:textId="77777777" w:rsidR="00095D7E" w:rsidRDefault="008740DD">
      <w:pPr>
        <w:widowControl w:val="0"/>
        <w:jc w:val="both"/>
        <w:rPr>
          <w:szCs w:val="22"/>
          <w:lang w:val="sr-Latn-ME"/>
        </w:rPr>
      </w:pPr>
      <w:r>
        <w:rPr>
          <w:szCs w:val="22"/>
          <w:lang w:val="sr-Latn-ME"/>
        </w:rPr>
        <w:t>Monitoring glukoze u krvi je važan kod dijabetičara, posebno kada je nivo kalijuma nizak.</w:t>
      </w:r>
    </w:p>
    <w:p w14:paraId="5848744E" w14:textId="77777777" w:rsidR="00095D7E" w:rsidRDefault="00095D7E">
      <w:pPr>
        <w:widowControl w:val="0"/>
        <w:rPr>
          <w:szCs w:val="22"/>
          <w:u w:val="single"/>
          <w:lang w:val="sr-Latn-ME"/>
        </w:rPr>
      </w:pPr>
    </w:p>
    <w:p w14:paraId="6EA2B344" w14:textId="77777777" w:rsidR="00095D7E" w:rsidRDefault="008740DD">
      <w:pPr>
        <w:widowControl w:val="0"/>
        <w:jc w:val="both"/>
        <w:rPr>
          <w:color w:val="00B050"/>
          <w:szCs w:val="22"/>
          <w:u w:val="single"/>
          <w:lang w:val="sr-Latn-ME"/>
        </w:rPr>
      </w:pPr>
      <w:r>
        <w:rPr>
          <w:bCs/>
          <w:iCs/>
          <w:szCs w:val="22"/>
          <w:u w:val="single"/>
          <w:lang w:val="sr-Latn-ME"/>
        </w:rPr>
        <w:t>Srčana insuficijencija/teška srčana insuficijencija</w:t>
      </w:r>
    </w:p>
    <w:p w14:paraId="72C43D39" w14:textId="77777777" w:rsidR="00095D7E" w:rsidRDefault="008740DD">
      <w:pPr>
        <w:widowControl w:val="0"/>
        <w:jc w:val="both"/>
        <w:rPr>
          <w:szCs w:val="22"/>
          <w:lang w:val="sr-Latn-ME"/>
        </w:rPr>
      </w:pPr>
      <w:r>
        <w:rPr>
          <w:szCs w:val="22"/>
          <w:lang w:val="sr-Latn-ME"/>
        </w:rPr>
        <w:t>Kod pacijenata sa teškom srčanom insuficijencijom (IV stepen) ili pacijenata sa insulin zavisnim  dijabetes melitusom (spontana sklonost ka povećanju koncentracije kalijuma), terapiju treba započeti pod medicinskim nadzorom sa smanjenom početnom dozom lijeka Roxiper. Ne treba prekidati terapiju beta-blokatorima kod pacijenata koji boluju od hipertenzije sa srčanom insuficijencijom; ACE inhibitore treba dodati beta-blokatorima.</w:t>
      </w:r>
    </w:p>
    <w:p w14:paraId="6D6DA7EB" w14:textId="77777777" w:rsidR="00095D7E" w:rsidRDefault="00095D7E">
      <w:pPr>
        <w:widowControl w:val="0"/>
        <w:jc w:val="both"/>
        <w:rPr>
          <w:szCs w:val="22"/>
          <w:lang w:val="sr-Latn-ME"/>
        </w:rPr>
      </w:pPr>
    </w:p>
    <w:p w14:paraId="22CFD816" w14:textId="77777777" w:rsidR="00095D7E" w:rsidRDefault="008740DD">
      <w:pPr>
        <w:widowControl w:val="0"/>
        <w:jc w:val="both"/>
        <w:rPr>
          <w:bCs/>
          <w:iCs/>
          <w:szCs w:val="22"/>
          <w:u w:val="single"/>
          <w:lang w:val="sr-Latn-ME"/>
        </w:rPr>
      </w:pPr>
      <w:r>
        <w:rPr>
          <w:szCs w:val="22"/>
          <w:u w:val="single"/>
          <w:lang w:val="sr-Latn-ME"/>
        </w:rPr>
        <w:t>Etničke razlike</w:t>
      </w:r>
    </w:p>
    <w:p w14:paraId="1AA18542" w14:textId="77777777" w:rsidR="00095D7E" w:rsidRDefault="008740DD">
      <w:pPr>
        <w:widowControl w:val="0"/>
        <w:jc w:val="both"/>
        <w:rPr>
          <w:bCs/>
          <w:szCs w:val="22"/>
          <w:lang w:val="sr-Latn-ME"/>
        </w:rPr>
      </w:pPr>
      <w:r>
        <w:rPr>
          <w:szCs w:val="22"/>
          <w:lang w:val="sr-Latn-ME"/>
        </w:rPr>
        <w:t>Kao i u slučaju drugih inhibitora angiotenzin konvertujućeg enzima, djeluje da je perindopril manje efikasan u snižavanju krvnog pritiska kod crne populacije nego kod drugih populacija, vjerovatno zato što kod crne populacije preovladava stanje niskog nivoa renina.</w:t>
      </w:r>
    </w:p>
    <w:p w14:paraId="4181F078" w14:textId="77777777" w:rsidR="00095D7E" w:rsidRDefault="008740DD">
      <w:pPr>
        <w:widowControl w:val="0"/>
        <w:jc w:val="both"/>
        <w:rPr>
          <w:bCs/>
          <w:szCs w:val="22"/>
          <w:lang w:val="sr-Latn-ME"/>
        </w:rPr>
      </w:pPr>
      <w:r>
        <w:rPr>
          <w:szCs w:val="22"/>
          <w:lang w:val="sr-Latn-ME"/>
        </w:rPr>
        <w:t>Farmakokinetička ispitivanja pokazuju povećanje izloženosti rosuvastatinu kod ispitanika azijskog porijekla u poređenju sa bijelom rasom (vidjeti djelove 4.2, 4.3. i 5.2).</w:t>
      </w:r>
    </w:p>
    <w:p w14:paraId="30F30DFA" w14:textId="77777777" w:rsidR="00095D7E" w:rsidRDefault="00095D7E">
      <w:pPr>
        <w:widowControl w:val="0"/>
        <w:jc w:val="both"/>
        <w:rPr>
          <w:szCs w:val="22"/>
          <w:lang w:val="sr-Latn-ME"/>
        </w:rPr>
      </w:pPr>
    </w:p>
    <w:p w14:paraId="776BF640" w14:textId="77777777" w:rsidR="00095D7E" w:rsidRDefault="008740DD">
      <w:pPr>
        <w:widowControl w:val="0"/>
        <w:jc w:val="both"/>
        <w:rPr>
          <w:szCs w:val="22"/>
          <w:u w:val="single"/>
          <w:lang w:val="sr-Latn-ME"/>
        </w:rPr>
      </w:pPr>
      <w:r>
        <w:rPr>
          <w:szCs w:val="22"/>
          <w:u w:val="single"/>
          <w:lang w:val="sr-Latn-ME"/>
        </w:rPr>
        <w:t>Hirurgija/anestezija</w:t>
      </w:r>
    </w:p>
    <w:p w14:paraId="03D2EB91" w14:textId="77777777" w:rsidR="00095D7E" w:rsidRDefault="008740DD">
      <w:pPr>
        <w:widowControl w:val="0"/>
        <w:jc w:val="both"/>
        <w:rPr>
          <w:szCs w:val="22"/>
          <w:lang w:val="sr-Latn-ME"/>
        </w:rPr>
      </w:pPr>
      <w:r>
        <w:rPr>
          <w:szCs w:val="22"/>
          <w:lang w:val="sr-Latn-ME"/>
        </w:rPr>
        <w:t>Inhibitori angiotenzin konvertujućeg enzima mogu da dovedu do hipotenzije kada se primjenjuje anestezija, posebno kada se kao anestetik koristi lijek sa hipotenzivnim potencijalom.</w:t>
      </w:r>
    </w:p>
    <w:p w14:paraId="4DA3C5F5" w14:textId="77777777" w:rsidR="00095D7E" w:rsidRDefault="008740DD">
      <w:pPr>
        <w:widowControl w:val="0"/>
        <w:jc w:val="both"/>
        <w:rPr>
          <w:szCs w:val="22"/>
          <w:lang w:val="sr-Latn-ME"/>
        </w:rPr>
      </w:pPr>
      <w:r>
        <w:rPr>
          <w:szCs w:val="22"/>
          <w:lang w:val="sr-Latn-ME"/>
        </w:rPr>
        <w:lastRenderedPageBreak/>
        <w:t>Stoga se preporučuje prekid terapije inhibitorima angiotenzin konvertujućeg enzima sa dugotrajnim dejstvom, kao što je perindopril, jedan dan prije hirurške intervencije, ako je to moguće.</w:t>
      </w:r>
    </w:p>
    <w:p w14:paraId="1EEE2F42" w14:textId="77777777" w:rsidR="00095D7E" w:rsidRDefault="00095D7E">
      <w:pPr>
        <w:widowControl w:val="0"/>
        <w:autoSpaceDE w:val="0"/>
        <w:autoSpaceDN w:val="0"/>
        <w:adjustRightInd w:val="0"/>
        <w:jc w:val="both"/>
        <w:rPr>
          <w:iCs/>
          <w:szCs w:val="22"/>
          <w:u w:val="single"/>
          <w:lang w:val="sr-Latn-ME"/>
        </w:rPr>
      </w:pPr>
    </w:p>
    <w:p w14:paraId="3297B5FE" w14:textId="77777777" w:rsidR="00095D7E" w:rsidRDefault="008740DD">
      <w:pPr>
        <w:widowControl w:val="0"/>
        <w:autoSpaceDE w:val="0"/>
        <w:autoSpaceDN w:val="0"/>
        <w:adjustRightInd w:val="0"/>
        <w:jc w:val="both"/>
        <w:rPr>
          <w:szCs w:val="22"/>
          <w:u w:val="single"/>
          <w:lang w:val="sr-Latn-ME"/>
        </w:rPr>
      </w:pPr>
      <w:r>
        <w:rPr>
          <w:szCs w:val="22"/>
          <w:u w:val="single"/>
          <w:lang w:val="sr-Latn-ME"/>
        </w:rPr>
        <w:t>Sportisti</w:t>
      </w:r>
    </w:p>
    <w:p w14:paraId="012DA1E7" w14:textId="77777777" w:rsidR="00095D7E" w:rsidRDefault="008740DD">
      <w:pPr>
        <w:widowControl w:val="0"/>
        <w:autoSpaceDE w:val="0"/>
        <w:autoSpaceDN w:val="0"/>
        <w:adjustRightInd w:val="0"/>
        <w:jc w:val="both"/>
        <w:rPr>
          <w:szCs w:val="22"/>
          <w:lang w:val="sr-Latn-ME"/>
        </w:rPr>
      </w:pPr>
      <w:r>
        <w:rPr>
          <w:szCs w:val="22"/>
          <w:lang w:val="sr-Latn-ME"/>
        </w:rPr>
        <w:t>Sportisti bi trebalo da znaju da ovaj lijek sadrži aktivnu supstancu indapamid koja može da uzrokuje pozitivnu reakciju na doping testu.</w:t>
      </w:r>
    </w:p>
    <w:p w14:paraId="4EA8B91D" w14:textId="77777777" w:rsidR="00095D7E" w:rsidRDefault="00095D7E">
      <w:pPr>
        <w:widowControl w:val="0"/>
        <w:autoSpaceDE w:val="0"/>
        <w:autoSpaceDN w:val="0"/>
        <w:adjustRightInd w:val="0"/>
        <w:jc w:val="both"/>
        <w:rPr>
          <w:color w:val="222222"/>
          <w:szCs w:val="22"/>
          <w:u w:val="single"/>
          <w:shd w:val="clear" w:color="auto" w:fill="F8F9FA"/>
          <w:lang w:val="sr-Latn-ME"/>
        </w:rPr>
      </w:pPr>
    </w:p>
    <w:p w14:paraId="39D26F18" w14:textId="77777777" w:rsidR="00095D7E" w:rsidRDefault="008740DD">
      <w:pPr>
        <w:jc w:val="both"/>
        <w:rPr>
          <w:szCs w:val="22"/>
          <w:u w:val="single"/>
          <w:lang w:val="sr-Latn-ME"/>
        </w:rPr>
      </w:pPr>
      <w:r>
        <w:rPr>
          <w:szCs w:val="22"/>
          <w:u w:val="single"/>
          <w:lang w:val="sr-Latn-ME"/>
        </w:rPr>
        <w:t>Akutna miopija i sekundarni glaukom zatvorenog ugla</w:t>
      </w:r>
    </w:p>
    <w:p w14:paraId="58FCBDB0" w14:textId="77777777" w:rsidR="00095D7E" w:rsidRDefault="008740DD">
      <w:pPr>
        <w:jc w:val="both"/>
        <w:rPr>
          <w:szCs w:val="22"/>
          <w:shd w:val="clear" w:color="auto" w:fill="F8F9FA"/>
          <w:lang w:val="sr-Latn-ME"/>
        </w:rPr>
      </w:pPr>
      <w:r>
        <w:rPr>
          <w:szCs w:val="22"/>
          <w:lang w:val="sr-Latn-ME"/>
        </w:rPr>
        <w:t xml:space="preserve">Sulfonamidi ili derivati sulfonamida mogu uzrokovati idiosinkratsku reakciju koja dovodi do horoidalne efuzije uz defekte vidnog polja, prolazne miopije i akutnog glaukoma zatvorenog </w:t>
      </w:r>
      <w:r>
        <w:rPr>
          <w:szCs w:val="22"/>
          <w:shd w:val="clear" w:color="auto" w:fill="F8F9FA"/>
          <w:lang w:val="sr-Latn-ME"/>
        </w:rPr>
        <w:t>ugla.</w:t>
      </w:r>
    </w:p>
    <w:p w14:paraId="7305FE33" w14:textId="77777777" w:rsidR="00095D7E" w:rsidRDefault="008740DD">
      <w:pPr>
        <w:widowControl w:val="0"/>
        <w:autoSpaceDE w:val="0"/>
        <w:autoSpaceDN w:val="0"/>
        <w:adjustRightInd w:val="0"/>
        <w:jc w:val="both"/>
        <w:rPr>
          <w:szCs w:val="22"/>
          <w:lang w:val="sr-Latn-ME"/>
        </w:rPr>
      </w:pPr>
      <w:r>
        <w:rPr>
          <w:szCs w:val="22"/>
          <w:lang w:val="sr-Latn-ME"/>
        </w:rPr>
        <w:t>Simptomi uključuju akutni nastup smanjene oštrine vida ili bol u očima, a obično se javljaju u roku od nekoliko sati do jedne sedmice nakon početka terapije. Neliječeni akutni glaukom zatvorenog ugla može dovesti do trajnog gubitka vida. Primarni tretman je prekid unošenja lijeka što je brže moguće. Može biti potrebno razmatranje hitnog liječenja ili hirurškog liječenja ako intraokularni pritisak ostane nekontrolisan. Faktori rizika za razvoj akutnog glaukoma zatvorenog ugla mogu uključivati ​​istoriju alergije na sulfonamid ili penicilin.</w:t>
      </w:r>
    </w:p>
    <w:p w14:paraId="47F5CEA2" w14:textId="77777777" w:rsidR="00095D7E" w:rsidRDefault="00095D7E">
      <w:pPr>
        <w:widowControl w:val="0"/>
        <w:autoSpaceDE w:val="0"/>
        <w:autoSpaceDN w:val="0"/>
        <w:adjustRightInd w:val="0"/>
        <w:rPr>
          <w:szCs w:val="22"/>
          <w:lang w:val="sr-Latn-ME"/>
        </w:rPr>
      </w:pPr>
    </w:p>
    <w:p w14:paraId="3C04EA1A" w14:textId="77777777" w:rsidR="00095D7E" w:rsidRDefault="008740DD">
      <w:pPr>
        <w:pStyle w:val="Header"/>
        <w:widowControl w:val="0"/>
        <w:jc w:val="both"/>
        <w:rPr>
          <w:rFonts w:ascii="Times New Roman" w:hAnsi="Times New Roman"/>
          <w:sz w:val="22"/>
          <w:szCs w:val="22"/>
          <w:u w:val="single"/>
          <w:lang w:val="sr-Latn-ME"/>
        </w:rPr>
      </w:pPr>
      <w:r>
        <w:rPr>
          <w:rFonts w:ascii="Times New Roman" w:hAnsi="Times New Roman"/>
          <w:sz w:val="22"/>
          <w:szCs w:val="22"/>
          <w:u w:val="single"/>
          <w:lang w:val="sr-Latn-ME"/>
        </w:rPr>
        <w:t>Dejstva na skeletne mišiće</w:t>
      </w:r>
    </w:p>
    <w:p w14:paraId="2395CBB4" w14:textId="77777777" w:rsidR="00095D7E" w:rsidRDefault="008740DD">
      <w:pPr>
        <w:pStyle w:val="BodyText3"/>
        <w:widowControl w:val="0"/>
        <w:spacing w:after="0"/>
        <w:jc w:val="both"/>
        <w:rPr>
          <w:sz w:val="22"/>
          <w:szCs w:val="22"/>
          <w:lang w:val="sr-Latn-ME"/>
        </w:rPr>
      </w:pPr>
      <w:r>
        <w:rPr>
          <w:sz w:val="22"/>
          <w:szCs w:val="22"/>
          <w:lang w:val="sr-Latn-ME"/>
        </w:rPr>
        <w:t>Dejstva na skeletne mišiće, npr. mijalgija, miopatija i, rijetko, rabdomioliza, zabilježena su kod pacijenata liječenih rosuvastatinom sa svim dozama, a naročito dozama &gt; 20 mg. Zabilježeni su i veoma rijetki slučajevi rabdomiolize pri upotrebi ezetimiba u kombinaciji sa inhibitorima HMG-CoA reduktaze. Farmakodinamske interakcije se ne mogu isključiti (vidjeti dio 4.5) i savjetuje se oprez pri njihovoj kombinovanoj upotrebi. Kao i u slučaju drugih inhibitora HMG-CoA reduktaze, stopa prijavljivanja rabdomiolize povezane sa upotrebom rosuvastatina nakon pojave lijeka na tržištu veća je pri dozi od 40 mg.</w:t>
      </w:r>
    </w:p>
    <w:p w14:paraId="44B46D37" w14:textId="77777777" w:rsidR="00095D7E" w:rsidRDefault="00085424">
      <w:pPr>
        <w:pStyle w:val="BodyText3"/>
        <w:widowControl w:val="0"/>
        <w:spacing w:after="0"/>
        <w:jc w:val="both"/>
        <w:rPr>
          <w:sz w:val="22"/>
          <w:szCs w:val="22"/>
          <w:lang w:val="sr-Latn-ME"/>
        </w:rPr>
      </w:pPr>
      <w:r>
        <w:rPr>
          <w:sz w:val="22"/>
          <w:szCs w:val="22"/>
          <w:u w:val="single"/>
          <w:lang w:val="en-GB"/>
        </w:rPr>
        <w:t>M</w:t>
      </w:r>
      <w:r w:rsidRPr="00085424">
        <w:rPr>
          <w:sz w:val="22"/>
          <w:szCs w:val="22"/>
          <w:u w:val="single"/>
          <w:lang w:val="en-GB"/>
        </w:rPr>
        <w:t>iastenij</w:t>
      </w:r>
      <w:r>
        <w:rPr>
          <w:sz w:val="22"/>
          <w:szCs w:val="22"/>
          <w:u w:val="single"/>
          <w:lang w:val="en-GB"/>
        </w:rPr>
        <w:t>a</w:t>
      </w:r>
      <w:r w:rsidRPr="00085424">
        <w:rPr>
          <w:sz w:val="22"/>
          <w:szCs w:val="22"/>
          <w:u w:val="single"/>
          <w:lang w:val="en-GB"/>
        </w:rPr>
        <w:t xml:space="preserve"> gravis ili okularn</w:t>
      </w:r>
      <w:r>
        <w:rPr>
          <w:sz w:val="22"/>
          <w:szCs w:val="22"/>
          <w:u w:val="single"/>
          <w:lang w:val="en-GB"/>
        </w:rPr>
        <w:t xml:space="preserve">a </w:t>
      </w:r>
      <w:r w:rsidRPr="00085424">
        <w:rPr>
          <w:sz w:val="22"/>
          <w:szCs w:val="22"/>
          <w:u w:val="single"/>
          <w:lang w:val="en-GB"/>
        </w:rPr>
        <w:t>miastenij</w:t>
      </w:r>
      <w:r>
        <w:rPr>
          <w:sz w:val="22"/>
          <w:szCs w:val="22"/>
          <w:u w:val="single"/>
          <w:lang w:val="en-GB"/>
        </w:rPr>
        <w:t>a</w:t>
      </w:r>
    </w:p>
    <w:p w14:paraId="58CEB2FE" w14:textId="569D4AB1" w:rsidR="00095D7E" w:rsidRDefault="008740DD">
      <w:pPr>
        <w:widowControl w:val="0"/>
        <w:jc w:val="both"/>
        <w:rPr>
          <w:szCs w:val="22"/>
          <w:lang w:val="sr-Latn-ME"/>
        </w:rPr>
      </w:pPr>
      <w:r>
        <w:rPr>
          <w:szCs w:val="22"/>
          <w:u w:val="single"/>
        </w:rPr>
        <w:t>U nekoliko slučajeva je prijavljeno da statini indukuju nov</w:t>
      </w:r>
      <w:r w:rsidR="002D626F">
        <w:rPr>
          <w:szCs w:val="22"/>
          <w:u w:val="single"/>
        </w:rPr>
        <w:t>u</w:t>
      </w:r>
      <w:r>
        <w:rPr>
          <w:szCs w:val="22"/>
          <w:u w:val="single"/>
        </w:rPr>
        <w:t xml:space="preserve"> ili pogoršavaju postojeću miasteniju gravis ili okularnu miasteniju (vidjeti dio 4.8). Terapiju lijekom Roxiper treba prekinuti u slučaju pogoršanja simptoma. Prijavljeni su recidivi kada je (ponovo) primijenjen isti ili drugi statin</w:t>
      </w:r>
      <w:r w:rsidR="002D626F">
        <w:rPr>
          <w:szCs w:val="22"/>
          <w:u w:val="single"/>
        </w:rPr>
        <w:t>.</w:t>
      </w:r>
    </w:p>
    <w:p w14:paraId="0CB59637" w14:textId="77777777" w:rsidR="00095D7E" w:rsidRDefault="00095D7E">
      <w:pPr>
        <w:pStyle w:val="BodyText3"/>
        <w:widowControl w:val="0"/>
        <w:spacing w:after="0"/>
        <w:jc w:val="both"/>
        <w:rPr>
          <w:szCs w:val="22"/>
          <w:lang w:val="sr-Latn-ME"/>
        </w:rPr>
      </w:pPr>
    </w:p>
    <w:p w14:paraId="2D506A96" w14:textId="77777777" w:rsidR="00095D7E" w:rsidRDefault="008740DD">
      <w:pPr>
        <w:widowControl w:val="0"/>
        <w:jc w:val="both"/>
        <w:rPr>
          <w:i/>
          <w:iCs/>
          <w:szCs w:val="22"/>
          <w:lang w:val="sr-Latn-ME"/>
        </w:rPr>
      </w:pPr>
      <w:r>
        <w:rPr>
          <w:i/>
          <w:szCs w:val="22"/>
          <w:lang w:val="sr-Latn-ME"/>
        </w:rPr>
        <w:t>Mjerenje kreatin kinaze</w:t>
      </w:r>
    </w:p>
    <w:p w14:paraId="0115D596" w14:textId="77777777" w:rsidR="00095D7E" w:rsidRDefault="008740DD">
      <w:pPr>
        <w:pStyle w:val="BodyText3"/>
        <w:widowControl w:val="0"/>
        <w:spacing w:after="0"/>
        <w:jc w:val="both"/>
        <w:rPr>
          <w:sz w:val="22"/>
          <w:szCs w:val="22"/>
          <w:lang w:val="sr-Latn-ME"/>
        </w:rPr>
      </w:pPr>
      <w:r>
        <w:rPr>
          <w:sz w:val="22"/>
          <w:szCs w:val="22"/>
          <w:lang w:val="sr-Latn-ME"/>
        </w:rPr>
        <w:t>Kreatin kinazu (CK) ne treba mjeriti nakon fizičkog napora ili ukoliko postoji bilo koji relevantni uzrok povećanja vrijednosti CK, jer je tako dobijene rezultate teško analizirati. Ako je nivo CK značajno povišen prije početka terapije (više od 5 puta veći od GGN), u roku od 5–7 dana treba sprovesti ponovno testiranje da bi se potvrdili rezultati. Ako ponovni test potvrdi da je CK prije početka terapije na nivou koji je više od 5 puta veći od GGN, ne treba započeti terapiju.</w:t>
      </w:r>
    </w:p>
    <w:p w14:paraId="3DAF8DD8" w14:textId="77777777" w:rsidR="00095D7E" w:rsidRDefault="00095D7E">
      <w:pPr>
        <w:widowControl w:val="0"/>
        <w:rPr>
          <w:szCs w:val="22"/>
          <w:lang w:val="sr-Latn-ME"/>
        </w:rPr>
      </w:pPr>
    </w:p>
    <w:p w14:paraId="12E173B6" w14:textId="77777777" w:rsidR="00095D7E" w:rsidRDefault="008740DD">
      <w:pPr>
        <w:widowControl w:val="0"/>
        <w:jc w:val="both"/>
        <w:rPr>
          <w:i/>
          <w:iCs/>
          <w:szCs w:val="22"/>
          <w:lang w:val="sr-Latn-ME"/>
        </w:rPr>
      </w:pPr>
      <w:r>
        <w:rPr>
          <w:i/>
          <w:szCs w:val="22"/>
          <w:lang w:val="sr-Latn-ME"/>
        </w:rPr>
        <w:t>Prije terapije rosuvastatinom</w:t>
      </w:r>
    </w:p>
    <w:p w14:paraId="6E20BCB2" w14:textId="77777777" w:rsidR="00095D7E" w:rsidRDefault="008740DD">
      <w:pPr>
        <w:pStyle w:val="BodyText3"/>
        <w:widowControl w:val="0"/>
        <w:spacing w:after="0"/>
        <w:jc w:val="both"/>
        <w:rPr>
          <w:sz w:val="22"/>
          <w:szCs w:val="22"/>
          <w:lang w:val="sr-Latn-ME"/>
        </w:rPr>
      </w:pPr>
      <w:r>
        <w:rPr>
          <w:sz w:val="22"/>
          <w:szCs w:val="22"/>
          <w:lang w:val="sr-Latn-ME"/>
        </w:rPr>
        <w:t>Rosuvastatin, kao i druge inhibitore HMG-CoA reduktaze, treba oprezno propisivati kod pacijenata sa predisponirajućim faktorima za miopatiju/rabdomiolizu. Ovi faktori uključuju:</w:t>
      </w:r>
    </w:p>
    <w:p w14:paraId="78F3DF9D" w14:textId="77777777" w:rsidR="00095D7E" w:rsidRDefault="008740DD">
      <w:pPr>
        <w:pStyle w:val="BodyText3"/>
        <w:widowControl w:val="0"/>
        <w:numPr>
          <w:ilvl w:val="0"/>
          <w:numId w:val="10"/>
        </w:numPr>
        <w:spacing w:after="0"/>
        <w:ind w:left="567" w:hanging="567"/>
        <w:jc w:val="both"/>
        <w:rPr>
          <w:sz w:val="22"/>
          <w:szCs w:val="22"/>
          <w:lang w:val="sr-Latn-ME"/>
        </w:rPr>
      </w:pPr>
      <w:r>
        <w:rPr>
          <w:sz w:val="22"/>
          <w:szCs w:val="22"/>
          <w:lang w:val="sr-Latn-ME"/>
        </w:rPr>
        <w:t>oštećenje funkcije bubrega,</w:t>
      </w:r>
    </w:p>
    <w:p w14:paraId="3ED67A0E" w14:textId="77777777" w:rsidR="00095D7E" w:rsidRDefault="008740DD">
      <w:pPr>
        <w:pStyle w:val="BodyText3"/>
        <w:widowControl w:val="0"/>
        <w:numPr>
          <w:ilvl w:val="0"/>
          <w:numId w:val="10"/>
        </w:numPr>
        <w:spacing w:after="0"/>
        <w:ind w:left="567" w:hanging="567"/>
        <w:jc w:val="both"/>
        <w:rPr>
          <w:sz w:val="22"/>
          <w:szCs w:val="22"/>
          <w:lang w:val="sr-Latn-ME"/>
        </w:rPr>
      </w:pPr>
      <w:r>
        <w:rPr>
          <w:sz w:val="22"/>
          <w:szCs w:val="22"/>
          <w:lang w:val="sr-Latn-ME"/>
        </w:rPr>
        <w:t>hipotireoidizam,</w:t>
      </w:r>
    </w:p>
    <w:p w14:paraId="451533D7" w14:textId="77777777" w:rsidR="00095D7E" w:rsidRDefault="008740DD">
      <w:pPr>
        <w:pStyle w:val="BodyText3"/>
        <w:widowControl w:val="0"/>
        <w:numPr>
          <w:ilvl w:val="0"/>
          <w:numId w:val="10"/>
        </w:numPr>
        <w:spacing w:after="0"/>
        <w:ind w:left="567" w:hanging="567"/>
        <w:jc w:val="both"/>
        <w:rPr>
          <w:sz w:val="22"/>
          <w:szCs w:val="22"/>
          <w:lang w:val="sr-Latn-ME"/>
        </w:rPr>
      </w:pPr>
      <w:r>
        <w:rPr>
          <w:sz w:val="22"/>
          <w:szCs w:val="22"/>
          <w:lang w:val="sr-Latn-ME"/>
        </w:rPr>
        <w:t>ličnu ili porodičnu anamnezu sa nasljednim oboljenjima mišića,</w:t>
      </w:r>
    </w:p>
    <w:p w14:paraId="5972A741" w14:textId="77777777" w:rsidR="00095D7E" w:rsidRDefault="008740DD">
      <w:pPr>
        <w:pStyle w:val="BodyText3"/>
        <w:widowControl w:val="0"/>
        <w:numPr>
          <w:ilvl w:val="0"/>
          <w:numId w:val="10"/>
        </w:numPr>
        <w:spacing w:after="0"/>
        <w:ind w:left="567" w:hanging="567"/>
        <w:jc w:val="both"/>
        <w:rPr>
          <w:sz w:val="22"/>
          <w:szCs w:val="22"/>
          <w:lang w:val="sr-Latn-ME"/>
        </w:rPr>
      </w:pPr>
      <w:r>
        <w:rPr>
          <w:sz w:val="22"/>
          <w:szCs w:val="22"/>
          <w:lang w:val="sr-Latn-ME"/>
        </w:rPr>
        <w:t>raniju pojavu mišićne toksičnosti sa drugim inhibitorima HMG-CoA reduktaze ili fibratima,</w:t>
      </w:r>
    </w:p>
    <w:p w14:paraId="1E8754E3" w14:textId="77777777" w:rsidR="00095D7E" w:rsidRDefault="008740DD">
      <w:pPr>
        <w:pStyle w:val="BodyText3"/>
        <w:widowControl w:val="0"/>
        <w:numPr>
          <w:ilvl w:val="0"/>
          <w:numId w:val="10"/>
        </w:numPr>
        <w:spacing w:after="0"/>
        <w:ind w:left="567" w:hanging="567"/>
        <w:jc w:val="both"/>
        <w:rPr>
          <w:sz w:val="22"/>
          <w:szCs w:val="22"/>
          <w:lang w:val="sr-Latn-ME"/>
        </w:rPr>
      </w:pPr>
      <w:r>
        <w:rPr>
          <w:sz w:val="22"/>
          <w:szCs w:val="22"/>
          <w:lang w:val="sr-Latn-ME"/>
        </w:rPr>
        <w:t>zloupotrebu alkohola,</w:t>
      </w:r>
    </w:p>
    <w:p w14:paraId="48D04E00" w14:textId="77777777" w:rsidR="00095D7E" w:rsidRDefault="008740DD">
      <w:pPr>
        <w:pStyle w:val="BodyText3"/>
        <w:widowControl w:val="0"/>
        <w:numPr>
          <w:ilvl w:val="0"/>
          <w:numId w:val="10"/>
        </w:numPr>
        <w:spacing w:after="0"/>
        <w:ind w:left="567" w:hanging="567"/>
        <w:jc w:val="both"/>
        <w:rPr>
          <w:sz w:val="22"/>
          <w:szCs w:val="22"/>
          <w:lang w:val="sr-Latn-ME"/>
        </w:rPr>
      </w:pPr>
      <w:r>
        <w:rPr>
          <w:sz w:val="22"/>
          <w:szCs w:val="22"/>
          <w:lang w:val="sr-Latn-ME"/>
        </w:rPr>
        <w:t>starost &gt; 70 godina,</w:t>
      </w:r>
    </w:p>
    <w:p w14:paraId="7A4D1F0D" w14:textId="77777777" w:rsidR="00095D7E" w:rsidRDefault="008740DD">
      <w:pPr>
        <w:pStyle w:val="BodyText3"/>
        <w:widowControl w:val="0"/>
        <w:numPr>
          <w:ilvl w:val="0"/>
          <w:numId w:val="10"/>
        </w:numPr>
        <w:spacing w:after="0"/>
        <w:ind w:left="567" w:hanging="567"/>
        <w:jc w:val="both"/>
        <w:rPr>
          <w:sz w:val="22"/>
          <w:szCs w:val="22"/>
          <w:lang w:val="sr-Latn-ME"/>
        </w:rPr>
      </w:pPr>
      <w:r>
        <w:rPr>
          <w:sz w:val="22"/>
          <w:szCs w:val="22"/>
          <w:lang w:val="sr-Latn-ME"/>
        </w:rPr>
        <w:t>situacije kada može doći do povećanih koncentracija u plazmi (vidjeti djelove 4.2, 4.5. i 5.2),</w:t>
      </w:r>
    </w:p>
    <w:p w14:paraId="7BAD39BE" w14:textId="77777777" w:rsidR="00095D7E" w:rsidRDefault="008740DD">
      <w:pPr>
        <w:pStyle w:val="BodyText3"/>
        <w:widowControl w:val="0"/>
        <w:numPr>
          <w:ilvl w:val="0"/>
          <w:numId w:val="10"/>
        </w:numPr>
        <w:spacing w:after="0"/>
        <w:ind w:left="567" w:hanging="567"/>
        <w:jc w:val="both"/>
        <w:rPr>
          <w:sz w:val="22"/>
          <w:szCs w:val="22"/>
          <w:lang w:val="sr-Latn-ME"/>
        </w:rPr>
      </w:pPr>
      <w:r>
        <w:rPr>
          <w:sz w:val="22"/>
          <w:szCs w:val="22"/>
          <w:lang w:val="sr-Latn-ME"/>
        </w:rPr>
        <w:t>istovremenu upotrebu fibrata.</w:t>
      </w:r>
    </w:p>
    <w:p w14:paraId="3F8D3053" w14:textId="77777777" w:rsidR="00095D7E" w:rsidRDefault="00095D7E">
      <w:pPr>
        <w:pStyle w:val="BodyText3"/>
        <w:widowControl w:val="0"/>
        <w:spacing w:after="0"/>
        <w:jc w:val="both"/>
        <w:rPr>
          <w:sz w:val="22"/>
          <w:szCs w:val="22"/>
          <w:lang w:val="sr-Latn-ME"/>
        </w:rPr>
      </w:pPr>
    </w:p>
    <w:p w14:paraId="2683B533" w14:textId="77777777" w:rsidR="00095D7E" w:rsidRDefault="008740DD">
      <w:pPr>
        <w:pStyle w:val="BodyText3"/>
        <w:widowControl w:val="0"/>
        <w:spacing w:after="0"/>
        <w:jc w:val="both"/>
        <w:rPr>
          <w:sz w:val="22"/>
          <w:szCs w:val="22"/>
          <w:lang w:val="sr-Latn-ME"/>
        </w:rPr>
      </w:pPr>
      <w:r>
        <w:rPr>
          <w:sz w:val="22"/>
          <w:szCs w:val="22"/>
          <w:lang w:val="sr-Latn-ME"/>
        </w:rPr>
        <w:t>Kod ovih pacijenata korist terapije treba procijeniti u odnosu na rizik, a istovremeno se preporučuje kliničko praćenje. Ukoliko su vrijednosti CK značajno povišene (&gt; 5 x GGN), ne treba počinjati sa terapijom.</w:t>
      </w:r>
    </w:p>
    <w:p w14:paraId="25CB1F39" w14:textId="77777777" w:rsidR="00095D7E" w:rsidRDefault="00095D7E">
      <w:pPr>
        <w:pStyle w:val="BodyText3"/>
        <w:widowControl w:val="0"/>
        <w:spacing w:after="0"/>
        <w:jc w:val="both"/>
        <w:rPr>
          <w:sz w:val="22"/>
          <w:szCs w:val="22"/>
          <w:lang w:val="sr-Latn-ME"/>
        </w:rPr>
      </w:pPr>
    </w:p>
    <w:p w14:paraId="7C79A24C" w14:textId="77777777" w:rsidR="00095D7E" w:rsidRDefault="008740DD">
      <w:pPr>
        <w:pStyle w:val="BodyText3"/>
        <w:widowControl w:val="0"/>
        <w:spacing w:after="0"/>
        <w:jc w:val="both"/>
        <w:rPr>
          <w:i/>
          <w:iCs/>
          <w:sz w:val="22"/>
          <w:szCs w:val="22"/>
          <w:lang w:val="sr-Latn-ME"/>
        </w:rPr>
      </w:pPr>
      <w:r>
        <w:rPr>
          <w:i/>
          <w:sz w:val="22"/>
          <w:szCs w:val="22"/>
          <w:lang w:val="sr-Latn-ME"/>
        </w:rPr>
        <w:t>Za vrijeme terapije</w:t>
      </w:r>
    </w:p>
    <w:p w14:paraId="61544095" w14:textId="77777777" w:rsidR="00095D7E" w:rsidRDefault="008740DD">
      <w:pPr>
        <w:pStyle w:val="BodyText3"/>
        <w:widowControl w:val="0"/>
        <w:spacing w:after="0"/>
        <w:jc w:val="both"/>
        <w:rPr>
          <w:sz w:val="22"/>
          <w:szCs w:val="22"/>
          <w:lang w:val="sr-Latn-ME"/>
        </w:rPr>
      </w:pPr>
      <w:r>
        <w:rPr>
          <w:sz w:val="22"/>
          <w:szCs w:val="22"/>
          <w:lang w:val="sr-Latn-ME"/>
        </w:rPr>
        <w:t xml:space="preserve">Pacijentima treba reći da odmah prijave neobjašnjiv bol u mišićima, slabost ili grčeve, naročito ako su povezani sa osjećajem slabosti ili temperaturom. Kod tih pacijenta treba mjeriti nivo CK. Terapiju treba prekinuti ako se nivo CK značajno poveća (&gt; 5 x GGN) ili ako su mišićni simptomi teški i prouzrokuju </w:t>
      </w:r>
      <w:r>
        <w:rPr>
          <w:sz w:val="22"/>
          <w:szCs w:val="22"/>
          <w:lang w:val="sr-Latn-ME"/>
        </w:rPr>
        <w:lastRenderedPageBreak/>
        <w:t xml:space="preserve">svakodnevnu nelagodnost (čak i ako je nivo CK ≤ 5 x GGN). Ako simptomi nestanu i nivo CK se vrati na normalan, treba razmotriti ponovno uvođenje rosuvastatina ili nekog drugog inhibitora HMG-CoA reduktaze sa najmanjom dozom i uz pažljivo praćenje. Rutinsko praćenje nivoa CK nije obavezno kod asimptomatskih pacijenata. Veoma rijetko je bila zabilježena imunološki posredovana nekrotizirajuća miopatija (engl. </w:t>
      </w:r>
      <w:r>
        <w:rPr>
          <w:i/>
          <w:sz w:val="22"/>
          <w:szCs w:val="22"/>
          <w:lang w:val="sr-Latn-ME"/>
        </w:rPr>
        <w:t xml:space="preserve">immune-mediated necrotising myopathy </w:t>
      </w:r>
      <w:r>
        <w:rPr>
          <w:sz w:val="22"/>
          <w:szCs w:val="22"/>
          <w:lang w:val="sr-Latn-ME"/>
        </w:rPr>
        <w:t>- IMNM) tokom i nakon terapije statinima, uključujući rosuvastatin. Kliničke karakteristike IMNM-a su slabost proksimalnih mišića i povišena kreatin kinaza u serumu, koja se nastavlja uprkos prekidu terapije statinima.</w:t>
      </w:r>
    </w:p>
    <w:p w14:paraId="783E8172" w14:textId="77777777" w:rsidR="00095D7E" w:rsidRDefault="00095D7E">
      <w:pPr>
        <w:pStyle w:val="BodyTextIndent"/>
        <w:widowControl w:val="0"/>
        <w:overflowPunct w:val="0"/>
        <w:autoSpaceDE w:val="0"/>
        <w:autoSpaceDN w:val="0"/>
        <w:adjustRightInd w:val="0"/>
        <w:spacing w:after="0"/>
        <w:ind w:left="0"/>
        <w:textAlignment w:val="baseline"/>
        <w:rPr>
          <w:szCs w:val="22"/>
          <w:lang w:val="sr-Latn-ME"/>
        </w:rPr>
      </w:pPr>
    </w:p>
    <w:p w14:paraId="10F8F325" w14:textId="77777777" w:rsidR="00095D7E" w:rsidRDefault="008740DD">
      <w:pPr>
        <w:pStyle w:val="BodyTextIndent"/>
        <w:widowControl w:val="0"/>
        <w:overflowPunct w:val="0"/>
        <w:autoSpaceDE w:val="0"/>
        <w:autoSpaceDN w:val="0"/>
        <w:adjustRightInd w:val="0"/>
        <w:spacing w:after="0"/>
        <w:ind w:left="0"/>
        <w:jc w:val="both"/>
        <w:textAlignment w:val="baseline"/>
        <w:rPr>
          <w:szCs w:val="22"/>
          <w:lang w:val="sr-Latn-ME"/>
        </w:rPr>
      </w:pPr>
      <w:r>
        <w:rPr>
          <w:szCs w:val="22"/>
          <w:lang w:val="sr-Latn-ME"/>
        </w:rPr>
        <w:t>U kliničkim ispitivanjima nije bilo dokaza o povećanju dejstva na skeletne mišiće kod malog broja pacijenata istovremeno liječenih rosuvastatinom i nekim drugim lijekom. Međutim, povećana incidenca miozitisa i miopatije bila je primijećena kod pacijenta koji su primali druge inhibitore HMG-CoA reduktaze zajedno sa derivatima fibrinske kiseline, uključujući gemfibrozil, ciklosporin, nikotinsku kiselinu, azolne antimikotike, inhibitore proteaze i makrolidne antibiotike. Gemfibrozil povećava rizik od miopatije kada se daje istovremeno sa nekim inhibitorima HMG-CoA reduktaze. Zbog toga se ne preporučuje kombinacija rosuvastatina i gemfibrozila. Korist daljih promjena koncentracije lipida kombinovanom upotrebom rosuvastatina sa fibratima ili nijacinom treba pažljivo procijeniti u odnosu na potencijalni rizik ovih kombinacija. Doze od 30 mg i 40 mg rosuvastatina kontraindikovane su sa istovremenom upotrebom fibrata (vidjeti djelove 4.5. i 4.8).</w:t>
      </w:r>
    </w:p>
    <w:p w14:paraId="39948851" w14:textId="77777777" w:rsidR="00095D7E" w:rsidRDefault="00095D7E">
      <w:pPr>
        <w:widowControl w:val="0"/>
        <w:jc w:val="both"/>
        <w:rPr>
          <w:szCs w:val="22"/>
          <w:lang w:val="sr-Latn-ME"/>
        </w:rPr>
      </w:pPr>
    </w:p>
    <w:p w14:paraId="123E55E8" w14:textId="77777777" w:rsidR="00095D7E" w:rsidRDefault="008740DD">
      <w:pPr>
        <w:widowControl w:val="0"/>
        <w:jc w:val="both"/>
        <w:rPr>
          <w:szCs w:val="22"/>
          <w:lang w:val="sr-Latn-ME"/>
        </w:rPr>
      </w:pPr>
      <w:r>
        <w:rPr>
          <w:szCs w:val="22"/>
          <w:lang w:val="sr-Latn-ME"/>
        </w:rPr>
        <w:t>Rosuvastatin ne bi trebalo koristiti kod pacijenata sa akutnim, teškim stanjem koje ukazuje na miopatiju ili kod onih koji imaju predispoziciju za razvoj renalne insuficijencije kao posljedice rabdomiolize (npr. sepsa, hipotenzija, veće operacije, trauma, teški metabolički, endokrini i poremećaji elektrolita, ili nekontrolisani napadi).</w:t>
      </w:r>
    </w:p>
    <w:p w14:paraId="7C726DE2" w14:textId="77777777" w:rsidR="00095D7E" w:rsidRDefault="00095D7E">
      <w:pPr>
        <w:widowControl w:val="0"/>
        <w:rPr>
          <w:szCs w:val="22"/>
          <w:lang w:val="sr-Latn-ME"/>
        </w:rPr>
      </w:pPr>
    </w:p>
    <w:p w14:paraId="4CEE77AE" w14:textId="77777777" w:rsidR="00095D7E" w:rsidRDefault="008740DD">
      <w:pPr>
        <w:widowControl w:val="0"/>
        <w:jc w:val="both"/>
        <w:rPr>
          <w:szCs w:val="22"/>
          <w:lang w:val="sr-Latn-ME"/>
        </w:rPr>
      </w:pPr>
      <w:r>
        <w:rPr>
          <w:szCs w:val="22"/>
          <w:lang w:val="sr-Latn-ME"/>
        </w:rPr>
        <w:t>Lijek Roxiper ne smije se davati istovremeno sa sistemskim formulacijama fusidinske kiseline ili u roku od 7 dana od prestanka terapije fusidinskom kiselinom. Kod pacijenata kod kojih se smatra da je sistemska primjena fusidinske kiseline neophodna, liječenje statinima treba prekinuti tokom čitavog trajanja terapije fusidinskom kiselinom. Postoje izveštaji o pojavi rabdomiolize (uključujući i neke smrtne slučajeve) kod pacijenata koji su primali fusidinsku kiselinu i statine u kombinaciji (vidjeti dio 4.5). Pacijenta treba savjetovati da hitno zatraži medicinsku pomoć ako se pojave simptomi slabosti mišića, bol ili osjetljivost.</w:t>
      </w:r>
    </w:p>
    <w:p w14:paraId="73721C5C" w14:textId="77777777" w:rsidR="00095D7E" w:rsidRDefault="008740DD">
      <w:pPr>
        <w:widowControl w:val="0"/>
        <w:jc w:val="both"/>
        <w:rPr>
          <w:szCs w:val="22"/>
          <w:lang w:val="sr-Latn-ME"/>
        </w:rPr>
      </w:pPr>
      <w:r>
        <w:rPr>
          <w:szCs w:val="22"/>
          <w:lang w:val="sr-Latn-ME"/>
        </w:rPr>
        <w:t>Terapija statinima može se ponovo uvesti sedam dana nakon posljednje doze fusidinske kiseline.</w:t>
      </w:r>
    </w:p>
    <w:p w14:paraId="7BB6E091" w14:textId="77777777" w:rsidR="00095D7E" w:rsidRDefault="008740DD">
      <w:pPr>
        <w:widowControl w:val="0"/>
        <w:jc w:val="both"/>
        <w:rPr>
          <w:szCs w:val="22"/>
          <w:lang w:val="sr-Latn-ME"/>
        </w:rPr>
      </w:pPr>
      <w:r>
        <w:rPr>
          <w:szCs w:val="22"/>
          <w:lang w:val="sr-Latn-ME"/>
        </w:rPr>
        <w:t>U izuzetnim okolnostima, gdje je potrebna produžena sistemska primjena fusidinske kiseline, npr. za liječenje teških infekcija, potrebu za istovremenom primjenom lijeka Roxiper i fusidinske kiseline treba razmatrati samo u posebnim slučajevima i sprovoditi je pod pažljivim medicinskim nadzorom.</w:t>
      </w:r>
    </w:p>
    <w:p w14:paraId="31D2114A" w14:textId="77777777" w:rsidR="00095D7E" w:rsidRDefault="00095D7E">
      <w:pPr>
        <w:widowControl w:val="0"/>
        <w:jc w:val="both"/>
        <w:rPr>
          <w:szCs w:val="22"/>
          <w:lang w:val="sr-Latn-ME"/>
        </w:rPr>
      </w:pPr>
    </w:p>
    <w:p w14:paraId="62EE0C09" w14:textId="77777777" w:rsidR="00095D7E" w:rsidRDefault="008740DD">
      <w:pPr>
        <w:widowControl w:val="0"/>
        <w:jc w:val="both"/>
        <w:rPr>
          <w:szCs w:val="22"/>
          <w:u w:val="single"/>
          <w:lang w:val="sr-Latn-ME"/>
        </w:rPr>
      </w:pPr>
      <w:r>
        <w:rPr>
          <w:szCs w:val="22"/>
          <w:u w:val="single"/>
          <w:lang w:val="sr-Latn-ME"/>
        </w:rPr>
        <w:t>Dvostruka blokada sistema renin-angiotenzin-aldosteron (RAAS)</w:t>
      </w:r>
    </w:p>
    <w:p w14:paraId="6150B266" w14:textId="77777777" w:rsidR="00095D7E" w:rsidRDefault="008740DD">
      <w:pPr>
        <w:widowControl w:val="0"/>
        <w:jc w:val="both"/>
        <w:rPr>
          <w:szCs w:val="22"/>
          <w:lang w:val="sr-Latn-ME"/>
        </w:rPr>
      </w:pPr>
      <w:r>
        <w:rPr>
          <w:szCs w:val="22"/>
          <w:lang w:val="sr-Latn-ME"/>
        </w:rPr>
        <w:t>Postoje dokazi da istovremena primjena ACE inhibitora, blokatora receptora angiotenzina II ili aliskirena povećava rizik od hipotenzije, hiperkalemije i smanjene funkcije bubrega (uključujući i akutnu renalnu insuficijenciju). Dvostruka blokada sistema RAAS nastala zbog kombinovane primjene ACE inhibitora, blokatora receptora angiotenzina II ili aliskirena se zbog toga ne preporučuje (vidjeti djelove 4.5. i 5.1).</w:t>
      </w:r>
    </w:p>
    <w:p w14:paraId="6FD8D9EE" w14:textId="77777777" w:rsidR="00095D7E" w:rsidRDefault="008740DD">
      <w:pPr>
        <w:widowControl w:val="0"/>
        <w:jc w:val="both"/>
        <w:rPr>
          <w:szCs w:val="22"/>
          <w:lang w:val="sr-Latn-ME"/>
        </w:rPr>
      </w:pPr>
      <w:r>
        <w:rPr>
          <w:szCs w:val="22"/>
          <w:lang w:val="sr-Latn-ME"/>
        </w:rPr>
        <w:t>Ako se smatra da je terapija sa dvostrukom blokadom apsolutno neophodna, ona se smije sprovoditi isključivo pod ljekarskim nadzorom i uz često pomno praćenje funkcije bubrega, elektrolita i krvnog pritiska.</w:t>
      </w:r>
    </w:p>
    <w:p w14:paraId="6D2D685C" w14:textId="77777777" w:rsidR="00095D7E" w:rsidRDefault="008740DD">
      <w:pPr>
        <w:widowControl w:val="0"/>
        <w:jc w:val="both"/>
        <w:rPr>
          <w:szCs w:val="22"/>
          <w:lang w:val="sr-Latn-ME"/>
        </w:rPr>
      </w:pPr>
      <w:r>
        <w:rPr>
          <w:szCs w:val="22"/>
          <w:lang w:val="sr-Latn-ME"/>
        </w:rPr>
        <w:t>ACE inhibitori i blokatori receptora angiotenzina II ne smiju se istovremeno koristiti kod pacijenata sa dijabetičkom nefropatijom.</w:t>
      </w:r>
    </w:p>
    <w:p w14:paraId="020976A7" w14:textId="77777777" w:rsidR="00095D7E" w:rsidRDefault="00095D7E">
      <w:pPr>
        <w:widowControl w:val="0"/>
        <w:rPr>
          <w:szCs w:val="22"/>
          <w:lang w:val="sr-Latn-ME"/>
        </w:rPr>
      </w:pPr>
    </w:p>
    <w:p w14:paraId="4019A76E" w14:textId="77777777" w:rsidR="00095D7E" w:rsidRDefault="008740DD">
      <w:pPr>
        <w:widowControl w:val="0"/>
        <w:jc w:val="both"/>
        <w:rPr>
          <w:szCs w:val="22"/>
          <w:u w:val="single"/>
          <w:lang w:val="sr-Latn-ME"/>
        </w:rPr>
      </w:pPr>
      <w:r>
        <w:rPr>
          <w:szCs w:val="22"/>
          <w:u w:val="single"/>
          <w:lang w:val="sr-Latn-ME"/>
        </w:rPr>
        <w:t>Inhibitori proteaze</w:t>
      </w:r>
    </w:p>
    <w:p w14:paraId="3338FABC" w14:textId="77777777" w:rsidR="00095D7E" w:rsidRDefault="008740DD">
      <w:pPr>
        <w:widowControl w:val="0"/>
        <w:jc w:val="both"/>
        <w:rPr>
          <w:szCs w:val="22"/>
          <w:lang w:val="sr-Latn-ME"/>
        </w:rPr>
      </w:pPr>
      <w:r>
        <w:rPr>
          <w:szCs w:val="22"/>
          <w:lang w:val="sr-Latn-ME"/>
        </w:rPr>
        <w:t>Povećana sistemska izloženost rosuvastatinu je primijećena kod ispitanika koji su dobijali rosuvastatin istovremeno sa različitim inhibitorima proteaze u kombinaciji sa ritonavirom. Treba uzeti u obzir i korist od snižavanja lipida primjenom rosuvastatina kod pacijenata sa HIV infekcijom koji dobijaju inhibitore proteaze i potencijal za povećanje koncentracije rosuvastatina u plazmi prilikom uvođenja i titracije doza rosuvastatina kod pacijenata koji se liječe inhibitorima proteaze. Istovremena primjena sa inhibitorima proteaze se ne savjetuje, osim ako se ne prilagodi doza rosuvastatina (vidjeti djelove 4.2. i 4.5).</w:t>
      </w:r>
    </w:p>
    <w:p w14:paraId="2BF7CBA0" w14:textId="77777777" w:rsidR="00095D7E" w:rsidRDefault="00095D7E">
      <w:pPr>
        <w:widowControl w:val="0"/>
        <w:jc w:val="both"/>
        <w:rPr>
          <w:szCs w:val="22"/>
          <w:lang w:val="sr-Latn-ME"/>
        </w:rPr>
      </w:pPr>
    </w:p>
    <w:p w14:paraId="5C4B7DFC" w14:textId="77777777" w:rsidR="00095D7E" w:rsidRDefault="008740DD">
      <w:pPr>
        <w:widowControl w:val="0"/>
        <w:jc w:val="both"/>
        <w:rPr>
          <w:szCs w:val="22"/>
          <w:u w:val="single"/>
        </w:rPr>
      </w:pPr>
      <w:r>
        <w:rPr>
          <w:szCs w:val="22"/>
          <w:u w:val="single"/>
        </w:rPr>
        <w:t xml:space="preserve">Ozbiljne neželjene reakcije na koži </w:t>
      </w:r>
    </w:p>
    <w:p w14:paraId="572D039D" w14:textId="77777777" w:rsidR="00095D7E" w:rsidRDefault="008740DD">
      <w:pPr>
        <w:widowControl w:val="0"/>
        <w:jc w:val="both"/>
        <w:rPr>
          <w:szCs w:val="22"/>
        </w:rPr>
      </w:pPr>
      <w:r>
        <w:rPr>
          <w:szCs w:val="22"/>
        </w:rPr>
        <w:t xml:space="preserve">Ozbiljne neželjene reakcije na koži, uključujući Stevens-Johnsonov sindrom (SJS) i reakciju na lijek praćenu eozinofilijom i sistemskim simptomima (engl. Drug reaction with eosinophilia and systemic symptoms, DRESS), koje mogu biti opasne po život ili smrtonosne, prijavljene su kod primjene rosuvastatina. U trenutku propisivanja terapije, pacijente treba savjetovati o znacima i simptomima teških kožnih reakcija, i pažljivo ih pratiti. Ako se pojave znaci i simptomi koji upućuju na te reakcije, liječenje Roxiperom treba odmah prekinuti i razmotriti liječenje drugim lijekom. </w:t>
      </w:r>
    </w:p>
    <w:p w14:paraId="74F07A6B" w14:textId="77777777" w:rsidR="00095D7E" w:rsidRDefault="008740DD">
      <w:pPr>
        <w:widowControl w:val="0"/>
        <w:jc w:val="both"/>
        <w:rPr>
          <w:szCs w:val="22"/>
        </w:rPr>
      </w:pPr>
      <w:r>
        <w:rPr>
          <w:szCs w:val="22"/>
        </w:rPr>
        <w:t>Ako je prilikom primjene lijeka Roxiper pacijent razvio ozbiljnu reakciju poput SJS-a ili DRESS-a, liječenje Roxiperom kod ovih pacijenata ne smije se ni u jednom trenutku ponovno započeti.</w:t>
      </w:r>
    </w:p>
    <w:p w14:paraId="489559A6" w14:textId="77777777" w:rsidR="00095D7E" w:rsidRDefault="00095D7E">
      <w:pPr>
        <w:widowControl w:val="0"/>
        <w:jc w:val="both"/>
        <w:rPr>
          <w:szCs w:val="22"/>
          <w:lang w:val="sr-Latn-ME"/>
        </w:rPr>
      </w:pPr>
    </w:p>
    <w:p w14:paraId="249D1C09" w14:textId="77777777" w:rsidR="00095D7E" w:rsidRDefault="00095D7E">
      <w:pPr>
        <w:tabs>
          <w:tab w:val="clear" w:pos="567"/>
          <w:tab w:val="left" w:pos="540"/>
          <w:tab w:val="left" w:pos="569"/>
        </w:tabs>
        <w:rPr>
          <w:bCs/>
          <w:szCs w:val="22"/>
          <w:lang w:val="sr-Latn-ME"/>
        </w:rPr>
      </w:pPr>
    </w:p>
    <w:p w14:paraId="3A4939DF" w14:textId="77777777" w:rsidR="00095D7E" w:rsidRDefault="008740DD">
      <w:pPr>
        <w:tabs>
          <w:tab w:val="clear" w:pos="567"/>
          <w:tab w:val="left" w:pos="540"/>
          <w:tab w:val="left" w:pos="569"/>
        </w:tabs>
        <w:rPr>
          <w:b/>
          <w:bCs/>
          <w:szCs w:val="22"/>
          <w:lang w:val="sr-Latn-ME"/>
        </w:rPr>
      </w:pPr>
      <w:r>
        <w:rPr>
          <w:b/>
          <w:bCs/>
          <w:szCs w:val="22"/>
          <w:lang w:val="sr-Latn-ME"/>
        </w:rPr>
        <w:t>4.5.</w:t>
      </w:r>
      <w:r>
        <w:rPr>
          <w:b/>
          <w:bCs/>
          <w:szCs w:val="22"/>
          <w:lang w:val="sr-Latn-ME"/>
        </w:rPr>
        <w:tab/>
        <w:t>Interakcije sa drugim ljekovima i druge vrste interakcija</w:t>
      </w:r>
    </w:p>
    <w:p w14:paraId="263DE71F" w14:textId="77777777" w:rsidR="00095D7E" w:rsidRDefault="00095D7E">
      <w:pPr>
        <w:widowControl w:val="0"/>
        <w:tabs>
          <w:tab w:val="left" w:pos="709"/>
          <w:tab w:val="left" w:pos="993"/>
        </w:tabs>
        <w:rPr>
          <w:szCs w:val="22"/>
          <w:u w:val="single"/>
          <w:lang w:val="sr-Latn-ME"/>
        </w:rPr>
      </w:pPr>
    </w:p>
    <w:p w14:paraId="2FD85233" w14:textId="77777777" w:rsidR="00095D7E" w:rsidRDefault="008740DD">
      <w:pPr>
        <w:widowControl w:val="0"/>
        <w:tabs>
          <w:tab w:val="left" w:pos="709"/>
          <w:tab w:val="left" w:pos="993"/>
        </w:tabs>
        <w:rPr>
          <w:szCs w:val="22"/>
          <w:u w:val="single"/>
          <w:lang w:val="sr-Latn-ME"/>
        </w:rPr>
      </w:pPr>
      <w:r>
        <w:rPr>
          <w:szCs w:val="22"/>
          <w:u w:val="single"/>
          <w:lang w:val="sr-Latn-ME"/>
        </w:rPr>
        <w:t>U vezi sa perindoprilom i indapamidom</w:t>
      </w:r>
    </w:p>
    <w:p w14:paraId="18D64260" w14:textId="77777777" w:rsidR="00095D7E" w:rsidRDefault="00095D7E">
      <w:pPr>
        <w:widowControl w:val="0"/>
        <w:rPr>
          <w:i/>
          <w:iCs/>
          <w:szCs w:val="22"/>
          <w:lang w:val="sr-Latn-ME"/>
        </w:rPr>
      </w:pPr>
    </w:p>
    <w:p w14:paraId="6EBD1A2A" w14:textId="77777777" w:rsidR="00095D7E" w:rsidRDefault="008740DD">
      <w:pPr>
        <w:widowControl w:val="0"/>
        <w:rPr>
          <w:i/>
          <w:iCs/>
          <w:szCs w:val="22"/>
          <w:u w:val="single"/>
          <w:lang w:val="sr-Latn-ME"/>
        </w:rPr>
      </w:pPr>
      <w:r>
        <w:rPr>
          <w:i/>
          <w:szCs w:val="22"/>
          <w:u w:val="single"/>
          <w:lang w:val="sr-Latn-ME"/>
        </w:rPr>
        <w:t>Istovremena primjena se ne preporučuje</w:t>
      </w:r>
    </w:p>
    <w:p w14:paraId="67A1AD6C" w14:textId="77777777" w:rsidR="00095D7E" w:rsidRDefault="00095D7E">
      <w:pPr>
        <w:widowControl w:val="0"/>
        <w:rPr>
          <w:szCs w:val="22"/>
          <w:lang w:val="sr-Latn-ME"/>
        </w:rPr>
      </w:pPr>
    </w:p>
    <w:p w14:paraId="4087054A" w14:textId="77777777" w:rsidR="00095D7E" w:rsidRDefault="008740DD">
      <w:pPr>
        <w:widowControl w:val="0"/>
        <w:jc w:val="both"/>
        <w:rPr>
          <w:szCs w:val="22"/>
          <w:lang w:val="sr-Latn-ME"/>
        </w:rPr>
      </w:pPr>
      <w:r>
        <w:rPr>
          <w:i/>
          <w:szCs w:val="22"/>
          <w:lang w:val="sr-Latn-ME"/>
        </w:rPr>
        <w:t>Litijum</w:t>
      </w:r>
      <w:r>
        <w:rPr>
          <w:szCs w:val="22"/>
          <w:lang w:val="sr-Latn-ME"/>
        </w:rPr>
        <w:t>: reverzibilni porast koncentracije litijuma u serumu i porast njegove toksičnosti zabilježeni su tokom istovremene terapije litijumom i ACE inhibitorima. Istovremena primjena tiazidnih diuretika može dalje da poveća koncentraciju litijuma i da poveća rizik od toksičnosti litijuma sa ACE inhibitorima. Ne preporučuje se upotreba perindoprila u kombinaciji sa indapamidom sa litijumom, ali ako se ovakva kombinacija pokaže kao neophodna, koncentracije litijuma u serumu pacijenta treba pažljivo pratiti (vidjeti dio 4.4).</w:t>
      </w:r>
    </w:p>
    <w:p w14:paraId="16E2C7CB" w14:textId="77777777" w:rsidR="00095D7E" w:rsidRDefault="00095D7E">
      <w:pPr>
        <w:widowControl w:val="0"/>
        <w:autoSpaceDE w:val="0"/>
        <w:autoSpaceDN w:val="0"/>
        <w:adjustRightInd w:val="0"/>
        <w:rPr>
          <w:szCs w:val="22"/>
          <w:lang w:val="sr-Latn-ME"/>
        </w:rPr>
      </w:pPr>
    </w:p>
    <w:p w14:paraId="15177D68" w14:textId="77777777" w:rsidR="00095D7E" w:rsidRDefault="008740DD">
      <w:pPr>
        <w:widowControl w:val="0"/>
        <w:rPr>
          <w:szCs w:val="22"/>
          <w:u w:val="single"/>
          <w:lang w:val="sr-Latn-ME"/>
        </w:rPr>
      </w:pPr>
      <w:r>
        <w:rPr>
          <w:i/>
          <w:szCs w:val="22"/>
          <w:u w:val="single"/>
          <w:lang w:val="sr-Latn-ME"/>
        </w:rPr>
        <w:t>Istovremene primjene koje zahtijevaju poseban oprez:</w:t>
      </w:r>
    </w:p>
    <w:p w14:paraId="4132BD46" w14:textId="77777777" w:rsidR="00095D7E" w:rsidRDefault="00095D7E">
      <w:pPr>
        <w:widowControl w:val="0"/>
        <w:rPr>
          <w:bCs/>
          <w:szCs w:val="22"/>
          <w:lang w:val="sr-Latn-ME"/>
        </w:rPr>
      </w:pPr>
    </w:p>
    <w:p w14:paraId="5293ECA3" w14:textId="77777777" w:rsidR="00095D7E" w:rsidRDefault="008740DD">
      <w:pPr>
        <w:widowControl w:val="0"/>
        <w:jc w:val="both"/>
        <w:rPr>
          <w:szCs w:val="22"/>
          <w:lang w:val="sr-Latn-ME"/>
        </w:rPr>
      </w:pPr>
      <w:r>
        <w:rPr>
          <w:i/>
          <w:szCs w:val="22"/>
          <w:lang w:val="sr-Latn-ME"/>
        </w:rPr>
        <w:t>Baklofen</w:t>
      </w:r>
      <w:r>
        <w:rPr>
          <w:szCs w:val="22"/>
          <w:lang w:val="sr-Latn-ME"/>
        </w:rPr>
        <w:t>:</w:t>
      </w:r>
      <w:r>
        <w:rPr>
          <w:b/>
          <w:szCs w:val="22"/>
          <w:lang w:val="sr-Latn-ME"/>
        </w:rPr>
        <w:t xml:space="preserve"> </w:t>
      </w:r>
      <w:r>
        <w:rPr>
          <w:szCs w:val="22"/>
          <w:lang w:val="sr-Latn-ME"/>
        </w:rPr>
        <w:t>Pojačavanje antihipertenzivnog dejstva. Po potrebi treba pratiti krvni pritisak i bubrežnu funkciju i, ukoliko je neophodno, prilagođavati dozu antihipertenziva.</w:t>
      </w:r>
    </w:p>
    <w:p w14:paraId="0FEA0AA0" w14:textId="77777777" w:rsidR="00095D7E" w:rsidRDefault="00095D7E">
      <w:pPr>
        <w:widowControl w:val="0"/>
        <w:jc w:val="both"/>
        <w:rPr>
          <w:bCs/>
          <w:szCs w:val="22"/>
          <w:lang w:val="sr-Latn-ME"/>
        </w:rPr>
      </w:pPr>
    </w:p>
    <w:p w14:paraId="20A654B3" w14:textId="77777777" w:rsidR="00095D7E" w:rsidRDefault="008740DD">
      <w:pPr>
        <w:widowControl w:val="0"/>
        <w:jc w:val="both"/>
        <w:rPr>
          <w:bCs/>
          <w:szCs w:val="22"/>
          <w:lang w:val="sr-Latn-ME"/>
        </w:rPr>
      </w:pPr>
      <w:r>
        <w:rPr>
          <w:i/>
          <w:szCs w:val="22"/>
          <w:lang w:val="sr-Latn-ME"/>
        </w:rPr>
        <w:t>Nesteroidni antiinflamatorni ljekovi (</w:t>
      </w:r>
      <w:r>
        <w:rPr>
          <w:bCs/>
          <w:i/>
          <w:szCs w:val="22"/>
        </w:rPr>
        <w:t>NSAID</w:t>
      </w:r>
      <w:r>
        <w:rPr>
          <w:bCs/>
          <w:i/>
          <w:szCs w:val="22"/>
          <w:lang w:val="en-US"/>
        </w:rPr>
        <w:t>)</w:t>
      </w:r>
      <w:r>
        <w:rPr>
          <w:i/>
          <w:szCs w:val="22"/>
          <w:lang w:val="sr-Latn-ME"/>
        </w:rPr>
        <w:t>(uključujući acetilsalicilnu kiselinu ≥ 3g/dnevno)</w:t>
      </w:r>
      <w:r>
        <w:rPr>
          <w:szCs w:val="22"/>
          <w:lang w:val="sr-Latn-ME"/>
        </w:rPr>
        <w:t>: kada se ACE inhibitori primjenjuju istovremeno sa nesteroidnim antiinflamatornim ljekovima (tj. acetilsalicilna kiselina u antiinflamatornom režimu doziranja, COX-2 inhibitori i neselektivni ljekovi NSAIL grupe), može se javiti slabljenje antihipertenzivnog dejstva. Istovremena upotreba ACE inhibitora i ljekova NSAIL grupe može da dovede do povećanog rizika od pogoršanja renalne funkcije, uključujući i moguću akutnu renalnu insuficijenciju, kao i povećanja kalijuma u serumu, naročito kod pacijenata kod kojih je renalna funkcija oslabljena od ranije. Ovu kombinaciju treba pažljivo primjenjivati, naročito kod starijih osoba. Pacijente treba na odgovarajući način hidrirati, a treba razmotriti i praćenje bubrežne funkcije nakon uvođenja istovremene terapije i povremeno nakon toga.</w:t>
      </w:r>
    </w:p>
    <w:p w14:paraId="280C0FD3" w14:textId="77777777" w:rsidR="00095D7E" w:rsidRDefault="00095D7E">
      <w:pPr>
        <w:widowControl w:val="0"/>
        <w:rPr>
          <w:szCs w:val="22"/>
          <w:lang w:val="sr-Latn-ME"/>
        </w:rPr>
      </w:pPr>
    </w:p>
    <w:p w14:paraId="71C7DF5A" w14:textId="77777777" w:rsidR="00095D7E" w:rsidRDefault="008740DD">
      <w:pPr>
        <w:widowControl w:val="0"/>
        <w:rPr>
          <w:i/>
          <w:iCs/>
          <w:szCs w:val="22"/>
          <w:u w:val="single"/>
          <w:lang w:val="sr-Latn-ME"/>
        </w:rPr>
      </w:pPr>
      <w:r>
        <w:rPr>
          <w:i/>
          <w:szCs w:val="22"/>
          <w:u w:val="single"/>
          <w:lang w:val="sr-Latn-ME"/>
        </w:rPr>
        <w:t>Istovremene primjene koje zahtijevaju manji oprez:</w:t>
      </w:r>
    </w:p>
    <w:p w14:paraId="1BD06766" w14:textId="77777777" w:rsidR="00095D7E" w:rsidRDefault="00095D7E">
      <w:pPr>
        <w:widowControl w:val="0"/>
        <w:rPr>
          <w:bCs/>
          <w:szCs w:val="22"/>
          <w:lang w:val="sr-Latn-ME"/>
        </w:rPr>
      </w:pPr>
    </w:p>
    <w:p w14:paraId="251B7685" w14:textId="77777777" w:rsidR="00095D7E" w:rsidRDefault="008740DD">
      <w:pPr>
        <w:widowControl w:val="0"/>
        <w:jc w:val="both"/>
        <w:rPr>
          <w:szCs w:val="22"/>
          <w:lang w:val="sr-Latn-ME"/>
        </w:rPr>
      </w:pPr>
      <w:r>
        <w:rPr>
          <w:i/>
          <w:szCs w:val="22"/>
          <w:lang w:val="sr-Latn-ME"/>
        </w:rPr>
        <w:t>Antidepresivi slični imipraminu (triciklični), neuroleptici</w:t>
      </w:r>
      <w:r>
        <w:rPr>
          <w:szCs w:val="22"/>
          <w:lang w:val="sr-Latn-ME"/>
        </w:rPr>
        <w:t>: Povećano antihipertenzivno dejstvo i povećani rizik od ortostatske hipotenzije (aditivno dejstvo).</w:t>
      </w:r>
    </w:p>
    <w:p w14:paraId="299E8437" w14:textId="77777777" w:rsidR="00095D7E" w:rsidRDefault="00095D7E">
      <w:pPr>
        <w:widowControl w:val="0"/>
        <w:tabs>
          <w:tab w:val="left" w:pos="709"/>
        </w:tabs>
        <w:jc w:val="both"/>
        <w:rPr>
          <w:i/>
          <w:iCs/>
          <w:szCs w:val="22"/>
          <w:u w:val="single"/>
          <w:lang w:val="sr-Latn-ME"/>
        </w:rPr>
      </w:pPr>
    </w:p>
    <w:p w14:paraId="4142F8CA" w14:textId="77777777" w:rsidR="00095D7E" w:rsidRDefault="008740DD">
      <w:pPr>
        <w:widowControl w:val="0"/>
        <w:tabs>
          <w:tab w:val="left" w:pos="709"/>
          <w:tab w:val="left" w:pos="993"/>
        </w:tabs>
        <w:jc w:val="both"/>
        <w:rPr>
          <w:szCs w:val="22"/>
          <w:u w:val="single"/>
          <w:lang w:val="sr-Latn-ME"/>
        </w:rPr>
      </w:pPr>
      <w:r>
        <w:rPr>
          <w:szCs w:val="22"/>
          <w:u w:val="single"/>
          <w:lang w:val="sr-Latn-ME"/>
        </w:rPr>
        <w:t>U vezi sa perindoprilom</w:t>
      </w:r>
    </w:p>
    <w:p w14:paraId="414F29CF" w14:textId="77777777" w:rsidR="00095D7E" w:rsidRDefault="00095D7E">
      <w:pPr>
        <w:widowControl w:val="0"/>
        <w:tabs>
          <w:tab w:val="left" w:pos="709"/>
        </w:tabs>
        <w:jc w:val="both"/>
        <w:rPr>
          <w:szCs w:val="22"/>
          <w:lang w:val="sr-Latn-ME"/>
        </w:rPr>
      </w:pPr>
    </w:p>
    <w:p w14:paraId="1503CE88" w14:textId="77777777" w:rsidR="00095D7E" w:rsidRDefault="008740DD">
      <w:pPr>
        <w:widowControl w:val="0"/>
        <w:tabs>
          <w:tab w:val="left" w:pos="709"/>
        </w:tabs>
        <w:jc w:val="both"/>
        <w:rPr>
          <w:szCs w:val="22"/>
          <w:lang w:val="sr-Latn-ME"/>
        </w:rPr>
      </w:pPr>
      <w:r>
        <w:rPr>
          <w:szCs w:val="22"/>
          <w:lang w:val="sr-Latn-ME"/>
        </w:rPr>
        <w:t>Podaci iz kliničkih ispitivanja pokazuju da je dvostruka blokada sistema renin-angiotenzin-aldosteron (RAAS) nastala usljed kombinovane primjene ACE inhibitora, blokatora receptora angiotenzina II ili aliskirena povezana sa većom učestalošću neželjenih događaja kao što su hipotenzija, hiperkalemija i smanjena funkcija bubrega (uključujući i akutnu renalnu insuficijenciju) u poređenju sa primjenom samo jednog lijeka koji djeluje na RAAS (vidjeti djelove 4.3, 4.4. i 5.1).</w:t>
      </w:r>
    </w:p>
    <w:p w14:paraId="627D2885" w14:textId="77777777" w:rsidR="000162D0" w:rsidRDefault="000162D0">
      <w:pPr>
        <w:widowControl w:val="0"/>
        <w:tabs>
          <w:tab w:val="left" w:pos="709"/>
        </w:tabs>
        <w:jc w:val="both"/>
        <w:rPr>
          <w:szCs w:val="22"/>
          <w:lang w:val="sr-Latn-ME"/>
        </w:rPr>
      </w:pPr>
    </w:p>
    <w:p w14:paraId="6850E989" w14:textId="77777777" w:rsidR="00095D7E" w:rsidRDefault="008740DD">
      <w:pPr>
        <w:jc w:val="both"/>
        <w:rPr>
          <w:i/>
          <w:szCs w:val="22"/>
          <w:lang w:val="sr-Latn-ME"/>
        </w:rPr>
      </w:pPr>
      <w:r>
        <w:rPr>
          <w:i/>
          <w:szCs w:val="22"/>
          <w:lang w:val="sr-Latn-ME"/>
        </w:rPr>
        <w:t>Ljekovi koji izazivaju hiperkalemiju</w:t>
      </w:r>
    </w:p>
    <w:p w14:paraId="031C0A49" w14:textId="77777777" w:rsidR="00095D7E" w:rsidRDefault="008740DD">
      <w:pPr>
        <w:jc w:val="both"/>
        <w:rPr>
          <w:szCs w:val="22"/>
          <w:lang w:val="sr-Latn-ME"/>
        </w:rPr>
      </w:pPr>
      <w:r>
        <w:rPr>
          <w:szCs w:val="22"/>
          <w:lang w:val="sr-Latn-ME"/>
        </w:rPr>
        <w:t xml:space="preserve">Iako je nivo kalijuma u serumu obično u granicama normale, kod nekih pacijenata liječenih lijekom Roxiper se može pojaviti hiperkalijemija. Neki ljekovi ili terapijske klase mogu povećati pojavu </w:t>
      </w:r>
      <w:r>
        <w:rPr>
          <w:szCs w:val="22"/>
          <w:lang w:val="sr-Latn-ME"/>
        </w:rPr>
        <w:lastRenderedPageBreak/>
        <w:t>hiperkalemije: aliskiren, kalijumove soli, diuretici koji štede kalijum (npr. spironolakton, triamteren ili amilorid), ACE inhibitori, antagonisti receptora angiotenzina II, ljekovi NSAIL grupe, heparini, imunosupresivi poput ciklosporina ili takrolimusa, trimetoprim i kotrimoksazol (trimetoprim/sulfametoksazol), budući da je poznato da trimetoprim djeluje kao diuretik koji štedi kalijum, poput amilorida. Kombinacija ovih ljekova povećava rizik od hiperkalemije.</w:t>
      </w:r>
    </w:p>
    <w:p w14:paraId="65C33A01" w14:textId="77777777" w:rsidR="00095D7E" w:rsidRDefault="008740DD">
      <w:pPr>
        <w:widowControl w:val="0"/>
        <w:tabs>
          <w:tab w:val="left" w:pos="709"/>
        </w:tabs>
        <w:jc w:val="both"/>
        <w:rPr>
          <w:szCs w:val="22"/>
          <w:lang w:val="sr-Latn-ME"/>
        </w:rPr>
      </w:pPr>
      <w:r>
        <w:rPr>
          <w:szCs w:val="22"/>
          <w:lang w:val="sr-Latn-ME"/>
        </w:rPr>
        <w:t>Stoga, kombinacija perindoprila sa gore pomenutim ljekovima nije preporučljiva. Ukoliko je konkomitantna upotreba indikovana zbog dokumentovane hipokalemije, ljekove treba uzimati sa povećanim oprezom i čestim kontrolisanjem serumskog kalijuma.</w:t>
      </w:r>
    </w:p>
    <w:p w14:paraId="0D952E02" w14:textId="77777777" w:rsidR="00095D7E" w:rsidRDefault="00095D7E">
      <w:pPr>
        <w:widowControl w:val="0"/>
        <w:tabs>
          <w:tab w:val="left" w:pos="709"/>
        </w:tabs>
        <w:jc w:val="both"/>
        <w:rPr>
          <w:szCs w:val="22"/>
          <w:lang w:val="sr-Latn-ME"/>
        </w:rPr>
      </w:pPr>
    </w:p>
    <w:p w14:paraId="2F12AD96" w14:textId="77777777" w:rsidR="00095D7E" w:rsidRDefault="008740DD">
      <w:pPr>
        <w:widowControl w:val="0"/>
        <w:jc w:val="both"/>
        <w:rPr>
          <w:i/>
          <w:szCs w:val="22"/>
          <w:u w:val="single"/>
          <w:lang w:val="sr-Latn-ME"/>
        </w:rPr>
      </w:pPr>
      <w:r>
        <w:rPr>
          <w:i/>
          <w:szCs w:val="22"/>
          <w:u w:val="single"/>
          <w:lang w:val="sr-Latn-ME"/>
        </w:rPr>
        <w:t>Kontraindikovana istovremena primjena (vidjeti dio 4.3):</w:t>
      </w:r>
    </w:p>
    <w:p w14:paraId="7A9A296F" w14:textId="77777777" w:rsidR="00095D7E" w:rsidRDefault="00095D7E">
      <w:pPr>
        <w:widowControl w:val="0"/>
        <w:autoSpaceDE w:val="0"/>
        <w:autoSpaceDN w:val="0"/>
        <w:adjustRightInd w:val="0"/>
        <w:jc w:val="both"/>
        <w:rPr>
          <w:szCs w:val="22"/>
          <w:lang w:val="sr-Latn-ME"/>
        </w:rPr>
      </w:pPr>
    </w:p>
    <w:p w14:paraId="07346E48" w14:textId="77777777" w:rsidR="00095D7E" w:rsidRDefault="008740DD">
      <w:pPr>
        <w:jc w:val="both"/>
        <w:rPr>
          <w:szCs w:val="22"/>
          <w:lang w:val="sr-Latn-ME"/>
        </w:rPr>
      </w:pPr>
      <w:r>
        <w:rPr>
          <w:i/>
          <w:szCs w:val="22"/>
          <w:lang w:val="sr-Latn-ME"/>
        </w:rPr>
        <w:t>Aliskiren</w:t>
      </w:r>
      <w:r>
        <w:rPr>
          <w:szCs w:val="22"/>
          <w:lang w:val="sr-Latn-ME"/>
        </w:rPr>
        <w:t>: Kod pacijenata sa dijabetesom ili oštećenjem bubrega povećava se rizik od hiperkalemije, pogoršanja bubrežne funkcije i kardiovaskularnog morbiditeta i mortaliteta.</w:t>
      </w:r>
    </w:p>
    <w:p w14:paraId="01776374" w14:textId="77777777" w:rsidR="00095D7E" w:rsidRDefault="00095D7E">
      <w:pPr>
        <w:jc w:val="both"/>
        <w:rPr>
          <w:i/>
          <w:szCs w:val="22"/>
          <w:lang w:val="sr-Latn-ME"/>
        </w:rPr>
      </w:pPr>
    </w:p>
    <w:p w14:paraId="5C2EFB75" w14:textId="77777777" w:rsidR="00095D7E" w:rsidRDefault="008740DD">
      <w:pPr>
        <w:jc w:val="both"/>
        <w:rPr>
          <w:szCs w:val="22"/>
          <w:lang w:val="sr-Latn-ME" w:eastAsia="sr-Latn-RS"/>
        </w:rPr>
      </w:pPr>
      <w:r>
        <w:rPr>
          <w:i/>
          <w:szCs w:val="22"/>
          <w:lang w:val="sr-Latn-ME"/>
        </w:rPr>
        <w:t>Ekstrakorporalni tretmani:</w:t>
      </w:r>
      <w:r>
        <w:rPr>
          <w:szCs w:val="22"/>
          <w:lang w:val="sr-Latn-ME"/>
        </w:rPr>
        <w:t xml:space="preserve"> ekstrakorporalni tretmani koji dovode do kontakta krvi s negativno naelektrisanim površinama kao što su dijaliza ili hemofiltracija s određenim membranama visokog fluksa (npr. poliakrilonitrilne membrane) i afereze lipoproteina niske gustine s dekstran sulfatom zbog povećanog rizika od teških anafilaktičkih reakcija (vidjeti dio 4.3). Ako je potrebno takvo liječenje, treba razmisliti o upotrebi druge vrste membrane za dijalizu ili druge grupe antihipertenzivnih ljekova.</w:t>
      </w:r>
    </w:p>
    <w:p w14:paraId="117198B1" w14:textId="77777777" w:rsidR="00095D7E" w:rsidRDefault="00095D7E">
      <w:pPr>
        <w:widowControl w:val="0"/>
        <w:tabs>
          <w:tab w:val="left" w:pos="709"/>
        </w:tabs>
        <w:jc w:val="both"/>
        <w:rPr>
          <w:szCs w:val="22"/>
          <w:lang w:val="sr-Latn-ME"/>
        </w:rPr>
      </w:pPr>
    </w:p>
    <w:p w14:paraId="4DFB6D6E" w14:textId="77777777" w:rsidR="00095D7E" w:rsidRPr="007E682F" w:rsidRDefault="008740DD">
      <w:pPr>
        <w:widowControl w:val="0"/>
        <w:jc w:val="both"/>
        <w:rPr>
          <w:i/>
          <w:szCs w:val="22"/>
          <w:lang w:val="sr-Latn-ME"/>
        </w:rPr>
      </w:pPr>
      <w:r w:rsidRPr="007E682F">
        <w:rPr>
          <w:i/>
          <w:szCs w:val="22"/>
          <w:lang w:val="sr-Latn-ME"/>
        </w:rPr>
        <w:t xml:space="preserve">Sakubitril/valsartan </w:t>
      </w:r>
    </w:p>
    <w:p w14:paraId="22581191" w14:textId="1A2DDDC7" w:rsidR="00E42576" w:rsidRDefault="008740DD" w:rsidP="00E42576">
      <w:pPr>
        <w:widowControl w:val="0"/>
        <w:tabs>
          <w:tab w:val="left" w:pos="709"/>
        </w:tabs>
        <w:jc w:val="both"/>
        <w:rPr>
          <w:szCs w:val="22"/>
          <w:lang w:val="sr-Latn-ME"/>
        </w:rPr>
      </w:pPr>
      <w:r w:rsidRPr="007E682F">
        <w:rPr>
          <w:szCs w:val="22"/>
          <w:lang w:val="sr-Latn-ME"/>
        </w:rPr>
        <w:t>Istovremena upotreba ACE inhibitora sa sakubitrilom/valsartanom je kontraindikovana zbog povećanog rizika od angioedema (vidjeti djelove 4.3. i 4.4).</w:t>
      </w:r>
      <w:r w:rsidR="00E42576" w:rsidRPr="00E42576">
        <w:rPr>
          <w:szCs w:val="22"/>
          <w:lang w:val="sr-Latn-ME"/>
        </w:rPr>
        <w:t xml:space="preserve"> </w:t>
      </w:r>
      <w:r w:rsidR="00E42576" w:rsidRPr="00172805">
        <w:rPr>
          <w:szCs w:val="22"/>
          <w:lang w:val="sr-Latn-ME"/>
        </w:rPr>
        <w:t>Kombinaciju sakubitril/valsartan ne treba uvoditi ranije od 36 sati nakon posljednje doze u liječenju perindoprila. Tretmane sa perindoprilom ne treba uvesti ranije od 36 sati nakon posljednje doze kombinacije sakubitril/valsartan (vidjeti djelove  4.3 i 4.4). Istovremena upotreba ACE inhibitora sa racekadotrilom, mTOR inhibitorima (npr. sirolimus, everolimus, temsirolimus) i gliptinima (npr. linagliptin, saksagliptin, sitagliptin, vildagliptin) može dovesti do povećanog rizika od angioedema (vidjeti dio 4.4).</w:t>
      </w:r>
    </w:p>
    <w:p w14:paraId="7DC5CF75" w14:textId="77777777" w:rsidR="00095D7E" w:rsidRPr="007E682F" w:rsidRDefault="00095D7E">
      <w:pPr>
        <w:widowControl w:val="0"/>
        <w:tabs>
          <w:tab w:val="left" w:pos="709"/>
        </w:tabs>
        <w:rPr>
          <w:szCs w:val="22"/>
          <w:lang w:val="sr-Latn-ME"/>
        </w:rPr>
      </w:pPr>
    </w:p>
    <w:p w14:paraId="28B4C0BA" w14:textId="77777777" w:rsidR="00095D7E" w:rsidRDefault="008740DD">
      <w:pPr>
        <w:widowControl w:val="0"/>
        <w:rPr>
          <w:szCs w:val="22"/>
          <w:u w:val="single"/>
          <w:lang w:val="sr-Latn-ME"/>
        </w:rPr>
      </w:pPr>
      <w:r>
        <w:rPr>
          <w:i/>
          <w:szCs w:val="22"/>
          <w:u w:val="single"/>
          <w:lang w:val="sr-Latn-ME"/>
        </w:rPr>
        <w:t>Istovremena primjena se ne preporučuje</w:t>
      </w:r>
    </w:p>
    <w:p w14:paraId="395277E9" w14:textId="77777777" w:rsidR="00095D7E" w:rsidRDefault="00095D7E">
      <w:pPr>
        <w:widowControl w:val="0"/>
        <w:rPr>
          <w:szCs w:val="22"/>
          <w:lang w:val="sr-Latn-ME"/>
        </w:rPr>
      </w:pPr>
    </w:p>
    <w:p w14:paraId="2BCF0568" w14:textId="77777777" w:rsidR="00095D7E" w:rsidRDefault="008740DD">
      <w:pPr>
        <w:jc w:val="both"/>
        <w:rPr>
          <w:szCs w:val="22"/>
          <w:lang w:val="sr-Latn-ME"/>
        </w:rPr>
      </w:pPr>
      <w:r>
        <w:rPr>
          <w:i/>
          <w:szCs w:val="22"/>
          <w:lang w:val="sr-Latn-ME"/>
        </w:rPr>
        <w:t>Aliskiren</w:t>
      </w:r>
      <w:r>
        <w:rPr>
          <w:szCs w:val="22"/>
          <w:lang w:val="sr-Latn-ME"/>
        </w:rPr>
        <w:t>: Kod pacijenata osim dijabetičara ili pacijenata s oštećenjem bubrega, rizik od hiperkalemije, pogoršanja bubrežne funkcije i kardiovaskularnog morbiditeta i smrtnosti se povećava (vidjeti dio 4.4).</w:t>
      </w:r>
    </w:p>
    <w:p w14:paraId="400F1F81" w14:textId="77777777" w:rsidR="00095D7E" w:rsidRDefault="00095D7E">
      <w:pPr>
        <w:widowControl w:val="0"/>
        <w:jc w:val="both"/>
        <w:rPr>
          <w:szCs w:val="22"/>
          <w:lang w:val="sr-Latn-ME"/>
        </w:rPr>
      </w:pPr>
    </w:p>
    <w:p w14:paraId="1F385E99" w14:textId="77777777" w:rsidR="00095D7E" w:rsidRDefault="008740DD">
      <w:pPr>
        <w:jc w:val="both"/>
        <w:rPr>
          <w:i/>
          <w:szCs w:val="22"/>
          <w:lang w:val="sr-Latn-ME"/>
        </w:rPr>
      </w:pPr>
      <w:r>
        <w:rPr>
          <w:i/>
          <w:szCs w:val="22"/>
          <w:lang w:val="sr-Latn-ME"/>
        </w:rPr>
        <w:t xml:space="preserve">Istovremena terapija s ACE inhibitorom i blokatorom angiotenzinskih receptora: </w:t>
      </w:r>
    </w:p>
    <w:p w14:paraId="5091D90A" w14:textId="77777777" w:rsidR="00095D7E" w:rsidRDefault="008740DD">
      <w:pPr>
        <w:jc w:val="both"/>
        <w:rPr>
          <w:szCs w:val="22"/>
          <w:lang w:val="sr-Latn-ME"/>
        </w:rPr>
      </w:pPr>
      <w:r>
        <w:rPr>
          <w:szCs w:val="22"/>
          <w:lang w:val="sr-Latn-ME"/>
        </w:rPr>
        <w:t>U literaturi je objavljeno da je kod pacijenata s utvrđenom aterosklerotičnom bolešću, srčanom insuficijencijom ili dijabetesom s oštećenjem krajnjih organa, istovremena terapija s ACE inhibitorom i blokatorom angiotenzinskih receptora povezana s većom učestalošću hipotenzije, sinkopa, hiperkalemije i pogoršanja bubrežne funkcije (uključujući akutnu renalnu insuficijenciju) u poređenju sa primjenom jednog agensa renin-angiotenzin-aldosteronskog sistema. Dvostruku blokadu (npr. kombinovanjem ACE inhibitora s antagonistom receptora angiotenzina II) treba ograničiti na pojedinačno definisane slučajeve uz pažljivo praćenje funkcije bubrega, nivoa kalijuma i krvnog pritiska (vidjeti dio 4.4).</w:t>
      </w:r>
    </w:p>
    <w:p w14:paraId="06403D16" w14:textId="77777777" w:rsidR="00095D7E" w:rsidRDefault="00095D7E">
      <w:pPr>
        <w:jc w:val="both"/>
        <w:rPr>
          <w:szCs w:val="22"/>
          <w:lang w:val="sr-Latn-ME"/>
        </w:rPr>
      </w:pPr>
    </w:p>
    <w:p w14:paraId="69743068" w14:textId="77777777" w:rsidR="00095D7E" w:rsidRDefault="008740DD">
      <w:pPr>
        <w:jc w:val="both"/>
        <w:rPr>
          <w:szCs w:val="22"/>
          <w:lang w:val="sr-Latn-ME"/>
        </w:rPr>
      </w:pPr>
      <w:r>
        <w:rPr>
          <w:i/>
          <w:szCs w:val="22"/>
          <w:lang w:val="sr-Latn-ME"/>
        </w:rPr>
        <w:t>Estramustin</w:t>
      </w:r>
      <w:r>
        <w:rPr>
          <w:szCs w:val="22"/>
          <w:lang w:val="sr-Latn-ME"/>
        </w:rPr>
        <w:t>: Rizik od povećanih neželjenih dejstava kao što je angioneurotski edem (angioedem).</w:t>
      </w:r>
    </w:p>
    <w:p w14:paraId="2972078F" w14:textId="77777777" w:rsidR="00095D7E" w:rsidRDefault="00095D7E">
      <w:pPr>
        <w:widowControl w:val="0"/>
        <w:rPr>
          <w:bCs/>
          <w:iCs/>
          <w:szCs w:val="22"/>
          <w:lang w:val="sr-Latn-ME"/>
        </w:rPr>
      </w:pPr>
    </w:p>
    <w:p w14:paraId="1698C381" w14:textId="77777777" w:rsidR="00095D7E" w:rsidRDefault="008740DD">
      <w:pPr>
        <w:widowControl w:val="0"/>
        <w:jc w:val="both"/>
        <w:rPr>
          <w:i/>
          <w:szCs w:val="22"/>
          <w:lang w:val="sr-Latn-ME"/>
        </w:rPr>
      </w:pPr>
      <w:r>
        <w:rPr>
          <w:i/>
          <w:szCs w:val="22"/>
          <w:lang w:val="sr-Latn-ME"/>
        </w:rPr>
        <w:t>Diuretici koji štede kalijum (triamteren, amilorid</w:t>
      </w:r>
      <w:r w:rsidR="000162D0">
        <w:rPr>
          <w:i/>
          <w:szCs w:val="22"/>
          <w:lang w:val="sr-Latn-ME"/>
        </w:rPr>
        <w:t>,</w:t>
      </w:r>
      <w:r>
        <w:rPr>
          <w:i/>
          <w:szCs w:val="22"/>
          <w:lang w:val="sr-Latn-ME"/>
        </w:rPr>
        <w:t xml:space="preserve"> </w:t>
      </w:r>
      <w:r w:rsidR="000162D0" w:rsidRPr="000162D0">
        <w:rPr>
          <w:i/>
          <w:szCs w:val="22"/>
          <w:lang w:val="sr-Latn-ME"/>
        </w:rPr>
        <w:t>spironolakton, u monoterapiji ili u kombinaciji</w:t>
      </w:r>
      <w:r>
        <w:rPr>
          <w:i/>
          <w:szCs w:val="22"/>
          <w:lang w:val="sr-Latn-ME"/>
        </w:rPr>
        <w:t>...), soli kalijuma</w:t>
      </w:r>
      <w:r>
        <w:rPr>
          <w:szCs w:val="22"/>
          <w:lang w:val="sr-Latn-ME"/>
        </w:rPr>
        <w:t>:</w:t>
      </w:r>
      <w:r>
        <w:t xml:space="preserve"> </w:t>
      </w:r>
      <w:r>
        <w:rPr>
          <w:szCs w:val="22"/>
          <w:lang w:val="sr-Latn-ME"/>
        </w:rPr>
        <w:t>Hiperkalijemija (potencijalno letalna), pogotovo udružena sa oštećenjem bubrega. :</w:t>
      </w:r>
      <w:r>
        <w:rPr>
          <w:i/>
          <w:szCs w:val="22"/>
          <w:lang w:val="sr-Latn-ME"/>
        </w:rPr>
        <w:t xml:space="preserve"> </w:t>
      </w:r>
      <w:r>
        <w:rPr>
          <w:szCs w:val="22"/>
          <w:lang w:val="sr-Latn-ME"/>
        </w:rPr>
        <w:t>Ne preporučuje se kombinacija perindoprila sa gore pomenutim ljekovima. Ako je istovremena primjena indikovana, treba ih koristiti s oprezom i uz često praćenje nivoa kalijuma u serumu. Za upotrebu spironolaktona kod srčane insuficijencija, vidjeti dio „kombinacije koje zahtijevaju posebnu pažnju“.</w:t>
      </w:r>
    </w:p>
    <w:p w14:paraId="7D90FB6F" w14:textId="77777777" w:rsidR="00095D7E" w:rsidRDefault="00095D7E">
      <w:pPr>
        <w:widowControl w:val="0"/>
        <w:jc w:val="both"/>
        <w:rPr>
          <w:szCs w:val="22"/>
          <w:lang w:val="sr-Latn-ME"/>
        </w:rPr>
      </w:pPr>
    </w:p>
    <w:p w14:paraId="3E0ACDC8" w14:textId="77777777" w:rsidR="00095D7E" w:rsidRPr="00AE6074" w:rsidRDefault="008740DD">
      <w:pPr>
        <w:jc w:val="both"/>
        <w:rPr>
          <w:strike/>
          <w:color w:val="C00000"/>
          <w:szCs w:val="22"/>
          <w:lang w:val="sr-Latn-ME"/>
        </w:rPr>
      </w:pPr>
      <w:r w:rsidRPr="007E1DE8">
        <w:rPr>
          <w:i/>
          <w:szCs w:val="22"/>
          <w:lang w:val="sr-Latn-ME"/>
        </w:rPr>
        <w:t>Kotrimoksazol (trimetoprim/sulfametoksazol):</w:t>
      </w:r>
      <w:r w:rsidRPr="007E1DE8">
        <w:rPr>
          <w:szCs w:val="22"/>
          <w:lang w:val="sr-Latn-ME"/>
        </w:rPr>
        <w:t xml:space="preserve"> pacijenti koji uzimaju istovremeno kotrimoksazol (trimetoprim/sulfametoksazol) mogu imati povećani rizik za hiperkalemiju (vidjeti dio 4.4).</w:t>
      </w:r>
    </w:p>
    <w:p w14:paraId="3F854042" w14:textId="77777777" w:rsidR="00095D7E" w:rsidRPr="00AE6074" w:rsidRDefault="00095D7E">
      <w:pPr>
        <w:widowControl w:val="0"/>
        <w:jc w:val="both"/>
        <w:rPr>
          <w:iCs/>
          <w:strike/>
          <w:szCs w:val="22"/>
          <w:lang w:val="sr-Latn-ME"/>
        </w:rPr>
      </w:pPr>
    </w:p>
    <w:p w14:paraId="75FEEC34" w14:textId="77777777" w:rsidR="00095D7E" w:rsidRDefault="008740DD">
      <w:pPr>
        <w:widowControl w:val="0"/>
        <w:jc w:val="both"/>
        <w:rPr>
          <w:i/>
          <w:iCs/>
          <w:szCs w:val="22"/>
          <w:u w:val="single"/>
          <w:lang w:val="sr-Latn-ME"/>
        </w:rPr>
      </w:pPr>
      <w:r>
        <w:rPr>
          <w:i/>
          <w:szCs w:val="22"/>
          <w:u w:val="single"/>
          <w:lang w:val="sr-Latn-ME"/>
        </w:rPr>
        <w:t>Istovremene primjene koje zahtijevaju poseban oprez:</w:t>
      </w:r>
    </w:p>
    <w:p w14:paraId="4FB88AFD" w14:textId="77777777" w:rsidR="00095D7E" w:rsidRDefault="00095D7E">
      <w:pPr>
        <w:widowControl w:val="0"/>
        <w:jc w:val="both"/>
        <w:rPr>
          <w:szCs w:val="22"/>
          <w:lang w:val="sr-Latn-ME"/>
        </w:rPr>
      </w:pPr>
    </w:p>
    <w:p w14:paraId="75B8EEBD" w14:textId="77777777" w:rsidR="00095D7E" w:rsidRDefault="008740DD">
      <w:pPr>
        <w:widowControl w:val="0"/>
        <w:jc w:val="both"/>
        <w:rPr>
          <w:szCs w:val="22"/>
          <w:lang w:val="sr-Latn-ME"/>
        </w:rPr>
      </w:pPr>
      <w:r>
        <w:rPr>
          <w:i/>
          <w:szCs w:val="22"/>
          <w:lang w:val="sr-Latn-ME"/>
        </w:rPr>
        <w:t>Antidijabetici (insulin, oralni hipoglikemijski agensi)</w:t>
      </w:r>
      <w:r>
        <w:rPr>
          <w:szCs w:val="22"/>
          <w:lang w:val="sr-Latn-ME"/>
        </w:rPr>
        <w:t>:</w:t>
      </w:r>
    </w:p>
    <w:p w14:paraId="52ABB8E7" w14:textId="77777777" w:rsidR="00095D7E" w:rsidRDefault="008740DD">
      <w:pPr>
        <w:jc w:val="both"/>
        <w:rPr>
          <w:szCs w:val="22"/>
          <w:lang w:val="sr-Latn-ME" w:eastAsia="sr-Latn-RS"/>
        </w:rPr>
      </w:pPr>
      <w:r>
        <w:rPr>
          <w:szCs w:val="22"/>
          <w:lang w:val="sr-Latn-ME"/>
        </w:rPr>
        <w:t>Epidemiološke studije sugerišu da istovremena primjena ACE inhibitora i antidijabetičkih ljekova (insulini, oralni hipoglikemici) može uzrokovati povećani efekat snižavanja glukoze u krvi uz rizik od hipoglikemije. Čini se da je ovaj fenomen vjerovatniji tokom prvih sedmica kombinovanog liječenja i kod pacijenata sa oštećenjem bubrega.</w:t>
      </w:r>
    </w:p>
    <w:p w14:paraId="20E153A8" w14:textId="77777777" w:rsidR="00095D7E" w:rsidRDefault="00095D7E">
      <w:pPr>
        <w:jc w:val="both"/>
        <w:rPr>
          <w:i/>
          <w:szCs w:val="22"/>
          <w:lang w:val="sr-Latn-ME"/>
        </w:rPr>
      </w:pPr>
    </w:p>
    <w:p w14:paraId="7F53106B" w14:textId="77777777" w:rsidR="00095D7E" w:rsidRDefault="008740DD">
      <w:pPr>
        <w:jc w:val="both"/>
        <w:rPr>
          <w:szCs w:val="22"/>
          <w:lang w:val="sr-Latn-ME"/>
        </w:rPr>
      </w:pPr>
      <w:r>
        <w:rPr>
          <w:i/>
          <w:szCs w:val="22"/>
          <w:lang w:val="sr-Latn-ME"/>
        </w:rPr>
        <w:t>Diuretici koji ne štede kalijum:</w:t>
      </w:r>
      <w:r>
        <w:rPr>
          <w:szCs w:val="22"/>
          <w:lang w:val="sr-Latn-ME"/>
        </w:rPr>
        <w:t xml:space="preserve"> Pacijenti na diureticima, a posebno oni kod kojih je prisutna osiromašenost volumenom i/ili solima, mogu imati pretjerano smanjenje krvnog pritiska nakon početka terapije ACE inhibitorom. Mogućnost hipotenzivnih efekata može se smanjiti prekidom primjene diuretika, povećanjem volumena ili unosa soli prije početka liječenja niskim i progresivnim dozama perindoprila.</w:t>
      </w:r>
    </w:p>
    <w:p w14:paraId="30A9E883" w14:textId="77777777" w:rsidR="00095D7E" w:rsidRDefault="00095D7E">
      <w:pPr>
        <w:jc w:val="both"/>
        <w:rPr>
          <w:szCs w:val="22"/>
          <w:lang w:val="sr-Latn-ME"/>
        </w:rPr>
      </w:pPr>
    </w:p>
    <w:p w14:paraId="0149A503" w14:textId="77777777" w:rsidR="00095D7E" w:rsidRDefault="008740DD">
      <w:pPr>
        <w:jc w:val="both"/>
        <w:rPr>
          <w:szCs w:val="22"/>
          <w:lang w:val="sr-Latn-ME"/>
        </w:rPr>
      </w:pPr>
      <w:r>
        <w:rPr>
          <w:i/>
          <w:szCs w:val="22"/>
          <w:lang w:val="sr-Latn-ME"/>
        </w:rPr>
        <w:t>Kod arterijske hipertenzije</w:t>
      </w:r>
      <w:r>
        <w:rPr>
          <w:szCs w:val="22"/>
          <w:lang w:val="sr-Latn-ME"/>
        </w:rPr>
        <w:t>, kada je prethodna terapija diureticima mogla uzrokovati smanjenje količine soli/volumena, ili se terapija diuretikom mora prekinuti prije uvođenja ACE inhibitora, u kojem slučaju se može ponovno uvesti diuretik koji ne štedi kalijum ili se mora započeti s ACE inhibitorom niske doze i postepeno povećavati doza.</w:t>
      </w:r>
    </w:p>
    <w:p w14:paraId="014C1925" w14:textId="77777777" w:rsidR="00095D7E" w:rsidRDefault="00095D7E">
      <w:pPr>
        <w:widowControl w:val="0"/>
        <w:rPr>
          <w:szCs w:val="22"/>
          <w:lang w:val="sr-Latn-ME"/>
        </w:rPr>
      </w:pPr>
    </w:p>
    <w:p w14:paraId="5F6D44A2" w14:textId="77777777" w:rsidR="00095D7E" w:rsidRDefault="008740DD">
      <w:pPr>
        <w:jc w:val="both"/>
        <w:rPr>
          <w:szCs w:val="22"/>
          <w:lang w:val="sr-Latn-ME"/>
        </w:rPr>
      </w:pPr>
      <w:r>
        <w:rPr>
          <w:i/>
          <w:szCs w:val="22"/>
          <w:lang w:val="sr-Latn-ME"/>
        </w:rPr>
        <w:t>Kod kongestivne srčane insuficijencije liječene diuretikom</w:t>
      </w:r>
      <w:r>
        <w:rPr>
          <w:szCs w:val="22"/>
          <w:lang w:val="sr-Latn-ME"/>
        </w:rPr>
        <w:t>, terapiju ACE inhibitorom treba započeti vrlo niskim dozama, ukoliko je moguće nakon smanjenja doze pridruženog diuretika koji ne štiti kalijum.</w:t>
      </w:r>
    </w:p>
    <w:p w14:paraId="7DEED5EC" w14:textId="77777777" w:rsidR="00095D7E" w:rsidRDefault="008740DD">
      <w:pPr>
        <w:jc w:val="both"/>
        <w:rPr>
          <w:szCs w:val="22"/>
          <w:lang w:val="sr-Latn-ME"/>
        </w:rPr>
      </w:pPr>
      <w:r>
        <w:rPr>
          <w:szCs w:val="22"/>
          <w:lang w:val="sr-Latn-ME"/>
        </w:rPr>
        <w:t>U svim slučajevima potrebno je pratiti funkciju bubrega (nivo kreatinina) tokom prvih nekoliko sedmica terapije ACE inhibitorima.</w:t>
      </w:r>
    </w:p>
    <w:p w14:paraId="4E91B2DF" w14:textId="77777777" w:rsidR="00095D7E" w:rsidRDefault="00095D7E">
      <w:pPr>
        <w:widowControl w:val="0"/>
        <w:jc w:val="both"/>
        <w:rPr>
          <w:szCs w:val="22"/>
          <w:lang w:val="sr-Latn-ME"/>
        </w:rPr>
      </w:pPr>
    </w:p>
    <w:p w14:paraId="468803D5" w14:textId="77777777" w:rsidR="00095D7E" w:rsidRDefault="008740DD">
      <w:pPr>
        <w:jc w:val="both"/>
        <w:rPr>
          <w:szCs w:val="22"/>
          <w:lang w:val="sr-Latn-ME"/>
        </w:rPr>
      </w:pPr>
      <w:r>
        <w:rPr>
          <w:i/>
          <w:szCs w:val="22"/>
          <w:lang w:val="sr-Latn-ME"/>
        </w:rPr>
        <w:t>Diuretici koji štede kalijum (eplerenon, spironolakton):</w:t>
      </w:r>
      <w:r>
        <w:rPr>
          <w:szCs w:val="22"/>
          <w:lang w:val="sr-Latn-ME"/>
        </w:rPr>
        <w:t xml:space="preserve"> Sa terapijom eplerenonom ili spironolaktonom u dozama između 12,5 mg i 50 mg dnevno i sa niskim dozama ACE inhibitora: U liječenju srčane insuficijencije klasa II-IV (NYHA) sa ejekcionom frakcijom &lt; 40%, i prethodno tretiranom ACE inhibitorima i diureticima Henleove petlje, rizik od hiperkalemije, potencijalno letalne, posebno u slučaju nepridržavanja preporuka za ovu kombinaciju. Prije započinjanja kombinovane terapije, treba provjeriti odsustvo hiperkalemije i oštećenja bubrega. Preporučuje se pažljivo praćenje kalemije i kreatininemije u prvom mjesecu liječenja jednom sedmično na početku i jednom mjesečno nakon toga.</w:t>
      </w:r>
    </w:p>
    <w:p w14:paraId="6B07CEA7" w14:textId="77777777" w:rsidR="00095D7E" w:rsidRDefault="00095D7E">
      <w:pPr>
        <w:widowControl w:val="0"/>
        <w:jc w:val="both"/>
        <w:rPr>
          <w:bCs/>
          <w:szCs w:val="22"/>
          <w:lang w:val="sr-Latn-ME"/>
        </w:rPr>
      </w:pPr>
    </w:p>
    <w:p w14:paraId="258FD96D" w14:textId="77777777" w:rsidR="00095D7E" w:rsidRPr="00E42576" w:rsidRDefault="008740DD">
      <w:pPr>
        <w:widowControl w:val="0"/>
        <w:jc w:val="both"/>
        <w:rPr>
          <w:bCs/>
          <w:szCs w:val="22"/>
          <w:lang w:val="sr-Latn-ME"/>
        </w:rPr>
      </w:pPr>
      <w:r w:rsidRPr="00E42576">
        <w:rPr>
          <w:i/>
          <w:szCs w:val="22"/>
          <w:lang w:val="sr-Latn-ME"/>
        </w:rPr>
        <w:t>Racekadotril</w:t>
      </w:r>
      <w:r w:rsidRPr="00E42576">
        <w:rPr>
          <w:szCs w:val="22"/>
          <w:lang w:val="sr-Latn-ME"/>
        </w:rPr>
        <w:t>: Zna se da ACE inhibitori (npr. perindopril) mogu da izazovu angioedem. Ovaj rizik može biti povećan kada se primjenjuju zajedno sa racekadotrilom (lijek koji se koristi kod akutne dijareje).</w:t>
      </w:r>
    </w:p>
    <w:p w14:paraId="1A94EEB6" w14:textId="77777777" w:rsidR="00095D7E" w:rsidRPr="00E42576" w:rsidRDefault="00095D7E">
      <w:pPr>
        <w:widowControl w:val="0"/>
        <w:jc w:val="both"/>
        <w:rPr>
          <w:i/>
          <w:szCs w:val="22"/>
          <w:lang w:val="sr-Latn-ME"/>
        </w:rPr>
      </w:pPr>
    </w:p>
    <w:p w14:paraId="5E9673DD" w14:textId="77777777" w:rsidR="00095D7E" w:rsidRPr="00AE6074" w:rsidRDefault="008740DD">
      <w:pPr>
        <w:widowControl w:val="0"/>
        <w:jc w:val="both"/>
        <w:rPr>
          <w:bCs/>
          <w:strike/>
          <w:color w:val="C00000"/>
          <w:szCs w:val="22"/>
          <w:lang w:val="sr-Latn-ME"/>
        </w:rPr>
      </w:pPr>
      <w:r w:rsidRPr="00E42576">
        <w:rPr>
          <w:i/>
          <w:szCs w:val="22"/>
          <w:lang w:val="sr-Latn-ME"/>
        </w:rPr>
        <w:t>mTOR inhibitori (npr. sirolimus, everolimus, temsirolimus)</w:t>
      </w:r>
      <w:r w:rsidRPr="00E42576">
        <w:rPr>
          <w:szCs w:val="22"/>
          <w:lang w:val="sr-Latn-ME"/>
        </w:rPr>
        <w:t>: pacijenti koji istovremeno primaju terapiju mTOR inhibitorima mogu imati povećan rizik od angioedema (vidjeti dio 4.4).</w:t>
      </w:r>
    </w:p>
    <w:p w14:paraId="4CE7C485" w14:textId="77777777" w:rsidR="00095D7E" w:rsidRDefault="00095D7E">
      <w:pPr>
        <w:widowControl w:val="0"/>
        <w:jc w:val="both"/>
        <w:rPr>
          <w:szCs w:val="22"/>
          <w:lang w:val="sr-Latn-ME"/>
        </w:rPr>
      </w:pPr>
    </w:p>
    <w:p w14:paraId="726AF6FC" w14:textId="77777777" w:rsidR="00095D7E" w:rsidRDefault="008740DD">
      <w:pPr>
        <w:widowControl w:val="0"/>
        <w:jc w:val="both"/>
        <w:rPr>
          <w:szCs w:val="22"/>
          <w:u w:val="single"/>
          <w:lang w:val="sr-Latn-ME"/>
        </w:rPr>
      </w:pPr>
      <w:r>
        <w:rPr>
          <w:i/>
          <w:szCs w:val="22"/>
          <w:u w:val="single"/>
          <w:lang w:val="sr-Latn-ME"/>
        </w:rPr>
        <w:t>Istovremene primjene koje zahtijevaju manji oprez:</w:t>
      </w:r>
    </w:p>
    <w:p w14:paraId="0C920521" w14:textId="77777777" w:rsidR="00095D7E" w:rsidRDefault="00095D7E">
      <w:pPr>
        <w:jc w:val="both"/>
        <w:rPr>
          <w:szCs w:val="22"/>
          <w:lang w:val="sr-Latn-ME"/>
        </w:rPr>
      </w:pPr>
    </w:p>
    <w:p w14:paraId="58DB85E6" w14:textId="77777777" w:rsidR="008307D5" w:rsidRPr="008307D5" w:rsidRDefault="008307D5" w:rsidP="008307D5">
      <w:pPr>
        <w:jc w:val="both"/>
        <w:rPr>
          <w:szCs w:val="22"/>
        </w:rPr>
      </w:pPr>
      <w:r w:rsidRPr="008307D5">
        <w:rPr>
          <w:i/>
          <w:szCs w:val="22"/>
        </w:rPr>
        <w:t>Diuretici koji štede kalijum (amilorid, spironolakton, triamteren)</w:t>
      </w:r>
      <w:r w:rsidRPr="008307D5">
        <w:rPr>
          <w:szCs w:val="22"/>
        </w:rPr>
        <w:t>: Dok su racionalne kombinacije kod nekih pacijenata korisne, hipokalemija ili hiperkalemija (naročito kod pacijenata sa insuficijencijom bubrega ili dijabetesom) se mogu ipak javiti. Potrebno je pratiti koncentraciju kalijuma u plazmi i EKG, i ukoliko je neophodno, revidirati terapiju.</w:t>
      </w:r>
    </w:p>
    <w:p w14:paraId="78ACAA42" w14:textId="77777777" w:rsidR="008307D5" w:rsidRDefault="008307D5">
      <w:pPr>
        <w:jc w:val="both"/>
        <w:rPr>
          <w:szCs w:val="22"/>
          <w:lang w:val="sr-Latn-ME"/>
        </w:rPr>
      </w:pPr>
    </w:p>
    <w:p w14:paraId="66810DC4" w14:textId="77777777" w:rsidR="00095D7E" w:rsidRDefault="008740DD">
      <w:pPr>
        <w:jc w:val="both"/>
        <w:rPr>
          <w:szCs w:val="22"/>
          <w:lang w:val="sr-Latn-ME"/>
        </w:rPr>
      </w:pPr>
      <w:r>
        <w:rPr>
          <w:i/>
          <w:szCs w:val="22"/>
          <w:lang w:val="sr-Latn-ME"/>
        </w:rPr>
        <w:t>Antihipertenzivna sredstva i vazodilatatori:</w:t>
      </w:r>
      <w:r>
        <w:rPr>
          <w:szCs w:val="22"/>
          <w:lang w:val="sr-Latn-ME"/>
        </w:rPr>
        <w:t xml:space="preserve"> Istovremena primjena ovih ljekova može povećati hipotenzivna dejstva perindoprila. Istovremena primjena s nitroglicerinom i drugim nitratima ili drugim vazodilatatorima može dodatno smanjiti krvni pritisak.</w:t>
      </w:r>
    </w:p>
    <w:p w14:paraId="7FFA14BB" w14:textId="77777777" w:rsidR="00095D7E" w:rsidRDefault="00095D7E">
      <w:pPr>
        <w:widowControl w:val="0"/>
        <w:rPr>
          <w:szCs w:val="22"/>
          <w:lang w:val="sr-Latn-ME"/>
        </w:rPr>
      </w:pPr>
    </w:p>
    <w:p w14:paraId="37FA45CA" w14:textId="77777777" w:rsidR="00095D7E" w:rsidRDefault="008740DD">
      <w:pPr>
        <w:widowControl w:val="0"/>
        <w:jc w:val="both"/>
        <w:rPr>
          <w:szCs w:val="22"/>
          <w:lang w:val="sr-Latn-ME"/>
        </w:rPr>
      </w:pPr>
      <w:r>
        <w:rPr>
          <w:i/>
          <w:szCs w:val="22"/>
          <w:lang w:val="sr-Latn-ME"/>
        </w:rPr>
        <w:t>Alopurinol, citostatici ili imunosupresivni ljekovi, kortikosteroidi (sistemska primjena) ili prokainamid</w:t>
      </w:r>
      <w:r>
        <w:rPr>
          <w:szCs w:val="22"/>
          <w:lang w:val="sr-Latn-ME"/>
        </w:rPr>
        <w:t>: Istovremeno uzimanje ovih ljekova sa ACE inhibitorima može da poveća rizik od pojave leukopenije (vidjeti dio 4.4).</w:t>
      </w:r>
    </w:p>
    <w:p w14:paraId="175439F7" w14:textId="77777777" w:rsidR="00095D7E" w:rsidRDefault="00095D7E">
      <w:pPr>
        <w:widowControl w:val="0"/>
        <w:autoSpaceDE w:val="0"/>
        <w:autoSpaceDN w:val="0"/>
        <w:adjustRightInd w:val="0"/>
        <w:jc w:val="both"/>
        <w:rPr>
          <w:szCs w:val="22"/>
          <w:lang w:val="sr-Latn-ME"/>
        </w:rPr>
      </w:pPr>
    </w:p>
    <w:p w14:paraId="15407B92" w14:textId="77777777" w:rsidR="00095D7E" w:rsidRDefault="008740DD">
      <w:pPr>
        <w:widowControl w:val="0"/>
        <w:autoSpaceDE w:val="0"/>
        <w:autoSpaceDN w:val="0"/>
        <w:adjustRightInd w:val="0"/>
        <w:jc w:val="both"/>
        <w:rPr>
          <w:szCs w:val="22"/>
          <w:lang w:val="sr-Latn-ME"/>
        </w:rPr>
      </w:pPr>
      <w:r>
        <w:rPr>
          <w:i/>
          <w:szCs w:val="22"/>
          <w:lang w:val="sr-Latn-ME"/>
        </w:rPr>
        <w:t>Anestetici</w:t>
      </w:r>
      <w:r>
        <w:rPr>
          <w:szCs w:val="22"/>
          <w:lang w:val="sr-Latn-ME"/>
        </w:rPr>
        <w:t>: ACE inhibitori mogu da pojačaju hipotenzivno dejstvo pojedinih anestetika (vidjeti dio 4.4).</w:t>
      </w:r>
    </w:p>
    <w:p w14:paraId="65D14469" w14:textId="77777777" w:rsidR="00095D7E" w:rsidRDefault="00095D7E">
      <w:pPr>
        <w:widowControl w:val="0"/>
        <w:suppressAutoHyphens/>
        <w:jc w:val="both"/>
        <w:rPr>
          <w:szCs w:val="22"/>
          <w:lang w:val="sr-Latn-ME"/>
        </w:rPr>
      </w:pPr>
    </w:p>
    <w:p w14:paraId="283A6F13" w14:textId="77777777" w:rsidR="00095D7E" w:rsidRDefault="008740DD">
      <w:pPr>
        <w:widowControl w:val="0"/>
        <w:suppressAutoHyphens/>
        <w:jc w:val="both"/>
        <w:rPr>
          <w:szCs w:val="22"/>
          <w:lang w:val="sr-Latn-ME"/>
        </w:rPr>
      </w:pPr>
      <w:r>
        <w:rPr>
          <w:i/>
          <w:szCs w:val="22"/>
          <w:lang w:val="sr-Latn-ME"/>
        </w:rPr>
        <w:t>Zlato</w:t>
      </w:r>
      <w:r>
        <w:rPr>
          <w:szCs w:val="22"/>
          <w:lang w:val="sr-Latn-ME"/>
        </w:rPr>
        <w:t xml:space="preserve">: Rijetko su zabilježene nitritoidne reakcije (simptomi uključuju crvenilo na licu, mučninu, povraćanje i hipotenziju) kod pacijenata na terapiji injekcijama zlata (natrijum-aurotiomalat) i </w:t>
      </w:r>
      <w:r>
        <w:rPr>
          <w:szCs w:val="22"/>
          <w:lang w:val="sr-Latn-ME"/>
        </w:rPr>
        <w:lastRenderedPageBreak/>
        <w:t>istovremenoj terapiji ACE inhibitorima, uključujući i perindopril.</w:t>
      </w:r>
    </w:p>
    <w:p w14:paraId="64C3FA33" w14:textId="77777777" w:rsidR="00095D7E" w:rsidRDefault="00095D7E">
      <w:pPr>
        <w:widowControl w:val="0"/>
        <w:suppressAutoHyphens/>
        <w:jc w:val="both"/>
        <w:rPr>
          <w:szCs w:val="22"/>
          <w:lang w:val="sr-Latn-ME"/>
        </w:rPr>
      </w:pPr>
    </w:p>
    <w:p w14:paraId="4D626F9C" w14:textId="77777777" w:rsidR="00095D7E" w:rsidRPr="00AE6074" w:rsidRDefault="008740DD">
      <w:pPr>
        <w:jc w:val="both"/>
        <w:rPr>
          <w:strike/>
          <w:color w:val="C00000"/>
          <w:szCs w:val="22"/>
          <w:lang w:val="sr-Latn-ME"/>
        </w:rPr>
      </w:pPr>
      <w:r w:rsidRPr="00E42576">
        <w:rPr>
          <w:i/>
          <w:szCs w:val="22"/>
          <w:lang w:val="sr-Latn-ME"/>
        </w:rPr>
        <w:t>Gliptini (linagliptin, saksagliptin, sitagliptin, vildagliptin):</w:t>
      </w:r>
      <w:r w:rsidRPr="00E42576">
        <w:rPr>
          <w:szCs w:val="22"/>
          <w:lang w:val="sr-Latn-ME"/>
        </w:rPr>
        <w:t xml:space="preserve"> Povećani rizik od angioedema zbog smanjene aktivnosti dipeptidil peptidaze IV (DPP-IV) uzrokovane gliptinima kod pacijenata koji se liječe istovremeno ACE inhibitorom.</w:t>
      </w:r>
    </w:p>
    <w:p w14:paraId="5460A1E4" w14:textId="77777777" w:rsidR="00095D7E" w:rsidRPr="00AE6074" w:rsidRDefault="00095D7E">
      <w:pPr>
        <w:jc w:val="both"/>
        <w:rPr>
          <w:szCs w:val="22"/>
          <w:lang w:val="sr-Latn-ME"/>
        </w:rPr>
      </w:pPr>
    </w:p>
    <w:p w14:paraId="1A2F8916" w14:textId="77777777" w:rsidR="00095D7E" w:rsidRDefault="008740DD">
      <w:pPr>
        <w:jc w:val="both"/>
        <w:rPr>
          <w:szCs w:val="22"/>
          <w:lang w:val="sr-Latn-ME"/>
        </w:rPr>
      </w:pPr>
      <w:r>
        <w:rPr>
          <w:i/>
          <w:szCs w:val="22"/>
          <w:lang w:val="sr-Latn-ME"/>
        </w:rPr>
        <w:t>Simpatomimetici</w:t>
      </w:r>
      <w:r>
        <w:rPr>
          <w:szCs w:val="22"/>
          <w:lang w:val="sr-Latn-ME"/>
        </w:rPr>
        <w:t>: Simpatomimetici mogu smanjiti antihipertenzivne efekte ACE inhibitora.</w:t>
      </w:r>
    </w:p>
    <w:p w14:paraId="2CAAE1FE" w14:textId="77777777" w:rsidR="00095D7E" w:rsidRDefault="00095D7E">
      <w:pPr>
        <w:widowControl w:val="0"/>
        <w:suppressAutoHyphens/>
        <w:jc w:val="both"/>
        <w:rPr>
          <w:szCs w:val="22"/>
          <w:lang w:val="sr-Latn-ME"/>
        </w:rPr>
      </w:pPr>
    </w:p>
    <w:p w14:paraId="32AC8E50" w14:textId="77777777" w:rsidR="00095D7E" w:rsidRPr="00E42576" w:rsidRDefault="008740DD">
      <w:pPr>
        <w:widowControl w:val="0"/>
        <w:suppressAutoHyphens/>
        <w:jc w:val="both"/>
        <w:rPr>
          <w:szCs w:val="22"/>
          <w:lang w:val="sr-Latn-ME"/>
        </w:rPr>
      </w:pPr>
      <w:r w:rsidRPr="00E42576">
        <w:rPr>
          <w:i/>
          <w:szCs w:val="22"/>
          <w:lang w:val="sr-Latn-ME"/>
        </w:rPr>
        <w:t>Ciklosporin</w:t>
      </w:r>
      <w:r w:rsidRPr="00E42576">
        <w:rPr>
          <w:szCs w:val="22"/>
          <w:lang w:val="sr-Latn-ME"/>
        </w:rPr>
        <w:t>: Može se javiti hiperkalemija tokom istovremene primjene ACE inhibitora sa ciklosporinom. Preporučuje se praćenje kalijuma u serumu.</w:t>
      </w:r>
    </w:p>
    <w:p w14:paraId="20DC6004" w14:textId="77777777" w:rsidR="00095D7E" w:rsidRPr="00E42576" w:rsidRDefault="00095D7E">
      <w:pPr>
        <w:widowControl w:val="0"/>
        <w:suppressAutoHyphens/>
        <w:jc w:val="both"/>
        <w:rPr>
          <w:szCs w:val="22"/>
          <w:lang w:val="sr-Latn-ME"/>
        </w:rPr>
      </w:pPr>
    </w:p>
    <w:p w14:paraId="415C41D6" w14:textId="77777777" w:rsidR="00095D7E" w:rsidRPr="00E42576" w:rsidRDefault="008740DD">
      <w:pPr>
        <w:widowControl w:val="0"/>
        <w:suppressAutoHyphens/>
        <w:jc w:val="both"/>
        <w:rPr>
          <w:szCs w:val="22"/>
          <w:lang w:val="sr-Latn-ME"/>
        </w:rPr>
      </w:pPr>
      <w:r w:rsidRPr="00E42576">
        <w:rPr>
          <w:i/>
          <w:szCs w:val="22"/>
          <w:lang w:val="sr-Latn-ME"/>
        </w:rPr>
        <w:t>Heparin</w:t>
      </w:r>
      <w:r w:rsidRPr="00E42576">
        <w:rPr>
          <w:szCs w:val="22"/>
          <w:lang w:val="sr-Latn-ME"/>
        </w:rPr>
        <w:t>: Može se javiti hiperkalemija tokom istovremene primjene ACE inhibitora sa heparinom. Preporučuje se praćenje kalijuma u serumu.</w:t>
      </w:r>
    </w:p>
    <w:p w14:paraId="0B56740E" w14:textId="77777777" w:rsidR="00095D7E" w:rsidRPr="00AE6074" w:rsidRDefault="00095D7E">
      <w:pPr>
        <w:widowControl w:val="0"/>
        <w:suppressAutoHyphens/>
        <w:jc w:val="both"/>
        <w:rPr>
          <w:strike/>
          <w:color w:val="C00000"/>
          <w:szCs w:val="22"/>
          <w:lang w:val="sr-Latn-ME"/>
        </w:rPr>
      </w:pPr>
    </w:p>
    <w:p w14:paraId="0EAEF13D" w14:textId="77777777" w:rsidR="00095D7E" w:rsidRDefault="008740DD">
      <w:pPr>
        <w:widowControl w:val="0"/>
        <w:tabs>
          <w:tab w:val="left" w:pos="709"/>
          <w:tab w:val="left" w:pos="993"/>
        </w:tabs>
        <w:jc w:val="both"/>
        <w:rPr>
          <w:szCs w:val="22"/>
          <w:u w:val="single"/>
          <w:lang w:val="sr-Latn-ME"/>
        </w:rPr>
      </w:pPr>
      <w:r>
        <w:rPr>
          <w:szCs w:val="22"/>
          <w:u w:val="single"/>
          <w:lang w:val="sr-Latn-ME"/>
        </w:rPr>
        <w:t>U vezi sa indapamidom</w:t>
      </w:r>
    </w:p>
    <w:p w14:paraId="686974D1" w14:textId="77777777" w:rsidR="00095D7E" w:rsidRDefault="00095D7E">
      <w:pPr>
        <w:widowControl w:val="0"/>
        <w:tabs>
          <w:tab w:val="left" w:pos="709"/>
        </w:tabs>
        <w:jc w:val="both"/>
        <w:rPr>
          <w:i/>
          <w:iCs/>
          <w:szCs w:val="22"/>
          <w:lang w:val="sr-Latn-ME"/>
        </w:rPr>
      </w:pPr>
    </w:p>
    <w:p w14:paraId="30B376F4" w14:textId="77777777" w:rsidR="00095D7E" w:rsidRDefault="008740DD">
      <w:pPr>
        <w:widowControl w:val="0"/>
        <w:tabs>
          <w:tab w:val="left" w:pos="709"/>
        </w:tabs>
        <w:jc w:val="both"/>
        <w:rPr>
          <w:i/>
          <w:iCs/>
          <w:strike/>
          <w:szCs w:val="22"/>
          <w:u w:val="single"/>
          <w:lang w:val="sr-Latn-ME"/>
        </w:rPr>
      </w:pPr>
      <w:r>
        <w:rPr>
          <w:i/>
          <w:szCs w:val="22"/>
          <w:u w:val="single"/>
          <w:lang w:val="sr-Latn-ME"/>
        </w:rPr>
        <w:t>Istovremene primjene koje zahtijevaju poseban oprez:</w:t>
      </w:r>
    </w:p>
    <w:p w14:paraId="6FE7403C" w14:textId="77777777" w:rsidR="00095D7E" w:rsidRDefault="00095D7E">
      <w:pPr>
        <w:widowControl w:val="0"/>
        <w:rPr>
          <w:i/>
          <w:szCs w:val="22"/>
          <w:lang w:val="sr-Latn-ME"/>
        </w:rPr>
      </w:pPr>
    </w:p>
    <w:p w14:paraId="15983696" w14:textId="77777777" w:rsidR="00095D7E" w:rsidRDefault="008740DD">
      <w:pPr>
        <w:widowControl w:val="0"/>
        <w:jc w:val="both"/>
        <w:rPr>
          <w:szCs w:val="22"/>
          <w:lang w:val="sr-Latn-ME"/>
        </w:rPr>
      </w:pPr>
      <w:r>
        <w:rPr>
          <w:i/>
          <w:szCs w:val="22"/>
          <w:lang w:val="sr-Latn-ME"/>
        </w:rPr>
        <w:t>Ljekovi koji izazivaju</w:t>
      </w:r>
      <w:r>
        <w:rPr>
          <w:szCs w:val="22"/>
          <w:lang w:val="sr-Latn-ME"/>
        </w:rPr>
        <w:t xml:space="preserve"> </w:t>
      </w:r>
      <w:r>
        <w:rPr>
          <w:i/>
          <w:szCs w:val="22"/>
          <w:lang w:val="sr-Latn-ME"/>
        </w:rPr>
        <w:t>torsades de pointes</w:t>
      </w:r>
      <w:r>
        <w:rPr>
          <w:szCs w:val="22"/>
          <w:lang w:val="sr-Latn-ME"/>
        </w:rPr>
        <w:t xml:space="preserve">: Zbog rizika od hipokalemije, indapamid treba oprezno primjenjivati kada se koristi sa ljekovima koji su izazivali </w:t>
      </w:r>
      <w:r>
        <w:rPr>
          <w:i/>
          <w:szCs w:val="22"/>
          <w:lang w:val="sr-Latn-ME"/>
        </w:rPr>
        <w:t>torsades de pointes</w:t>
      </w:r>
      <w:r>
        <w:rPr>
          <w:szCs w:val="22"/>
          <w:lang w:val="sr-Latn-ME"/>
        </w:rPr>
        <w:t xml:space="preserve"> kao što su </w:t>
      </w:r>
      <w:r>
        <w:rPr>
          <w:szCs w:val="22"/>
        </w:rPr>
        <w:t>između ostalih</w:t>
      </w:r>
      <w:r>
        <w:rPr>
          <w:szCs w:val="22"/>
          <w:lang w:val="sr-Latn-ME"/>
        </w:rPr>
        <w:t xml:space="preserve">: </w:t>
      </w:r>
      <w:r>
        <w:rPr>
          <w:spacing w:val="-3"/>
          <w:szCs w:val="22"/>
          <w:lang w:val="sr-Latn-ME"/>
        </w:rPr>
        <w:t xml:space="preserve">antiaritmici klase IA (npr. hinidin, hidrohinidin, disopiramidi); antiaritmici klase III (npr. amjodaron, dofetilid, ibutilid, bretilijum, sotalol); neki </w:t>
      </w:r>
      <w:r>
        <w:rPr>
          <w:spacing w:val="-3"/>
          <w:szCs w:val="22"/>
        </w:rPr>
        <w:t xml:space="preserve">antipsihotici fenotiazini </w:t>
      </w:r>
      <w:r>
        <w:rPr>
          <w:spacing w:val="-3"/>
          <w:szCs w:val="22"/>
          <w:lang w:val="sr-Latn-ME"/>
        </w:rPr>
        <w:t>(npr. hlorpromazin, cijamemazin, levomepromazin, tioridazin, trifluoperazin), benzamidi (npr. amisulprid, sulpirid, sultoprid, tiaprid), butirofenoni (npr. droperidol, haloperidol), drugi neuroleptici (pimozid); druge supstance (npr. bepridil, cisaprid, difemanil, eritromicin</w:t>
      </w:r>
      <w:r>
        <w:rPr>
          <w:szCs w:val="22"/>
          <w:lang w:val="sr-Latn-ME"/>
        </w:rPr>
        <w:t xml:space="preserve"> IV</w:t>
      </w:r>
      <w:r>
        <w:rPr>
          <w:spacing w:val="-3"/>
          <w:szCs w:val="22"/>
          <w:lang w:val="sr-Latn-ME"/>
        </w:rPr>
        <w:t>, halofantrin, mizolastin, moksifloksacin, pentamidin, sparfloksacin, vinkamin</w:t>
      </w:r>
      <w:r>
        <w:rPr>
          <w:szCs w:val="22"/>
          <w:lang w:val="sr-Latn-ME"/>
        </w:rPr>
        <w:t xml:space="preserve"> IV</w:t>
      </w:r>
      <w:r>
        <w:rPr>
          <w:spacing w:val="-3"/>
          <w:szCs w:val="22"/>
          <w:lang w:val="sr-Latn-ME"/>
        </w:rPr>
        <w:t>, metadon, astemizol, terfenadin</w:t>
      </w:r>
      <w:r>
        <w:rPr>
          <w:szCs w:val="22"/>
          <w:lang w:val="sr-Latn-ME"/>
        </w:rPr>
        <w:t>. Prevencija niskih vrijednosti kalijuma i korekcija ukoliko je neophodno: praćenje QT intervala.</w:t>
      </w:r>
    </w:p>
    <w:p w14:paraId="0B72C47B" w14:textId="77777777" w:rsidR="00095D7E" w:rsidRDefault="00095D7E">
      <w:pPr>
        <w:widowControl w:val="0"/>
        <w:jc w:val="both"/>
        <w:rPr>
          <w:szCs w:val="22"/>
          <w:lang w:val="sr-Latn-ME"/>
        </w:rPr>
      </w:pPr>
    </w:p>
    <w:p w14:paraId="4CE847B3" w14:textId="77777777" w:rsidR="00095D7E" w:rsidRDefault="008740DD">
      <w:pPr>
        <w:widowControl w:val="0"/>
        <w:jc w:val="both"/>
        <w:rPr>
          <w:szCs w:val="22"/>
          <w:lang w:val="sr-Latn-ME"/>
        </w:rPr>
      </w:pPr>
      <w:r>
        <w:rPr>
          <w:i/>
          <w:szCs w:val="22"/>
          <w:lang w:val="sr-Latn-ME"/>
        </w:rPr>
        <w:t>Ljekovi za snižavanje kalijuma (amfotercin B (IV put), sistemski glukokortikoidi i mineralokortikoidi (sistemski put), tetrakosaktidi, stimulativni laksativi)</w:t>
      </w:r>
      <w:r>
        <w:rPr>
          <w:szCs w:val="22"/>
          <w:lang w:val="sr-Latn-ME"/>
        </w:rPr>
        <w:t>: Povećan rizik od male koncentracije kalijuma (aditivno dejstvo). Praćenje koncentracije kalijuma i, po potrebi, njeno korigovanje; poseban oprez je neophodan u slučaju terapije kardiotoničnim glikozidima. Treba koristiti nestimulativne laksative.</w:t>
      </w:r>
    </w:p>
    <w:p w14:paraId="06136D88" w14:textId="77777777" w:rsidR="00095D7E" w:rsidRDefault="00095D7E">
      <w:pPr>
        <w:widowControl w:val="0"/>
        <w:jc w:val="both"/>
        <w:rPr>
          <w:szCs w:val="22"/>
          <w:lang w:val="sr-Latn-ME"/>
        </w:rPr>
      </w:pPr>
    </w:p>
    <w:p w14:paraId="325DA32B" w14:textId="77777777" w:rsidR="00095D7E" w:rsidRDefault="008740DD">
      <w:pPr>
        <w:widowControl w:val="0"/>
        <w:rPr>
          <w:i/>
          <w:szCs w:val="22"/>
        </w:rPr>
      </w:pPr>
      <w:r>
        <w:rPr>
          <w:i/>
          <w:szCs w:val="22"/>
        </w:rPr>
        <w:t>Preparati digitalisa</w:t>
      </w:r>
    </w:p>
    <w:p w14:paraId="4D497B44" w14:textId="77777777" w:rsidR="00095D7E" w:rsidRDefault="008740DD">
      <w:pPr>
        <w:widowControl w:val="0"/>
        <w:autoSpaceDE w:val="0"/>
        <w:autoSpaceDN w:val="0"/>
        <w:adjustRightInd w:val="0"/>
        <w:rPr>
          <w:szCs w:val="22"/>
        </w:rPr>
      </w:pPr>
      <w:r>
        <w:rPr>
          <w:szCs w:val="22"/>
          <w:lang w:val="sr-Latn-ME"/>
        </w:rPr>
        <w:t xml:space="preserve">Hipokalijemija i/ili hipomagnezemija potenciraju toksične efekte digitalisa. </w:t>
      </w:r>
      <w:r>
        <w:rPr>
          <w:szCs w:val="22"/>
        </w:rPr>
        <w:t xml:space="preserve">Potrebno je pratiti koncentraciju kalijuma, magnezijuma i EKG i, ukoliko je potrebno, prilagoditi terapiju </w:t>
      </w:r>
    </w:p>
    <w:p w14:paraId="170AC6F5" w14:textId="77777777" w:rsidR="00095D7E" w:rsidRDefault="00095D7E">
      <w:pPr>
        <w:widowControl w:val="0"/>
        <w:autoSpaceDE w:val="0"/>
        <w:autoSpaceDN w:val="0"/>
        <w:adjustRightInd w:val="0"/>
        <w:rPr>
          <w:szCs w:val="22"/>
          <w:lang w:val="en-US"/>
        </w:rPr>
      </w:pPr>
    </w:p>
    <w:p w14:paraId="137F6406" w14:textId="77777777" w:rsidR="00095D7E" w:rsidRDefault="008740DD">
      <w:pPr>
        <w:widowControl w:val="0"/>
        <w:rPr>
          <w:szCs w:val="22"/>
        </w:rPr>
      </w:pPr>
      <w:r>
        <w:rPr>
          <w:i/>
          <w:szCs w:val="22"/>
        </w:rPr>
        <w:t>Alopurinol</w:t>
      </w:r>
      <w:r>
        <w:rPr>
          <w:szCs w:val="22"/>
        </w:rPr>
        <w:t xml:space="preserve">: </w:t>
      </w:r>
      <w:r>
        <w:t xml:space="preserve"> </w:t>
      </w:r>
      <w:r>
        <w:rPr>
          <w:szCs w:val="22"/>
        </w:rPr>
        <w:t>Istovremena terapija indapamidom može povećati učestalost reakcija preosjetljivosti na alopurinol.</w:t>
      </w:r>
    </w:p>
    <w:p w14:paraId="192CE471" w14:textId="77777777" w:rsidR="00095D7E" w:rsidRDefault="00095D7E">
      <w:pPr>
        <w:widowControl w:val="0"/>
        <w:autoSpaceDE w:val="0"/>
        <w:autoSpaceDN w:val="0"/>
        <w:adjustRightInd w:val="0"/>
        <w:rPr>
          <w:szCs w:val="22"/>
          <w:lang w:val="sr-Latn-ME"/>
        </w:rPr>
      </w:pPr>
    </w:p>
    <w:p w14:paraId="6A44879C" w14:textId="77777777" w:rsidR="00095D7E" w:rsidRDefault="008740DD">
      <w:pPr>
        <w:widowControl w:val="0"/>
        <w:rPr>
          <w:i/>
          <w:szCs w:val="22"/>
          <w:u w:val="single"/>
          <w:lang w:val="sr-Latn-ME"/>
        </w:rPr>
      </w:pPr>
      <w:r>
        <w:rPr>
          <w:i/>
          <w:szCs w:val="22"/>
          <w:u w:val="single"/>
          <w:lang w:val="sr-Latn-ME"/>
        </w:rPr>
        <w:t>Istovremene primjene koje zahtijevaju manji oprez:</w:t>
      </w:r>
    </w:p>
    <w:p w14:paraId="62134D3A" w14:textId="77777777" w:rsidR="00095D7E" w:rsidRDefault="00095D7E">
      <w:pPr>
        <w:widowControl w:val="0"/>
        <w:rPr>
          <w:szCs w:val="22"/>
          <w:u w:val="single"/>
          <w:lang w:val="sr-Latn-ME"/>
        </w:rPr>
      </w:pPr>
    </w:p>
    <w:p w14:paraId="5B597277" w14:textId="5138B89D" w:rsidR="00095D7E" w:rsidRPr="00AE6074" w:rsidRDefault="00095D7E">
      <w:pPr>
        <w:widowControl w:val="0"/>
        <w:rPr>
          <w:color w:val="C00000"/>
          <w:szCs w:val="22"/>
          <w:lang w:val="sr-Latn-ME"/>
        </w:rPr>
      </w:pPr>
    </w:p>
    <w:p w14:paraId="1189340C" w14:textId="77777777" w:rsidR="00095D7E" w:rsidRDefault="008740DD">
      <w:pPr>
        <w:widowControl w:val="0"/>
        <w:jc w:val="both"/>
        <w:rPr>
          <w:szCs w:val="22"/>
          <w:lang w:val="sr-Latn-ME"/>
        </w:rPr>
      </w:pPr>
      <w:r>
        <w:rPr>
          <w:i/>
          <w:szCs w:val="22"/>
          <w:lang w:val="sr-Latn-ME"/>
        </w:rPr>
        <w:t>Metformin</w:t>
      </w:r>
      <w:r>
        <w:rPr>
          <w:szCs w:val="22"/>
          <w:lang w:val="sr-Latn-ME"/>
        </w:rPr>
        <w:t>: Laktična acidoza zbog metformina usljed moguće funkcionalne renalne insuficijencije povezane sa diureticima i posebno sa diureticima Henleove petlje. Metformin se ne smije koristiti kada nivo kreatinina u plazmi pređe 15 mg/L (135 μmol/L) kod muškaraca i 12 mg/L (110 μmol/L) kod žena.</w:t>
      </w:r>
    </w:p>
    <w:p w14:paraId="579E6AA7" w14:textId="77777777" w:rsidR="00095D7E" w:rsidRDefault="00095D7E">
      <w:pPr>
        <w:widowControl w:val="0"/>
        <w:jc w:val="both"/>
        <w:rPr>
          <w:bCs/>
          <w:szCs w:val="22"/>
          <w:lang w:val="sr-Latn-ME"/>
        </w:rPr>
      </w:pPr>
    </w:p>
    <w:p w14:paraId="736E6EA4" w14:textId="77777777" w:rsidR="00095D7E" w:rsidRDefault="008740DD">
      <w:pPr>
        <w:widowControl w:val="0"/>
        <w:jc w:val="both"/>
        <w:rPr>
          <w:szCs w:val="22"/>
          <w:lang w:val="sr-Latn-ME"/>
        </w:rPr>
      </w:pPr>
      <w:r>
        <w:rPr>
          <w:i/>
          <w:szCs w:val="22"/>
          <w:lang w:val="sr-Latn-ME"/>
        </w:rPr>
        <w:t>Kontrastna sredstva na bazi joda</w:t>
      </w:r>
      <w:r>
        <w:rPr>
          <w:szCs w:val="22"/>
          <w:lang w:val="sr-Latn-ME"/>
        </w:rPr>
        <w:t>: U slučajevima dehidratacije zbog primjene diuretika, postoji povećan rizik od akutne renalne insuficijencije, posebno kada se koriste visoke doze kontrastnih sredstava na bazi joda. Potrebna je rehidratacija prije primjene jodnih kontrasta.</w:t>
      </w:r>
    </w:p>
    <w:p w14:paraId="6E9791F2" w14:textId="77777777" w:rsidR="00095D7E" w:rsidRDefault="00095D7E">
      <w:pPr>
        <w:widowControl w:val="0"/>
        <w:jc w:val="both"/>
        <w:rPr>
          <w:bCs/>
          <w:szCs w:val="22"/>
          <w:lang w:val="sr-Latn-ME"/>
        </w:rPr>
      </w:pPr>
    </w:p>
    <w:p w14:paraId="47C6E13B" w14:textId="77777777" w:rsidR="00095D7E" w:rsidRDefault="008740DD">
      <w:pPr>
        <w:widowControl w:val="0"/>
        <w:jc w:val="both"/>
        <w:rPr>
          <w:bCs/>
          <w:szCs w:val="22"/>
          <w:lang w:val="sr-Latn-ME"/>
        </w:rPr>
      </w:pPr>
      <w:r>
        <w:rPr>
          <w:i/>
          <w:szCs w:val="22"/>
          <w:lang w:val="sr-Latn-ME"/>
        </w:rPr>
        <w:t>Kalcijum (soli)</w:t>
      </w:r>
      <w:r>
        <w:rPr>
          <w:szCs w:val="22"/>
          <w:lang w:val="sr-Latn-ME"/>
        </w:rPr>
        <w:t>: Postoji rizik od povećane koncentracije kalcijuma zbog smanjene eliminacije kalcijuma urinom.</w:t>
      </w:r>
    </w:p>
    <w:p w14:paraId="33BB7910" w14:textId="77777777" w:rsidR="00095D7E" w:rsidRDefault="00095D7E">
      <w:pPr>
        <w:widowControl w:val="0"/>
        <w:jc w:val="both"/>
        <w:rPr>
          <w:szCs w:val="22"/>
          <w:lang w:val="sr-Latn-ME"/>
        </w:rPr>
      </w:pPr>
    </w:p>
    <w:p w14:paraId="3A20327B" w14:textId="77777777" w:rsidR="00095D7E" w:rsidRDefault="008740DD">
      <w:pPr>
        <w:widowControl w:val="0"/>
        <w:jc w:val="both"/>
        <w:rPr>
          <w:szCs w:val="22"/>
          <w:lang w:val="sr-Latn-ME"/>
        </w:rPr>
      </w:pPr>
      <w:r>
        <w:rPr>
          <w:i/>
          <w:szCs w:val="22"/>
          <w:lang w:val="sr-Latn-ME"/>
        </w:rPr>
        <w:t>Ciklosporin, takrolimus</w:t>
      </w:r>
      <w:r>
        <w:rPr>
          <w:szCs w:val="22"/>
          <w:lang w:val="sr-Latn-ME"/>
        </w:rPr>
        <w:t>: Postoji rizik od povećanja koncentracije kreatinina bez promjene u koncentraciji ciklosporina u cirkulaciji, čak i kada nema gubitka soli i tečnosti.</w:t>
      </w:r>
    </w:p>
    <w:p w14:paraId="003D6018" w14:textId="77777777" w:rsidR="00095D7E" w:rsidRDefault="00095D7E">
      <w:pPr>
        <w:jc w:val="both"/>
        <w:rPr>
          <w:i/>
          <w:szCs w:val="22"/>
          <w:lang w:val="sr-Latn-ME"/>
        </w:rPr>
      </w:pPr>
    </w:p>
    <w:p w14:paraId="4D9C302A" w14:textId="77777777" w:rsidR="00095D7E" w:rsidRDefault="008740DD">
      <w:pPr>
        <w:jc w:val="both"/>
        <w:rPr>
          <w:szCs w:val="22"/>
          <w:lang w:val="sr-Latn-ME" w:eastAsia="sr-Latn-RS"/>
        </w:rPr>
      </w:pPr>
      <w:r>
        <w:rPr>
          <w:i/>
          <w:szCs w:val="22"/>
          <w:lang w:val="sr-Latn-ME"/>
        </w:rPr>
        <w:t>Kortikosteroidi, tetrakosaktid (sistemska primjena):</w:t>
      </w:r>
      <w:r>
        <w:rPr>
          <w:szCs w:val="22"/>
          <w:lang w:val="sr-Latn-ME"/>
        </w:rPr>
        <w:t xml:space="preserve"> Smanjenje antihipertenzivnog dejstva (zadržavanje soli i vode zbog kortikosteroida).</w:t>
      </w:r>
    </w:p>
    <w:p w14:paraId="7BF0A4FB" w14:textId="77777777" w:rsidR="00095D7E" w:rsidRDefault="00095D7E">
      <w:pPr>
        <w:widowControl w:val="0"/>
        <w:rPr>
          <w:szCs w:val="22"/>
          <w:lang w:val="sr-Latn-ME"/>
        </w:rPr>
      </w:pPr>
    </w:p>
    <w:p w14:paraId="59F624B9" w14:textId="77777777" w:rsidR="00095D7E" w:rsidRDefault="008740DD">
      <w:pPr>
        <w:widowControl w:val="0"/>
        <w:tabs>
          <w:tab w:val="left" w:pos="709"/>
          <w:tab w:val="left" w:pos="993"/>
        </w:tabs>
        <w:rPr>
          <w:szCs w:val="22"/>
          <w:u w:val="single"/>
          <w:lang w:val="sr-Latn-ME"/>
        </w:rPr>
      </w:pPr>
      <w:r>
        <w:rPr>
          <w:szCs w:val="22"/>
          <w:u w:val="single"/>
          <w:lang w:val="sr-Latn-ME"/>
        </w:rPr>
        <w:t>U vezi sa rosuvastatinom</w:t>
      </w:r>
    </w:p>
    <w:p w14:paraId="52EBAAA4" w14:textId="77777777" w:rsidR="00095D7E" w:rsidRDefault="00095D7E">
      <w:pPr>
        <w:widowControl w:val="0"/>
        <w:rPr>
          <w:szCs w:val="22"/>
          <w:u w:val="single"/>
          <w:lang w:val="sr-Latn-ME"/>
        </w:rPr>
      </w:pPr>
    </w:p>
    <w:p w14:paraId="35FE42D3" w14:textId="77777777" w:rsidR="00095D7E" w:rsidRDefault="008740DD">
      <w:pPr>
        <w:widowControl w:val="0"/>
        <w:rPr>
          <w:i/>
          <w:szCs w:val="22"/>
          <w:u w:val="single"/>
          <w:lang w:val="sr-Latn-ME"/>
        </w:rPr>
      </w:pPr>
      <w:r>
        <w:rPr>
          <w:i/>
          <w:szCs w:val="22"/>
          <w:u w:val="single"/>
          <w:lang w:val="sr-Latn-ME"/>
        </w:rPr>
        <w:t>Dejstvo istovremeno primijenjenih drugih ljekova na rosuvastatin</w:t>
      </w:r>
    </w:p>
    <w:p w14:paraId="76566C0B" w14:textId="77777777" w:rsidR="00095D7E" w:rsidRDefault="00095D7E">
      <w:pPr>
        <w:widowControl w:val="0"/>
        <w:rPr>
          <w:szCs w:val="22"/>
          <w:u w:val="single"/>
          <w:lang w:val="sr-Latn-ME"/>
        </w:rPr>
      </w:pPr>
    </w:p>
    <w:p w14:paraId="6C7BE891" w14:textId="77777777" w:rsidR="00095D7E" w:rsidRDefault="008740DD">
      <w:pPr>
        <w:widowControl w:val="0"/>
        <w:jc w:val="both"/>
        <w:rPr>
          <w:szCs w:val="22"/>
          <w:lang w:val="sr-Latn-ME"/>
        </w:rPr>
      </w:pPr>
      <w:r>
        <w:rPr>
          <w:i/>
          <w:szCs w:val="22"/>
          <w:lang w:val="sr-Latn-ME"/>
        </w:rPr>
        <w:t>Inhibitori transportnih proteina</w:t>
      </w:r>
      <w:r>
        <w:rPr>
          <w:szCs w:val="22"/>
          <w:lang w:val="sr-Latn-ME"/>
        </w:rPr>
        <w:t>: Rosuvastatin je supstrat određenih transportnih proteina uključujući transporter hepatičkog preuzimanja OATP1B1 i efluksni transporter BCRP. Istovremena primjena rosuvastatina sa ljekovima koji inhibiraju ove transportne proteine može da dovede do povećanih koncentracija rosuvastatina u plazmi i povećanog rizika od miopatije (vidjeti djelove 4.2, 4.4. i 4.5, Tabela 1).</w:t>
      </w:r>
    </w:p>
    <w:p w14:paraId="6895E534" w14:textId="77777777" w:rsidR="00095D7E" w:rsidRDefault="00095D7E">
      <w:pPr>
        <w:widowControl w:val="0"/>
        <w:jc w:val="both"/>
        <w:rPr>
          <w:bCs/>
          <w:szCs w:val="22"/>
          <w:lang w:val="sr-Latn-ME"/>
        </w:rPr>
      </w:pPr>
    </w:p>
    <w:p w14:paraId="5986F6B2" w14:textId="77777777" w:rsidR="00095D7E" w:rsidRDefault="008740DD">
      <w:pPr>
        <w:widowControl w:val="0"/>
        <w:jc w:val="both"/>
        <w:rPr>
          <w:szCs w:val="22"/>
          <w:lang w:val="sr-Latn-ME"/>
        </w:rPr>
      </w:pPr>
      <w:r>
        <w:rPr>
          <w:i/>
          <w:szCs w:val="22"/>
          <w:lang w:val="sr-Latn-ME"/>
        </w:rPr>
        <w:t>Ciklosporin</w:t>
      </w:r>
      <w:r>
        <w:rPr>
          <w:szCs w:val="22"/>
          <w:lang w:val="sr-Latn-ME"/>
        </w:rPr>
        <w:t>: Tokom istovremene terapije rosuvastatinom i ciklosporinom, vrijednosti PIK za rosuvastatin su bile prosječno 7 puta veće od onih koje su primijećene kod zdravih dobrovoljaca (vidjeti Tabelu 1). Rosuvastatin je kontraindikovan kod pacijenta koji istovremeno dobijaju ciklosporin (vidjeti dio 4.3). Istovremena primjena nije uticala na koncentraciju ciklosporina u plazmi.</w:t>
      </w:r>
    </w:p>
    <w:p w14:paraId="29B2FFB4" w14:textId="77777777" w:rsidR="00095D7E" w:rsidRDefault="00095D7E">
      <w:pPr>
        <w:widowControl w:val="0"/>
        <w:jc w:val="both"/>
        <w:rPr>
          <w:bCs/>
          <w:szCs w:val="22"/>
          <w:lang w:val="sr-Latn-ME"/>
        </w:rPr>
      </w:pPr>
    </w:p>
    <w:p w14:paraId="53086B97" w14:textId="77777777" w:rsidR="00095D7E" w:rsidRDefault="008740DD">
      <w:pPr>
        <w:widowControl w:val="0"/>
        <w:jc w:val="both"/>
        <w:rPr>
          <w:szCs w:val="22"/>
          <w:lang w:val="sr-Latn-ME"/>
        </w:rPr>
      </w:pPr>
      <w:r>
        <w:rPr>
          <w:i/>
          <w:szCs w:val="22"/>
          <w:lang w:val="sr-Latn-ME"/>
        </w:rPr>
        <w:t>Inhibitori proteaze:</w:t>
      </w:r>
      <w:r>
        <w:rPr>
          <w:szCs w:val="22"/>
          <w:lang w:val="sr-Latn-ME"/>
        </w:rPr>
        <w:t xml:space="preserve"> Iako tačan mehanizam interakcije nije poznat, istovremena primjena inhibitora proteaze može značajno da poveća izloženost rosuvastatinu (vidjeti Tabelu 1). Na primjer, u farmakokinetičkom ispitivanju istovremena primjena 10 mg rosuvastatina i kombinovanog lijeka sa dva inhibitora proteaze (300 mg atazanavira/100 mg ritonavira) kod zdravih dobrovoljaca bila je povezana sa povećanjem od približno tri puta i sedam puta za vrijednosti PIK i C</w:t>
      </w:r>
      <w:r>
        <w:rPr>
          <w:szCs w:val="22"/>
          <w:vertAlign w:val="subscript"/>
          <w:lang w:val="sr-Latn-ME"/>
        </w:rPr>
        <w:t>max</w:t>
      </w:r>
      <w:r>
        <w:rPr>
          <w:szCs w:val="22"/>
          <w:lang w:val="sr-Latn-ME"/>
        </w:rPr>
        <w:t xml:space="preserve"> rosuvastatina, tim redosljedom. Istovremena primjena rosuvastatina i nekih kombinacija inhibitora proteaze može biti uzeta u obzir nakon pažljivog razmatranja prilagođavanja doze rosuvastatina na osnovu očekivanog povećanja izloženosti rosuvastatinu (vidjeti djelove 4.2, 4.4, i 4.5, Tabela 1).</w:t>
      </w:r>
    </w:p>
    <w:p w14:paraId="05145979" w14:textId="77777777" w:rsidR="00095D7E" w:rsidRDefault="00095D7E">
      <w:pPr>
        <w:widowControl w:val="0"/>
        <w:jc w:val="both"/>
        <w:rPr>
          <w:bCs/>
          <w:szCs w:val="22"/>
          <w:lang w:val="sr-Latn-ME"/>
        </w:rPr>
      </w:pPr>
    </w:p>
    <w:p w14:paraId="78B933B9" w14:textId="77777777" w:rsidR="00095D7E" w:rsidRDefault="008740DD">
      <w:pPr>
        <w:widowControl w:val="0"/>
        <w:jc w:val="both"/>
        <w:rPr>
          <w:szCs w:val="22"/>
          <w:lang w:val="sr-Latn-ME"/>
        </w:rPr>
      </w:pPr>
      <w:r>
        <w:rPr>
          <w:i/>
          <w:szCs w:val="22"/>
          <w:lang w:val="sr-Latn-ME"/>
        </w:rPr>
        <w:t>Gemfibrozil i drugi ljekovi za snižavanje lipida:</w:t>
      </w:r>
      <w:r>
        <w:rPr>
          <w:szCs w:val="22"/>
          <w:lang w:val="sr-Latn-ME"/>
        </w:rPr>
        <w:t xml:space="preserve"> Istovremena primjena rosuvastatina i gemfibrozila dovela je do dvostrukog povećanja vrijednosti C</w:t>
      </w:r>
      <w:r>
        <w:rPr>
          <w:szCs w:val="22"/>
          <w:vertAlign w:val="subscript"/>
          <w:lang w:val="sr-Latn-ME"/>
        </w:rPr>
        <w:t>max</w:t>
      </w:r>
      <w:r>
        <w:rPr>
          <w:szCs w:val="22"/>
          <w:lang w:val="sr-Latn-ME"/>
        </w:rPr>
        <w:t xml:space="preserve"> i PIK za rosuvastatin (vidjeti dio 4.4).</w:t>
      </w:r>
    </w:p>
    <w:p w14:paraId="740225F5" w14:textId="77777777" w:rsidR="00095D7E" w:rsidRDefault="008740DD">
      <w:pPr>
        <w:widowControl w:val="0"/>
        <w:jc w:val="both"/>
        <w:rPr>
          <w:szCs w:val="22"/>
          <w:lang w:val="sr-Latn-ME"/>
        </w:rPr>
      </w:pPr>
      <w:r>
        <w:rPr>
          <w:szCs w:val="22"/>
          <w:lang w:val="sr-Latn-ME"/>
        </w:rPr>
        <w:t>Na osnovu podataka iz specifičnih studija interakcije ne očekuju se farmakokinetički relevantne interakcije sa fenofibratima, međutim, mogu se javiti farmakodinamske interakcije. Gemfibrozil, fenofibrat, drugi fibrati i nijacin (nikotinska kiselina) u dozama za snižavanje lipida (jednake ili veće od 1g/dan) povećavaju rizik od miopatije kada se daju istovremeno sa inhibitorima HMG-CoA reduktaze, vjerovatno zato što oni mogu da izazovu miopatiju i kada se daju samostalno. Doze od 30 mg i 40 mg su kontraindikovane sa istovremenom upotrebom fibrata (vidjeti dio 4.4). Kod ovih pacijenata terapiju treba započeti dozom od 5 mg.</w:t>
      </w:r>
    </w:p>
    <w:p w14:paraId="11771B9F" w14:textId="77777777" w:rsidR="00095D7E" w:rsidRDefault="00095D7E">
      <w:pPr>
        <w:widowControl w:val="0"/>
        <w:rPr>
          <w:szCs w:val="22"/>
          <w:lang w:val="sr-Latn-ME"/>
        </w:rPr>
      </w:pPr>
    </w:p>
    <w:p w14:paraId="216B60BB" w14:textId="77777777" w:rsidR="00095D7E" w:rsidRDefault="008740DD">
      <w:pPr>
        <w:widowControl w:val="0"/>
        <w:jc w:val="both"/>
        <w:rPr>
          <w:szCs w:val="22"/>
          <w:lang w:val="sr-Latn-ME"/>
        </w:rPr>
      </w:pPr>
      <w:r>
        <w:rPr>
          <w:i/>
          <w:szCs w:val="22"/>
          <w:lang w:val="sr-Latn-ME"/>
        </w:rPr>
        <w:t>Ezetimib</w:t>
      </w:r>
      <w:r>
        <w:rPr>
          <w:szCs w:val="22"/>
          <w:lang w:val="sr-Latn-ME"/>
        </w:rPr>
        <w:t>: Istovremena primjena 10 mg rosuvastatina i 10 mg ezetimiba dovela je do povećanja od 1,2 puta PIK vrijednosti rosuvastatina kod hiperholesterolemičnih ispitanika (Tabela 1). Međutim, farmakodinamske interakcije, u smislu neželjenih dejstva, između rosuvastatina i ezetimiba ne mogu se isključiti (vidjeti dio 4.4).</w:t>
      </w:r>
    </w:p>
    <w:p w14:paraId="2F6AA1BA" w14:textId="77777777" w:rsidR="00095D7E" w:rsidRDefault="00095D7E">
      <w:pPr>
        <w:widowControl w:val="0"/>
        <w:jc w:val="both"/>
        <w:rPr>
          <w:bCs/>
          <w:szCs w:val="22"/>
          <w:lang w:val="sr-Latn-ME"/>
        </w:rPr>
      </w:pPr>
    </w:p>
    <w:p w14:paraId="28CB3477" w14:textId="77777777" w:rsidR="00095D7E" w:rsidRDefault="008740DD">
      <w:pPr>
        <w:widowControl w:val="0"/>
        <w:jc w:val="both"/>
        <w:rPr>
          <w:bCs/>
          <w:szCs w:val="22"/>
          <w:lang w:val="sr-Latn-ME"/>
        </w:rPr>
      </w:pPr>
      <w:r>
        <w:rPr>
          <w:i/>
          <w:szCs w:val="22"/>
          <w:lang w:val="sr-Latn-ME"/>
        </w:rPr>
        <w:t>Antacid</w:t>
      </w:r>
      <w:r>
        <w:rPr>
          <w:szCs w:val="22"/>
          <w:lang w:val="sr-Latn-ME"/>
        </w:rPr>
        <w:t>: Istovremena primjena rosuvastatina sa suspenzijama antacida koje sadrže aluminijum i magnezijum hidroksid dovela je do smanjenja koncentracije rosuvastatina u plazmi od približno 50%. Ovo dejstvo je bilo smanjeno kada se antacid davao 2 sata poslije rosuvastatina. Klinički značaj ove interakcije nije ispitivan.</w:t>
      </w:r>
    </w:p>
    <w:p w14:paraId="16A86F2F" w14:textId="77777777" w:rsidR="00095D7E" w:rsidRDefault="00095D7E">
      <w:pPr>
        <w:pStyle w:val="Header"/>
        <w:widowControl w:val="0"/>
        <w:rPr>
          <w:rFonts w:ascii="Times New Roman" w:hAnsi="Times New Roman"/>
          <w:sz w:val="22"/>
          <w:szCs w:val="22"/>
          <w:lang w:val="sr-Latn-ME"/>
        </w:rPr>
      </w:pPr>
    </w:p>
    <w:p w14:paraId="56BE0928" w14:textId="77777777" w:rsidR="00095D7E" w:rsidRDefault="008740DD">
      <w:pPr>
        <w:widowControl w:val="0"/>
        <w:jc w:val="both"/>
        <w:rPr>
          <w:szCs w:val="22"/>
          <w:lang w:val="sr-Latn-ME"/>
        </w:rPr>
      </w:pPr>
      <w:r>
        <w:rPr>
          <w:i/>
          <w:szCs w:val="22"/>
          <w:lang w:val="sr-Latn-ME"/>
        </w:rPr>
        <w:t>Eritromicin</w:t>
      </w:r>
      <w:r>
        <w:rPr>
          <w:szCs w:val="22"/>
          <w:lang w:val="sr-Latn-ME"/>
        </w:rPr>
        <w:t>: Istovremena upotreba rosuvastatina i eritromicina dovela je do smanjenja od 20% za PIK i smanjenja od 30% za C</w:t>
      </w:r>
      <w:r>
        <w:rPr>
          <w:szCs w:val="22"/>
          <w:vertAlign w:val="subscript"/>
          <w:lang w:val="sr-Latn-ME"/>
        </w:rPr>
        <w:t>max</w:t>
      </w:r>
      <w:r>
        <w:rPr>
          <w:szCs w:val="22"/>
          <w:lang w:val="sr-Latn-ME"/>
        </w:rPr>
        <w:t xml:space="preserve"> rosuvastatina. Ova interakcija je možda izazvana povećanjem pokretljivosti crijeva prouzrokovanim eritromicinom.</w:t>
      </w:r>
    </w:p>
    <w:p w14:paraId="53722E61" w14:textId="77777777" w:rsidR="00095D7E" w:rsidRDefault="00095D7E">
      <w:pPr>
        <w:widowControl w:val="0"/>
        <w:spacing w:line="240" w:lineRule="auto"/>
        <w:jc w:val="both"/>
        <w:rPr>
          <w:szCs w:val="22"/>
          <w:lang w:val="sr-Latn-ME"/>
        </w:rPr>
      </w:pPr>
    </w:p>
    <w:p w14:paraId="5E6A19D3" w14:textId="77777777" w:rsidR="00095D7E" w:rsidRDefault="008740DD">
      <w:pPr>
        <w:widowControl w:val="0"/>
        <w:spacing w:line="240" w:lineRule="auto"/>
        <w:jc w:val="both"/>
        <w:rPr>
          <w:szCs w:val="22"/>
          <w:lang w:val="sr-Latn-ME"/>
        </w:rPr>
      </w:pPr>
      <w:r>
        <w:rPr>
          <w:i/>
          <w:szCs w:val="22"/>
          <w:lang w:val="sr-Latn-ME"/>
        </w:rPr>
        <w:t>Enzimi citohrom P450</w:t>
      </w:r>
      <w:r>
        <w:rPr>
          <w:szCs w:val="22"/>
          <w:lang w:val="sr-Latn-ME"/>
        </w:rPr>
        <w:t xml:space="preserve">: Rezultati ispitivanja u </w:t>
      </w:r>
      <w:r>
        <w:rPr>
          <w:i/>
          <w:szCs w:val="22"/>
          <w:lang w:val="sr-Latn-ME"/>
        </w:rPr>
        <w:t>in vitro</w:t>
      </w:r>
      <w:r>
        <w:rPr>
          <w:szCs w:val="22"/>
          <w:lang w:val="sr-Latn-ME"/>
        </w:rPr>
        <w:t xml:space="preserve"> i </w:t>
      </w:r>
      <w:r>
        <w:rPr>
          <w:i/>
          <w:szCs w:val="22"/>
          <w:lang w:val="sr-Latn-ME"/>
        </w:rPr>
        <w:t>in vivo</w:t>
      </w:r>
      <w:r>
        <w:rPr>
          <w:szCs w:val="22"/>
          <w:lang w:val="sr-Latn-ME"/>
        </w:rPr>
        <w:t xml:space="preserve"> uslovima pokazuju da rosuvastatin nije ni inhibitor, ni induktor citohrom P450 izoenzima. Pored toga, rosuvastatin je slab supstrat ovih izoenzima. Zbog toga se ne očekuju interakcije sa ljekovima kao posljedica metabolizma posredstvom citohroma P450</w:t>
      </w:r>
      <w:r>
        <w:rPr>
          <w:i/>
          <w:szCs w:val="22"/>
          <w:lang w:val="sr-Latn-ME"/>
        </w:rPr>
        <w:t xml:space="preserve">. </w:t>
      </w:r>
      <w:r>
        <w:rPr>
          <w:szCs w:val="22"/>
          <w:lang w:val="sr-Latn-ME"/>
        </w:rPr>
        <w:t xml:space="preserve">Nijesu primijećene klinički značajne interakcije između rosuvastatina i flukonazola </w:t>
      </w:r>
      <w:r>
        <w:rPr>
          <w:szCs w:val="22"/>
          <w:lang w:val="sr-Latn-ME"/>
        </w:rPr>
        <w:lastRenderedPageBreak/>
        <w:t>(inhibitor CYP2C9 i CYP3A4) ili ketokonazola (inhibitor CYP2A6 i CYP3A4).</w:t>
      </w:r>
    </w:p>
    <w:p w14:paraId="276DA4A5" w14:textId="77777777" w:rsidR="00095D7E" w:rsidRDefault="00095D7E">
      <w:pPr>
        <w:widowControl w:val="0"/>
        <w:spacing w:line="240" w:lineRule="auto"/>
        <w:jc w:val="both"/>
        <w:rPr>
          <w:szCs w:val="22"/>
          <w:lang w:val="sr-Latn-ME"/>
        </w:rPr>
      </w:pPr>
    </w:p>
    <w:p w14:paraId="3452247C" w14:textId="77777777" w:rsidR="00095D7E" w:rsidRDefault="008740DD">
      <w:pPr>
        <w:widowControl w:val="0"/>
        <w:spacing w:line="240" w:lineRule="auto"/>
        <w:jc w:val="both"/>
        <w:rPr>
          <w:i/>
          <w:szCs w:val="22"/>
        </w:rPr>
      </w:pPr>
      <w:r>
        <w:rPr>
          <w:i/>
          <w:szCs w:val="22"/>
        </w:rPr>
        <w:t xml:space="preserve">Tikagrelor: </w:t>
      </w:r>
      <w:r>
        <w:rPr>
          <w:szCs w:val="22"/>
        </w:rPr>
        <w:t>Tikagrelor može uticati na izlučivanje rosuvastatina putem bubrega, povećavajući rizik od nakupljanja rosuvastatina. Iako tačan mehanizam nije poznat, u nekim je slučajevima istovremena primjena tikagrelora i rosuvastatina dovela do smanjenja bubrežne funkcije, povišenog nivoa vrijednosti kreatin fosfokinaze i rabdomiolize</w:t>
      </w:r>
      <w:r>
        <w:rPr>
          <w:i/>
          <w:szCs w:val="22"/>
        </w:rPr>
        <w:t>.</w:t>
      </w:r>
    </w:p>
    <w:p w14:paraId="4E4E7B05" w14:textId="77777777" w:rsidR="00095D7E" w:rsidRDefault="00095D7E">
      <w:pPr>
        <w:widowControl w:val="0"/>
        <w:spacing w:line="240" w:lineRule="auto"/>
        <w:jc w:val="both"/>
        <w:rPr>
          <w:szCs w:val="22"/>
          <w:lang w:val="sr-Latn-ME"/>
        </w:rPr>
      </w:pPr>
    </w:p>
    <w:p w14:paraId="33D23DB8" w14:textId="77777777" w:rsidR="00095D7E" w:rsidRDefault="008740DD">
      <w:pPr>
        <w:widowControl w:val="0"/>
        <w:spacing w:line="240" w:lineRule="auto"/>
        <w:jc w:val="both"/>
        <w:rPr>
          <w:b/>
          <w:szCs w:val="22"/>
          <w:lang w:val="sr-Latn-ME"/>
        </w:rPr>
      </w:pPr>
      <w:r>
        <w:rPr>
          <w:i/>
          <w:szCs w:val="22"/>
          <w:lang w:val="sr-Latn-ME"/>
        </w:rPr>
        <w:t>Interakcije koje zahtijevaju prilagođavanje doze rosuvastatina (vidjeti i Tabelu 1)</w:t>
      </w:r>
      <w:r>
        <w:rPr>
          <w:szCs w:val="22"/>
          <w:lang w:val="sr-Latn-ME"/>
        </w:rPr>
        <w:t>: Kada je neophodna istovremena primjena rosuvastatina sa drugim ljekovima za koje se zna da povećavaju izloženost rosuvastatinu, moraju se prilagoditi doze rosuvastatina. Započeti sa dozom od 5 mg rosuvastatina jednom dnevno ako je očekivano povećanje izloženosti (PIK) približno dvostruko ili veće. Maksimalna dnevna doza rosuvastatina se mora prilagoditi tako da očekivana izloženost rosuvastatinu ne bude veća od izloženosti sa dnevnom dozom rosuvastatina od 40 mg kada se uzima bez interreagujućih ljekova, na primjer, doza od 20 mg rosuvastatina sa gemfibrozilom (povećanje od 1,9 puta) i doza od 10 mg rosuvastatina sa kombinacijom atazanavir/ritonavir (povećanje od 3,1 put).</w:t>
      </w:r>
      <w:r>
        <w:rPr>
          <w:b/>
          <w:szCs w:val="22"/>
          <w:lang w:val="sr-Latn-ME"/>
        </w:rPr>
        <w:t xml:space="preserve"> </w:t>
      </w:r>
    </w:p>
    <w:p w14:paraId="23967996" w14:textId="77777777" w:rsidR="00095D7E" w:rsidRDefault="00095D7E">
      <w:pPr>
        <w:widowControl w:val="0"/>
        <w:jc w:val="both"/>
        <w:rPr>
          <w:b/>
          <w:szCs w:val="22"/>
          <w:lang w:val="sr-Latn-ME"/>
        </w:rPr>
      </w:pPr>
    </w:p>
    <w:p w14:paraId="5EC33CBE" w14:textId="77777777" w:rsidR="00095D7E" w:rsidRDefault="008740DD">
      <w:pPr>
        <w:widowControl w:val="0"/>
        <w:jc w:val="both"/>
        <w:rPr>
          <w:szCs w:val="22"/>
        </w:rPr>
      </w:pPr>
      <w:r>
        <w:rPr>
          <w:szCs w:val="22"/>
        </w:rPr>
        <w:t>Ukoliko ljekovi uzrokuju povećanje izloženosti rosuvastatinu (AUC) manje od 2 puta, nije potrebno snižavanje početne doze, ali je potreban oprez u slučaju povećanja doze rosuvastatina iznad 20 mg.</w:t>
      </w:r>
    </w:p>
    <w:p w14:paraId="02FE2948" w14:textId="77777777" w:rsidR="00095D7E" w:rsidRDefault="00095D7E">
      <w:pPr>
        <w:widowControl w:val="0"/>
        <w:jc w:val="both"/>
        <w:rPr>
          <w:b/>
          <w:szCs w:val="22"/>
          <w:lang w:val="sr-Latn-ME"/>
        </w:rPr>
      </w:pPr>
    </w:p>
    <w:p w14:paraId="6B8263FA" w14:textId="77777777" w:rsidR="00095D7E" w:rsidRDefault="008740DD">
      <w:pPr>
        <w:pStyle w:val="A-TableTitle"/>
        <w:keepNext w:val="0"/>
        <w:widowControl w:val="0"/>
        <w:spacing w:after="0" w:line="240" w:lineRule="auto"/>
        <w:ind w:left="0" w:firstLine="0"/>
        <w:jc w:val="both"/>
        <w:rPr>
          <w:sz w:val="22"/>
          <w:szCs w:val="22"/>
          <w:lang w:val="sr-Latn-ME"/>
        </w:rPr>
      </w:pPr>
      <w:r>
        <w:rPr>
          <w:sz w:val="22"/>
          <w:szCs w:val="22"/>
          <w:lang w:val="sr-Latn-ME"/>
        </w:rPr>
        <w:t>Tabela 1. Dejstva istovremeno primijenjenih ljekova na izloženost rosuvastatinu (PIK; u opadajućem redosljedu) iz objavljenih kliničkih ispitivanja</w:t>
      </w:r>
    </w:p>
    <w:p w14:paraId="04427034" w14:textId="77777777" w:rsidR="00095D7E" w:rsidRDefault="00095D7E">
      <w:pPr>
        <w:rPr>
          <w:lang w:val="sr-Latn-ME"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6"/>
        <w:gridCol w:w="1821"/>
        <w:gridCol w:w="2154"/>
      </w:tblGrid>
      <w:tr w:rsidR="00095D7E" w14:paraId="6F20B494" w14:textId="77777777">
        <w:tc>
          <w:tcPr>
            <w:tcW w:w="0" w:type="auto"/>
            <w:gridSpan w:val="3"/>
            <w:shd w:val="clear" w:color="auto" w:fill="auto"/>
          </w:tcPr>
          <w:p w14:paraId="03D7212F" w14:textId="77777777" w:rsidR="00095D7E" w:rsidRDefault="008740DD">
            <w:pPr>
              <w:keepNext/>
              <w:outlineLvl w:val="2"/>
              <w:rPr>
                <w:b/>
                <w:iCs/>
                <w:szCs w:val="22"/>
                <w:lang w:val="sr-Latn-ME" w:eastAsia="hr-HR"/>
              </w:rPr>
            </w:pPr>
            <w:r>
              <w:rPr>
                <w:b/>
                <w:iCs/>
                <w:szCs w:val="22"/>
                <w:lang w:eastAsia="hr-HR"/>
              </w:rPr>
              <w:lastRenderedPageBreak/>
              <w:t>Dvostruko ili više od dvostruko povećanje izloženosti rosuvastatinu (AUC)</w:t>
            </w:r>
          </w:p>
        </w:tc>
      </w:tr>
      <w:tr w:rsidR="00095D7E" w14:paraId="45612472" w14:textId="77777777">
        <w:tc>
          <w:tcPr>
            <w:tcW w:w="0" w:type="auto"/>
            <w:shd w:val="clear" w:color="auto" w:fill="auto"/>
          </w:tcPr>
          <w:p w14:paraId="54BC8DEC" w14:textId="77777777" w:rsidR="00095D7E" w:rsidRDefault="008740DD">
            <w:pPr>
              <w:keepNext/>
              <w:jc w:val="center"/>
              <w:outlineLvl w:val="2"/>
              <w:rPr>
                <w:b/>
                <w:i/>
                <w:iCs/>
                <w:szCs w:val="22"/>
                <w:lang w:val="sr-Latn-ME" w:eastAsia="hr-HR"/>
              </w:rPr>
            </w:pPr>
            <w:r>
              <w:rPr>
                <w:b/>
                <w:i/>
                <w:iCs/>
                <w:szCs w:val="22"/>
                <w:lang w:val="sr-Latn-ME" w:eastAsia="hr-HR"/>
              </w:rPr>
              <w:t>Dozni režim lijeka sa kojim rosuvastatin stupa u interakciju</w:t>
            </w:r>
          </w:p>
        </w:tc>
        <w:tc>
          <w:tcPr>
            <w:tcW w:w="0" w:type="auto"/>
            <w:shd w:val="clear" w:color="auto" w:fill="auto"/>
          </w:tcPr>
          <w:p w14:paraId="609D6FD3" w14:textId="77777777" w:rsidR="00095D7E" w:rsidRDefault="008740DD">
            <w:pPr>
              <w:keepNext/>
              <w:jc w:val="center"/>
              <w:outlineLvl w:val="2"/>
              <w:rPr>
                <w:b/>
                <w:i/>
                <w:iCs/>
                <w:szCs w:val="22"/>
                <w:lang w:val="sr-Latn-ME" w:eastAsia="hr-HR"/>
              </w:rPr>
            </w:pPr>
            <w:r>
              <w:rPr>
                <w:b/>
                <w:i/>
                <w:iCs/>
                <w:szCs w:val="22"/>
                <w:lang w:val="sr-Latn-ME" w:eastAsia="hr-HR"/>
              </w:rPr>
              <w:t>Dozni režim</w:t>
            </w:r>
          </w:p>
          <w:p w14:paraId="12D7CA5F" w14:textId="77777777" w:rsidR="00095D7E" w:rsidRDefault="008740DD">
            <w:pPr>
              <w:keepNext/>
              <w:jc w:val="center"/>
              <w:outlineLvl w:val="2"/>
              <w:rPr>
                <w:b/>
                <w:i/>
                <w:iCs/>
                <w:szCs w:val="22"/>
                <w:lang w:val="sr-Latn-ME" w:eastAsia="hr-HR"/>
              </w:rPr>
            </w:pPr>
            <w:r>
              <w:rPr>
                <w:b/>
                <w:i/>
                <w:iCs/>
                <w:szCs w:val="22"/>
                <w:lang w:val="sr-Latn-ME" w:eastAsia="hr-HR"/>
              </w:rPr>
              <w:t>rosuvastatina</w:t>
            </w:r>
          </w:p>
        </w:tc>
        <w:tc>
          <w:tcPr>
            <w:tcW w:w="0" w:type="auto"/>
            <w:shd w:val="clear" w:color="auto" w:fill="auto"/>
          </w:tcPr>
          <w:p w14:paraId="7B7B5462" w14:textId="77777777" w:rsidR="00095D7E" w:rsidRDefault="008740DD">
            <w:pPr>
              <w:keepNext/>
              <w:jc w:val="center"/>
              <w:outlineLvl w:val="2"/>
              <w:rPr>
                <w:b/>
                <w:i/>
                <w:iCs/>
                <w:szCs w:val="22"/>
                <w:lang w:val="sr-Latn-ME" w:eastAsia="hr-HR"/>
              </w:rPr>
            </w:pPr>
            <w:r>
              <w:rPr>
                <w:b/>
                <w:i/>
                <w:iCs/>
                <w:szCs w:val="22"/>
                <w:lang w:val="sr-Latn-ME" w:eastAsia="hr-HR"/>
              </w:rPr>
              <w:t>Promjene u raspoloživosti rosuvastatina (PIK*)</w:t>
            </w:r>
          </w:p>
        </w:tc>
      </w:tr>
      <w:tr w:rsidR="00095D7E" w14:paraId="4913A5B7" w14:textId="77777777">
        <w:tc>
          <w:tcPr>
            <w:tcW w:w="0" w:type="auto"/>
            <w:shd w:val="clear" w:color="auto" w:fill="auto"/>
          </w:tcPr>
          <w:p w14:paraId="3ABFF22C" w14:textId="77777777" w:rsidR="00095D7E" w:rsidRDefault="008740DD">
            <w:pPr>
              <w:keepNext/>
              <w:outlineLvl w:val="2"/>
              <w:rPr>
                <w:iCs/>
                <w:szCs w:val="22"/>
                <w:lang w:val="sr-Latn-ME" w:eastAsia="hr-HR"/>
              </w:rPr>
            </w:pPr>
            <w:r>
              <w:rPr>
                <w:iCs/>
                <w:szCs w:val="22"/>
                <w:lang w:val="sr-Latn-ME" w:eastAsia="hr-HR"/>
              </w:rPr>
              <w:t>Sofosbuvir/velpatasvir/voksilaprevir (400 mg-100 mg-100 mg) + voksilaprevir (100 mg) jednom dnevno 15 dana</w:t>
            </w:r>
          </w:p>
        </w:tc>
        <w:tc>
          <w:tcPr>
            <w:tcW w:w="0" w:type="auto"/>
            <w:shd w:val="clear" w:color="auto" w:fill="auto"/>
          </w:tcPr>
          <w:p w14:paraId="70BA43C5" w14:textId="77777777" w:rsidR="00095D7E" w:rsidRDefault="008740DD">
            <w:pPr>
              <w:keepNext/>
              <w:outlineLvl w:val="2"/>
              <w:rPr>
                <w:iCs/>
                <w:szCs w:val="22"/>
                <w:lang w:val="sr-Latn-ME" w:eastAsia="hr-HR"/>
              </w:rPr>
            </w:pPr>
            <w:r>
              <w:rPr>
                <w:iCs/>
                <w:szCs w:val="22"/>
                <w:lang w:val="sr-Latn-ME" w:eastAsia="hr-HR"/>
              </w:rPr>
              <w:t>10 mg, jedna doza</w:t>
            </w:r>
          </w:p>
        </w:tc>
        <w:tc>
          <w:tcPr>
            <w:tcW w:w="0" w:type="auto"/>
            <w:shd w:val="clear" w:color="auto" w:fill="auto"/>
          </w:tcPr>
          <w:p w14:paraId="34C6C8D7" w14:textId="77777777" w:rsidR="00095D7E" w:rsidRDefault="008740DD">
            <w:pPr>
              <w:keepNext/>
              <w:jc w:val="center"/>
              <w:outlineLvl w:val="2"/>
              <w:rPr>
                <w:iCs/>
                <w:szCs w:val="22"/>
                <w:lang w:val="sr-Latn-ME" w:eastAsia="hr-HR"/>
              </w:rPr>
            </w:pPr>
            <w:r>
              <w:rPr>
                <w:iCs/>
                <w:szCs w:val="22"/>
                <w:lang w:val="sr-Latn-ME" w:eastAsia="hr-HR"/>
              </w:rPr>
              <w:t>7.4 - puta ↑</w:t>
            </w:r>
          </w:p>
        </w:tc>
      </w:tr>
      <w:tr w:rsidR="00095D7E" w14:paraId="22DC55CB" w14:textId="77777777">
        <w:tc>
          <w:tcPr>
            <w:tcW w:w="0" w:type="auto"/>
            <w:shd w:val="clear" w:color="auto" w:fill="auto"/>
          </w:tcPr>
          <w:p w14:paraId="11C92D82" w14:textId="77777777" w:rsidR="00095D7E" w:rsidRDefault="008740DD">
            <w:pPr>
              <w:keepNext/>
              <w:outlineLvl w:val="2"/>
              <w:rPr>
                <w:iCs/>
                <w:szCs w:val="22"/>
                <w:lang w:val="sr-Latn-ME" w:eastAsia="hr-HR"/>
              </w:rPr>
            </w:pPr>
            <w:r>
              <w:rPr>
                <w:iCs/>
                <w:szCs w:val="22"/>
                <w:lang w:val="sr-Latn-ME" w:eastAsia="hr-HR"/>
              </w:rPr>
              <w:t>Ciklosporin 75 mg dva puta dnevno, do 200 mg dva puta dnevno, 6 mjeseci</w:t>
            </w:r>
          </w:p>
        </w:tc>
        <w:tc>
          <w:tcPr>
            <w:tcW w:w="0" w:type="auto"/>
            <w:shd w:val="clear" w:color="auto" w:fill="auto"/>
          </w:tcPr>
          <w:p w14:paraId="6DE38766" w14:textId="77777777" w:rsidR="00095D7E" w:rsidRDefault="008740DD">
            <w:pPr>
              <w:keepNext/>
              <w:jc w:val="center"/>
              <w:outlineLvl w:val="2"/>
              <w:rPr>
                <w:iCs/>
                <w:szCs w:val="22"/>
                <w:lang w:val="sr-Latn-ME" w:eastAsia="hr-HR"/>
              </w:rPr>
            </w:pPr>
            <w:r>
              <w:rPr>
                <w:iCs/>
                <w:szCs w:val="22"/>
                <w:lang w:val="sr-Latn-ME" w:eastAsia="hr-HR"/>
              </w:rPr>
              <w:t>10 mg jednom dnevno, 10 dana</w:t>
            </w:r>
          </w:p>
        </w:tc>
        <w:tc>
          <w:tcPr>
            <w:tcW w:w="0" w:type="auto"/>
            <w:shd w:val="clear" w:color="auto" w:fill="auto"/>
          </w:tcPr>
          <w:p w14:paraId="4CCE5694" w14:textId="77777777" w:rsidR="00095D7E" w:rsidRDefault="008740DD">
            <w:pPr>
              <w:keepNext/>
              <w:jc w:val="center"/>
              <w:outlineLvl w:val="2"/>
              <w:rPr>
                <w:iCs/>
                <w:szCs w:val="22"/>
                <w:lang w:val="sr-Latn-ME" w:eastAsia="hr-HR"/>
              </w:rPr>
            </w:pPr>
            <w:r>
              <w:rPr>
                <w:iCs/>
                <w:szCs w:val="22"/>
                <w:lang w:val="sr-Latn-ME" w:eastAsia="hr-HR"/>
              </w:rPr>
              <w:t>7.1 - puta ↑</w:t>
            </w:r>
          </w:p>
        </w:tc>
      </w:tr>
      <w:tr w:rsidR="00095D7E" w14:paraId="56C316D0" w14:textId="77777777">
        <w:tc>
          <w:tcPr>
            <w:tcW w:w="0" w:type="auto"/>
            <w:shd w:val="clear" w:color="auto" w:fill="auto"/>
          </w:tcPr>
          <w:p w14:paraId="79D4010B" w14:textId="77777777" w:rsidR="00095D7E" w:rsidRDefault="008740DD">
            <w:pPr>
              <w:keepNext/>
              <w:outlineLvl w:val="2"/>
              <w:rPr>
                <w:iCs/>
                <w:szCs w:val="22"/>
                <w:lang w:val="sr-Latn-ME" w:eastAsia="hr-HR"/>
              </w:rPr>
            </w:pPr>
            <w:r>
              <w:rPr>
                <w:iCs/>
                <w:szCs w:val="22"/>
                <w:lang w:val="sr-Latn-ME" w:eastAsia="hr-HR"/>
              </w:rPr>
              <w:t>Darolutamid 600 mg BID, 5 dana</w:t>
            </w:r>
          </w:p>
        </w:tc>
        <w:tc>
          <w:tcPr>
            <w:tcW w:w="0" w:type="auto"/>
            <w:shd w:val="clear" w:color="auto" w:fill="auto"/>
          </w:tcPr>
          <w:p w14:paraId="5538FAF5" w14:textId="77777777" w:rsidR="00095D7E" w:rsidRDefault="008740DD">
            <w:pPr>
              <w:keepNext/>
              <w:jc w:val="center"/>
              <w:outlineLvl w:val="2"/>
              <w:rPr>
                <w:iCs/>
                <w:szCs w:val="22"/>
                <w:lang w:val="sr-Latn-ME" w:eastAsia="hr-HR"/>
              </w:rPr>
            </w:pPr>
            <w:r>
              <w:rPr>
                <w:iCs/>
                <w:szCs w:val="22"/>
                <w:lang w:val="sr-Latn-ME" w:eastAsia="hr-HR"/>
              </w:rPr>
              <w:t>5 mg, jedna doza</w:t>
            </w:r>
          </w:p>
        </w:tc>
        <w:tc>
          <w:tcPr>
            <w:tcW w:w="0" w:type="auto"/>
            <w:shd w:val="clear" w:color="auto" w:fill="auto"/>
          </w:tcPr>
          <w:p w14:paraId="06005B81" w14:textId="77777777" w:rsidR="00095D7E" w:rsidRDefault="008740DD">
            <w:pPr>
              <w:keepNext/>
              <w:jc w:val="center"/>
              <w:outlineLvl w:val="2"/>
              <w:rPr>
                <w:iCs/>
                <w:szCs w:val="22"/>
                <w:lang w:val="sr-Latn-ME" w:eastAsia="hr-HR"/>
              </w:rPr>
            </w:pPr>
            <w:r>
              <w:rPr>
                <w:iCs/>
                <w:szCs w:val="22"/>
                <w:lang w:val="sr-Latn-ME" w:eastAsia="hr-HR"/>
              </w:rPr>
              <w:t>5.2 - puta ↑</w:t>
            </w:r>
          </w:p>
        </w:tc>
      </w:tr>
      <w:tr w:rsidR="00095D7E" w14:paraId="03F87A25" w14:textId="77777777">
        <w:tc>
          <w:tcPr>
            <w:tcW w:w="0" w:type="auto"/>
            <w:shd w:val="clear" w:color="auto" w:fill="auto"/>
          </w:tcPr>
          <w:p w14:paraId="154F172F" w14:textId="77777777" w:rsidR="00095D7E" w:rsidRDefault="008740DD">
            <w:pPr>
              <w:keepNext/>
              <w:outlineLvl w:val="2"/>
              <w:rPr>
                <w:iCs/>
                <w:szCs w:val="22"/>
                <w:lang w:val="sr-Latn-ME" w:eastAsia="hr-HR"/>
              </w:rPr>
            </w:pPr>
            <w:r>
              <w:rPr>
                <w:iCs/>
                <w:szCs w:val="22"/>
                <w:lang w:val="sr-Latn-ME" w:eastAsia="hr-HR"/>
              </w:rPr>
              <w:t>Regorafenib 160 mg, jednom dnevno, 14 dana</w:t>
            </w:r>
          </w:p>
        </w:tc>
        <w:tc>
          <w:tcPr>
            <w:tcW w:w="0" w:type="auto"/>
            <w:shd w:val="clear" w:color="auto" w:fill="auto"/>
          </w:tcPr>
          <w:p w14:paraId="163935F3" w14:textId="77777777" w:rsidR="00095D7E" w:rsidRDefault="008740DD">
            <w:pPr>
              <w:keepNext/>
              <w:jc w:val="center"/>
              <w:outlineLvl w:val="2"/>
              <w:rPr>
                <w:iCs/>
                <w:szCs w:val="22"/>
                <w:lang w:val="sr-Latn-ME" w:eastAsia="hr-HR"/>
              </w:rPr>
            </w:pPr>
            <w:r>
              <w:rPr>
                <w:iCs/>
                <w:szCs w:val="22"/>
                <w:lang w:val="sr-Latn-ME" w:eastAsia="hr-HR"/>
              </w:rPr>
              <w:t>5 mg u jednoj dozi</w:t>
            </w:r>
          </w:p>
        </w:tc>
        <w:tc>
          <w:tcPr>
            <w:tcW w:w="0" w:type="auto"/>
            <w:shd w:val="clear" w:color="auto" w:fill="auto"/>
          </w:tcPr>
          <w:p w14:paraId="2BD776E2" w14:textId="77777777" w:rsidR="00095D7E" w:rsidRDefault="008740DD">
            <w:pPr>
              <w:keepNext/>
              <w:jc w:val="center"/>
              <w:outlineLvl w:val="2"/>
              <w:rPr>
                <w:iCs/>
                <w:szCs w:val="22"/>
                <w:lang w:val="sr-Latn-ME" w:eastAsia="hr-HR"/>
              </w:rPr>
            </w:pPr>
            <w:r>
              <w:rPr>
                <w:iCs/>
                <w:szCs w:val="22"/>
                <w:lang w:val="sr-Latn-ME" w:eastAsia="hr-HR"/>
              </w:rPr>
              <w:t>3.8 - puta ↑</w:t>
            </w:r>
          </w:p>
        </w:tc>
      </w:tr>
      <w:tr w:rsidR="00095D7E" w14:paraId="1628514C" w14:textId="77777777">
        <w:tc>
          <w:tcPr>
            <w:tcW w:w="0" w:type="auto"/>
            <w:shd w:val="clear" w:color="auto" w:fill="auto"/>
          </w:tcPr>
          <w:p w14:paraId="6E72A033" w14:textId="77777777" w:rsidR="00095D7E" w:rsidRDefault="008740DD">
            <w:pPr>
              <w:keepNext/>
              <w:outlineLvl w:val="2"/>
              <w:rPr>
                <w:iCs/>
                <w:szCs w:val="22"/>
                <w:lang w:val="sr-Latn-ME" w:eastAsia="hr-HR"/>
              </w:rPr>
            </w:pPr>
            <w:r>
              <w:rPr>
                <w:iCs/>
                <w:szCs w:val="22"/>
                <w:lang w:val="sr-Latn-ME" w:eastAsia="hr-HR"/>
              </w:rPr>
              <w:t>Atazanavir 300 mg/ritonavir 100 mg jednom dnevno, 8 dana</w:t>
            </w:r>
          </w:p>
        </w:tc>
        <w:tc>
          <w:tcPr>
            <w:tcW w:w="0" w:type="auto"/>
            <w:shd w:val="clear" w:color="auto" w:fill="auto"/>
          </w:tcPr>
          <w:p w14:paraId="3E78BEA9" w14:textId="77777777" w:rsidR="00095D7E" w:rsidRDefault="008740DD">
            <w:pPr>
              <w:keepNext/>
              <w:jc w:val="center"/>
              <w:outlineLvl w:val="2"/>
              <w:rPr>
                <w:iCs/>
                <w:szCs w:val="22"/>
                <w:lang w:val="sr-Latn-ME" w:eastAsia="hr-HR"/>
              </w:rPr>
            </w:pPr>
            <w:r>
              <w:rPr>
                <w:iCs/>
                <w:szCs w:val="22"/>
                <w:lang w:val="sr-Latn-ME" w:eastAsia="hr-HR"/>
              </w:rPr>
              <w:t>10 mg u jednoj dozi</w:t>
            </w:r>
          </w:p>
        </w:tc>
        <w:tc>
          <w:tcPr>
            <w:tcW w:w="0" w:type="auto"/>
            <w:shd w:val="clear" w:color="auto" w:fill="auto"/>
          </w:tcPr>
          <w:p w14:paraId="3937363B" w14:textId="77777777" w:rsidR="00095D7E" w:rsidRDefault="008740DD">
            <w:pPr>
              <w:keepNext/>
              <w:jc w:val="center"/>
              <w:outlineLvl w:val="2"/>
              <w:rPr>
                <w:iCs/>
                <w:szCs w:val="22"/>
                <w:lang w:val="sr-Latn-ME" w:eastAsia="hr-HR"/>
              </w:rPr>
            </w:pPr>
            <w:r>
              <w:rPr>
                <w:iCs/>
                <w:szCs w:val="22"/>
                <w:lang w:val="sr-Latn-ME" w:eastAsia="hr-HR"/>
              </w:rPr>
              <w:t>3.1 - puta ↑</w:t>
            </w:r>
          </w:p>
        </w:tc>
      </w:tr>
      <w:tr w:rsidR="00095D7E" w14:paraId="3DD8E7CF" w14:textId="77777777">
        <w:tc>
          <w:tcPr>
            <w:tcW w:w="0" w:type="auto"/>
            <w:shd w:val="clear" w:color="auto" w:fill="auto"/>
          </w:tcPr>
          <w:p w14:paraId="23C39E9D" w14:textId="77777777" w:rsidR="00095D7E" w:rsidRDefault="008740DD">
            <w:pPr>
              <w:keepNext/>
              <w:outlineLvl w:val="2"/>
              <w:rPr>
                <w:iCs/>
                <w:szCs w:val="22"/>
                <w:lang w:val="sr-Latn-ME" w:eastAsia="hr-HR"/>
              </w:rPr>
            </w:pPr>
            <w:r>
              <w:rPr>
                <w:iCs/>
                <w:szCs w:val="22"/>
                <w:lang w:val="sr-Latn-ME" w:eastAsia="hr-HR"/>
              </w:rPr>
              <w:t>Velpatasvir 100 mg jednom dnevno</w:t>
            </w:r>
          </w:p>
        </w:tc>
        <w:tc>
          <w:tcPr>
            <w:tcW w:w="0" w:type="auto"/>
            <w:shd w:val="clear" w:color="auto" w:fill="auto"/>
          </w:tcPr>
          <w:p w14:paraId="22A8A3E3" w14:textId="77777777" w:rsidR="00095D7E" w:rsidRDefault="008740DD">
            <w:pPr>
              <w:keepNext/>
              <w:jc w:val="center"/>
              <w:outlineLvl w:val="2"/>
              <w:rPr>
                <w:iCs/>
                <w:szCs w:val="22"/>
                <w:lang w:val="sr-Latn-ME" w:eastAsia="hr-HR"/>
              </w:rPr>
            </w:pPr>
            <w:r>
              <w:rPr>
                <w:iCs/>
                <w:szCs w:val="22"/>
                <w:lang w:val="sr-Latn-ME" w:eastAsia="hr-HR"/>
              </w:rPr>
              <w:t>10 mg u jednoj dozi</w:t>
            </w:r>
          </w:p>
        </w:tc>
        <w:tc>
          <w:tcPr>
            <w:tcW w:w="0" w:type="auto"/>
            <w:shd w:val="clear" w:color="auto" w:fill="auto"/>
          </w:tcPr>
          <w:p w14:paraId="3AA3ED71" w14:textId="77777777" w:rsidR="00095D7E" w:rsidRDefault="008740DD">
            <w:pPr>
              <w:keepNext/>
              <w:jc w:val="center"/>
              <w:outlineLvl w:val="2"/>
              <w:rPr>
                <w:iCs/>
                <w:szCs w:val="22"/>
                <w:lang w:val="sr-Latn-ME" w:eastAsia="hr-HR"/>
              </w:rPr>
            </w:pPr>
            <w:r>
              <w:rPr>
                <w:iCs/>
                <w:szCs w:val="22"/>
                <w:lang w:val="sr-Latn-ME" w:eastAsia="hr-HR"/>
              </w:rPr>
              <w:t>2.7 - puta ↑</w:t>
            </w:r>
          </w:p>
        </w:tc>
      </w:tr>
      <w:tr w:rsidR="00095D7E" w14:paraId="7B69EBFC" w14:textId="77777777">
        <w:tc>
          <w:tcPr>
            <w:tcW w:w="0" w:type="auto"/>
            <w:shd w:val="clear" w:color="auto" w:fill="auto"/>
          </w:tcPr>
          <w:p w14:paraId="4541CF49" w14:textId="77777777" w:rsidR="00095D7E" w:rsidRDefault="008740DD">
            <w:pPr>
              <w:keepNext/>
              <w:outlineLvl w:val="2"/>
              <w:rPr>
                <w:iCs/>
                <w:szCs w:val="22"/>
                <w:lang w:val="sr-Latn-ME" w:eastAsia="hr-HR"/>
              </w:rPr>
            </w:pPr>
            <w:r>
              <w:rPr>
                <w:iCs/>
                <w:szCs w:val="22"/>
                <w:lang w:val="sr-Latn-ME" w:eastAsia="hr-HR"/>
              </w:rPr>
              <w:t>Ombitasvir 25 mg/paritaprevir 150 mg/ Ritonavir 100 mg jednom dnevno/dasabuvir 400 mg dva puta dnevno, 14 dana</w:t>
            </w:r>
          </w:p>
        </w:tc>
        <w:tc>
          <w:tcPr>
            <w:tcW w:w="0" w:type="auto"/>
            <w:shd w:val="clear" w:color="auto" w:fill="auto"/>
          </w:tcPr>
          <w:p w14:paraId="08B9EA41" w14:textId="77777777" w:rsidR="00095D7E" w:rsidRDefault="008740DD">
            <w:pPr>
              <w:keepNext/>
              <w:jc w:val="center"/>
              <w:outlineLvl w:val="2"/>
              <w:rPr>
                <w:iCs/>
                <w:szCs w:val="22"/>
                <w:lang w:val="sr-Latn-ME" w:eastAsia="hr-HR"/>
              </w:rPr>
            </w:pPr>
            <w:r>
              <w:rPr>
                <w:iCs/>
                <w:szCs w:val="22"/>
                <w:lang w:val="sr-Latn-ME" w:eastAsia="hr-HR"/>
              </w:rPr>
              <w:t>5 mg u jednoj dozi</w:t>
            </w:r>
          </w:p>
        </w:tc>
        <w:tc>
          <w:tcPr>
            <w:tcW w:w="0" w:type="auto"/>
            <w:shd w:val="clear" w:color="auto" w:fill="auto"/>
          </w:tcPr>
          <w:p w14:paraId="5F5C8512" w14:textId="77777777" w:rsidR="00095D7E" w:rsidRDefault="008740DD">
            <w:pPr>
              <w:keepNext/>
              <w:jc w:val="center"/>
              <w:outlineLvl w:val="2"/>
              <w:rPr>
                <w:iCs/>
                <w:szCs w:val="22"/>
                <w:lang w:val="sr-Latn-ME" w:eastAsia="hr-HR"/>
              </w:rPr>
            </w:pPr>
            <w:r>
              <w:rPr>
                <w:iCs/>
                <w:szCs w:val="22"/>
                <w:lang w:val="sr-Latn-ME" w:eastAsia="hr-HR"/>
              </w:rPr>
              <w:t>2.6 - puta↑</w:t>
            </w:r>
          </w:p>
        </w:tc>
      </w:tr>
      <w:tr w:rsidR="00095D7E" w14:paraId="693E88BB" w14:textId="77777777">
        <w:tc>
          <w:tcPr>
            <w:tcW w:w="0" w:type="auto"/>
            <w:shd w:val="clear" w:color="auto" w:fill="auto"/>
          </w:tcPr>
          <w:p w14:paraId="298F2AB1" w14:textId="77777777" w:rsidR="00095D7E" w:rsidRDefault="008740DD">
            <w:pPr>
              <w:keepNext/>
              <w:outlineLvl w:val="2"/>
              <w:rPr>
                <w:iCs/>
                <w:szCs w:val="22"/>
                <w:lang w:val="sr-Latn-ME" w:eastAsia="hr-HR"/>
              </w:rPr>
            </w:pPr>
            <w:r>
              <w:rPr>
                <w:iCs/>
                <w:szCs w:val="22"/>
                <w:lang w:val="sr-Latn-ME" w:eastAsia="hr-HR"/>
              </w:rPr>
              <w:t>Grazoprevir 200 mg/elbasvir 50mg jednom dnevno, 11 dana</w:t>
            </w:r>
          </w:p>
        </w:tc>
        <w:tc>
          <w:tcPr>
            <w:tcW w:w="0" w:type="auto"/>
            <w:shd w:val="clear" w:color="auto" w:fill="auto"/>
          </w:tcPr>
          <w:p w14:paraId="7465A3C9" w14:textId="77777777" w:rsidR="00095D7E" w:rsidRDefault="008740DD">
            <w:pPr>
              <w:keepNext/>
              <w:jc w:val="center"/>
              <w:outlineLvl w:val="2"/>
              <w:rPr>
                <w:iCs/>
                <w:szCs w:val="22"/>
                <w:lang w:val="sr-Latn-ME" w:eastAsia="hr-HR"/>
              </w:rPr>
            </w:pPr>
            <w:r>
              <w:rPr>
                <w:iCs/>
                <w:szCs w:val="22"/>
                <w:lang w:val="sr-Latn-ME" w:eastAsia="hr-HR"/>
              </w:rPr>
              <w:t>10 mg u jednoj dozi</w:t>
            </w:r>
          </w:p>
        </w:tc>
        <w:tc>
          <w:tcPr>
            <w:tcW w:w="0" w:type="auto"/>
            <w:shd w:val="clear" w:color="auto" w:fill="auto"/>
          </w:tcPr>
          <w:p w14:paraId="7A494DE7" w14:textId="77777777" w:rsidR="00095D7E" w:rsidRDefault="008740DD">
            <w:pPr>
              <w:keepNext/>
              <w:jc w:val="center"/>
              <w:outlineLvl w:val="2"/>
              <w:rPr>
                <w:iCs/>
                <w:szCs w:val="22"/>
                <w:lang w:val="sr-Latn-ME" w:eastAsia="hr-HR"/>
              </w:rPr>
            </w:pPr>
            <w:r>
              <w:rPr>
                <w:iCs/>
                <w:szCs w:val="22"/>
                <w:lang w:val="sr-Latn-ME" w:eastAsia="hr-HR"/>
              </w:rPr>
              <w:t>2.3 - puta ↑</w:t>
            </w:r>
          </w:p>
        </w:tc>
      </w:tr>
      <w:tr w:rsidR="00095D7E" w14:paraId="2145F15D" w14:textId="77777777">
        <w:tc>
          <w:tcPr>
            <w:tcW w:w="0" w:type="auto"/>
            <w:shd w:val="clear" w:color="auto" w:fill="auto"/>
          </w:tcPr>
          <w:p w14:paraId="1F106AD7" w14:textId="77777777" w:rsidR="00095D7E" w:rsidRDefault="008740DD">
            <w:pPr>
              <w:keepNext/>
              <w:outlineLvl w:val="2"/>
              <w:rPr>
                <w:iCs/>
                <w:szCs w:val="22"/>
                <w:lang w:val="sr-Latn-ME" w:eastAsia="hr-HR"/>
              </w:rPr>
            </w:pPr>
            <w:r>
              <w:rPr>
                <w:iCs/>
                <w:szCs w:val="22"/>
                <w:lang w:val="sr-Latn-ME" w:eastAsia="hr-HR"/>
              </w:rPr>
              <w:t>Glekaprevir 400 mg/pibrentasvir 120 mg jednom dnevno, 7 dana</w:t>
            </w:r>
          </w:p>
        </w:tc>
        <w:tc>
          <w:tcPr>
            <w:tcW w:w="0" w:type="auto"/>
            <w:shd w:val="clear" w:color="auto" w:fill="auto"/>
          </w:tcPr>
          <w:p w14:paraId="53DF8C13" w14:textId="77777777" w:rsidR="00095D7E" w:rsidRDefault="008740DD">
            <w:pPr>
              <w:keepNext/>
              <w:jc w:val="center"/>
              <w:outlineLvl w:val="2"/>
              <w:rPr>
                <w:iCs/>
                <w:szCs w:val="22"/>
                <w:lang w:val="sr-Latn-ME" w:eastAsia="hr-HR"/>
              </w:rPr>
            </w:pPr>
            <w:r>
              <w:rPr>
                <w:iCs/>
                <w:szCs w:val="22"/>
                <w:lang w:val="sr-Latn-ME" w:eastAsia="hr-HR"/>
              </w:rPr>
              <w:t>5 mg jednom dnevno, 7 dana</w:t>
            </w:r>
          </w:p>
        </w:tc>
        <w:tc>
          <w:tcPr>
            <w:tcW w:w="0" w:type="auto"/>
            <w:shd w:val="clear" w:color="auto" w:fill="auto"/>
          </w:tcPr>
          <w:p w14:paraId="420DAA2A" w14:textId="77777777" w:rsidR="00095D7E" w:rsidRDefault="008740DD">
            <w:pPr>
              <w:keepNext/>
              <w:jc w:val="center"/>
              <w:outlineLvl w:val="2"/>
              <w:rPr>
                <w:iCs/>
                <w:szCs w:val="22"/>
                <w:lang w:val="sr-Latn-ME" w:eastAsia="hr-HR"/>
              </w:rPr>
            </w:pPr>
            <w:r>
              <w:rPr>
                <w:iCs/>
                <w:szCs w:val="22"/>
                <w:lang w:val="sr-Latn-ME" w:eastAsia="hr-HR"/>
              </w:rPr>
              <w:t>2.2 - puta↑</w:t>
            </w:r>
          </w:p>
        </w:tc>
      </w:tr>
      <w:tr w:rsidR="00095D7E" w14:paraId="3E144ABC" w14:textId="77777777">
        <w:tc>
          <w:tcPr>
            <w:tcW w:w="0" w:type="auto"/>
            <w:shd w:val="clear" w:color="auto" w:fill="auto"/>
          </w:tcPr>
          <w:p w14:paraId="13494A0A" w14:textId="77777777" w:rsidR="00095D7E" w:rsidRDefault="008740DD">
            <w:pPr>
              <w:keepNext/>
              <w:outlineLvl w:val="2"/>
              <w:rPr>
                <w:iCs/>
                <w:szCs w:val="22"/>
                <w:lang w:val="sr-Latn-ME" w:eastAsia="hr-HR"/>
              </w:rPr>
            </w:pPr>
            <w:r>
              <w:rPr>
                <w:iCs/>
                <w:szCs w:val="22"/>
                <w:lang w:val="sr-Latn-ME" w:eastAsia="hr-HR"/>
              </w:rPr>
              <w:t>Lopinavir 400 mg/ritonavir 100 mg dva puta dnevno, 17 dana</w:t>
            </w:r>
          </w:p>
        </w:tc>
        <w:tc>
          <w:tcPr>
            <w:tcW w:w="0" w:type="auto"/>
            <w:shd w:val="clear" w:color="auto" w:fill="auto"/>
          </w:tcPr>
          <w:p w14:paraId="7DAA1F85" w14:textId="77777777" w:rsidR="00095D7E" w:rsidRDefault="008740DD">
            <w:pPr>
              <w:keepNext/>
              <w:jc w:val="center"/>
              <w:outlineLvl w:val="2"/>
              <w:rPr>
                <w:iCs/>
                <w:szCs w:val="22"/>
                <w:lang w:val="sr-Latn-ME" w:eastAsia="hr-HR"/>
              </w:rPr>
            </w:pPr>
            <w:r>
              <w:rPr>
                <w:iCs/>
                <w:szCs w:val="22"/>
                <w:lang w:val="sr-Latn-ME" w:eastAsia="hr-HR"/>
              </w:rPr>
              <w:t>20 mg jednom dnevno, 7 dana</w:t>
            </w:r>
          </w:p>
        </w:tc>
        <w:tc>
          <w:tcPr>
            <w:tcW w:w="0" w:type="auto"/>
            <w:shd w:val="clear" w:color="auto" w:fill="auto"/>
          </w:tcPr>
          <w:p w14:paraId="028832DF" w14:textId="77777777" w:rsidR="00095D7E" w:rsidRDefault="008740DD">
            <w:pPr>
              <w:keepNext/>
              <w:jc w:val="center"/>
              <w:outlineLvl w:val="2"/>
              <w:rPr>
                <w:iCs/>
                <w:szCs w:val="22"/>
                <w:lang w:val="sr-Latn-ME" w:eastAsia="hr-HR"/>
              </w:rPr>
            </w:pPr>
            <w:r>
              <w:rPr>
                <w:iCs/>
                <w:szCs w:val="22"/>
                <w:lang w:val="sr-Latn-ME" w:eastAsia="hr-HR"/>
              </w:rPr>
              <w:t>2.1 - puta ↑</w:t>
            </w:r>
          </w:p>
        </w:tc>
      </w:tr>
      <w:tr w:rsidR="00095D7E" w14:paraId="03780155" w14:textId="77777777">
        <w:tc>
          <w:tcPr>
            <w:tcW w:w="0" w:type="auto"/>
            <w:shd w:val="clear" w:color="auto" w:fill="auto"/>
          </w:tcPr>
          <w:p w14:paraId="2B83F135" w14:textId="77777777" w:rsidR="00095D7E" w:rsidRDefault="008740DD">
            <w:pPr>
              <w:keepNext/>
              <w:outlineLvl w:val="2"/>
              <w:rPr>
                <w:iCs/>
                <w:szCs w:val="22"/>
                <w:lang w:val="sr-Latn-ME" w:eastAsia="hr-HR"/>
              </w:rPr>
            </w:pPr>
            <w:r>
              <w:rPr>
                <w:iCs/>
                <w:szCs w:val="22"/>
                <w:lang w:val="sr-Latn-ME" w:eastAsia="hr-HR"/>
              </w:rPr>
              <w:t>Klopidogrel 300 mg, zatim 75 mg na 24 sata</w:t>
            </w:r>
          </w:p>
        </w:tc>
        <w:tc>
          <w:tcPr>
            <w:tcW w:w="0" w:type="auto"/>
            <w:shd w:val="clear" w:color="auto" w:fill="auto"/>
          </w:tcPr>
          <w:p w14:paraId="7FC93FBD" w14:textId="77777777" w:rsidR="00095D7E" w:rsidRDefault="008740DD">
            <w:pPr>
              <w:keepNext/>
              <w:jc w:val="center"/>
              <w:outlineLvl w:val="2"/>
              <w:rPr>
                <w:iCs/>
                <w:szCs w:val="22"/>
                <w:lang w:val="sr-Latn-ME" w:eastAsia="hr-HR"/>
              </w:rPr>
            </w:pPr>
            <w:r>
              <w:rPr>
                <w:iCs/>
                <w:szCs w:val="22"/>
                <w:lang w:val="sr-Latn-ME" w:eastAsia="hr-HR"/>
              </w:rPr>
              <w:t>20 mg u jednoj dozi</w:t>
            </w:r>
          </w:p>
        </w:tc>
        <w:tc>
          <w:tcPr>
            <w:tcW w:w="0" w:type="auto"/>
            <w:shd w:val="clear" w:color="auto" w:fill="auto"/>
          </w:tcPr>
          <w:p w14:paraId="669F2C6B" w14:textId="77777777" w:rsidR="00095D7E" w:rsidRDefault="008740DD">
            <w:pPr>
              <w:keepNext/>
              <w:jc w:val="center"/>
              <w:outlineLvl w:val="2"/>
              <w:rPr>
                <w:iCs/>
                <w:szCs w:val="22"/>
                <w:lang w:val="sr-Latn-ME" w:eastAsia="hr-HR"/>
              </w:rPr>
            </w:pPr>
            <w:r>
              <w:rPr>
                <w:iCs/>
                <w:szCs w:val="22"/>
                <w:lang w:val="sr-Latn-ME" w:eastAsia="hr-HR"/>
              </w:rPr>
              <w:t>2 - puta ↑</w:t>
            </w:r>
          </w:p>
        </w:tc>
      </w:tr>
      <w:tr w:rsidR="00095D7E" w14:paraId="493BE142" w14:textId="77777777">
        <w:tc>
          <w:tcPr>
            <w:tcW w:w="0" w:type="auto"/>
            <w:gridSpan w:val="3"/>
            <w:shd w:val="clear" w:color="auto" w:fill="auto"/>
          </w:tcPr>
          <w:p w14:paraId="2DD7C20B" w14:textId="77777777" w:rsidR="00095D7E" w:rsidRDefault="008740DD">
            <w:pPr>
              <w:keepNext/>
              <w:outlineLvl w:val="2"/>
              <w:rPr>
                <w:b/>
                <w:iCs/>
                <w:szCs w:val="22"/>
                <w:lang w:val="sr-Latn-ME" w:eastAsia="hr-HR"/>
              </w:rPr>
            </w:pPr>
            <w:r>
              <w:rPr>
                <w:b/>
                <w:iCs/>
                <w:szCs w:val="22"/>
                <w:lang w:eastAsia="hr-HR"/>
              </w:rPr>
              <w:t>Manje od dvostruko povećanje izloženosti rosuvastatinu (AUC)</w:t>
            </w:r>
          </w:p>
        </w:tc>
      </w:tr>
      <w:tr w:rsidR="00095D7E" w14:paraId="17C9AED0" w14:textId="77777777">
        <w:tc>
          <w:tcPr>
            <w:tcW w:w="0" w:type="auto"/>
            <w:shd w:val="clear" w:color="auto" w:fill="auto"/>
          </w:tcPr>
          <w:p w14:paraId="193D82D6" w14:textId="77777777" w:rsidR="00095D7E" w:rsidRDefault="008740DD">
            <w:pPr>
              <w:keepNext/>
              <w:jc w:val="center"/>
              <w:outlineLvl w:val="2"/>
              <w:rPr>
                <w:b/>
                <w:i/>
                <w:iCs/>
                <w:szCs w:val="22"/>
                <w:lang w:val="sr-Latn-ME" w:eastAsia="hr-HR"/>
              </w:rPr>
            </w:pPr>
            <w:r>
              <w:rPr>
                <w:b/>
                <w:i/>
                <w:iCs/>
                <w:szCs w:val="22"/>
                <w:lang w:val="sr-Latn-ME" w:eastAsia="hr-HR"/>
              </w:rPr>
              <w:t>Dozni režim lijeka sa kojim rosuvastatin stupa u interakciju</w:t>
            </w:r>
          </w:p>
        </w:tc>
        <w:tc>
          <w:tcPr>
            <w:tcW w:w="0" w:type="auto"/>
            <w:shd w:val="clear" w:color="auto" w:fill="auto"/>
          </w:tcPr>
          <w:p w14:paraId="67D107C2" w14:textId="77777777" w:rsidR="00095D7E" w:rsidRDefault="008740DD">
            <w:pPr>
              <w:keepNext/>
              <w:jc w:val="center"/>
              <w:outlineLvl w:val="2"/>
              <w:rPr>
                <w:b/>
                <w:i/>
                <w:iCs/>
                <w:szCs w:val="22"/>
                <w:lang w:val="sr-Latn-ME" w:eastAsia="hr-HR"/>
              </w:rPr>
            </w:pPr>
            <w:r>
              <w:rPr>
                <w:b/>
                <w:i/>
                <w:iCs/>
                <w:szCs w:val="22"/>
                <w:lang w:val="sr-Latn-ME" w:eastAsia="hr-HR"/>
              </w:rPr>
              <w:t>Dozni režim</w:t>
            </w:r>
          </w:p>
          <w:p w14:paraId="59238A45" w14:textId="77777777" w:rsidR="00095D7E" w:rsidRDefault="008740DD">
            <w:pPr>
              <w:keepNext/>
              <w:jc w:val="center"/>
              <w:outlineLvl w:val="2"/>
              <w:rPr>
                <w:b/>
                <w:i/>
                <w:iCs/>
                <w:szCs w:val="22"/>
                <w:lang w:val="sr-Latn-ME" w:eastAsia="hr-HR"/>
              </w:rPr>
            </w:pPr>
            <w:r>
              <w:rPr>
                <w:b/>
                <w:i/>
                <w:iCs/>
                <w:szCs w:val="22"/>
                <w:lang w:val="sr-Latn-ME" w:eastAsia="hr-HR"/>
              </w:rPr>
              <w:t>rosuvastatina</w:t>
            </w:r>
          </w:p>
        </w:tc>
        <w:tc>
          <w:tcPr>
            <w:tcW w:w="0" w:type="auto"/>
            <w:shd w:val="clear" w:color="auto" w:fill="auto"/>
          </w:tcPr>
          <w:p w14:paraId="437C6F61" w14:textId="77777777" w:rsidR="00095D7E" w:rsidRDefault="008740DD">
            <w:pPr>
              <w:keepNext/>
              <w:jc w:val="center"/>
              <w:outlineLvl w:val="2"/>
              <w:rPr>
                <w:b/>
                <w:i/>
                <w:iCs/>
                <w:szCs w:val="22"/>
                <w:lang w:val="sr-Latn-ME" w:eastAsia="hr-HR"/>
              </w:rPr>
            </w:pPr>
            <w:r>
              <w:rPr>
                <w:b/>
                <w:i/>
                <w:iCs/>
                <w:szCs w:val="22"/>
                <w:lang w:val="sr-Latn-ME" w:eastAsia="hr-HR"/>
              </w:rPr>
              <w:t>Promjene u raspoloživosti rosuvastatina (PIK*)</w:t>
            </w:r>
          </w:p>
        </w:tc>
      </w:tr>
      <w:tr w:rsidR="00095D7E" w14:paraId="5DD2663B" w14:textId="77777777">
        <w:tc>
          <w:tcPr>
            <w:tcW w:w="0" w:type="auto"/>
            <w:shd w:val="clear" w:color="auto" w:fill="auto"/>
          </w:tcPr>
          <w:p w14:paraId="2F441B7C" w14:textId="77777777" w:rsidR="00095D7E" w:rsidRDefault="008740DD">
            <w:pPr>
              <w:keepNext/>
              <w:outlineLvl w:val="2"/>
              <w:rPr>
                <w:iCs/>
                <w:szCs w:val="22"/>
                <w:lang w:val="sr-Latn-ME" w:eastAsia="hr-HR"/>
              </w:rPr>
            </w:pPr>
            <w:r>
              <w:rPr>
                <w:iCs/>
                <w:szCs w:val="22"/>
                <w:lang w:val="sr-Latn-ME" w:eastAsia="hr-HR"/>
              </w:rPr>
              <w:t>Gemfibrozil 600 mg dva puta dnevno, 7 dana</w:t>
            </w:r>
          </w:p>
        </w:tc>
        <w:tc>
          <w:tcPr>
            <w:tcW w:w="0" w:type="auto"/>
            <w:shd w:val="clear" w:color="auto" w:fill="auto"/>
          </w:tcPr>
          <w:p w14:paraId="62DF272E" w14:textId="77777777" w:rsidR="00095D7E" w:rsidRDefault="008740DD">
            <w:pPr>
              <w:keepNext/>
              <w:jc w:val="center"/>
              <w:outlineLvl w:val="2"/>
              <w:rPr>
                <w:iCs/>
                <w:szCs w:val="22"/>
                <w:lang w:val="sr-Latn-ME" w:eastAsia="hr-HR"/>
              </w:rPr>
            </w:pPr>
            <w:r>
              <w:rPr>
                <w:iCs/>
                <w:szCs w:val="22"/>
                <w:lang w:val="sr-Latn-ME" w:eastAsia="hr-HR"/>
              </w:rPr>
              <w:t>80 mg u jednoj dozi</w:t>
            </w:r>
          </w:p>
        </w:tc>
        <w:tc>
          <w:tcPr>
            <w:tcW w:w="0" w:type="auto"/>
            <w:shd w:val="clear" w:color="auto" w:fill="auto"/>
          </w:tcPr>
          <w:p w14:paraId="25EF0653" w14:textId="77777777" w:rsidR="00095D7E" w:rsidRDefault="008740DD">
            <w:pPr>
              <w:keepNext/>
              <w:jc w:val="center"/>
              <w:outlineLvl w:val="2"/>
              <w:rPr>
                <w:iCs/>
                <w:szCs w:val="22"/>
                <w:lang w:val="sr-Latn-ME" w:eastAsia="hr-HR"/>
              </w:rPr>
            </w:pPr>
            <w:r>
              <w:rPr>
                <w:iCs/>
                <w:szCs w:val="22"/>
                <w:lang w:val="sr-Latn-ME" w:eastAsia="hr-HR"/>
              </w:rPr>
              <w:t>1.9 - puta ↑</w:t>
            </w:r>
          </w:p>
        </w:tc>
      </w:tr>
      <w:tr w:rsidR="00095D7E" w14:paraId="1348149E" w14:textId="77777777">
        <w:tc>
          <w:tcPr>
            <w:tcW w:w="0" w:type="auto"/>
            <w:shd w:val="clear" w:color="auto" w:fill="auto"/>
          </w:tcPr>
          <w:p w14:paraId="6BA8DB98" w14:textId="77777777" w:rsidR="00095D7E" w:rsidRDefault="008740DD">
            <w:pPr>
              <w:keepNext/>
              <w:outlineLvl w:val="2"/>
              <w:rPr>
                <w:iCs/>
                <w:szCs w:val="22"/>
                <w:lang w:val="sr-Latn-ME" w:eastAsia="hr-HR"/>
              </w:rPr>
            </w:pPr>
            <w:r>
              <w:rPr>
                <w:iCs/>
                <w:szCs w:val="22"/>
                <w:lang w:val="sr-Latn-ME" w:eastAsia="hr-HR"/>
              </w:rPr>
              <w:t>Eltrombopag 75 mg jednom dnevno, 10 dana</w:t>
            </w:r>
          </w:p>
        </w:tc>
        <w:tc>
          <w:tcPr>
            <w:tcW w:w="0" w:type="auto"/>
            <w:shd w:val="clear" w:color="auto" w:fill="auto"/>
          </w:tcPr>
          <w:p w14:paraId="47FD4137" w14:textId="77777777" w:rsidR="00095D7E" w:rsidRDefault="008740DD">
            <w:pPr>
              <w:keepNext/>
              <w:jc w:val="center"/>
              <w:outlineLvl w:val="2"/>
              <w:rPr>
                <w:iCs/>
                <w:szCs w:val="22"/>
                <w:lang w:val="sr-Latn-ME" w:eastAsia="hr-HR"/>
              </w:rPr>
            </w:pPr>
            <w:r>
              <w:rPr>
                <w:iCs/>
                <w:szCs w:val="22"/>
                <w:lang w:val="sr-Latn-ME" w:eastAsia="hr-HR"/>
              </w:rPr>
              <w:t>10 mg u jednoj dozi</w:t>
            </w:r>
          </w:p>
        </w:tc>
        <w:tc>
          <w:tcPr>
            <w:tcW w:w="0" w:type="auto"/>
            <w:shd w:val="clear" w:color="auto" w:fill="auto"/>
          </w:tcPr>
          <w:p w14:paraId="59BBC381" w14:textId="77777777" w:rsidR="00095D7E" w:rsidRDefault="008740DD">
            <w:pPr>
              <w:keepNext/>
              <w:jc w:val="center"/>
              <w:outlineLvl w:val="2"/>
              <w:rPr>
                <w:iCs/>
                <w:szCs w:val="22"/>
                <w:lang w:val="sr-Latn-ME" w:eastAsia="hr-HR"/>
              </w:rPr>
            </w:pPr>
            <w:r>
              <w:rPr>
                <w:iCs/>
                <w:szCs w:val="22"/>
                <w:lang w:val="sr-Latn-ME" w:eastAsia="hr-HR"/>
              </w:rPr>
              <w:t>1.6 - puta ↑</w:t>
            </w:r>
          </w:p>
        </w:tc>
      </w:tr>
      <w:tr w:rsidR="00095D7E" w14:paraId="6FF3CD14" w14:textId="77777777">
        <w:tc>
          <w:tcPr>
            <w:tcW w:w="0" w:type="auto"/>
            <w:shd w:val="clear" w:color="auto" w:fill="auto"/>
          </w:tcPr>
          <w:p w14:paraId="4F4BA253" w14:textId="77777777" w:rsidR="00095D7E" w:rsidRDefault="008740DD">
            <w:pPr>
              <w:keepNext/>
              <w:outlineLvl w:val="2"/>
              <w:rPr>
                <w:iCs/>
                <w:szCs w:val="22"/>
                <w:lang w:val="sr-Latn-ME" w:eastAsia="hr-HR"/>
              </w:rPr>
            </w:pPr>
            <w:r>
              <w:rPr>
                <w:iCs/>
                <w:szCs w:val="22"/>
                <w:lang w:val="sr-Latn-ME" w:eastAsia="hr-HR"/>
              </w:rPr>
              <w:t>Darunavir 600 mg/ritonavir 100 mg dva puta dnevno, 7 dana</w:t>
            </w:r>
          </w:p>
        </w:tc>
        <w:tc>
          <w:tcPr>
            <w:tcW w:w="0" w:type="auto"/>
            <w:shd w:val="clear" w:color="auto" w:fill="auto"/>
          </w:tcPr>
          <w:p w14:paraId="239F3B72" w14:textId="77777777" w:rsidR="00095D7E" w:rsidRDefault="008740DD">
            <w:pPr>
              <w:keepNext/>
              <w:jc w:val="center"/>
              <w:outlineLvl w:val="2"/>
              <w:rPr>
                <w:iCs/>
                <w:szCs w:val="22"/>
                <w:lang w:val="sr-Latn-ME" w:eastAsia="hr-HR"/>
              </w:rPr>
            </w:pPr>
            <w:r>
              <w:rPr>
                <w:iCs/>
                <w:szCs w:val="22"/>
                <w:lang w:val="sr-Latn-ME" w:eastAsia="hr-HR"/>
              </w:rPr>
              <w:t>10 mg jednom dnevno, 7 dana</w:t>
            </w:r>
          </w:p>
        </w:tc>
        <w:tc>
          <w:tcPr>
            <w:tcW w:w="0" w:type="auto"/>
            <w:shd w:val="clear" w:color="auto" w:fill="auto"/>
          </w:tcPr>
          <w:p w14:paraId="2EB85078" w14:textId="77777777" w:rsidR="00095D7E" w:rsidRDefault="008740DD">
            <w:pPr>
              <w:keepNext/>
              <w:jc w:val="center"/>
              <w:outlineLvl w:val="2"/>
              <w:rPr>
                <w:iCs/>
                <w:szCs w:val="22"/>
                <w:lang w:val="sr-Latn-ME" w:eastAsia="hr-HR"/>
              </w:rPr>
            </w:pPr>
            <w:r>
              <w:rPr>
                <w:iCs/>
                <w:szCs w:val="22"/>
                <w:lang w:val="sr-Latn-ME" w:eastAsia="hr-HR"/>
              </w:rPr>
              <w:t>1.5 - puta ↑</w:t>
            </w:r>
          </w:p>
        </w:tc>
      </w:tr>
      <w:tr w:rsidR="00095D7E" w14:paraId="793A2627" w14:textId="77777777">
        <w:tc>
          <w:tcPr>
            <w:tcW w:w="0" w:type="auto"/>
            <w:shd w:val="clear" w:color="auto" w:fill="auto"/>
          </w:tcPr>
          <w:p w14:paraId="770F6F06" w14:textId="77777777" w:rsidR="00095D7E" w:rsidRDefault="008740DD">
            <w:pPr>
              <w:keepNext/>
              <w:outlineLvl w:val="2"/>
              <w:rPr>
                <w:iCs/>
                <w:szCs w:val="22"/>
                <w:lang w:val="sr-Latn-ME" w:eastAsia="hr-HR"/>
              </w:rPr>
            </w:pPr>
            <w:r>
              <w:rPr>
                <w:iCs/>
                <w:szCs w:val="22"/>
                <w:lang w:val="sr-Latn-ME" w:eastAsia="hr-HR"/>
              </w:rPr>
              <w:t>Tipranavir 500 mg/ritonavir 200 mg dva puta dnevno, 11 dana</w:t>
            </w:r>
          </w:p>
        </w:tc>
        <w:tc>
          <w:tcPr>
            <w:tcW w:w="0" w:type="auto"/>
            <w:shd w:val="clear" w:color="auto" w:fill="auto"/>
          </w:tcPr>
          <w:p w14:paraId="262335A3" w14:textId="77777777" w:rsidR="00095D7E" w:rsidRDefault="008740DD">
            <w:pPr>
              <w:keepNext/>
              <w:jc w:val="center"/>
              <w:outlineLvl w:val="2"/>
              <w:rPr>
                <w:iCs/>
                <w:szCs w:val="22"/>
                <w:lang w:val="sr-Latn-ME" w:eastAsia="hr-HR"/>
              </w:rPr>
            </w:pPr>
            <w:r>
              <w:rPr>
                <w:iCs/>
                <w:szCs w:val="22"/>
                <w:lang w:val="sr-Latn-ME" w:eastAsia="hr-HR"/>
              </w:rPr>
              <w:t>10 mg u jednoj dozi</w:t>
            </w:r>
          </w:p>
        </w:tc>
        <w:tc>
          <w:tcPr>
            <w:tcW w:w="0" w:type="auto"/>
            <w:shd w:val="clear" w:color="auto" w:fill="auto"/>
          </w:tcPr>
          <w:p w14:paraId="2FCD7CD1" w14:textId="77777777" w:rsidR="00095D7E" w:rsidRDefault="008740DD">
            <w:pPr>
              <w:keepNext/>
              <w:jc w:val="center"/>
              <w:outlineLvl w:val="2"/>
              <w:rPr>
                <w:iCs/>
                <w:szCs w:val="22"/>
                <w:lang w:val="sr-Latn-ME" w:eastAsia="hr-HR"/>
              </w:rPr>
            </w:pPr>
            <w:r>
              <w:rPr>
                <w:iCs/>
                <w:szCs w:val="22"/>
                <w:lang w:val="sr-Latn-ME" w:eastAsia="hr-HR"/>
              </w:rPr>
              <w:t>1.4 - puta ↑</w:t>
            </w:r>
          </w:p>
        </w:tc>
      </w:tr>
      <w:tr w:rsidR="00095D7E" w14:paraId="186C67E5" w14:textId="77777777">
        <w:tc>
          <w:tcPr>
            <w:tcW w:w="0" w:type="auto"/>
            <w:shd w:val="clear" w:color="auto" w:fill="auto"/>
          </w:tcPr>
          <w:p w14:paraId="46D6AA44" w14:textId="77777777" w:rsidR="00095D7E" w:rsidRDefault="008740DD">
            <w:pPr>
              <w:keepNext/>
              <w:outlineLvl w:val="2"/>
              <w:rPr>
                <w:iCs/>
                <w:szCs w:val="22"/>
                <w:lang w:val="sr-Latn-ME" w:eastAsia="hr-HR"/>
              </w:rPr>
            </w:pPr>
            <w:r>
              <w:rPr>
                <w:iCs/>
                <w:szCs w:val="22"/>
                <w:lang w:val="sr-Latn-ME" w:eastAsia="hr-HR"/>
              </w:rPr>
              <w:t>Dronedaron 400 mg dva puta dnevno</w:t>
            </w:r>
          </w:p>
        </w:tc>
        <w:tc>
          <w:tcPr>
            <w:tcW w:w="0" w:type="auto"/>
            <w:shd w:val="clear" w:color="auto" w:fill="auto"/>
          </w:tcPr>
          <w:p w14:paraId="344ED589" w14:textId="77777777" w:rsidR="00095D7E" w:rsidRDefault="008740DD">
            <w:pPr>
              <w:keepNext/>
              <w:jc w:val="center"/>
              <w:outlineLvl w:val="2"/>
              <w:rPr>
                <w:iCs/>
                <w:szCs w:val="22"/>
                <w:lang w:val="sr-Latn-ME" w:eastAsia="hr-HR"/>
              </w:rPr>
            </w:pPr>
            <w:r>
              <w:rPr>
                <w:iCs/>
                <w:szCs w:val="22"/>
                <w:lang w:val="sr-Latn-ME" w:eastAsia="hr-HR"/>
              </w:rPr>
              <w:t>Nema podataka</w:t>
            </w:r>
          </w:p>
        </w:tc>
        <w:tc>
          <w:tcPr>
            <w:tcW w:w="0" w:type="auto"/>
            <w:shd w:val="clear" w:color="auto" w:fill="auto"/>
          </w:tcPr>
          <w:p w14:paraId="4F62B2A6" w14:textId="77777777" w:rsidR="00095D7E" w:rsidRDefault="008740DD">
            <w:pPr>
              <w:keepNext/>
              <w:jc w:val="center"/>
              <w:outlineLvl w:val="2"/>
              <w:rPr>
                <w:iCs/>
                <w:szCs w:val="22"/>
                <w:lang w:val="sr-Latn-ME" w:eastAsia="hr-HR"/>
              </w:rPr>
            </w:pPr>
            <w:r>
              <w:rPr>
                <w:iCs/>
                <w:szCs w:val="22"/>
                <w:lang w:val="sr-Latn-ME" w:eastAsia="hr-HR"/>
              </w:rPr>
              <w:t>1.4 - puta ↑</w:t>
            </w:r>
          </w:p>
        </w:tc>
      </w:tr>
      <w:tr w:rsidR="00095D7E" w14:paraId="07A7045C" w14:textId="77777777">
        <w:tc>
          <w:tcPr>
            <w:tcW w:w="0" w:type="auto"/>
            <w:shd w:val="clear" w:color="auto" w:fill="auto"/>
          </w:tcPr>
          <w:p w14:paraId="11DA6AA6" w14:textId="77777777" w:rsidR="00095D7E" w:rsidRDefault="008740DD">
            <w:pPr>
              <w:keepNext/>
              <w:outlineLvl w:val="2"/>
              <w:rPr>
                <w:iCs/>
                <w:szCs w:val="22"/>
                <w:lang w:val="sr-Latn-ME" w:eastAsia="hr-HR"/>
              </w:rPr>
            </w:pPr>
            <w:r>
              <w:rPr>
                <w:iCs/>
                <w:szCs w:val="22"/>
                <w:lang w:val="sr-Latn-ME" w:eastAsia="hr-HR"/>
              </w:rPr>
              <w:t>Itrakonazol 200 mg jednom dnevno, 5 dana</w:t>
            </w:r>
          </w:p>
        </w:tc>
        <w:tc>
          <w:tcPr>
            <w:tcW w:w="0" w:type="auto"/>
            <w:shd w:val="clear" w:color="auto" w:fill="auto"/>
          </w:tcPr>
          <w:p w14:paraId="033A2D76" w14:textId="77777777" w:rsidR="00095D7E" w:rsidRDefault="008740DD">
            <w:pPr>
              <w:keepNext/>
              <w:jc w:val="center"/>
              <w:outlineLvl w:val="2"/>
              <w:rPr>
                <w:iCs/>
                <w:szCs w:val="22"/>
                <w:lang w:val="sr-Latn-ME" w:eastAsia="hr-HR"/>
              </w:rPr>
            </w:pPr>
            <w:r>
              <w:rPr>
                <w:iCs/>
                <w:szCs w:val="22"/>
                <w:lang w:val="sr-Latn-ME" w:eastAsia="hr-HR"/>
              </w:rPr>
              <w:t>10 mg u jednoj dozi</w:t>
            </w:r>
          </w:p>
        </w:tc>
        <w:tc>
          <w:tcPr>
            <w:tcW w:w="0" w:type="auto"/>
            <w:shd w:val="clear" w:color="auto" w:fill="auto"/>
          </w:tcPr>
          <w:p w14:paraId="69EEC275" w14:textId="77777777" w:rsidR="00095D7E" w:rsidRDefault="008740DD">
            <w:pPr>
              <w:keepNext/>
              <w:jc w:val="center"/>
              <w:outlineLvl w:val="2"/>
              <w:rPr>
                <w:iCs/>
                <w:szCs w:val="22"/>
                <w:lang w:val="sr-Latn-ME" w:eastAsia="hr-HR"/>
              </w:rPr>
            </w:pPr>
            <w:r>
              <w:rPr>
                <w:iCs/>
                <w:szCs w:val="22"/>
                <w:lang w:val="sr-Latn-ME" w:eastAsia="hr-HR"/>
              </w:rPr>
              <w:t>**1.4 - puta ↑</w:t>
            </w:r>
          </w:p>
        </w:tc>
      </w:tr>
      <w:tr w:rsidR="00095D7E" w14:paraId="413B07D6" w14:textId="77777777">
        <w:tc>
          <w:tcPr>
            <w:tcW w:w="0" w:type="auto"/>
            <w:shd w:val="clear" w:color="auto" w:fill="auto"/>
          </w:tcPr>
          <w:p w14:paraId="2D5EFF96" w14:textId="77777777" w:rsidR="00095D7E" w:rsidRDefault="008740DD">
            <w:pPr>
              <w:keepNext/>
              <w:outlineLvl w:val="2"/>
              <w:rPr>
                <w:iCs/>
                <w:szCs w:val="22"/>
                <w:lang w:val="sr-Latn-ME" w:eastAsia="hr-HR"/>
              </w:rPr>
            </w:pPr>
            <w:r>
              <w:rPr>
                <w:iCs/>
                <w:szCs w:val="22"/>
                <w:lang w:val="sr-Latn-ME" w:eastAsia="hr-HR"/>
              </w:rPr>
              <w:t>Ezetimib 10 mg jednom dnevno, 14 dana</w:t>
            </w:r>
          </w:p>
        </w:tc>
        <w:tc>
          <w:tcPr>
            <w:tcW w:w="0" w:type="auto"/>
            <w:shd w:val="clear" w:color="auto" w:fill="auto"/>
          </w:tcPr>
          <w:p w14:paraId="307FDFE1" w14:textId="77777777" w:rsidR="00095D7E" w:rsidRDefault="008740DD">
            <w:pPr>
              <w:keepNext/>
              <w:jc w:val="center"/>
              <w:outlineLvl w:val="2"/>
              <w:rPr>
                <w:iCs/>
                <w:szCs w:val="22"/>
                <w:lang w:val="sr-Latn-ME" w:eastAsia="hr-HR"/>
              </w:rPr>
            </w:pPr>
            <w:r>
              <w:rPr>
                <w:iCs/>
                <w:szCs w:val="22"/>
                <w:lang w:val="sr-Latn-ME" w:eastAsia="hr-HR"/>
              </w:rPr>
              <w:t>10 mg, jednom dnevno, 14 dana</w:t>
            </w:r>
          </w:p>
        </w:tc>
        <w:tc>
          <w:tcPr>
            <w:tcW w:w="0" w:type="auto"/>
            <w:shd w:val="clear" w:color="auto" w:fill="auto"/>
          </w:tcPr>
          <w:p w14:paraId="34BC9208" w14:textId="77777777" w:rsidR="00095D7E" w:rsidRDefault="008740DD">
            <w:pPr>
              <w:keepNext/>
              <w:jc w:val="center"/>
              <w:outlineLvl w:val="2"/>
              <w:rPr>
                <w:iCs/>
                <w:szCs w:val="22"/>
                <w:lang w:val="sr-Latn-ME" w:eastAsia="hr-HR"/>
              </w:rPr>
            </w:pPr>
            <w:r>
              <w:rPr>
                <w:iCs/>
                <w:szCs w:val="22"/>
                <w:lang w:val="sr-Latn-ME" w:eastAsia="hr-HR"/>
              </w:rPr>
              <w:t>**1.2 - puta ↑</w:t>
            </w:r>
          </w:p>
        </w:tc>
      </w:tr>
      <w:tr w:rsidR="00095D7E" w14:paraId="27C91B99" w14:textId="77777777">
        <w:tc>
          <w:tcPr>
            <w:tcW w:w="0" w:type="auto"/>
            <w:gridSpan w:val="3"/>
            <w:shd w:val="clear" w:color="auto" w:fill="auto"/>
          </w:tcPr>
          <w:p w14:paraId="10A868CC" w14:textId="77777777" w:rsidR="00095D7E" w:rsidRDefault="008740DD">
            <w:pPr>
              <w:keepNext/>
              <w:outlineLvl w:val="2"/>
              <w:rPr>
                <w:b/>
                <w:iCs/>
                <w:szCs w:val="22"/>
                <w:lang w:val="sr-Latn-ME" w:eastAsia="hr-HR"/>
              </w:rPr>
            </w:pPr>
            <w:r>
              <w:rPr>
                <w:b/>
                <w:iCs/>
                <w:szCs w:val="22"/>
                <w:lang w:eastAsia="hr-HR"/>
              </w:rPr>
              <w:t>Sniženje izloženosti rosuvastatinu (AUC)</w:t>
            </w:r>
          </w:p>
        </w:tc>
      </w:tr>
      <w:tr w:rsidR="00095D7E" w14:paraId="0D1E9061" w14:textId="77777777">
        <w:tc>
          <w:tcPr>
            <w:tcW w:w="0" w:type="auto"/>
            <w:shd w:val="clear" w:color="auto" w:fill="auto"/>
          </w:tcPr>
          <w:p w14:paraId="69348CFA" w14:textId="77777777" w:rsidR="00095D7E" w:rsidRDefault="008740DD">
            <w:pPr>
              <w:keepNext/>
              <w:jc w:val="center"/>
              <w:outlineLvl w:val="2"/>
              <w:rPr>
                <w:b/>
                <w:i/>
                <w:iCs/>
                <w:szCs w:val="22"/>
                <w:lang w:val="sr-Latn-ME" w:eastAsia="hr-HR"/>
              </w:rPr>
            </w:pPr>
            <w:r>
              <w:rPr>
                <w:b/>
                <w:i/>
                <w:iCs/>
                <w:szCs w:val="22"/>
                <w:lang w:val="sr-Latn-ME" w:eastAsia="hr-HR"/>
              </w:rPr>
              <w:t>Dozni režim lijeka sa kojim rosuvastatin stupa u interakciju</w:t>
            </w:r>
          </w:p>
        </w:tc>
        <w:tc>
          <w:tcPr>
            <w:tcW w:w="0" w:type="auto"/>
            <w:shd w:val="clear" w:color="auto" w:fill="auto"/>
          </w:tcPr>
          <w:p w14:paraId="20114F34" w14:textId="77777777" w:rsidR="00095D7E" w:rsidRDefault="008740DD">
            <w:pPr>
              <w:keepNext/>
              <w:jc w:val="center"/>
              <w:outlineLvl w:val="2"/>
              <w:rPr>
                <w:b/>
                <w:i/>
                <w:iCs/>
                <w:szCs w:val="22"/>
                <w:lang w:val="sr-Latn-ME" w:eastAsia="hr-HR"/>
              </w:rPr>
            </w:pPr>
            <w:r>
              <w:rPr>
                <w:b/>
                <w:i/>
                <w:iCs/>
                <w:szCs w:val="22"/>
                <w:lang w:val="sr-Latn-ME" w:eastAsia="hr-HR"/>
              </w:rPr>
              <w:t>Dozni režim</w:t>
            </w:r>
          </w:p>
          <w:p w14:paraId="53184572" w14:textId="77777777" w:rsidR="00095D7E" w:rsidRDefault="008740DD">
            <w:pPr>
              <w:keepNext/>
              <w:jc w:val="center"/>
              <w:outlineLvl w:val="2"/>
              <w:rPr>
                <w:b/>
                <w:i/>
                <w:iCs/>
                <w:szCs w:val="22"/>
                <w:lang w:val="sr-Latn-ME" w:eastAsia="hr-HR"/>
              </w:rPr>
            </w:pPr>
            <w:r>
              <w:rPr>
                <w:b/>
                <w:i/>
                <w:iCs/>
                <w:szCs w:val="22"/>
                <w:lang w:val="sr-Latn-ME" w:eastAsia="hr-HR"/>
              </w:rPr>
              <w:t>rosuvastatina</w:t>
            </w:r>
          </w:p>
        </w:tc>
        <w:tc>
          <w:tcPr>
            <w:tcW w:w="0" w:type="auto"/>
            <w:shd w:val="clear" w:color="auto" w:fill="auto"/>
          </w:tcPr>
          <w:p w14:paraId="652D1229" w14:textId="77777777" w:rsidR="00095D7E" w:rsidRDefault="008740DD">
            <w:pPr>
              <w:keepNext/>
              <w:jc w:val="center"/>
              <w:outlineLvl w:val="2"/>
              <w:rPr>
                <w:b/>
                <w:i/>
                <w:iCs/>
                <w:szCs w:val="22"/>
                <w:lang w:val="sr-Latn-ME" w:eastAsia="hr-HR"/>
              </w:rPr>
            </w:pPr>
            <w:r>
              <w:rPr>
                <w:b/>
                <w:i/>
                <w:iCs/>
                <w:szCs w:val="22"/>
                <w:lang w:val="sr-Latn-ME" w:eastAsia="hr-HR"/>
              </w:rPr>
              <w:t>Promjene u raspoloživosti rosuvastatina (PIK*)</w:t>
            </w:r>
          </w:p>
        </w:tc>
      </w:tr>
      <w:tr w:rsidR="00095D7E" w14:paraId="58DB63D2" w14:textId="77777777">
        <w:tc>
          <w:tcPr>
            <w:tcW w:w="0" w:type="auto"/>
            <w:shd w:val="clear" w:color="auto" w:fill="auto"/>
          </w:tcPr>
          <w:p w14:paraId="689598C6" w14:textId="77777777" w:rsidR="00095D7E" w:rsidRDefault="008740DD">
            <w:pPr>
              <w:keepNext/>
              <w:outlineLvl w:val="2"/>
              <w:rPr>
                <w:iCs/>
                <w:szCs w:val="22"/>
                <w:lang w:val="sr-Latn-ME" w:eastAsia="hr-HR"/>
              </w:rPr>
            </w:pPr>
            <w:r>
              <w:rPr>
                <w:iCs/>
                <w:szCs w:val="22"/>
                <w:lang w:val="sr-Latn-ME" w:eastAsia="hr-HR"/>
              </w:rPr>
              <w:t>Eritromcin 500 mg četiri puta dnevno, 7 dana</w:t>
            </w:r>
          </w:p>
        </w:tc>
        <w:tc>
          <w:tcPr>
            <w:tcW w:w="0" w:type="auto"/>
            <w:shd w:val="clear" w:color="auto" w:fill="auto"/>
          </w:tcPr>
          <w:p w14:paraId="4E12E555" w14:textId="77777777" w:rsidR="00095D7E" w:rsidRDefault="008740DD">
            <w:pPr>
              <w:keepNext/>
              <w:jc w:val="center"/>
              <w:outlineLvl w:val="2"/>
              <w:rPr>
                <w:iCs/>
                <w:szCs w:val="22"/>
                <w:lang w:val="sr-Latn-ME" w:eastAsia="hr-HR"/>
              </w:rPr>
            </w:pPr>
            <w:r>
              <w:rPr>
                <w:iCs/>
                <w:szCs w:val="22"/>
                <w:lang w:val="sr-Latn-ME" w:eastAsia="hr-HR"/>
              </w:rPr>
              <w:t>80 mg u jednoj dozi</w:t>
            </w:r>
          </w:p>
        </w:tc>
        <w:tc>
          <w:tcPr>
            <w:tcW w:w="0" w:type="auto"/>
            <w:shd w:val="clear" w:color="auto" w:fill="auto"/>
          </w:tcPr>
          <w:p w14:paraId="45F4BBF4" w14:textId="77777777" w:rsidR="00095D7E" w:rsidRDefault="008740DD">
            <w:pPr>
              <w:keepNext/>
              <w:jc w:val="center"/>
              <w:outlineLvl w:val="2"/>
              <w:rPr>
                <w:iCs/>
                <w:szCs w:val="22"/>
                <w:lang w:val="sr-Latn-ME" w:eastAsia="hr-HR"/>
              </w:rPr>
            </w:pPr>
            <w:r>
              <w:rPr>
                <w:iCs/>
                <w:szCs w:val="22"/>
                <w:lang w:val="sr-Latn-ME" w:eastAsia="hr-HR"/>
              </w:rPr>
              <w:t>20% ↓</w:t>
            </w:r>
          </w:p>
        </w:tc>
      </w:tr>
      <w:tr w:rsidR="00095D7E" w14:paraId="73FFD1E8" w14:textId="77777777">
        <w:tc>
          <w:tcPr>
            <w:tcW w:w="0" w:type="auto"/>
            <w:shd w:val="clear" w:color="auto" w:fill="auto"/>
          </w:tcPr>
          <w:p w14:paraId="73914381" w14:textId="77777777" w:rsidR="00095D7E" w:rsidRDefault="008740DD">
            <w:pPr>
              <w:keepNext/>
              <w:outlineLvl w:val="2"/>
              <w:rPr>
                <w:iCs/>
                <w:szCs w:val="22"/>
                <w:lang w:val="sr-Latn-ME" w:eastAsia="hr-HR"/>
              </w:rPr>
            </w:pPr>
            <w:r>
              <w:rPr>
                <w:iCs/>
                <w:szCs w:val="22"/>
                <w:lang w:val="sr-Latn-ME" w:eastAsia="hr-HR"/>
              </w:rPr>
              <w:t>Baikalin 50 mg tri puta dnevno, 14 dana</w:t>
            </w:r>
          </w:p>
        </w:tc>
        <w:tc>
          <w:tcPr>
            <w:tcW w:w="0" w:type="auto"/>
            <w:shd w:val="clear" w:color="auto" w:fill="auto"/>
          </w:tcPr>
          <w:p w14:paraId="26D7B25D" w14:textId="77777777" w:rsidR="00095D7E" w:rsidRDefault="008740DD">
            <w:pPr>
              <w:keepNext/>
              <w:jc w:val="center"/>
              <w:outlineLvl w:val="2"/>
              <w:rPr>
                <w:iCs/>
                <w:szCs w:val="22"/>
                <w:lang w:val="sr-Latn-ME" w:eastAsia="hr-HR"/>
              </w:rPr>
            </w:pPr>
            <w:r>
              <w:rPr>
                <w:iCs/>
                <w:szCs w:val="22"/>
                <w:lang w:val="sr-Latn-ME" w:eastAsia="hr-HR"/>
              </w:rPr>
              <w:t>20 mg u jednoj dozi</w:t>
            </w:r>
          </w:p>
        </w:tc>
        <w:tc>
          <w:tcPr>
            <w:tcW w:w="0" w:type="auto"/>
            <w:shd w:val="clear" w:color="auto" w:fill="auto"/>
          </w:tcPr>
          <w:p w14:paraId="3BE24F0F" w14:textId="77777777" w:rsidR="00095D7E" w:rsidRDefault="008740DD">
            <w:pPr>
              <w:keepNext/>
              <w:jc w:val="center"/>
              <w:outlineLvl w:val="2"/>
              <w:rPr>
                <w:iCs/>
                <w:szCs w:val="22"/>
                <w:lang w:val="sr-Latn-ME" w:eastAsia="hr-HR"/>
              </w:rPr>
            </w:pPr>
            <w:r>
              <w:rPr>
                <w:iCs/>
                <w:szCs w:val="22"/>
                <w:lang w:val="sr-Latn-ME" w:eastAsia="hr-HR"/>
              </w:rPr>
              <w:t>47% ↓</w:t>
            </w:r>
          </w:p>
        </w:tc>
      </w:tr>
      <w:tr w:rsidR="00095D7E" w14:paraId="78C057B2" w14:textId="77777777">
        <w:tc>
          <w:tcPr>
            <w:tcW w:w="0" w:type="auto"/>
            <w:gridSpan w:val="3"/>
            <w:shd w:val="clear" w:color="auto" w:fill="auto"/>
          </w:tcPr>
          <w:p w14:paraId="38249ADB" w14:textId="77777777" w:rsidR="00095D7E" w:rsidRDefault="008740DD">
            <w:pPr>
              <w:keepNext/>
              <w:jc w:val="both"/>
              <w:outlineLvl w:val="2"/>
              <w:rPr>
                <w:iCs/>
                <w:szCs w:val="22"/>
                <w:lang w:val="sr-Latn-ME" w:eastAsia="hr-HR"/>
              </w:rPr>
            </w:pPr>
            <w:r>
              <w:rPr>
                <w:iCs/>
                <w:szCs w:val="22"/>
                <w:lang w:val="sr-Latn-ME" w:eastAsia="hr-HR"/>
              </w:rPr>
              <w:lastRenderedPageBreak/>
              <w:t>*</w:t>
            </w:r>
            <w:r>
              <w:rPr>
                <w:szCs w:val="22"/>
                <w:lang w:val="sr-Latn-ME"/>
              </w:rPr>
              <w:t>Podaci prikazani kao x-puta promjena, predstavljaju jednostavan odnos istovremene primjene i primjene samo rosuvastatina. Podaci prikazani kao % promjena predstavljaju % razlike u odnosu na primjenu samo rosuvastatina.</w:t>
            </w:r>
          </w:p>
          <w:p w14:paraId="6F559AD9" w14:textId="77777777" w:rsidR="00095D7E" w:rsidRDefault="008740DD">
            <w:pPr>
              <w:keepNext/>
              <w:jc w:val="both"/>
              <w:outlineLvl w:val="2"/>
              <w:rPr>
                <w:iCs/>
                <w:szCs w:val="22"/>
                <w:lang w:val="sr-Latn-ME" w:eastAsia="hr-HR"/>
              </w:rPr>
            </w:pPr>
            <w:r>
              <w:rPr>
                <w:iCs/>
                <w:szCs w:val="22"/>
                <w:lang w:val="sr-Latn-ME" w:eastAsia="hr-HR"/>
              </w:rPr>
              <w:t xml:space="preserve">Povećanje je označeno “↑”, smanjenje “↓”. </w:t>
            </w:r>
          </w:p>
          <w:p w14:paraId="42226820" w14:textId="77777777" w:rsidR="00095D7E" w:rsidRDefault="008740DD">
            <w:pPr>
              <w:keepNext/>
              <w:jc w:val="both"/>
              <w:outlineLvl w:val="2"/>
              <w:rPr>
                <w:szCs w:val="22"/>
                <w:lang w:val="sr-Latn-ME"/>
              </w:rPr>
            </w:pPr>
            <w:r>
              <w:rPr>
                <w:iCs/>
                <w:szCs w:val="22"/>
                <w:lang w:val="sr-Latn-ME" w:eastAsia="hr-HR"/>
              </w:rPr>
              <w:t xml:space="preserve">** </w:t>
            </w:r>
            <w:r>
              <w:rPr>
                <w:szCs w:val="22"/>
                <w:lang w:val="sr-Latn-ME"/>
              </w:rPr>
              <w:t>Sprovedeno je nekoliko studija interakcija sa različitim dozama rosuvastatina, tabela prikazuje najznačajnije odnose.</w:t>
            </w:r>
          </w:p>
          <w:p w14:paraId="3D015FAD" w14:textId="77777777" w:rsidR="00095D7E" w:rsidRDefault="008740DD">
            <w:pPr>
              <w:keepNext/>
              <w:jc w:val="both"/>
              <w:outlineLvl w:val="2"/>
              <w:rPr>
                <w:iCs/>
                <w:szCs w:val="22"/>
                <w:lang w:val="sr-Latn-ME" w:eastAsia="hr-HR"/>
              </w:rPr>
            </w:pPr>
            <w:r>
              <w:rPr>
                <w:iCs/>
                <w:szCs w:val="22"/>
                <w:lang w:val="sr-Latn-ME" w:eastAsia="hr-HR"/>
              </w:rPr>
              <w:t>AUC = površina ispod krive (area under curve)</w:t>
            </w:r>
          </w:p>
        </w:tc>
      </w:tr>
    </w:tbl>
    <w:p w14:paraId="05F13E6E" w14:textId="77777777" w:rsidR="00095D7E" w:rsidRDefault="00095D7E">
      <w:pPr>
        <w:rPr>
          <w:lang w:val="sr-Latn-ME" w:eastAsia="sr-Latn-CS"/>
        </w:rPr>
      </w:pPr>
    </w:p>
    <w:p w14:paraId="12F4B1B1" w14:textId="77777777" w:rsidR="00095D7E" w:rsidRDefault="00095D7E">
      <w:pPr>
        <w:rPr>
          <w:szCs w:val="22"/>
          <w:lang w:val="sr-Latn-ME"/>
        </w:rPr>
      </w:pPr>
    </w:p>
    <w:p w14:paraId="5051A1D3" w14:textId="77777777" w:rsidR="00095D7E" w:rsidRDefault="008740DD">
      <w:pPr>
        <w:widowControl w:val="0"/>
        <w:rPr>
          <w:i/>
          <w:szCs w:val="22"/>
          <w:u w:val="single"/>
          <w:lang w:val="sr-Latn-ME"/>
        </w:rPr>
      </w:pPr>
      <w:r>
        <w:rPr>
          <w:i/>
          <w:szCs w:val="22"/>
          <w:u w:val="single"/>
          <w:lang w:val="sr-Latn-ME"/>
        </w:rPr>
        <w:t>Dejstvo rosuvastatina na istovremeno primijenjene ljekove</w:t>
      </w:r>
    </w:p>
    <w:p w14:paraId="66BA0347" w14:textId="77777777" w:rsidR="00095D7E" w:rsidRDefault="00095D7E">
      <w:pPr>
        <w:widowControl w:val="0"/>
        <w:rPr>
          <w:szCs w:val="22"/>
          <w:lang w:val="sr-Latn-ME"/>
        </w:rPr>
      </w:pPr>
    </w:p>
    <w:p w14:paraId="091C9CA7" w14:textId="77777777" w:rsidR="00095D7E" w:rsidRDefault="008740DD">
      <w:pPr>
        <w:widowControl w:val="0"/>
        <w:jc w:val="both"/>
        <w:rPr>
          <w:szCs w:val="22"/>
          <w:lang w:val="sr-Latn-ME"/>
        </w:rPr>
      </w:pPr>
      <w:r>
        <w:rPr>
          <w:i/>
          <w:szCs w:val="22"/>
          <w:lang w:val="sr-Latn-ME"/>
        </w:rPr>
        <w:t>Antagonisti vitamina K</w:t>
      </w:r>
      <w:r>
        <w:rPr>
          <w:szCs w:val="22"/>
          <w:lang w:val="sr-Latn-ME"/>
        </w:rPr>
        <w:t>: Kao i u slučaju drugih inhibitora HMG-CoA reduktaze, uvođenje terapije ili povećavanje doze rosuvastatina kod pacijenata koji istovremeno dobijaju antagoniste vitamina K (npr. varfarin ili drugi kumarinski antikoagulansi) može da dovede do povećanja međunarodnog normalizovanog odnosa (INR). Prekid terapije ili smanjivanje doze rosuvastatina može da dovede do smanjenja INR. U ovim situacijama, poželjno je odgovarajuće praćenje INR-a.</w:t>
      </w:r>
    </w:p>
    <w:p w14:paraId="29B26EB0" w14:textId="77777777" w:rsidR="00095D7E" w:rsidRDefault="00095D7E">
      <w:pPr>
        <w:widowControl w:val="0"/>
        <w:jc w:val="both"/>
        <w:rPr>
          <w:szCs w:val="22"/>
          <w:lang w:val="sr-Latn-ME"/>
        </w:rPr>
      </w:pPr>
    </w:p>
    <w:p w14:paraId="3D4D1C5F" w14:textId="77777777" w:rsidR="00095D7E" w:rsidRDefault="008740DD">
      <w:pPr>
        <w:widowControl w:val="0"/>
        <w:jc w:val="both"/>
        <w:rPr>
          <w:szCs w:val="22"/>
          <w:lang w:val="sr-Latn-ME"/>
        </w:rPr>
      </w:pPr>
      <w:r>
        <w:rPr>
          <w:i/>
          <w:szCs w:val="22"/>
          <w:lang w:val="sr-Latn-ME"/>
        </w:rPr>
        <w:t>Oralna kontraceptivna sredstva/terapija za nadoknadu hormona (HRT)</w:t>
      </w:r>
      <w:r>
        <w:rPr>
          <w:szCs w:val="22"/>
          <w:lang w:val="sr-Latn-ME"/>
        </w:rPr>
        <w:t>: Istovremena upotreba rosuvastatina i oralnog kontraceptiva dovela je do povećanja vrijednosti PIK za etinil-estradiol od 26% i za norgestrel od 34%. Ovo povećanje nivoa u plazmi treba imati u vidu prilikom odabira doze oralnih kontraceptiva. Nema dostupnih farmakokinetičkih podataka za osobe koje istovremeno uzimaju rosuvastatin i terapiju za nadoknadu hormona, pa se ne mogu isključiti slična dejstva. Ova kombinacija je u velikoj mjeri bila korišćena kod žena u kliničkim ispitivanjima i bila je dobro tolerisana.</w:t>
      </w:r>
    </w:p>
    <w:p w14:paraId="52463876" w14:textId="77777777" w:rsidR="00095D7E" w:rsidRDefault="00095D7E">
      <w:pPr>
        <w:widowControl w:val="0"/>
        <w:jc w:val="both"/>
        <w:rPr>
          <w:szCs w:val="22"/>
          <w:u w:val="single"/>
          <w:lang w:val="sr-Latn-ME"/>
        </w:rPr>
      </w:pPr>
    </w:p>
    <w:p w14:paraId="6AF0D970" w14:textId="77777777" w:rsidR="00095D7E" w:rsidRDefault="008740DD">
      <w:pPr>
        <w:widowControl w:val="0"/>
        <w:jc w:val="both"/>
        <w:rPr>
          <w:szCs w:val="22"/>
          <w:lang w:val="sr-Latn-ME"/>
        </w:rPr>
      </w:pPr>
      <w:r>
        <w:rPr>
          <w:i/>
          <w:szCs w:val="22"/>
          <w:lang w:val="sr-Latn-ME"/>
        </w:rPr>
        <w:t>Drugi ljekovi</w:t>
      </w:r>
      <w:r>
        <w:rPr>
          <w:szCs w:val="22"/>
          <w:lang w:val="sr-Latn-ME"/>
        </w:rPr>
        <w:t>:</w:t>
      </w:r>
    </w:p>
    <w:p w14:paraId="34D27DF9" w14:textId="77777777" w:rsidR="00095D7E" w:rsidRDefault="00095D7E">
      <w:pPr>
        <w:widowControl w:val="0"/>
        <w:jc w:val="both"/>
        <w:rPr>
          <w:szCs w:val="22"/>
          <w:lang w:val="sr-Latn-ME"/>
        </w:rPr>
      </w:pPr>
    </w:p>
    <w:p w14:paraId="0A377CAC" w14:textId="77777777" w:rsidR="00095D7E" w:rsidRDefault="008740DD">
      <w:pPr>
        <w:widowControl w:val="0"/>
        <w:jc w:val="both"/>
        <w:rPr>
          <w:szCs w:val="22"/>
          <w:lang w:val="sr-Latn-ME"/>
        </w:rPr>
      </w:pPr>
      <w:r>
        <w:rPr>
          <w:i/>
          <w:szCs w:val="22"/>
          <w:lang w:val="sr-Latn-ME"/>
        </w:rPr>
        <w:t>Digoksin:</w:t>
      </w:r>
      <w:r>
        <w:rPr>
          <w:b/>
          <w:szCs w:val="22"/>
          <w:lang w:val="sr-Latn-ME"/>
        </w:rPr>
        <w:t xml:space="preserve"> </w:t>
      </w:r>
      <w:r>
        <w:rPr>
          <w:szCs w:val="22"/>
          <w:lang w:val="sr-Latn-ME"/>
        </w:rPr>
        <w:t>Na osnovu podataka iz specifičnih studija interakcije ne očekuju se klinički značajne interakcije sa digoksinom.</w:t>
      </w:r>
    </w:p>
    <w:p w14:paraId="0DB68357" w14:textId="77777777" w:rsidR="00095D7E" w:rsidRDefault="00095D7E">
      <w:pPr>
        <w:widowControl w:val="0"/>
        <w:jc w:val="both"/>
        <w:rPr>
          <w:szCs w:val="22"/>
          <w:lang w:val="sr-Latn-ME"/>
        </w:rPr>
      </w:pPr>
    </w:p>
    <w:p w14:paraId="2DD96491" w14:textId="77777777" w:rsidR="00095D7E" w:rsidRDefault="008740DD">
      <w:pPr>
        <w:widowControl w:val="0"/>
        <w:jc w:val="both"/>
        <w:rPr>
          <w:szCs w:val="22"/>
          <w:lang w:val="sr-Latn-ME"/>
        </w:rPr>
      </w:pPr>
      <w:r>
        <w:rPr>
          <w:i/>
          <w:szCs w:val="22"/>
          <w:lang w:val="sr-Latn-ME"/>
        </w:rPr>
        <w:t>Fusidinska kiselina</w:t>
      </w:r>
      <w:r>
        <w:rPr>
          <w:szCs w:val="22"/>
          <w:lang w:val="sr-Latn-ME"/>
        </w:rPr>
        <w:t>: Rizik od pojave miopatije, uključujući rabdomiolizu, može biti povećan istovremenom primjenom sistemske fusidinske kiseline sa statinima. Mehanizam ove interakcije (da li je farmakodinamički ili farmakokinetički, ili oboje) još uvijek nije poznat. Bilo je izveštaja o</w:t>
      </w:r>
    </w:p>
    <w:p w14:paraId="07F3DEDA" w14:textId="77777777" w:rsidR="00095D7E" w:rsidRDefault="008740DD">
      <w:pPr>
        <w:widowControl w:val="0"/>
        <w:jc w:val="both"/>
        <w:rPr>
          <w:szCs w:val="22"/>
          <w:lang w:val="sr-Latn-ME"/>
        </w:rPr>
      </w:pPr>
      <w:r>
        <w:rPr>
          <w:szCs w:val="22"/>
          <w:lang w:val="sr-Latn-ME"/>
        </w:rPr>
        <w:t>rabdomiolizi (uključujući neke smrtne slučajeve) kod pacijenata koji su primali ovu kombinaciju.</w:t>
      </w:r>
    </w:p>
    <w:p w14:paraId="31B9124F" w14:textId="77777777" w:rsidR="00095D7E" w:rsidRDefault="008740DD">
      <w:pPr>
        <w:widowControl w:val="0"/>
        <w:jc w:val="both"/>
        <w:rPr>
          <w:szCs w:val="22"/>
          <w:lang w:val="sr-Latn-ME"/>
        </w:rPr>
      </w:pPr>
      <w:r>
        <w:rPr>
          <w:szCs w:val="22"/>
          <w:lang w:val="sr-Latn-ME"/>
        </w:rPr>
        <w:t>Ako je neophodno lečenje sistemskom fusidinskom kiselinom, liječenje rosuvastatinom treba prekinuti</w:t>
      </w:r>
    </w:p>
    <w:p w14:paraId="2400349F" w14:textId="77777777" w:rsidR="00095D7E" w:rsidRDefault="008740DD">
      <w:pPr>
        <w:widowControl w:val="0"/>
        <w:jc w:val="both"/>
        <w:rPr>
          <w:szCs w:val="22"/>
          <w:lang w:val="sr-Latn-ME"/>
        </w:rPr>
      </w:pPr>
      <w:r>
        <w:rPr>
          <w:szCs w:val="22"/>
          <w:lang w:val="sr-Latn-ME"/>
        </w:rPr>
        <w:t>tokom trajanja liječenja fusidnom kiselinom. Takođe pogledati dio 4.4.</w:t>
      </w:r>
    </w:p>
    <w:p w14:paraId="36EF7C06" w14:textId="77777777" w:rsidR="00095D7E" w:rsidRDefault="00095D7E">
      <w:pPr>
        <w:widowControl w:val="0"/>
        <w:jc w:val="both"/>
        <w:rPr>
          <w:iCs/>
          <w:szCs w:val="22"/>
          <w:u w:val="single"/>
          <w:lang w:val="sr-Latn-ME"/>
        </w:rPr>
      </w:pPr>
    </w:p>
    <w:p w14:paraId="1C75B7DE" w14:textId="77777777" w:rsidR="00095D7E" w:rsidRDefault="008740DD">
      <w:pPr>
        <w:widowControl w:val="0"/>
        <w:jc w:val="both"/>
        <w:rPr>
          <w:i/>
          <w:iCs/>
          <w:szCs w:val="22"/>
          <w:lang w:val="sr-Latn-ME"/>
        </w:rPr>
      </w:pPr>
      <w:r>
        <w:rPr>
          <w:i/>
          <w:szCs w:val="22"/>
          <w:lang w:val="sr-Latn-ME"/>
        </w:rPr>
        <w:t>Pedijatrijska populacija</w:t>
      </w:r>
    </w:p>
    <w:p w14:paraId="6B1B7046" w14:textId="77777777" w:rsidR="00095D7E" w:rsidRDefault="008740DD">
      <w:pPr>
        <w:widowControl w:val="0"/>
        <w:jc w:val="both"/>
        <w:rPr>
          <w:szCs w:val="22"/>
          <w:lang w:val="sr-Latn-ME"/>
        </w:rPr>
      </w:pPr>
      <w:r>
        <w:rPr>
          <w:szCs w:val="22"/>
          <w:lang w:val="sr-Latn-ME"/>
        </w:rPr>
        <w:t>Stepen interakcija u pedijatrijskoj populaciji nije poznat.</w:t>
      </w:r>
    </w:p>
    <w:p w14:paraId="16AF2937" w14:textId="77777777" w:rsidR="00095D7E" w:rsidRDefault="00095D7E">
      <w:pPr>
        <w:tabs>
          <w:tab w:val="clear" w:pos="567"/>
          <w:tab w:val="left" w:pos="540"/>
          <w:tab w:val="left" w:pos="569"/>
        </w:tabs>
        <w:rPr>
          <w:bCs/>
          <w:szCs w:val="22"/>
          <w:lang w:val="sr-Latn-ME"/>
        </w:rPr>
      </w:pPr>
    </w:p>
    <w:p w14:paraId="58CCD927" w14:textId="77777777" w:rsidR="00095D7E" w:rsidRDefault="008740DD">
      <w:pPr>
        <w:tabs>
          <w:tab w:val="clear" w:pos="567"/>
          <w:tab w:val="left" w:pos="540"/>
          <w:tab w:val="left" w:pos="569"/>
        </w:tabs>
        <w:rPr>
          <w:b/>
          <w:szCs w:val="22"/>
          <w:lang w:val="sr-Latn-ME"/>
        </w:rPr>
      </w:pPr>
      <w:r>
        <w:rPr>
          <w:b/>
          <w:bCs/>
          <w:szCs w:val="22"/>
          <w:lang w:val="sr-Latn-ME"/>
        </w:rPr>
        <w:t xml:space="preserve">4.6. </w:t>
      </w:r>
      <w:r>
        <w:rPr>
          <w:b/>
          <w:bCs/>
          <w:szCs w:val="22"/>
          <w:lang w:val="sr-Latn-ME"/>
        </w:rPr>
        <w:tab/>
      </w:r>
      <w:r>
        <w:rPr>
          <w:b/>
          <w:szCs w:val="22"/>
          <w:lang w:val="sr-Latn-ME"/>
        </w:rPr>
        <w:t>Plodnost, trudnoća i dojenje</w:t>
      </w:r>
    </w:p>
    <w:p w14:paraId="45B39385" w14:textId="77777777" w:rsidR="00095D7E" w:rsidRDefault="00095D7E">
      <w:pPr>
        <w:tabs>
          <w:tab w:val="clear" w:pos="567"/>
          <w:tab w:val="left" w:pos="540"/>
          <w:tab w:val="left" w:pos="569"/>
        </w:tabs>
        <w:rPr>
          <w:szCs w:val="22"/>
          <w:u w:val="single"/>
          <w:lang w:val="sr-Latn-ME"/>
        </w:rPr>
      </w:pPr>
    </w:p>
    <w:p w14:paraId="152F33CE" w14:textId="77777777" w:rsidR="00095D7E" w:rsidRDefault="008740DD">
      <w:pPr>
        <w:widowControl w:val="0"/>
        <w:autoSpaceDE w:val="0"/>
        <w:autoSpaceDN w:val="0"/>
        <w:adjustRightInd w:val="0"/>
        <w:rPr>
          <w:szCs w:val="22"/>
          <w:lang w:val="sr-Latn-ME"/>
        </w:rPr>
      </w:pPr>
      <w:r>
        <w:rPr>
          <w:szCs w:val="22"/>
          <w:lang w:val="sr-Latn-ME"/>
        </w:rPr>
        <w:t>Lijek Roxiper je kontraindikovan u periodu trudnoće i dojenja.</w:t>
      </w:r>
    </w:p>
    <w:p w14:paraId="4EE31B2F" w14:textId="77777777" w:rsidR="00095D7E" w:rsidRDefault="00095D7E">
      <w:pPr>
        <w:widowControl w:val="0"/>
        <w:autoSpaceDE w:val="0"/>
        <w:autoSpaceDN w:val="0"/>
        <w:adjustRightInd w:val="0"/>
        <w:rPr>
          <w:szCs w:val="22"/>
          <w:lang w:val="sr-Latn-ME"/>
        </w:rPr>
      </w:pPr>
    </w:p>
    <w:p w14:paraId="7996C07F" w14:textId="77777777" w:rsidR="00095D7E" w:rsidRDefault="008740DD">
      <w:pPr>
        <w:widowControl w:val="0"/>
        <w:autoSpaceDE w:val="0"/>
        <w:autoSpaceDN w:val="0"/>
        <w:adjustRightInd w:val="0"/>
        <w:jc w:val="both"/>
        <w:rPr>
          <w:szCs w:val="22"/>
          <w:u w:val="single"/>
          <w:lang w:val="sr-Latn-ME"/>
        </w:rPr>
      </w:pPr>
      <w:r>
        <w:rPr>
          <w:szCs w:val="22"/>
          <w:u w:val="single"/>
          <w:lang w:val="sr-Latn-ME"/>
        </w:rPr>
        <w:t>Plodnost</w:t>
      </w:r>
    </w:p>
    <w:p w14:paraId="2763D3F4" w14:textId="77777777" w:rsidR="00095D7E" w:rsidRDefault="00095D7E">
      <w:pPr>
        <w:widowControl w:val="0"/>
        <w:autoSpaceDE w:val="0"/>
        <w:autoSpaceDN w:val="0"/>
        <w:adjustRightInd w:val="0"/>
        <w:jc w:val="both"/>
        <w:rPr>
          <w:szCs w:val="22"/>
          <w:u w:val="single"/>
          <w:lang w:val="sr-Latn-ME"/>
        </w:rPr>
      </w:pPr>
    </w:p>
    <w:p w14:paraId="3BC70F62" w14:textId="77777777" w:rsidR="00095D7E" w:rsidRDefault="008740DD">
      <w:pPr>
        <w:widowControl w:val="0"/>
        <w:autoSpaceDE w:val="0"/>
        <w:autoSpaceDN w:val="0"/>
        <w:adjustRightInd w:val="0"/>
        <w:jc w:val="both"/>
        <w:rPr>
          <w:bCs/>
          <w:i/>
          <w:szCs w:val="22"/>
          <w:u w:val="single"/>
          <w:lang w:val="sr-Latn-ME"/>
        </w:rPr>
      </w:pPr>
      <w:r>
        <w:rPr>
          <w:bCs/>
          <w:i/>
          <w:szCs w:val="22"/>
          <w:u w:val="single"/>
          <w:lang w:val="sr-Latn-ME"/>
        </w:rPr>
        <w:t>Perindopril i indapamid</w:t>
      </w:r>
    </w:p>
    <w:p w14:paraId="5EA5F0FA" w14:textId="77777777" w:rsidR="00095D7E" w:rsidRDefault="008740DD">
      <w:pPr>
        <w:widowControl w:val="0"/>
        <w:autoSpaceDE w:val="0"/>
        <w:autoSpaceDN w:val="0"/>
        <w:adjustRightInd w:val="0"/>
        <w:jc w:val="both"/>
        <w:rPr>
          <w:szCs w:val="22"/>
          <w:lang w:val="sr-Latn-ME"/>
        </w:rPr>
      </w:pPr>
      <w:r>
        <w:rPr>
          <w:szCs w:val="22"/>
          <w:lang w:val="sr-Latn-ME"/>
        </w:rPr>
        <w:t>Ispitivanja reproduktivne toksičnosti nijesu pokazala dejstvo na plodnost kod ženskih i muških pacova (vidjeti dio 5.3). Ne očekuju se efekti na plodnost čovjeka.</w:t>
      </w:r>
    </w:p>
    <w:p w14:paraId="1F1A8083" w14:textId="77777777" w:rsidR="00095D7E" w:rsidRDefault="00095D7E">
      <w:pPr>
        <w:widowControl w:val="0"/>
        <w:autoSpaceDE w:val="0"/>
        <w:autoSpaceDN w:val="0"/>
        <w:adjustRightInd w:val="0"/>
        <w:jc w:val="both"/>
        <w:rPr>
          <w:szCs w:val="22"/>
          <w:lang w:val="sr-Latn-ME"/>
        </w:rPr>
      </w:pPr>
    </w:p>
    <w:p w14:paraId="56C0E553" w14:textId="77777777" w:rsidR="00095D7E" w:rsidRDefault="008740DD">
      <w:pPr>
        <w:tabs>
          <w:tab w:val="clear" w:pos="567"/>
          <w:tab w:val="left" w:pos="540"/>
          <w:tab w:val="left" w:pos="569"/>
        </w:tabs>
        <w:jc w:val="both"/>
        <w:rPr>
          <w:szCs w:val="22"/>
          <w:u w:val="single"/>
          <w:lang w:val="sr-Latn-ME"/>
        </w:rPr>
      </w:pPr>
      <w:r>
        <w:rPr>
          <w:szCs w:val="22"/>
          <w:u w:val="single"/>
          <w:lang w:val="sr-Latn-ME"/>
        </w:rPr>
        <w:t>Trudnoća</w:t>
      </w:r>
    </w:p>
    <w:p w14:paraId="412A82C9" w14:textId="77777777" w:rsidR="00095D7E" w:rsidRDefault="00095D7E">
      <w:pPr>
        <w:tabs>
          <w:tab w:val="clear" w:pos="567"/>
          <w:tab w:val="left" w:pos="540"/>
          <w:tab w:val="left" w:pos="569"/>
        </w:tabs>
        <w:jc w:val="both"/>
        <w:rPr>
          <w:szCs w:val="22"/>
          <w:u w:val="single"/>
          <w:lang w:val="sr-Latn-ME"/>
        </w:rPr>
      </w:pPr>
    </w:p>
    <w:p w14:paraId="16E82680" w14:textId="77777777" w:rsidR="00095D7E" w:rsidRDefault="008740DD">
      <w:pPr>
        <w:widowControl w:val="0"/>
        <w:jc w:val="both"/>
        <w:rPr>
          <w:szCs w:val="22"/>
          <w:lang w:val="sr-Latn-ME"/>
        </w:rPr>
      </w:pPr>
      <w:r>
        <w:rPr>
          <w:szCs w:val="22"/>
          <w:lang w:val="sr-Latn-ME"/>
        </w:rPr>
        <w:t>Ne preporučuje se upotreba ACE inhibitora tokom prvog trimestra trudnoće (vidjeti dio 4.4). Upotreba ACE inhibitora je kontraindikovana tokom drugog i trećeg trimestra trudnoće (vidjeti djelove 4.3 i 4.4).</w:t>
      </w:r>
    </w:p>
    <w:p w14:paraId="6319A8EE" w14:textId="77777777" w:rsidR="00095D7E" w:rsidRDefault="00095D7E">
      <w:pPr>
        <w:widowControl w:val="0"/>
        <w:jc w:val="both"/>
        <w:rPr>
          <w:szCs w:val="22"/>
          <w:lang w:val="sr-Latn-ME"/>
        </w:rPr>
      </w:pPr>
    </w:p>
    <w:p w14:paraId="6A72A7A6" w14:textId="77777777" w:rsidR="00095D7E" w:rsidRDefault="008740DD">
      <w:pPr>
        <w:widowControl w:val="0"/>
        <w:autoSpaceDE w:val="0"/>
        <w:autoSpaceDN w:val="0"/>
        <w:adjustRightInd w:val="0"/>
        <w:jc w:val="both"/>
        <w:rPr>
          <w:szCs w:val="22"/>
          <w:lang w:val="sr-Latn-ME"/>
        </w:rPr>
      </w:pPr>
      <w:r>
        <w:rPr>
          <w:szCs w:val="22"/>
          <w:lang w:val="sr-Latn-ME"/>
        </w:rPr>
        <w:t xml:space="preserve">Epidemiološki dokazi vezani za rizik od teratogenosti nakon izlaganja ACE inhibitorima tokom prvog </w:t>
      </w:r>
      <w:r>
        <w:rPr>
          <w:szCs w:val="22"/>
          <w:lang w:val="sr-Latn-ME"/>
        </w:rPr>
        <w:lastRenderedPageBreak/>
        <w:t>trimestra trudnoće nijesu bili precizni; međutim, ne može se isključiti malo povećanje rizika. Osim ako se ne smatra da je nastavak terapije ACE inhibitorima neophodan, pacijentkinje koje planiraju trudnoću treba prebaciti na alterantivne antihipertenzivne terapije, koje imaju utvrđen bezbjednosni profil za upotrebu tokom trudnoće.</w:t>
      </w:r>
    </w:p>
    <w:p w14:paraId="4B966871" w14:textId="77777777" w:rsidR="00095D7E" w:rsidRDefault="00095D7E">
      <w:pPr>
        <w:widowControl w:val="0"/>
        <w:autoSpaceDE w:val="0"/>
        <w:autoSpaceDN w:val="0"/>
        <w:adjustRightInd w:val="0"/>
        <w:jc w:val="both"/>
        <w:rPr>
          <w:szCs w:val="22"/>
          <w:lang w:val="sr-Latn-ME"/>
        </w:rPr>
      </w:pPr>
    </w:p>
    <w:p w14:paraId="6431886C" w14:textId="77777777" w:rsidR="00095D7E" w:rsidRDefault="008740DD">
      <w:pPr>
        <w:widowControl w:val="0"/>
        <w:autoSpaceDE w:val="0"/>
        <w:autoSpaceDN w:val="0"/>
        <w:adjustRightInd w:val="0"/>
        <w:jc w:val="both"/>
        <w:rPr>
          <w:szCs w:val="22"/>
          <w:lang w:val="sr-Latn-ME"/>
        </w:rPr>
      </w:pPr>
      <w:r>
        <w:rPr>
          <w:szCs w:val="22"/>
          <w:lang w:val="sr-Latn-ME"/>
        </w:rPr>
        <w:t>Kada se dijagnostikuje trudnoća, liječenje ACE inhibitorima treba odmah prekinuti i, ukoliko je moguće, treba započeti alternativnu terapiju.</w:t>
      </w:r>
    </w:p>
    <w:p w14:paraId="5B4B7B1D" w14:textId="77777777" w:rsidR="00095D7E" w:rsidRDefault="00095D7E">
      <w:pPr>
        <w:widowControl w:val="0"/>
        <w:autoSpaceDE w:val="0"/>
        <w:autoSpaceDN w:val="0"/>
        <w:adjustRightInd w:val="0"/>
        <w:jc w:val="both"/>
        <w:rPr>
          <w:szCs w:val="22"/>
          <w:lang w:val="sr-Latn-ME"/>
        </w:rPr>
      </w:pPr>
    </w:p>
    <w:p w14:paraId="79BEE63E" w14:textId="77777777" w:rsidR="00095D7E" w:rsidRDefault="008740DD">
      <w:pPr>
        <w:widowControl w:val="0"/>
        <w:autoSpaceDE w:val="0"/>
        <w:autoSpaceDN w:val="0"/>
        <w:adjustRightInd w:val="0"/>
        <w:jc w:val="both"/>
        <w:rPr>
          <w:szCs w:val="22"/>
          <w:lang w:val="sr-Latn-ME"/>
        </w:rPr>
      </w:pPr>
      <w:r>
        <w:rPr>
          <w:szCs w:val="22"/>
          <w:lang w:val="sr-Latn-ME"/>
        </w:rPr>
        <w:t>Poznato je da su toksična dejstva na fetus (oslabljena bubrežna funkcija, oligohidramnion, usporena osifikacija lobanje) i na novorođenčad (renalna insuficijencija, hipotenzija, hiperkalemija) rezultat izloženosti terapiji ACE inhibitorima u drugom i trećem trimestru (vidjeti dio 5.3). Ako je do izloženosti došlo nakon drugog trimestra trudnoće, bubrežnu funkciju i okoštavanje lobanje treba provjeriti ultrazvukom. Novorođenčad čije su majke uzimale ACE inhibitore treba pažljivo pratiti zbog mogućeg razvoja hipotenzije (vidjeti djelove 4.3. i 4.4).</w:t>
      </w:r>
    </w:p>
    <w:p w14:paraId="2B93C924" w14:textId="77777777" w:rsidR="00095D7E" w:rsidRDefault="00095D7E">
      <w:pPr>
        <w:widowControl w:val="0"/>
        <w:autoSpaceDE w:val="0"/>
        <w:autoSpaceDN w:val="0"/>
        <w:adjustRightInd w:val="0"/>
        <w:jc w:val="both"/>
        <w:rPr>
          <w:szCs w:val="22"/>
          <w:lang w:val="sr-Latn-ME"/>
        </w:rPr>
      </w:pPr>
    </w:p>
    <w:p w14:paraId="5F984437" w14:textId="77777777" w:rsidR="00095D7E" w:rsidRDefault="008740DD">
      <w:pPr>
        <w:jc w:val="both"/>
        <w:rPr>
          <w:szCs w:val="22"/>
          <w:lang w:val="sr-Latn-ME" w:eastAsia="sr-Latn-RS"/>
        </w:rPr>
      </w:pPr>
      <w:r>
        <w:rPr>
          <w:szCs w:val="22"/>
          <w:lang w:val="sr-Latn-ME"/>
        </w:rPr>
        <w:t>Nema podataka ili je njihova količina ograničena (manje od 300 ishoda trudnoće) u pogledu primjene indapamida kod trudnica.</w:t>
      </w:r>
    </w:p>
    <w:p w14:paraId="6F7DDF86" w14:textId="77777777" w:rsidR="00095D7E" w:rsidRDefault="008740DD">
      <w:pPr>
        <w:jc w:val="both"/>
        <w:rPr>
          <w:color w:val="222222"/>
          <w:szCs w:val="22"/>
          <w:lang w:val="sr-Latn-ME" w:eastAsia="sr-Latn-RS"/>
        </w:rPr>
      </w:pPr>
      <w:r>
        <w:rPr>
          <w:szCs w:val="22"/>
          <w:lang w:val="sr-Latn-ME"/>
        </w:rPr>
        <w:t xml:space="preserve">Dugotrajna izloženost tiazidu tokom trećeg trimestra trudnoće može da smanji volumen plazme kod majke, kao i uteroplacentalni protok krvi, što može da izazove fetoplacentalnu ishemiju i zaostajanje u rastu. </w:t>
      </w:r>
      <w:r>
        <w:rPr>
          <w:color w:val="222222"/>
          <w:szCs w:val="22"/>
          <w:lang w:val="sr-Latn-ME"/>
        </w:rPr>
        <w:t>Ispitivanja na životinjama ne ukazuju na direktne ili indirektne štetne efekte na reproduktivnu toksičnost (vidjeti dio 5.3).</w:t>
      </w:r>
    </w:p>
    <w:p w14:paraId="4AF506F3" w14:textId="77777777" w:rsidR="00095D7E" w:rsidRDefault="00095D7E">
      <w:pPr>
        <w:rPr>
          <w:szCs w:val="22"/>
          <w:lang w:val="sr-Latn-ME"/>
        </w:rPr>
      </w:pPr>
    </w:p>
    <w:p w14:paraId="35186814" w14:textId="77777777" w:rsidR="00095D7E" w:rsidRDefault="008740DD">
      <w:r>
        <w:t>Kao mjera predostrožnosti, navodi se da je poželjno izbjegavati primjenu indapamida tokom trudnoće.</w:t>
      </w:r>
    </w:p>
    <w:p w14:paraId="045D8BE7" w14:textId="77777777" w:rsidR="00095D7E" w:rsidRDefault="00095D7E">
      <w:pPr>
        <w:jc w:val="both"/>
        <w:rPr>
          <w:color w:val="222222"/>
          <w:szCs w:val="22"/>
          <w:lang w:val="sr-Latn-ME" w:eastAsia="sr-Latn-RS"/>
        </w:rPr>
      </w:pPr>
    </w:p>
    <w:p w14:paraId="13CCDF15" w14:textId="77777777" w:rsidR="00095D7E" w:rsidRDefault="008740DD">
      <w:pPr>
        <w:widowControl w:val="0"/>
        <w:suppressAutoHyphens/>
        <w:jc w:val="both"/>
        <w:rPr>
          <w:szCs w:val="22"/>
          <w:lang w:val="sr-Latn-ME"/>
        </w:rPr>
      </w:pPr>
      <w:r>
        <w:rPr>
          <w:szCs w:val="22"/>
          <w:lang w:val="sr-Latn-ME"/>
        </w:rPr>
        <w:t>Žene u reproduktivnom periodu moraju da sprovode odgovarajuće kontraceptivne mjere.</w:t>
      </w:r>
    </w:p>
    <w:p w14:paraId="3596EB04" w14:textId="77777777" w:rsidR="00095D7E" w:rsidRDefault="008740DD">
      <w:pPr>
        <w:widowControl w:val="0"/>
        <w:suppressAutoHyphens/>
        <w:jc w:val="both"/>
        <w:rPr>
          <w:szCs w:val="22"/>
          <w:lang w:val="sr-Latn-ME"/>
        </w:rPr>
      </w:pPr>
      <w:r>
        <w:rPr>
          <w:szCs w:val="22"/>
          <w:lang w:val="sr-Latn-ME"/>
        </w:rPr>
        <w:t>S obzirom na to da su holesterol i drugi proizvodi biosinteze holesterola ključni za razvoj fetusa, potencijalni rizik od inhibicije HMG-CoA reduktaze prevazilazi prednosti terapije tokom trudnoće. Ispitivanja na životinjama pružila su ograničene dokaze o reproduktivnoj toksičnosti (vidjeti dio 5.3). Ako pacijentkinja zatrudni tokom upotrebe ovog lijeka, terapiju treba hitno prekinuti.</w:t>
      </w:r>
    </w:p>
    <w:p w14:paraId="79C2CFBE" w14:textId="77777777" w:rsidR="00095D7E" w:rsidRDefault="00095D7E">
      <w:pPr>
        <w:tabs>
          <w:tab w:val="clear" w:pos="567"/>
          <w:tab w:val="left" w:pos="540"/>
          <w:tab w:val="left" w:pos="569"/>
        </w:tabs>
        <w:jc w:val="both"/>
        <w:rPr>
          <w:szCs w:val="22"/>
          <w:u w:val="single"/>
          <w:lang w:val="sr-Latn-ME"/>
        </w:rPr>
      </w:pPr>
    </w:p>
    <w:p w14:paraId="41A89D51" w14:textId="77777777" w:rsidR="00095D7E" w:rsidRDefault="008740DD">
      <w:pPr>
        <w:tabs>
          <w:tab w:val="clear" w:pos="567"/>
          <w:tab w:val="left" w:pos="540"/>
          <w:tab w:val="left" w:pos="569"/>
        </w:tabs>
        <w:jc w:val="both"/>
        <w:rPr>
          <w:szCs w:val="22"/>
          <w:u w:val="single"/>
          <w:lang w:val="sr-Latn-ME"/>
        </w:rPr>
      </w:pPr>
      <w:r>
        <w:rPr>
          <w:szCs w:val="22"/>
          <w:u w:val="single"/>
          <w:lang w:val="sr-Latn-ME"/>
        </w:rPr>
        <w:t>Dojenje</w:t>
      </w:r>
    </w:p>
    <w:p w14:paraId="7CA7F87A" w14:textId="77777777" w:rsidR="00095D7E" w:rsidRDefault="00095D7E">
      <w:pPr>
        <w:tabs>
          <w:tab w:val="clear" w:pos="567"/>
          <w:tab w:val="left" w:pos="540"/>
          <w:tab w:val="left" w:pos="569"/>
        </w:tabs>
        <w:jc w:val="both"/>
        <w:rPr>
          <w:b/>
          <w:bCs/>
          <w:szCs w:val="22"/>
          <w:lang w:val="sr-Latn-ME"/>
        </w:rPr>
      </w:pPr>
    </w:p>
    <w:p w14:paraId="52F4482C" w14:textId="77777777" w:rsidR="00095D7E" w:rsidRDefault="008740DD">
      <w:pPr>
        <w:widowControl w:val="0"/>
        <w:suppressAutoHyphens/>
        <w:jc w:val="both"/>
        <w:rPr>
          <w:szCs w:val="22"/>
          <w:lang w:val="sr-Latn-ME"/>
        </w:rPr>
      </w:pPr>
      <w:r>
        <w:rPr>
          <w:szCs w:val="22"/>
          <w:lang w:val="sr-Latn-ME"/>
        </w:rPr>
        <w:t>Lijek Roxiper je kontraindikovan tokom perioda laktacije.</w:t>
      </w:r>
    </w:p>
    <w:p w14:paraId="00819089" w14:textId="77777777" w:rsidR="00095D7E" w:rsidRDefault="00095D7E">
      <w:pPr>
        <w:widowControl w:val="0"/>
        <w:autoSpaceDE w:val="0"/>
        <w:autoSpaceDN w:val="0"/>
        <w:adjustRightInd w:val="0"/>
        <w:jc w:val="both"/>
        <w:rPr>
          <w:szCs w:val="22"/>
          <w:u w:val="single"/>
          <w:lang w:val="sr-Latn-ME"/>
        </w:rPr>
      </w:pPr>
    </w:p>
    <w:p w14:paraId="0592955D" w14:textId="77777777" w:rsidR="00095D7E" w:rsidRDefault="008740DD">
      <w:pPr>
        <w:widowControl w:val="0"/>
        <w:autoSpaceDE w:val="0"/>
        <w:autoSpaceDN w:val="0"/>
        <w:adjustRightInd w:val="0"/>
        <w:jc w:val="both"/>
        <w:rPr>
          <w:szCs w:val="22"/>
          <w:lang w:val="sr-Latn-ME"/>
        </w:rPr>
      </w:pPr>
      <w:r>
        <w:rPr>
          <w:szCs w:val="22"/>
          <w:lang w:val="sr-Latn-ME"/>
        </w:rPr>
        <w:t>S obzirom na to da nema dostupnih podataka o upotrebi perindoprila tokom dojenja, on se ne preporučuje i prednost se daje alternativnim terapijama kod kojih je bezbjednosni profil tokom dojenja bolje utvrđen, naročito tokom dojenja novorođenčadi i nedonoščadi.</w:t>
      </w:r>
    </w:p>
    <w:p w14:paraId="6378D019" w14:textId="77777777" w:rsidR="00095D7E" w:rsidRDefault="00095D7E">
      <w:pPr>
        <w:widowControl w:val="0"/>
        <w:autoSpaceDE w:val="0"/>
        <w:autoSpaceDN w:val="0"/>
        <w:adjustRightInd w:val="0"/>
        <w:jc w:val="both"/>
        <w:rPr>
          <w:bCs/>
          <w:szCs w:val="22"/>
          <w:lang w:val="sr-Latn-ME"/>
        </w:rPr>
      </w:pPr>
    </w:p>
    <w:p w14:paraId="2CD44714" w14:textId="77777777" w:rsidR="00095D7E" w:rsidRDefault="008740DD">
      <w:pPr>
        <w:widowControl w:val="0"/>
        <w:suppressAutoHyphens/>
        <w:jc w:val="both"/>
        <w:rPr>
          <w:szCs w:val="22"/>
          <w:lang w:val="sr-Latn-ME"/>
        </w:rPr>
      </w:pPr>
      <w:r>
        <w:rPr>
          <w:szCs w:val="22"/>
          <w:lang w:val="sr-Latn-ME"/>
        </w:rPr>
        <w:t>Nema dovoljno podataka o izlučivanju indapamida/metabolita u majčino mlijeko. Može se javiti preosjetljivost na derivate sulfonamida i hipokalemija. Ne može se isključiti rizik za novorođenčad/dojenčad.</w:t>
      </w:r>
    </w:p>
    <w:p w14:paraId="66B78562" w14:textId="77777777" w:rsidR="00095D7E" w:rsidRDefault="008740DD">
      <w:pPr>
        <w:widowControl w:val="0"/>
        <w:suppressAutoHyphens/>
        <w:jc w:val="both"/>
        <w:rPr>
          <w:bCs/>
          <w:color w:val="00B050"/>
          <w:szCs w:val="22"/>
          <w:lang w:val="sr-Latn-ME"/>
        </w:rPr>
      </w:pPr>
      <w:r>
        <w:rPr>
          <w:szCs w:val="22"/>
          <w:lang w:val="sr-Latn-ME"/>
        </w:rPr>
        <w:t>Indapamid je veoma sličan tiazidnim diureticima koji su bili povezani, tokom dojenja, sa smanjenjem ili čak supresijom laktacije. Indapamid nije preporučljiv</w:t>
      </w:r>
      <w:r>
        <w:rPr>
          <w:bCs/>
          <w:szCs w:val="22"/>
        </w:rPr>
        <w:t xml:space="preserve"> </w:t>
      </w:r>
      <w:r>
        <w:rPr>
          <w:szCs w:val="22"/>
          <w:lang w:val="sr-Latn-ME"/>
        </w:rPr>
        <w:t>tokom dojenja.</w:t>
      </w:r>
    </w:p>
    <w:p w14:paraId="2984E681" w14:textId="77777777" w:rsidR="00095D7E" w:rsidRDefault="008740DD">
      <w:pPr>
        <w:widowControl w:val="0"/>
        <w:suppressAutoHyphens/>
        <w:jc w:val="both"/>
        <w:rPr>
          <w:b/>
          <w:szCs w:val="22"/>
          <w:lang w:val="sr-Latn-ME"/>
        </w:rPr>
      </w:pPr>
      <w:r>
        <w:rPr>
          <w:szCs w:val="22"/>
          <w:lang w:val="sr-Latn-ME"/>
        </w:rPr>
        <w:t>Rosuvastatin se izlučuje u mlijeko kod pacova. Nema podataka u vezi sa ekskrecijom u mlijeko majke kod ljudi. (vidjeti dio 4.3).</w:t>
      </w:r>
    </w:p>
    <w:p w14:paraId="6A8BBDE6" w14:textId="77777777" w:rsidR="00095D7E" w:rsidRDefault="00095D7E">
      <w:pPr>
        <w:tabs>
          <w:tab w:val="clear" w:pos="567"/>
          <w:tab w:val="left" w:pos="540"/>
          <w:tab w:val="left" w:pos="569"/>
        </w:tabs>
        <w:rPr>
          <w:b/>
          <w:bCs/>
          <w:szCs w:val="22"/>
          <w:lang w:val="sr-Latn-ME"/>
        </w:rPr>
      </w:pPr>
    </w:p>
    <w:p w14:paraId="0E0114FF" w14:textId="77777777" w:rsidR="00095D7E" w:rsidRDefault="008740DD">
      <w:pPr>
        <w:tabs>
          <w:tab w:val="clear" w:pos="567"/>
          <w:tab w:val="left" w:pos="540"/>
          <w:tab w:val="left" w:pos="569"/>
        </w:tabs>
        <w:ind w:left="540" w:hanging="540"/>
        <w:rPr>
          <w:b/>
          <w:bCs/>
          <w:szCs w:val="22"/>
          <w:lang w:val="sr-Latn-ME"/>
        </w:rPr>
      </w:pPr>
      <w:r>
        <w:rPr>
          <w:b/>
          <w:bCs/>
          <w:szCs w:val="22"/>
          <w:lang w:val="sr-Latn-ME"/>
        </w:rPr>
        <w:t xml:space="preserve">4.7. </w:t>
      </w:r>
      <w:r>
        <w:rPr>
          <w:b/>
          <w:bCs/>
          <w:szCs w:val="22"/>
          <w:lang w:val="sr-Latn-ME"/>
        </w:rPr>
        <w:tab/>
        <w:t>Uticaj na sposobnost upravljanja vozilima i rukovanje mašinama</w:t>
      </w:r>
    </w:p>
    <w:p w14:paraId="5A8F3874" w14:textId="77777777" w:rsidR="00095D7E" w:rsidRDefault="00095D7E">
      <w:pPr>
        <w:tabs>
          <w:tab w:val="clear" w:pos="567"/>
          <w:tab w:val="left" w:pos="540"/>
          <w:tab w:val="left" w:pos="569"/>
        </w:tabs>
        <w:rPr>
          <w:b/>
          <w:bCs/>
          <w:szCs w:val="22"/>
          <w:lang w:val="sr-Latn-ME"/>
        </w:rPr>
      </w:pPr>
    </w:p>
    <w:p w14:paraId="43758E5C" w14:textId="77777777" w:rsidR="00095D7E" w:rsidRDefault="008740DD">
      <w:pPr>
        <w:widowControl w:val="0"/>
        <w:tabs>
          <w:tab w:val="left" w:pos="-142"/>
          <w:tab w:val="left" w:pos="0"/>
        </w:tabs>
        <w:jc w:val="both"/>
        <w:rPr>
          <w:szCs w:val="22"/>
          <w:lang w:val="sr-Latn-ME"/>
        </w:rPr>
      </w:pPr>
      <w:r>
        <w:rPr>
          <w:szCs w:val="22"/>
          <w:lang w:val="sr-Latn-ME"/>
        </w:rPr>
        <w:t>Lijek Roxiper ne utiče direktno na sposobnost upravljanja motornim vozilom ili rukovanje mašinama, ali individualne reakcije povezane sa niskim krvnim pritiskom mogu da se jave kod nekih pacijenata, posebno na početku terapije ili u kombinaciji sa drugim antihipertenzivima.</w:t>
      </w:r>
    </w:p>
    <w:p w14:paraId="0FE33F8F" w14:textId="77777777" w:rsidR="00095D7E" w:rsidRDefault="00095D7E">
      <w:pPr>
        <w:widowControl w:val="0"/>
        <w:jc w:val="both"/>
        <w:rPr>
          <w:szCs w:val="22"/>
          <w:lang w:val="sr-Latn-ME"/>
        </w:rPr>
      </w:pPr>
    </w:p>
    <w:p w14:paraId="1C0A0627" w14:textId="77777777" w:rsidR="00095D7E" w:rsidRDefault="008740DD">
      <w:pPr>
        <w:widowControl w:val="0"/>
        <w:jc w:val="both"/>
        <w:rPr>
          <w:szCs w:val="22"/>
          <w:lang w:val="sr-Latn-ME"/>
        </w:rPr>
      </w:pPr>
      <w:r>
        <w:rPr>
          <w:szCs w:val="22"/>
          <w:lang w:val="sr-Latn-ME"/>
        </w:rPr>
        <w:t>Nijesu sprovedene studije o uticaju rosuvastatina na sposobnost upravljanja motornim vozilom i rukovanje mašinama. Međutim, na osnovu njegovih farmakodinamskih svojstava, nije vjerovatno da će rosuvastatin uticati na ove sposobnosti. Prilikom upravljanja vozilima ili rukovanja mašinama treba uzeti u obzir da se tokom terapije može javiti vrtoglavica.</w:t>
      </w:r>
    </w:p>
    <w:p w14:paraId="479AB84B" w14:textId="77777777" w:rsidR="00095D7E" w:rsidRDefault="00095D7E">
      <w:pPr>
        <w:widowControl w:val="0"/>
        <w:jc w:val="both"/>
        <w:rPr>
          <w:szCs w:val="22"/>
          <w:lang w:val="sr-Latn-ME"/>
        </w:rPr>
      </w:pPr>
    </w:p>
    <w:p w14:paraId="159D02F2" w14:textId="77777777" w:rsidR="00095D7E" w:rsidRDefault="008740DD">
      <w:pPr>
        <w:widowControl w:val="0"/>
        <w:jc w:val="both"/>
        <w:rPr>
          <w:szCs w:val="22"/>
          <w:lang w:val="sr-Latn-ME"/>
        </w:rPr>
      </w:pPr>
      <w:r>
        <w:rPr>
          <w:szCs w:val="22"/>
          <w:lang w:val="sr-Latn-ME"/>
        </w:rPr>
        <w:t>Kao rezultat toga, može doći do smanjenja sposobnosti pacijenta da upravlja vozilom i rukuje mašinama.</w:t>
      </w:r>
    </w:p>
    <w:p w14:paraId="4386AE65" w14:textId="77777777" w:rsidR="00095D7E" w:rsidRDefault="00095D7E">
      <w:pPr>
        <w:tabs>
          <w:tab w:val="clear" w:pos="567"/>
          <w:tab w:val="left" w:pos="540"/>
          <w:tab w:val="left" w:pos="569"/>
        </w:tabs>
        <w:rPr>
          <w:b/>
          <w:bCs/>
          <w:szCs w:val="22"/>
          <w:lang w:val="sr-Latn-ME"/>
        </w:rPr>
      </w:pPr>
    </w:p>
    <w:p w14:paraId="20DD202D" w14:textId="77777777" w:rsidR="00095D7E" w:rsidRDefault="008740DD">
      <w:pPr>
        <w:tabs>
          <w:tab w:val="clear" w:pos="567"/>
          <w:tab w:val="left" w:pos="540"/>
          <w:tab w:val="left" w:pos="569"/>
        </w:tabs>
        <w:rPr>
          <w:b/>
          <w:bCs/>
          <w:szCs w:val="22"/>
          <w:lang w:val="sr-Latn-ME"/>
        </w:rPr>
      </w:pPr>
      <w:r>
        <w:rPr>
          <w:b/>
          <w:bCs/>
          <w:szCs w:val="22"/>
          <w:lang w:val="sr-Latn-ME"/>
        </w:rPr>
        <w:t xml:space="preserve">4.8. </w:t>
      </w:r>
      <w:r>
        <w:rPr>
          <w:b/>
          <w:bCs/>
          <w:szCs w:val="22"/>
          <w:lang w:val="sr-Latn-ME"/>
        </w:rPr>
        <w:tab/>
        <w:t>Neželjena dejstva</w:t>
      </w:r>
    </w:p>
    <w:p w14:paraId="5E281CC3" w14:textId="77777777" w:rsidR="00095D7E" w:rsidRDefault="00095D7E">
      <w:pPr>
        <w:widowControl w:val="0"/>
        <w:ind w:left="567"/>
        <w:rPr>
          <w:szCs w:val="22"/>
          <w:lang w:val="sr-Latn-ME"/>
        </w:rPr>
      </w:pPr>
    </w:p>
    <w:p w14:paraId="43E44A71" w14:textId="77777777" w:rsidR="00095D7E" w:rsidRDefault="008740DD">
      <w:pPr>
        <w:numPr>
          <w:ilvl w:val="0"/>
          <w:numId w:val="16"/>
        </w:numPr>
        <w:tabs>
          <w:tab w:val="clear" w:pos="567"/>
        </w:tabs>
        <w:spacing w:line="240" w:lineRule="auto"/>
        <w:jc w:val="both"/>
        <w:rPr>
          <w:szCs w:val="22"/>
          <w:lang w:val="sr-Latn-ME"/>
        </w:rPr>
      </w:pPr>
      <w:r>
        <w:rPr>
          <w:szCs w:val="22"/>
          <w:lang w:val="sr-Latn-ME"/>
        </w:rPr>
        <w:t>Sažetak bezbjednosnog profila</w:t>
      </w:r>
    </w:p>
    <w:p w14:paraId="2808B695" w14:textId="77777777" w:rsidR="00095D7E" w:rsidRDefault="00095D7E">
      <w:pPr>
        <w:widowControl w:val="0"/>
        <w:rPr>
          <w:szCs w:val="22"/>
          <w:lang w:val="sr-Latn-ME"/>
        </w:rPr>
      </w:pPr>
    </w:p>
    <w:p w14:paraId="71512A53" w14:textId="77777777" w:rsidR="00095D7E" w:rsidRDefault="008740DD">
      <w:pPr>
        <w:jc w:val="both"/>
        <w:rPr>
          <w:szCs w:val="22"/>
          <w:lang w:val="sr-Latn-ME"/>
        </w:rPr>
      </w:pPr>
      <w:r>
        <w:rPr>
          <w:szCs w:val="22"/>
          <w:lang w:val="sr-Latn-ME"/>
        </w:rPr>
        <w:t>Najčešće prijavljivana neželjena dejstva su:</w:t>
      </w:r>
    </w:p>
    <w:p w14:paraId="51D194D5" w14:textId="77777777" w:rsidR="00095D7E" w:rsidRDefault="008740DD">
      <w:pPr>
        <w:ind w:left="720" w:hanging="720"/>
        <w:jc w:val="both"/>
        <w:rPr>
          <w:szCs w:val="22"/>
          <w:lang w:val="sr-Latn-ME" w:eastAsia="sr-Latn-RS"/>
        </w:rPr>
      </w:pPr>
      <w:r>
        <w:rPr>
          <w:szCs w:val="22"/>
          <w:lang w:val="sr-Latn-ME"/>
        </w:rPr>
        <w:t>-</w:t>
      </w:r>
      <w:r>
        <w:rPr>
          <w:szCs w:val="22"/>
          <w:lang w:val="sr-Latn-ME"/>
        </w:rPr>
        <w:tab/>
        <w:t>s perindoprilom: vrtoglavica, glavobolja, parestezija, disgeuzija, oštećenje vida, vertigo, tinitus, hipotenzija, kašalj, dispneja, bol u stomaku, konstipacija, dispepsija, proliv, mučnina, povraćanje, pruritus, osip, mišićni grčevi i astenija.</w:t>
      </w:r>
    </w:p>
    <w:p w14:paraId="704791C2" w14:textId="77777777" w:rsidR="00095D7E" w:rsidRDefault="008740DD">
      <w:pPr>
        <w:jc w:val="both"/>
        <w:rPr>
          <w:szCs w:val="22"/>
          <w:lang w:val="sr-Latn-ME"/>
        </w:rPr>
      </w:pPr>
      <w:r>
        <w:rPr>
          <w:szCs w:val="22"/>
          <w:lang w:val="sr-Latn-ME"/>
        </w:rPr>
        <w:t xml:space="preserve"> </w:t>
      </w:r>
    </w:p>
    <w:p w14:paraId="04AFAC47" w14:textId="77777777" w:rsidR="00095D7E" w:rsidRDefault="008740DD">
      <w:pPr>
        <w:ind w:left="720" w:hanging="720"/>
        <w:jc w:val="both"/>
        <w:rPr>
          <w:szCs w:val="22"/>
          <w:lang w:val="sr-Latn-ME"/>
        </w:rPr>
      </w:pPr>
      <w:r>
        <w:rPr>
          <w:szCs w:val="22"/>
          <w:lang w:val="sr-Latn-ME"/>
        </w:rPr>
        <w:t>-</w:t>
      </w:r>
      <w:r>
        <w:rPr>
          <w:szCs w:val="22"/>
          <w:lang w:val="sr-Latn-ME"/>
        </w:rPr>
        <w:tab/>
        <w:t xml:space="preserve">s indapamidom: hipokalijemija, reakcije preosjetljivosti, uglavnom dermatološke, kod osoba s predispozicijom za alergijske i astmatične reakcije i makulo-papularni osip. </w:t>
      </w:r>
    </w:p>
    <w:p w14:paraId="6270C960" w14:textId="77777777" w:rsidR="00095D7E" w:rsidRDefault="00095D7E">
      <w:pPr>
        <w:widowControl w:val="0"/>
        <w:rPr>
          <w:szCs w:val="22"/>
          <w:lang w:val="sr-Latn-ME"/>
        </w:rPr>
      </w:pPr>
    </w:p>
    <w:p w14:paraId="1BEA60D0" w14:textId="77777777" w:rsidR="00095D7E" w:rsidRDefault="008740DD">
      <w:pPr>
        <w:numPr>
          <w:ilvl w:val="0"/>
          <w:numId w:val="16"/>
        </w:numPr>
        <w:tabs>
          <w:tab w:val="clear" w:pos="567"/>
        </w:tabs>
        <w:spacing w:line="240" w:lineRule="auto"/>
        <w:jc w:val="both"/>
        <w:rPr>
          <w:szCs w:val="22"/>
          <w:lang w:val="sr-Latn-ME"/>
        </w:rPr>
      </w:pPr>
      <w:r>
        <w:rPr>
          <w:szCs w:val="22"/>
          <w:lang w:val="sr-Latn-ME"/>
        </w:rPr>
        <w:t>Tabelarni prikaz neželjenih dejstava</w:t>
      </w:r>
    </w:p>
    <w:p w14:paraId="0990C57C" w14:textId="77777777" w:rsidR="00095D7E" w:rsidRDefault="00095D7E">
      <w:pPr>
        <w:widowControl w:val="0"/>
        <w:rPr>
          <w:szCs w:val="22"/>
          <w:lang w:val="sr-Latn-ME"/>
        </w:rPr>
      </w:pPr>
    </w:p>
    <w:p w14:paraId="11F4E930" w14:textId="77777777" w:rsidR="00095D7E" w:rsidRDefault="008740DD">
      <w:pPr>
        <w:rPr>
          <w:szCs w:val="22"/>
          <w:lang w:val="sr-Latn-ME"/>
        </w:rPr>
      </w:pPr>
      <w:r>
        <w:rPr>
          <w:szCs w:val="22"/>
          <w:lang w:val="sr-Latn-ME"/>
        </w:rPr>
        <w:t>Sljedeća neželjena dejstva mogu se primijetiti tokom liječenja i svrstati po učestalosti:</w:t>
      </w:r>
    </w:p>
    <w:p w14:paraId="7BA28052" w14:textId="77777777" w:rsidR="00095D7E" w:rsidRDefault="008740DD">
      <w:pPr>
        <w:widowControl w:val="0"/>
        <w:numPr>
          <w:ilvl w:val="0"/>
          <w:numId w:val="11"/>
        </w:numPr>
        <w:tabs>
          <w:tab w:val="clear" w:pos="567"/>
          <w:tab w:val="clear" w:pos="1080"/>
        </w:tabs>
        <w:spacing w:line="240" w:lineRule="auto"/>
        <w:ind w:left="567" w:hanging="567"/>
        <w:rPr>
          <w:szCs w:val="22"/>
          <w:lang w:val="sr-Latn-ME"/>
        </w:rPr>
      </w:pPr>
      <w:r>
        <w:rPr>
          <w:szCs w:val="22"/>
          <w:lang w:val="sr-Latn-ME"/>
        </w:rPr>
        <w:t>Veoma često (≥ 1/10),</w:t>
      </w:r>
    </w:p>
    <w:p w14:paraId="2421B83C" w14:textId="77777777" w:rsidR="00095D7E" w:rsidRDefault="008740DD">
      <w:pPr>
        <w:widowControl w:val="0"/>
        <w:numPr>
          <w:ilvl w:val="0"/>
          <w:numId w:val="11"/>
        </w:numPr>
        <w:tabs>
          <w:tab w:val="clear" w:pos="567"/>
          <w:tab w:val="clear" w:pos="1080"/>
        </w:tabs>
        <w:spacing w:line="240" w:lineRule="auto"/>
        <w:ind w:left="567" w:hanging="567"/>
        <w:rPr>
          <w:szCs w:val="22"/>
          <w:lang w:val="sr-Latn-ME"/>
        </w:rPr>
      </w:pPr>
      <w:r>
        <w:rPr>
          <w:szCs w:val="22"/>
          <w:lang w:val="sr-Latn-ME"/>
        </w:rPr>
        <w:t>Često (≥ 1/100 do &lt; 1/10),</w:t>
      </w:r>
    </w:p>
    <w:p w14:paraId="3CA5A5BF" w14:textId="77777777" w:rsidR="00095D7E" w:rsidRDefault="008740DD">
      <w:pPr>
        <w:widowControl w:val="0"/>
        <w:numPr>
          <w:ilvl w:val="0"/>
          <w:numId w:val="11"/>
        </w:numPr>
        <w:tabs>
          <w:tab w:val="clear" w:pos="567"/>
          <w:tab w:val="clear" w:pos="1080"/>
        </w:tabs>
        <w:spacing w:line="240" w:lineRule="auto"/>
        <w:ind w:left="567" w:hanging="567"/>
        <w:rPr>
          <w:szCs w:val="22"/>
          <w:lang w:val="sr-Latn-ME"/>
        </w:rPr>
      </w:pPr>
      <w:r>
        <w:rPr>
          <w:szCs w:val="22"/>
          <w:lang w:val="sr-Latn-ME"/>
        </w:rPr>
        <w:t>Povremeno (≥ 1/1000 do &lt; 1/100),</w:t>
      </w:r>
    </w:p>
    <w:p w14:paraId="39D462F5" w14:textId="77777777" w:rsidR="00095D7E" w:rsidRDefault="008740DD">
      <w:pPr>
        <w:widowControl w:val="0"/>
        <w:numPr>
          <w:ilvl w:val="0"/>
          <w:numId w:val="11"/>
        </w:numPr>
        <w:tabs>
          <w:tab w:val="clear" w:pos="567"/>
          <w:tab w:val="clear" w:pos="1080"/>
        </w:tabs>
        <w:spacing w:line="240" w:lineRule="auto"/>
        <w:ind w:left="567" w:hanging="567"/>
        <w:rPr>
          <w:szCs w:val="22"/>
          <w:lang w:val="sr-Latn-ME"/>
        </w:rPr>
      </w:pPr>
      <w:r>
        <w:rPr>
          <w:szCs w:val="22"/>
          <w:lang w:val="sr-Latn-ME"/>
        </w:rPr>
        <w:t>Rijetko (≥ 1/10000 do &lt; 1/1000),</w:t>
      </w:r>
    </w:p>
    <w:p w14:paraId="23E5314A" w14:textId="77777777" w:rsidR="00095D7E" w:rsidRDefault="008740DD">
      <w:pPr>
        <w:numPr>
          <w:ilvl w:val="0"/>
          <w:numId w:val="11"/>
        </w:numPr>
        <w:tabs>
          <w:tab w:val="clear" w:pos="567"/>
          <w:tab w:val="clear" w:pos="1080"/>
        </w:tabs>
        <w:spacing w:line="240" w:lineRule="auto"/>
        <w:ind w:left="567" w:hanging="567"/>
        <w:rPr>
          <w:szCs w:val="22"/>
          <w:lang w:val="sr-Latn-ME"/>
        </w:rPr>
      </w:pPr>
      <w:r>
        <w:rPr>
          <w:szCs w:val="22"/>
          <w:lang w:val="sr-Latn-ME"/>
        </w:rPr>
        <w:t>Veoma rijetko (&lt; 1/10000),</w:t>
      </w:r>
    </w:p>
    <w:p w14:paraId="2AA0A705" w14:textId="77777777" w:rsidR="00095D7E" w:rsidRDefault="008740DD">
      <w:pPr>
        <w:numPr>
          <w:ilvl w:val="0"/>
          <w:numId w:val="11"/>
        </w:numPr>
        <w:tabs>
          <w:tab w:val="clear" w:pos="567"/>
          <w:tab w:val="clear" w:pos="1080"/>
        </w:tabs>
        <w:spacing w:line="240" w:lineRule="auto"/>
        <w:ind w:left="567" w:hanging="567"/>
        <w:rPr>
          <w:szCs w:val="22"/>
          <w:lang w:val="sr-Latn-ME"/>
        </w:rPr>
      </w:pPr>
      <w:r>
        <w:rPr>
          <w:szCs w:val="22"/>
          <w:lang w:val="sr-Latn-ME"/>
        </w:rPr>
        <w:t>Nepoznato (ne može se procijeniti na osnovu raspoloživih podataka).</w:t>
      </w:r>
    </w:p>
    <w:p w14:paraId="70343B10" w14:textId="77777777" w:rsidR="00095D7E" w:rsidRDefault="00095D7E">
      <w:pPr>
        <w:widowControl w:val="0"/>
        <w:rPr>
          <w:szCs w:val="22"/>
          <w:vertAlign w:val="superscript"/>
          <w:lang w:val="sr-Latn-ME"/>
        </w:rPr>
      </w:pPr>
    </w:p>
    <w:tbl>
      <w:tblPr>
        <w:tblW w:w="5000" w:type="pct"/>
        <w:tblCellMar>
          <w:left w:w="20" w:type="dxa"/>
          <w:right w:w="20" w:type="dxa"/>
        </w:tblCellMar>
        <w:tblLook w:val="0000" w:firstRow="0" w:lastRow="0" w:firstColumn="0" w:lastColumn="0" w:noHBand="0" w:noVBand="0"/>
      </w:tblPr>
      <w:tblGrid>
        <w:gridCol w:w="1744"/>
        <w:gridCol w:w="2785"/>
        <w:gridCol w:w="1158"/>
        <w:gridCol w:w="2070"/>
        <w:gridCol w:w="1268"/>
      </w:tblGrid>
      <w:tr w:rsidR="00095D7E" w14:paraId="45D210EB" w14:textId="77777777">
        <w:tc>
          <w:tcPr>
            <w:tcW w:w="956" w:type="pct"/>
            <w:vMerge w:val="restart"/>
            <w:tcBorders>
              <w:top w:val="threeDEmboss" w:sz="6" w:space="0" w:color="auto"/>
              <w:left w:val="threeDEmboss" w:sz="6" w:space="0" w:color="auto"/>
              <w:bottom w:val="threeDEmboss" w:sz="6" w:space="0" w:color="auto"/>
              <w:right w:val="threeDEmboss" w:sz="6" w:space="0" w:color="auto"/>
            </w:tcBorders>
            <w:vAlign w:val="center"/>
          </w:tcPr>
          <w:p w14:paraId="1ECAC342" w14:textId="77777777" w:rsidR="00095D7E" w:rsidRDefault="008740DD">
            <w:pPr>
              <w:autoSpaceDE w:val="0"/>
              <w:autoSpaceDN w:val="0"/>
              <w:adjustRightInd w:val="0"/>
              <w:rPr>
                <w:szCs w:val="22"/>
                <w:lang w:val="sr-Latn-ME"/>
              </w:rPr>
            </w:pPr>
            <w:r>
              <w:rPr>
                <w:b/>
                <w:bCs/>
                <w:szCs w:val="22"/>
                <w:lang w:val="sr-Latn-ME"/>
              </w:rPr>
              <w:t>MedDRA</w:t>
            </w:r>
            <w:r>
              <w:rPr>
                <w:szCs w:val="22"/>
                <w:lang w:val="sr-Latn-ME"/>
              </w:rPr>
              <w:t xml:space="preserve"> </w:t>
            </w:r>
          </w:p>
          <w:p w14:paraId="63B18AEC" w14:textId="77777777" w:rsidR="00095D7E" w:rsidRDefault="008740DD">
            <w:pPr>
              <w:autoSpaceDE w:val="0"/>
              <w:autoSpaceDN w:val="0"/>
              <w:adjustRightInd w:val="0"/>
              <w:rPr>
                <w:szCs w:val="22"/>
                <w:lang w:val="sr-Latn-ME"/>
              </w:rPr>
            </w:pPr>
            <w:r>
              <w:rPr>
                <w:b/>
                <w:szCs w:val="22"/>
                <w:lang w:val="sr-Latn-ME"/>
              </w:rPr>
              <w:t>Klasifikacija organskih sistema</w:t>
            </w:r>
          </w:p>
        </w:tc>
        <w:tc>
          <w:tcPr>
            <w:tcW w:w="1553" w:type="pct"/>
            <w:vMerge w:val="restart"/>
            <w:tcBorders>
              <w:top w:val="threeDEmboss" w:sz="6" w:space="0" w:color="auto"/>
              <w:left w:val="threeDEmboss" w:sz="6" w:space="0" w:color="auto"/>
              <w:bottom w:val="threeDEmboss" w:sz="6" w:space="0" w:color="auto"/>
              <w:right w:val="threeDEmboss" w:sz="6" w:space="0" w:color="auto"/>
            </w:tcBorders>
            <w:vAlign w:val="center"/>
          </w:tcPr>
          <w:p w14:paraId="2D2B78AC" w14:textId="77777777" w:rsidR="00095D7E" w:rsidRDefault="008740DD">
            <w:pPr>
              <w:autoSpaceDE w:val="0"/>
              <w:autoSpaceDN w:val="0"/>
              <w:adjustRightInd w:val="0"/>
              <w:rPr>
                <w:szCs w:val="22"/>
                <w:lang w:val="sr-Latn-ME"/>
              </w:rPr>
            </w:pPr>
            <w:r>
              <w:rPr>
                <w:b/>
                <w:bCs/>
                <w:szCs w:val="22"/>
                <w:lang w:val="sr-Latn-ME"/>
              </w:rPr>
              <w:t xml:space="preserve"> </w:t>
            </w:r>
            <w:r>
              <w:rPr>
                <w:b/>
                <w:szCs w:val="22"/>
                <w:lang w:val="sr-Latn-ME"/>
              </w:rPr>
              <w:t>Neželjena dejstva</w:t>
            </w:r>
            <w:r>
              <w:rPr>
                <w:szCs w:val="22"/>
                <w:lang w:val="sr-Latn-ME"/>
              </w:rPr>
              <w:t xml:space="preserve"> </w:t>
            </w:r>
          </w:p>
        </w:tc>
        <w:tc>
          <w:tcPr>
            <w:tcW w:w="2491" w:type="pct"/>
            <w:gridSpan w:val="3"/>
            <w:tcBorders>
              <w:top w:val="threeDEmboss" w:sz="6" w:space="0" w:color="auto"/>
              <w:left w:val="threeDEmboss" w:sz="6" w:space="0" w:color="auto"/>
              <w:bottom w:val="threeDEmboss" w:sz="6" w:space="0" w:color="auto"/>
              <w:right w:val="threeDEmboss" w:sz="6" w:space="0" w:color="auto"/>
            </w:tcBorders>
            <w:vAlign w:val="center"/>
          </w:tcPr>
          <w:p w14:paraId="77C11867" w14:textId="77777777" w:rsidR="00095D7E" w:rsidRDefault="008740DD">
            <w:pPr>
              <w:autoSpaceDE w:val="0"/>
              <w:autoSpaceDN w:val="0"/>
              <w:adjustRightInd w:val="0"/>
              <w:rPr>
                <w:b/>
                <w:bCs/>
                <w:szCs w:val="22"/>
                <w:lang w:val="sr-Latn-ME"/>
              </w:rPr>
            </w:pPr>
            <w:r>
              <w:rPr>
                <w:b/>
                <w:bCs/>
                <w:szCs w:val="22"/>
                <w:lang w:val="sr-Latn-ME"/>
              </w:rPr>
              <w:t>Učestalost</w:t>
            </w:r>
          </w:p>
        </w:tc>
      </w:tr>
      <w:tr w:rsidR="00095D7E" w14:paraId="47DC11DE"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26DFD79F" w14:textId="77777777" w:rsidR="00095D7E" w:rsidRDefault="00095D7E">
            <w:pPr>
              <w:autoSpaceDE w:val="0"/>
              <w:autoSpaceDN w:val="0"/>
              <w:adjustRightInd w:val="0"/>
              <w:rPr>
                <w:szCs w:val="22"/>
                <w:lang w:val="sr-Latn-ME"/>
              </w:rPr>
            </w:pPr>
          </w:p>
        </w:tc>
        <w:tc>
          <w:tcPr>
            <w:tcW w:w="1553" w:type="pct"/>
            <w:vMerge/>
            <w:tcBorders>
              <w:top w:val="threeDEmboss" w:sz="6" w:space="0" w:color="auto"/>
              <w:left w:val="threeDEmboss" w:sz="6" w:space="0" w:color="auto"/>
              <w:bottom w:val="threeDEmboss" w:sz="6" w:space="0" w:color="auto"/>
              <w:right w:val="threeDEmboss" w:sz="6" w:space="0" w:color="auto"/>
            </w:tcBorders>
            <w:vAlign w:val="center"/>
          </w:tcPr>
          <w:p w14:paraId="745FB6D7" w14:textId="77777777" w:rsidR="00095D7E" w:rsidRDefault="00095D7E">
            <w:pPr>
              <w:autoSpaceDE w:val="0"/>
              <w:autoSpaceDN w:val="0"/>
              <w:adjustRightInd w:val="0"/>
              <w:rPr>
                <w:szCs w:val="22"/>
                <w:lang w:val="sr-Latn-ME"/>
              </w:rPr>
            </w:pP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6F64C45" w14:textId="77777777" w:rsidR="00095D7E" w:rsidRDefault="008740DD">
            <w:pPr>
              <w:autoSpaceDE w:val="0"/>
              <w:autoSpaceDN w:val="0"/>
              <w:adjustRightInd w:val="0"/>
              <w:rPr>
                <w:szCs w:val="22"/>
                <w:lang w:val="sr-Latn-ME"/>
              </w:rPr>
            </w:pPr>
            <w:r>
              <w:rPr>
                <w:b/>
                <w:bCs/>
                <w:szCs w:val="22"/>
                <w:lang w:val="sr-Latn-ME"/>
              </w:rPr>
              <w:t>Perindopril</w:t>
            </w:r>
            <w:r>
              <w:rPr>
                <w:szCs w:val="22"/>
                <w:lang w:val="sr-Latn-ME"/>
              </w:rPr>
              <w:t xml:space="preserve">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01D8B7C8" w14:textId="77777777" w:rsidR="00095D7E" w:rsidRDefault="008740DD">
            <w:pPr>
              <w:autoSpaceDE w:val="0"/>
              <w:autoSpaceDN w:val="0"/>
              <w:adjustRightInd w:val="0"/>
              <w:rPr>
                <w:b/>
                <w:bCs/>
                <w:szCs w:val="22"/>
                <w:lang w:val="sr-Latn-ME"/>
              </w:rPr>
            </w:pPr>
            <w:r>
              <w:rPr>
                <w:b/>
                <w:bCs/>
                <w:szCs w:val="22"/>
                <w:lang w:val="sr-Latn-ME"/>
              </w:rPr>
              <w:t xml:space="preserve">Indapamid </w:t>
            </w:r>
          </w:p>
        </w:tc>
        <w:tc>
          <w:tcPr>
            <w:tcW w:w="696" w:type="pct"/>
            <w:tcBorders>
              <w:top w:val="threeDEmboss" w:sz="6" w:space="0" w:color="auto"/>
              <w:left w:val="threeDEmboss" w:sz="6" w:space="0" w:color="auto"/>
              <w:bottom w:val="threeDEmboss" w:sz="6" w:space="0" w:color="auto"/>
              <w:right w:val="threeDEmboss" w:sz="6" w:space="0" w:color="auto"/>
            </w:tcBorders>
          </w:tcPr>
          <w:p w14:paraId="720F166C" w14:textId="77777777" w:rsidR="00095D7E" w:rsidRDefault="008740DD">
            <w:pPr>
              <w:autoSpaceDE w:val="0"/>
              <w:autoSpaceDN w:val="0"/>
              <w:adjustRightInd w:val="0"/>
              <w:rPr>
                <w:b/>
                <w:bCs/>
                <w:szCs w:val="22"/>
                <w:lang w:val="sr-Latn-ME"/>
              </w:rPr>
            </w:pPr>
            <w:r>
              <w:rPr>
                <w:b/>
                <w:bCs/>
                <w:szCs w:val="22"/>
                <w:lang w:val="sr-Latn-ME"/>
              </w:rPr>
              <w:t>Rosuvastatin</w:t>
            </w:r>
          </w:p>
        </w:tc>
      </w:tr>
      <w:tr w:rsidR="00095D7E" w14:paraId="55423B5C" w14:textId="77777777">
        <w:tc>
          <w:tcPr>
            <w:tcW w:w="956" w:type="pct"/>
            <w:tcBorders>
              <w:top w:val="threeDEmboss" w:sz="6" w:space="0" w:color="auto"/>
              <w:left w:val="threeDEmboss" w:sz="6" w:space="0" w:color="auto"/>
              <w:bottom w:val="threeDEmboss" w:sz="6" w:space="0" w:color="auto"/>
              <w:right w:val="threeDEmboss" w:sz="6" w:space="0" w:color="auto"/>
            </w:tcBorders>
            <w:vAlign w:val="center"/>
          </w:tcPr>
          <w:p w14:paraId="60A639F4" w14:textId="77777777" w:rsidR="00095D7E" w:rsidRDefault="008740DD">
            <w:pPr>
              <w:autoSpaceDE w:val="0"/>
              <w:autoSpaceDN w:val="0"/>
              <w:adjustRightInd w:val="0"/>
              <w:rPr>
                <w:b/>
                <w:szCs w:val="22"/>
                <w:lang w:val="sr-Latn-ME"/>
              </w:rPr>
            </w:pPr>
            <w:r>
              <w:rPr>
                <w:b/>
                <w:szCs w:val="22"/>
                <w:lang w:val="sr-Latn-ME"/>
              </w:rPr>
              <w:t>Infekcije i infestacije</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40A2A58" w14:textId="77777777" w:rsidR="00095D7E" w:rsidRDefault="008740DD">
            <w:pPr>
              <w:autoSpaceDE w:val="0"/>
              <w:autoSpaceDN w:val="0"/>
              <w:adjustRightInd w:val="0"/>
              <w:rPr>
                <w:szCs w:val="22"/>
                <w:lang w:val="sr-Latn-ME"/>
              </w:rPr>
            </w:pPr>
            <w:r>
              <w:rPr>
                <w:szCs w:val="22"/>
                <w:lang w:val="sr-Latn-ME"/>
              </w:rPr>
              <w:t>Rinitis</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507509A"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4AC0D98"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47925E8E" w14:textId="77777777" w:rsidR="00095D7E" w:rsidRDefault="008740DD">
            <w:pPr>
              <w:autoSpaceDE w:val="0"/>
              <w:autoSpaceDN w:val="0"/>
              <w:adjustRightInd w:val="0"/>
              <w:rPr>
                <w:szCs w:val="22"/>
                <w:lang w:val="sr-Latn-ME"/>
              </w:rPr>
            </w:pPr>
            <w:r>
              <w:rPr>
                <w:szCs w:val="22"/>
                <w:lang w:val="sr-Latn-ME"/>
              </w:rPr>
              <w:t>-</w:t>
            </w:r>
          </w:p>
        </w:tc>
      </w:tr>
      <w:tr w:rsidR="00095D7E" w14:paraId="68E8B905" w14:textId="77777777">
        <w:tc>
          <w:tcPr>
            <w:tcW w:w="956" w:type="pct"/>
            <w:vMerge w:val="restart"/>
            <w:tcBorders>
              <w:top w:val="threeDEmboss" w:sz="6" w:space="0" w:color="auto"/>
              <w:left w:val="threeDEmboss" w:sz="6" w:space="0" w:color="auto"/>
              <w:bottom w:val="threeDEmboss" w:sz="6" w:space="0" w:color="auto"/>
              <w:right w:val="threeDEmboss" w:sz="6" w:space="0" w:color="auto"/>
            </w:tcBorders>
            <w:vAlign w:val="center"/>
          </w:tcPr>
          <w:p w14:paraId="68EC2717" w14:textId="77777777" w:rsidR="00095D7E" w:rsidRDefault="008740DD">
            <w:pPr>
              <w:autoSpaceDE w:val="0"/>
              <w:autoSpaceDN w:val="0"/>
              <w:adjustRightInd w:val="0"/>
              <w:rPr>
                <w:b/>
                <w:szCs w:val="22"/>
                <w:lang w:val="sr-Latn-ME"/>
              </w:rPr>
            </w:pPr>
            <w:r>
              <w:rPr>
                <w:b/>
                <w:szCs w:val="22"/>
                <w:lang w:val="sr-Latn-ME"/>
              </w:rPr>
              <w:t>Poremećaji krvi i limfnog sistema</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6A4820F" w14:textId="77777777" w:rsidR="00095D7E" w:rsidRDefault="008740DD">
            <w:pPr>
              <w:autoSpaceDE w:val="0"/>
              <w:autoSpaceDN w:val="0"/>
              <w:adjustRightInd w:val="0"/>
              <w:rPr>
                <w:szCs w:val="22"/>
                <w:lang w:val="sr-Latn-ME"/>
              </w:rPr>
            </w:pPr>
            <w:r>
              <w:rPr>
                <w:szCs w:val="22"/>
                <w:lang w:val="sr-Latn-ME"/>
              </w:rPr>
              <w:t>Eosinofilija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301E5816"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7260748"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28F20CFB" w14:textId="77777777" w:rsidR="00095D7E" w:rsidRDefault="008740DD">
            <w:pPr>
              <w:autoSpaceDE w:val="0"/>
              <w:autoSpaceDN w:val="0"/>
              <w:adjustRightInd w:val="0"/>
              <w:rPr>
                <w:szCs w:val="22"/>
                <w:lang w:val="sr-Latn-ME"/>
              </w:rPr>
            </w:pPr>
            <w:r>
              <w:rPr>
                <w:szCs w:val="22"/>
                <w:lang w:val="sr-Latn-ME"/>
              </w:rPr>
              <w:t>-</w:t>
            </w:r>
          </w:p>
        </w:tc>
      </w:tr>
      <w:tr w:rsidR="00095D7E" w14:paraId="2B020E50"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430EEBBA"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E762287" w14:textId="77777777" w:rsidR="00095D7E" w:rsidRDefault="008740DD">
            <w:pPr>
              <w:autoSpaceDE w:val="0"/>
              <w:autoSpaceDN w:val="0"/>
              <w:adjustRightInd w:val="0"/>
              <w:rPr>
                <w:szCs w:val="22"/>
                <w:lang w:val="sr-Latn-ME"/>
              </w:rPr>
            </w:pPr>
            <w:r>
              <w:rPr>
                <w:szCs w:val="22"/>
                <w:lang w:val="sr-Latn-ME"/>
              </w:rPr>
              <w:t>Agranulocitoza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517545C"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B0C138D"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49570906" w14:textId="77777777" w:rsidR="00095D7E" w:rsidRDefault="008740DD">
            <w:pPr>
              <w:autoSpaceDE w:val="0"/>
              <w:autoSpaceDN w:val="0"/>
              <w:adjustRightInd w:val="0"/>
              <w:rPr>
                <w:szCs w:val="22"/>
                <w:lang w:val="sr-Latn-ME"/>
              </w:rPr>
            </w:pPr>
            <w:r>
              <w:rPr>
                <w:szCs w:val="22"/>
                <w:lang w:val="sr-Latn-ME"/>
              </w:rPr>
              <w:t>-</w:t>
            </w:r>
          </w:p>
        </w:tc>
      </w:tr>
      <w:tr w:rsidR="00095D7E" w14:paraId="38BFA8E3"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08EBD275"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9F5793E" w14:textId="77777777" w:rsidR="00095D7E" w:rsidRDefault="008740DD">
            <w:pPr>
              <w:autoSpaceDE w:val="0"/>
              <w:autoSpaceDN w:val="0"/>
              <w:adjustRightInd w:val="0"/>
              <w:rPr>
                <w:szCs w:val="22"/>
                <w:lang w:val="sr-Latn-ME"/>
              </w:rPr>
            </w:pPr>
            <w:r>
              <w:rPr>
                <w:szCs w:val="22"/>
                <w:lang w:val="sr-Latn-ME"/>
              </w:rPr>
              <w:t>Aplastična anemija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393915D7"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E07BC89"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69D8AF08" w14:textId="77777777" w:rsidR="00095D7E" w:rsidRDefault="008740DD">
            <w:pPr>
              <w:autoSpaceDE w:val="0"/>
              <w:autoSpaceDN w:val="0"/>
              <w:adjustRightInd w:val="0"/>
              <w:rPr>
                <w:szCs w:val="22"/>
                <w:lang w:val="sr-Latn-ME"/>
              </w:rPr>
            </w:pPr>
            <w:r>
              <w:rPr>
                <w:szCs w:val="22"/>
                <w:lang w:val="sr-Latn-ME"/>
              </w:rPr>
              <w:t>-</w:t>
            </w:r>
          </w:p>
        </w:tc>
      </w:tr>
      <w:tr w:rsidR="00095D7E" w14:paraId="427364BE"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2BBEE448"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5487380" w14:textId="77777777" w:rsidR="00095D7E" w:rsidRDefault="008740DD">
            <w:pPr>
              <w:autoSpaceDE w:val="0"/>
              <w:autoSpaceDN w:val="0"/>
              <w:adjustRightInd w:val="0"/>
              <w:rPr>
                <w:szCs w:val="22"/>
                <w:lang w:val="sr-Latn-ME"/>
              </w:rPr>
            </w:pPr>
            <w:r>
              <w:rPr>
                <w:szCs w:val="22"/>
                <w:lang w:val="sr-Latn-ME"/>
              </w:rPr>
              <w:t>Pancitopenija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783CB11"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761235A5"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33A0FF6A" w14:textId="77777777" w:rsidR="00095D7E" w:rsidRDefault="00095D7E">
            <w:pPr>
              <w:autoSpaceDE w:val="0"/>
              <w:autoSpaceDN w:val="0"/>
              <w:adjustRightInd w:val="0"/>
              <w:rPr>
                <w:szCs w:val="22"/>
                <w:lang w:val="sr-Latn-ME"/>
              </w:rPr>
            </w:pPr>
          </w:p>
        </w:tc>
      </w:tr>
      <w:tr w:rsidR="00095D7E" w14:paraId="79A592ED"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5FECA1B1"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403E6E2" w14:textId="77777777" w:rsidR="00095D7E" w:rsidRDefault="008740DD">
            <w:pPr>
              <w:autoSpaceDE w:val="0"/>
              <w:autoSpaceDN w:val="0"/>
              <w:adjustRightInd w:val="0"/>
              <w:rPr>
                <w:szCs w:val="22"/>
                <w:lang w:val="sr-Latn-ME"/>
              </w:rPr>
            </w:pPr>
            <w:r>
              <w:rPr>
                <w:szCs w:val="22"/>
                <w:lang w:val="sr-Latn-ME"/>
              </w:rPr>
              <w:t xml:space="preserve">Leukopenija </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4BD2EEF"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8BE87EE"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607167BC" w14:textId="77777777" w:rsidR="00095D7E" w:rsidRDefault="008740DD">
            <w:pPr>
              <w:autoSpaceDE w:val="0"/>
              <w:autoSpaceDN w:val="0"/>
              <w:adjustRightInd w:val="0"/>
              <w:rPr>
                <w:szCs w:val="22"/>
                <w:lang w:val="sr-Latn-ME"/>
              </w:rPr>
            </w:pPr>
            <w:r>
              <w:rPr>
                <w:szCs w:val="22"/>
                <w:lang w:val="sr-Latn-ME"/>
              </w:rPr>
              <w:t>-</w:t>
            </w:r>
          </w:p>
        </w:tc>
      </w:tr>
      <w:tr w:rsidR="00095D7E" w14:paraId="0045E1B2"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6002830F"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B6AC51E" w14:textId="77777777" w:rsidR="00095D7E" w:rsidRDefault="008740DD">
            <w:pPr>
              <w:autoSpaceDE w:val="0"/>
              <w:autoSpaceDN w:val="0"/>
              <w:adjustRightInd w:val="0"/>
              <w:rPr>
                <w:szCs w:val="22"/>
                <w:lang w:val="sr-Latn-ME"/>
              </w:rPr>
            </w:pPr>
            <w:r>
              <w:rPr>
                <w:szCs w:val="22"/>
                <w:lang w:val="sr-Latn-ME"/>
              </w:rPr>
              <w:t>Neutropenija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A18F49B"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A6C9695"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52D9956A" w14:textId="77777777" w:rsidR="00095D7E" w:rsidRDefault="008740DD">
            <w:pPr>
              <w:autoSpaceDE w:val="0"/>
              <w:autoSpaceDN w:val="0"/>
              <w:adjustRightInd w:val="0"/>
              <w:rPr>
                <w:szCs w:val="22"/>
                <w:lang w:val="sr-Latn-ME"/>
              </w:rPr>
            </w:pPr>
            <w:r>
              <w:rPr>
                <w:szCs w:val="22"/>
                <w:lang w:val="sr-Latn-ME"/>
              </w:rPr>
              <w:t>-</w:t>
            </w:r>
          </w:p>
        </w:tc>
      </w:tr>
      <w:tr w:rsidR="00095D7E" w14:paraId="26AF9624"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13F02982"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F750A69" w14:textId="77777777" w:rsidR="00095D7E" w:rsidRDefault="008740DD">
            <w:pPr>
              <w:autoSpaceDE w:val="0"/>
              <w:autoSpaceDN w:val="0"/>
              <w:adjustRightInd w:val="0"/>
              <w:rPr>
                <w:szCs w:val="22"/>
                <w:lang w:val="sr-Latn-ME"/>
              </w:rPr>
            </w:pPr>
            <w:r>
              <w:rPr>
                <w:szCs w:val="22"/>
                <w:lang w:val="sr-Latn-ME"/>
              </w:rPr>
              <w:t xml:space="preserve">Hemolitička anemija </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81D5077"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7A4CE0F"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7881CD58" w14:textId="77777777" w:rsidR="00095D7E" w:rsidRDefault="008740DD">
            <w:pPr>
              <w:autoSpaceDE w:val="0"/>
              <w:autoSpaceDN w:val="0"/>
              <w:adjustRightInd w:val="0"/>
              <w:rPr>
                <w:szCs w:val="22"/>
                <w:lang w:val="sr-Latn-ME"/>
              </w:rPr>
            </w:pPr>
            <w:r>
              <w:rPr>
                <w:szCs w:val="22"/>
                <w:lang w:val="sr-Latn-ME"/>
              </w:rPr>
              <w:t>-</w:t>
            </w:r>
          </w:p>
        </w:tc>
      </w:tr>
      <w:tr w:rsidR="00095D7E" w14:paraId="4A1FA8F5"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391FAF95"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0F9FAC11" w14:textId="77777777" w:rsidR="00095D7E" w:rsidRDefault="008740DD">
            <w:pPr>
              <w:autoSpaceDE w:val="0"/>
              <w:autoSpaceDN w:val="0"/>
              <w:adjustRightInd w:val="0"/>
              <w:rPr>
                <w:szCs w:val="22"/>
                <w:lang w:val="sr-Latn-ME"/>
              </w:rPr>
            </w:pPr>
            <w:r>
              <w:rPr>
                <w:szCs w:val="22"/>
                <w:lang w:val="sr-Latn-ME"/>
              </w:rPr>
              <w:t>Trombocitopenija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B98BFD8"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E04C019"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074A5807" w14:textId="77777777" w:rsidR="00095D7E" w:rsidRDefault="008740DD">
            <w:pPr>
              <w:autoSpaceDE w:val="0"/>
              <w:autoSpaceDN w:val="0"/>
              <w:adjustRightInd w:val="0"/>
              <w:rPr>
                <w:szCs w:val="22"/>
                <w:lang w:val="sr-Latn-ME"/>
              </w:rPr>
            </w:pPr>
            <w:r>
              <w:rPr>
                <w:szCs w:val="22"/>
                <w:lang w:val="sr-Latn-ME"/>
              </w:rPr>
              <w:t>Rijetko</w:t>
            </w:r>
          </w:p>
        </w:tc>
      </w:tr>
      <w:tr w:rsidR="00095D7E" w14:paraId="430E4A35" w14:textId="77777777">
        <w:tc>
          <w:tcPr>
            <w:tcW w:w="956" w:type="pct"/>
            <w:tcBorders>
              <w:top w:val="threeDEmboss" w:sz="6" w:space="0" w:color="auto"/>
              <w:left w:val="threeDEmboss" w:sz="6" w:space="0" w:color="auto"/>
              <w:bottom w:val="threeDEmboss" w:sz="6" w:space="0" w:color="auto"/>
              <w:right w:val="threeDEmboss" w:sz="6" w:space="0" w:color="auto"/>
            </w:tcBorders>
            <w:vAlign w:val="center"/>
          </w:tcPr>
          <w:p w14:paraId="3BA1A37C" w14:textId="77777777" w:rsidR="00095D7E" w:rsidRDefault="008740DD">
            <w:pPr>
              <w:autoSpaceDE w:val="0"/>
              <w:autoSpaceDN w:val="0"/>
              <w:adjustRightInd w:val="0"/>
              <w:rPr>
                <w:b/>
                <w:szCs w:val="22"/>
                <w:lang w:val="sr-Latn-ME"/>
              </w:rPr>
            </w:pPr>
            <w:r>
              <w:rPr>
                <w:b/>
                <w:szCs w:val="22"/>
                <w:lang w:val="sr-Latn-ME"/>
              </w:rPr>
              <w:t>Poremećaji imunog sistema</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30995C7" w14:textId="77777777" w:rsidR="00095D7E" w:rsidRDefault="008740DD">
            <w:pPr>
              <w:autoSpaceDE w:val="0"/>
              <w:autoSpaceDN w:val="0"/>
              <w:adjustRightInd w:val="0"/>
              <w:rPr>
                <w:szCs w:val="22"/>
                <w:lang w:val="sr-Latn-ME"/>
              </w:rPr>
            </w:pPr>
            <w:r>
              <w:rPr>
                <w:szCs w:val="22"/>
                <w:lang w:val="sr-Latn-ME"/>
              </w:rPr>
              <w:t>Hipersenzitivnost (reakcije, uglavnom dermatološke, kod osoba sa predispozicijom ka alergijskim i astmatičnim reakcijama)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1C3C2F1"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E1A749D" w14:textId="77777777" w:rsidR="00095D7E" w:rsidRDefault="008740DD">
            <w:pPr>
              <w:autoSpaceDE w:val="0"/>
              <w:autoSpaceDN w:val="0"/>
              <w:adjustRightInd w:val="0"/>
              <w:rPr>
                <w:szCs w:val="22"/>
                <w:lang w:val="sr-Latn-ME"/>
              </w:rPr>
            </w:pPr>
            <w:r>
              <w:rPr>
                <w:szCs w:val="22"/>
                <w:lang w:val="sr-Latn-ME"/>
              </w:rPr>
              <w:t>Često</w:t>
            </w:r>
          </w:p>
        </w:tc>
        <w:tc>
          <w:tcPr>
            <w:tcW w:w="696" w:type="pct"/>
            <w:tcBorders>
              <w:top w:val="threeDEmboss" w:sz="6" w:space="0" w:color="auto"/>
              <w:left w:val="threeDEmboss" w:sz="6" w:space="0" w:color="auto"/>
              <w:bottom w:val="threeDEmboss" w:sz="6" w:space="0" w:color="auto"/>
              <w:right w:val="threeDEmboss" w:sz="6" w:space="0" w:color="auto"/>
            </w:tcBorders>
          </w:tcPr>
          <w:p w14:paraId="47F87570" w14:textId="77777777" w:rsidR="00095D7E" w:rsidRDefault="00095D7E">
            <w:pPr>
              <w:autoSpaceDE w:val="0"/>
              <w:autoSpaceDN w:val="0"/>
              <w:adjustRightInd w:val="0"/>
              <w:rPr>
                <w:szCs w:val="22"/>
                <w:lang w:val="sr-Latn-ME"/>
              </w:rPr>
            </w:pPr>
          </w:p>
          <w:p w14:paraId="21BE31B1" w14:textId="77777777" w:rsidR="00095D7E" w:rsidRDefault="00095D7E">
            <w:pPr>
              <w:autoSpaceDE w:val="0"/>
              <w:autoSpaceDN w:val="0"/>
              <w:adjustRightInd w:val="0"/>
              <w:rPr>
                <w:szCs w:val="22"/>
                <w:lang w:val="sr-Latn-ME"/>
              </w:rPr>
            </w:pPr>
          </w:p>
          <w:p w14:paraId="18850B46" w14:textId="77777777" w:rsidR="00095D7E" w:rsidRDefault="008740DD">
            <w:pPr>
              <w:autoSpaceDE w:val="0"/>
              <w:autoSpaceDN w:val="0"/>
              <w:adjustRightInd w:val="0"/>
              <w:rPr>
                <w:szCs w:val="22"/>
                <w:lang w:val="sr-Latn-ME"/>
              </w:rPr>
            </w:pPr>
            <w:r>
              <w:rPr>
                <w:szCs w:val="22"/>
                <w:lang w:val="sr-Latn-ME"/>
              </w:rPr>
              <w:t>Rijetko</w:t>
            </w:r>
          </w:p>
        </w:tc>
      </w:tr>
      <w:tr w:rsidR="00095D7E" w14:paraId="32641602" w14:textId="77777777">
        <w:tc>
          <w:tcPr>
            <w:tcW w:w="956" w:type="pct"/>
            <w:vMerge w:val="restart"/>
            <w:tcBorders>
              <w:top w:val="threeDEmboss" w:sz="6" w:space="0" w:color="auto"/>
              <w:left w:val="threeDEmboss" w:sz="6" w:space="0" w:color="auto"/>
              <w:right w:val="threeDEmboss" w:sz="6" w:space="0" w:color="auto"/>
            </w:tcBorders>
            <w:vAlign w:val="center"/>
          </w:tcPr>
          <w:p w14:paraId="16419B90" w14:textId="77777777" w:rsidR="00095D7E" w:rsidRDefault="008740DD">
            <w:pPr>
              <w:autoSpaceDE w:val="0"/>
              <w:autoSpaceDN w:val="0"/>
              <w:adjustRightInd w:val="0"/>
              <w:rPr>
                <w:b/>
                <w:bCs/>
                <w:szCs w:val="22"/>
                <w:lang w:val="sr-Latn-ME"/>
              </w:rPr>
            </w:pPr>
            <w:r>
              <w:rPr>
                <w:b/>
                <w:bCs/>
                <w:szCs w:val="22"/>
                <w:lang w:val="sr-Latn-ME"/>
              </w:rPr>
              <w:t>Poremećaji endokrinog sistema</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DF9A1A6" w14:textId="77777777" w:rsidR="00095D7E" w:rsidRDefault="008740DD">
            <w:pPr>
              <w:autoSpaceDE w:val="0"/>
              <w:autoSpaceDN w:val="0"/>
              <w:adjustRightInd w:val="0"/>
              <w:rPr>
                <w:szCs w:val="22"/>
                <w:lang w:val="sr-Latn-ME"/>
              </w:rPr>
            </w:pPr>
            <w:r>
              <w:rPr>
                <w:szCs w:val="22"/>
                <w:lang w:val="sr-Latn-ME"/>
              </w:rPr>
              <w:t>Diabetes mellitus</w:t>
            </w:r>
            <w:r>
              <w:rPr>
                <w:szCs w:val="22"/>
                <w:vertAlign w:val="superscript"/>
                <w:lang w:val="sr-Latn-ME"/>
              </w:rPr>
              <w:t>1</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CBB624E"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BB70DB2"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18954AD2" w14:textId="77777777" w:rsidR="00095D7E" w:rsidRDefault="008740DD">
            <w:pPr>
              <w:autoSpaceDE w:val="0"/>
              <w:autoSpaceDN w:val="0"/>
              <w:adjustRightInd w:val="0"/>
              <w:rPr>
                <w:szCs w:val="22"/>
                <w:lang w:val="sr-Latn-ME"/>
              </w:rPr>
            </w:pPr>
            <w:r>
              <w:rPr>
                <w:szCs w:val="22"/>
                <w:lang w:val="sr-Latn-ME"/>
              </w:rPr>
              <w:t>Često</w:t>
            </w:r>
          </w:p>
        </w:tc>
      </w:tr>
      <w:tr w:rsidR="00095D7E" w14:paraId="1C891140" w14:textId="77777777">
        <w:tc>
          <w:tcPr>
            <w:tcW w:w="956" w:type="pct"/>
            <w:vMerge/>
            <w:tcBorders>
              <w:left w:val="threeDEmboss" w:sz="6" w:space="0" w:color="auto"/>
              <w:bottom w:val="threeDEmboss" w:sz="6" w:space="0" w:color="auto"/>
              <w:right w:val="threeDEmboss" w:sz="6" w:space="0" w:color="auto"/>
            </w:tcBorders>
            <w:shd w:val="clear" w:color="auto" w:fill="auto"/>
            <w:vAlign w:val="center"/>
          </w:tcPr>
          <w:p w14:paraId="44AD1BA6" w14:textId="77777777" w:rsidR="00095D7E" w:rsidRDefault="00095D7E">
            <w:pPr>
              <w:autoSpaceDE w:val="0"/>
              <w:autoSpaceDN w:val="0"/>
              <w:adjustRightInd w:val="0"/>
              <w:rPr>
                <w:b/>
                <w:bCs/>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400A8FBD" w14:textId="77777777" w:rsidR="00095D7E" w:rsidRDefault="008740DD">
            <w:pPr>
              <w:autoSpaceDE w:val="0"/>
              <w:autoSpaceDN w:val="0"/>
              <w:adjustRightInd w:val="0"/>
              <w:rPr>
                <w:szCs w:val="22"/>
                <w:lang w:val="sr-Latn-ME"/>
              </w:rPr>
            </w:pPr>
            <w:r>
              <w:rPr>
                <w:bCs/>
                <w:szCs w:val="22"/>
              </w:rPr>
              <w:t>Sindrom</w:t>
            </w:r>
            <w:r>
              <w:rPr>
                <w:szCs w:val="22"/>
              </w:rPr>
              <w:t> neodgovarajućeg izlučivanja antidiuretskog hormona</w:t>
            </w:r>
            <w:r>
              <w:rPr>
                <w:szCs w:val="22"/>
                <w:lang w:val="en-US"/>
              </w:rPr>
              <w:t xml:space="preserve"> (SIADH)</w:t>
            </w:r>
            <w:r>
              <w:rPr>
                <w:szCs w:val="22"/>
              </w:rPr>
              <w:t xml:space="preserve"> </w:t>
            </w:r>
          </w:p>
        </w:tc>
        <w:tc>
          <w:tcPr>
            <w:tcW w:w="638" w:type="pct"/>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03916BB" w14:textId="77777777" w:rsidR="00095D7E" w:rsidRDefault="008740DD">
            <w:pPr>
              <w:autoSpaceDE w:val="0"/>
              <w:autoSpaceDN w:val="0"/>
              <w:adjustRightInd w:val="0"/>
              <w:rPr>
                <w:szCs w:val="22"/>
                <w:lang w:val="sr-Latn-ME"/>
              </w:rPr>
            </w:pPr>
            <w:r>
              <w:rPr>
                <w:szCs w:val="22"/>
              </w:rPr>
              <w:t>Rijetko</w:t>
            </w:r>
          </w:p>
        </w:tc>
        <w:tc>
          <w:tcPr>
            <w:tcW w:w="1157" w:type="pct"/>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5929F24D" w14:textId="77777777" w:rsidR="00095D7E" w:rsidRDefault="008740DD">
            <w:pPr>
              <w:autoSpaceDE w:val="0"/>
              <w:autoSpaceDN w:val="0"/>
              <w:adjustRightInd w:val="0"/>
              <w:rPr>
                <w:szCs w:val="22"/>
                <w:lang w:val="sr-Latn-ME"/>
              </w:rPr>
            </w:pPr>
            <w:r>
              <w:rPr>
                <w:szCs w:val="22"/>
              </w:rPr>
              <w:t>-</w:t>
            </w:r>
          </w:p>
        </w:tc>
        <w:tc>
          <w:tcPr>
            <w:tcW w:w="696" w:type="pct"/>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3941633E" w14:textId="77777777" w:rsidR="00095D7E" w:rsidRDefault="008740DD">
            <w:pPr>
              <w:autoSpaceDE w:val="0"/>
              <w:autoSpaceDN w:val="0"/>
              <w:adjustRightInd w:val="0"/>
              <w:rPr>
                <w:szCs w:val="22"/>
                <w:lang w:val="sr-Latn-ME"/>
              </w:rPr>
            </w:pPr>
            <w:r>
              <w:rPr>
                <w:szCs w:val="22"/>
              </w:rPr>
              <w:t>-</w:t>
            </w:r>
          </w:p>
        </w:tc>
      </w:tr>
      <w:tr w:rsidR="00095D7E" w14:paraId="46D1EF7A" w14:textId="77777777">
        <w:tc>
          <w:tcPr>
            <w:tcW w:w="956" w:type="pct"/>
            <w:vMerge w:val="restart"/>
            <w:tcBorders>
              <w:top w:val="threeDEmboss" w:sz="6" w:space="0" w:color="auto"/>
              <w:left w:val="threeDEmboss" w:sz="6" w:space="0" w:color="auto"/>
              <w:bottom w:val="threeDEmboss" w:sz="6" w:space="0" w:color="auto"/>
              <w:right w:val="threeDEmboss" w:sz="6" w:space="0" w:color="auto"/>
            </w:tcBorders>
            <w:vAlign w:val="center"/>
          </w:tcPr>
          <w:p w14:paraId="516781EA" w14:textId="77777777" w:rsidR="00095D7E" w:rsidRDefault="008740DD">
            <w:pPr>
              <w:autoSpaceDE w:val="0"/>
              <w:autoSpaceDN w:val="0"/>
              <w:adjustRightInd w:val="0"/>
              <w:rPr>
                <w:szCs w:val="22"/>
                <w:lang w:val="sr-Latn-ME"/>
              </w:rPr>
            </w:pPr>
            <w:r>
              <w:rPr>
                <w:b/>
                <w:bCs/>
                <w:szCs w:val="22"/>
                <w:lang w:val="sr-Latn-ME"/>
              </w:rPr>
              <w:lastRenderedPageBreak/>
              <w:t>Poremećaji</w:t>
            </w:r>
            <w:r>
              <w:rPr>
                <w:szCs w:val="22"/>
                <w:lang w:val="sr-Latn-ME"/>
              </w:rPr>
              <w:t xml:space="preserve"> </w:t>
            </w:r>
            <w:r>
              <w:rPr>
                <w:b/>
                <w:szCs w:val="22"/>
                <w:lang w:val="sr-Latn-ME"/>
              </w:rPr>
              <w:t>metabolizma i ishrane</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0AEFDAA8" w14:textId="77777777" w:rsidR="00095D7E" w:rsidRDefault="008740DD">
            <w:pPr>
              <w:autoSpaceDE w:val="0"/>
              <w:autoSpaceDN w:val="0"/>
              <w:adjustRightInd w:val="0"/>
              <w:rPr>
                <w:szCs w:val="22"/>
                <w:lang w:val="sr-Latn-ME"/>
              </w:rPr>
            </w:pPr>
            <w:r>
              <w:rPr>
                <w:szCs w:val="22"/>
                <w:lang w:val="sr-Latn-ME"/>
              </w:rPr>
              <w:t>Hipoglikemija (vidjeti dijelove 4.4 i 4.5)</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EA4210B"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9947DCF"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00AB4DBD" w14:textId="77777777" w:rsidR="00095D7E" w:rsidRDefault="008740DD">
            <w:pPr>
              <w:autoSpaceDE w:val="0"/>
              <w:autoSpaceDN w:val="0"/>
              <w:adjustRightInd w:val="0"/>
              <w:rPr>
                <w:szCs w:val="22"/>
                <w:lang w:val="sr-Latn-ME"/>
              </w:rPr>
            </w:pPr>
            <w:r>
              <w:rPr>
                <w:szCs w:val="22"/>
                <w:lang w:val="sr-Latn-ME"/>
              </w:rPr>
              <w:t>-</w:t>
            </w:r>
          </w:p>
        </w:tc>
      </w:tr>
      <w:tr w:rsidR="00095D7E" w14:paraId="2AA4DF9B"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7EDCEE6A"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CB34EAB" w14:textId="77777777" w:rsidR="00095D7E" w:rsidRDefault="008740DD">
            <w:pPr>
              <w:autoSpaceDE w:val="0"/>
              <w:autoSpaceDN w:val="0"/>
              <w:adjustRightInd w:val="0"/>
              <w:rPr>
                <w:szCs w:val="22"/>
                <w:lang w:val="sr-Latn-ME"/>
              </w:rPr>
            </w:pPr>
            <w:r>
              <w:rPr>
                <w:szCs w:val="22"/>
                <w:lang w:val="sr-Latn-ME"/>
              </w:rPr>
              <w:t>Hiperkalijemija, reverzibilna po obustavljanju terapije(vidjeti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5DDE133"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C15045F"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3D5575BF" w14:textId="77777777" w:rsidR="00095D7E" w:rsidRDefault="00095D7E">
            <w:pPr>
              <w:autoSpaceDE w:val="0"/>
              <w:autoSpaceDN w:val="0"/>
              <w:adjustRightInd w:val="0"/>
              <w:rPr>
                <w:szCs w:val="22"/>
                <w:lang w:val="sr-Latn-ME"/>
              </w:rPr>
            </w:pPr>
          </w:p>
          <w:p w14:paraId="1292F3EF" w14:textId="77777777" w:rsidR="00095D7E" w:rsidRDefault="008740DD">
            <w:pPr>
              <w:autoSpaceDE w:val="0"/>
              <w:autoSpaceDN w:val="0"/>
              <w:adjustRightInd w:val="0"/>
              <w:rPr>
                <w:szCs w:val="22"/>
                <w:lang w:val="sr-Latn-ME"/>
              </w:rPr>
            </w:pPr>
            <w:r>
              <w:rPr>
                <w:szCs w:val="22"/>
                <w:lang w:val="sr-Latn-ME"/>
              </w:rPr>
              <w:t>-</w:t>
            </w:r>
          </w:p>
        </w:tc>
      </w:tr>
      <w:tr w:rsidR="00095D7E" w14:paraId="0111DCA1"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1223179A"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74D1DB3" w14:textId="77777777" w:rsidR="00095D7E" w:rsidRDefault="008740DD">
            <w:pPr>
              <w:autoSpaceDE w:val="0"/>
              <w:autoSpaceDN w:val="0"/>
              <w:adjustRightInd w:val="0"/>
              <w:rPr>
                <w:szCs w:val="22"/>
                <w:lang w:val="sr-Latn-ME"/>
              </w:rPr>
            </w:pPr>
            <w:r>
              <w:rPr>
                <w:szCs w:val="22"/>
                <w:lang w:val="sr-Latn-ME"/>
              </w:rPr>
              <w:t xml:space="preserve">Hiponatrijemija (vidjeti dio 4.4) </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479430F"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0B0E4090" w14:textId="77777777" w:rsidR="00095D7E" w:rsidRDefault="008740DD">
            <w:pPr>
              <w:autoSpaceDE w:val="0"/>
              <w:autoSpaceDN w:val="0"/>
              <w:adjustRightInd w:val="0"/>
              <w:rPr>
                <w:szCs w:val="22"/>
                <w:lang w:val="sr-Latn-ME"/>
              </w:rPr>
            </w:pPr>
            <w:r>
              <w:rPr>
                <w:szCs w:val="22"/>
                <w:lang w:val="sr-Latn-ME"/>
              </w:rPr>
              <w:t>Povremeno*</w:t>
            </w:r>
          </w:p>
        </w:tc>
        <w:tc>
          <w:tcPr>
            <w:tcW w:w="696" w:type="pct"/>
            <w:tcBorders>
              <w:top w:val="threeDEmboss" w:sz="6" w:space="0" w:color="auto"/>
              <w:left w:val="threeDEmboss" w:sz="6" w:space="0" w:color="auto"/>
              <w:bottom w:val="threeDEmboss" w:sz="6" w:space="0" w:color="auto"/>
              <w:right w:val="threeDEmboss" w:sz="6" w:space="0" w:color="auto"/>
            </w:tcBorders>
          </w:tcPr>
          <w:p w14:paraId="3CCF8AF0" w14:textId="77777777" w:rsidR="00095D7E" w:rsidRDefault="008740DD">
            <w:pPr>
              <w:autoSpaceDE w:val="0"/>
              <w:autoSpaceDN w:val="0"/>
              <w:adjustRightInd w:val="0"/>
              <w:rPr>
                <w:szCs w:val="22"/>
                <w:lang w:val="sr-Latn-ME"/>
              </w:rPr>
            </w:pPr>
            <w:r>
              <w:rPr>
                <w:szCs w:val="22"/>
                <w:lang w:val="sr-Latn-ME"/>
              </w:rPr>
              <w:t>-</w:t>
            </w:r>
          </w:p>
        </w:tc>
      </w:tr>
      <w:tr w:rsidR="00095D7E" w14:paraId="2BB21CDF"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2549ABE3"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653DB11" w14:textId="77777777" w:rsidR="00095D7E" w:rsidRDefault="008740DD">
            <w:pPr>
              <w:autoSpaceDE w:val="0"/>
              <w:autoSpaceDN w:val="0"/>
              <w:adjustRightInd w:val="0"/>
              <w:rPr>
                <w:szCs w:val="22"/>
                <w:lang w:val="sr-Latn-ME"/>
              </w:rPr>
            </w:pPr>
            <w:r>
              <w:rPr>
                <w:szCs w:val="22"/>
                <w:lang w:val="sr-Latn-ME"/>
              </w:rPr>
              <w:t>Hiperkalcijemija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A07D19D"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0901393C"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0EFD6FAE" w14:textId="77777777" w:rsidR="00095D7E" w:rsidRDefault="008740DD">
            <w:pPr>
              <w:autoSpaceDE w:val="0"/>
              <w:autoSpaceDN w:val="0"/>
              <w:adjustRightInd w:val="0"/>
              <w:rPr>
                <w:szCs w:val="22"/>
                <w:lang w:val="sr-Latn-ME"/>
              </w:rPr>
            </w:pPr>
            <w:r>
              <w:rPr>
                <w:szCs w:val="22"/>
                <w:lang w:val="sr-Latn-ME"/>
              </w:rPr>
              <w:t>-</w:t>
            </w:r>
          </w:p>
        </w:tc>
      </w:tr>
      <w:tr w:rsidR="00095D7E" w14:paraId="26E439E9"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6B0A711C"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0AA23C6B" w14:textId="080F4DA2" w:rsidR="00095D7E" w:rsidRDefault="008740DD" w:rsidP="00E10969">
            <w:pPr>
              <w:autoSpaceDE w:val="0"/>
              <w:autoSpaceDN w:val="0"/>
              <w:adjustRightInd w:val="0"/>
              <w:rPr>
                <w:szCs w:val="22"/>
                <w:lang w:val="sr-Latn-ME"/>
              </w:rPr>
            </w:pPr>
            <w:r>
              <w:rPr>
                <w:szCs w:val="22"/>
              </w:rPr>
              <w:t>Hipokalijemija (</w:t>
            </w:r>
            <w:r w:rsidR="00E10969">
              <w:rPr>
                <w:szCs w:val="22"/>
              </w:rPr>
              <w:t xml:space="preserve">vidjeti dio </w:t>
            </w:r>
            <w:r>
              <w:rPr>
                <w:szCs w:val="22"/>
              </w:rPr>
              <w:t>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CF48CB2"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CC64881" w14:textId="77777777" w:rsidR="00095D7E" w:rsidRDefault="008740DD">
            <w:pPr>
              <w:autoSpaceDE w:val="0"/>
              <w:autoSpaceDN w:val="0"/>
              <w:adjustRightInd w:val="0"/>
              <w:rPr>
                <w:szCs w:val="22"/>
                <w:lang w:val="sr-Latn-ME"/>
              </w:rPr>
            </w:pPr>
            <w:r>
              <w:rPr>
                <w:szCs w:val="22"/>
              </w:rPr>
              <w:t>Često</w:t>
            </w:r>
          </w:p>
        </w:tc>
        <w:tc>
          <w:tcPr>
            <w:tcW w:w="696" w:type="pct"/>
            <w:tcBorders>
              <w:top w:val="threeDEmboss" w:sz="6" w:space="0" w:color="auto"/>
              <w:left w:val="threeDEmboss" w:sz="6" w:space="0" w:color="auto"/>
              <w:bottom w:val="threeDEmboss" w:sz="6" w:space="0" w:color="auto"/>
              <w:right w:val="threeDEmboss" w:sz="6" w:space="0" w:color="auto"/>
            </w:tcBorders>
          </w:tcPr>
          <w:p w14:paraId="7DD84D68" w14:textId="77777777" w:rsidR="00095D7E" w:rsidRDefault="00095D7E">
            <w:pPr>
              <w:autoSpaceDE w:val="0"/>
              <w:autoSpaceDN w:val="0"/>
              <w:adjustRightInd w:val="0"/>
              <w:rPr>
                <w:szCs w:val="22"/>
                <w:lang w:val="sr-Latn-ME"/>
              </w:rPr>
            </w:pPr>
          </w:p>
          <w:p w14:paraId="6E1E9919" w14:textId="77777777" w:rsidR="00095D7E" w:rsidRDefault="008740DD">
            <w:pPr>
              <w:autoSpaceDE w:val="0"/>
              <w:autoSpaceDN w:val="0"/>
              <w:adjustRightInd w:val="0"/>
              <w:rPr>
                <w:szCs w:val="22"/>
                <w:lang w:val="sr-Latn-ME"/>
              </w:rPr>
            </w:pPr>
            <w:r>
              <w:rPr>
                <w:szCs w:val="22"/>
                <w:lang w:val="sr-Latn-ME"/>
              </w:rPr>
              <w:t>-</w:t>
            </w:r>
          </w:p>
        </w:tc>
      </w:tr>
      <w:tr w:rsidR="00095D7E" w14:paraId="7E659FE9"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1C8E73CB"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tcPr>
          <w:p w14:paraId="1FFCE58D" w14:textId="77777777" w:rsidR="00095D7E" w:rsidRDefault="008740DD">
            <w:pPr>
              <w:autoSpaceDE w:val="0"/>
              <w:autoSpaceDN w:val="0"/>
              <w:adjustRightInd w:val="0"/>
              <w:rPr>
                <w:szCs w:val="22"/>
                <w:lang w:val="sr-Latn-ME"/>
              </w:rPr>
            </w:pPr>
            <w:r>
              <w:rPr>
                <w:szCs w:val="22"/>
              </w:rPr>
              <w:t>Hipohloremija</w:t>
            </w:r>
          </w:p>
        </w:tc>
        <w:tc>
          <w:tcPr>
            <w:tcW w:w="638" w:type="pct"/>
            <w:tcBorders>
              <w:top w:val="threeDEmboss" w:sz="6" w:space="0" w:color="auto"/>
              <w:left w:val="threeDEmboss" w:sz="6" w:space="0" w:color="auto"/>
              <w:bottom w:val="threeDEmboss" w:sz="6" w:space="0" w:color="auto"/>
              <w:right w:val="threeDEmboss" w:sz="6" w:space="0" w:color="auto"/>
            </w:tcBorders>
          </w:tcPr>
          <w:p w14:paraId="43FF0B8B"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tcPr>
          <w:p w14:paraId="2A6AAB9D" w14:textId="77777777" w:rsidR="00095D7E" w:rsidRDefault="008740DD">
            <w:pPr>
              <w:autoSpaceDE w:val="0"/>
              <w:autoSpaceDN w:val="0"/>
              <w:adjustRightInd w:val="0"/>
              <w:rPr>
                <w:szCs w:val="22"/>
                <w:lang w:val="sr-Latn-ME"/>
              </w:rPr>
            </w:pPr>
            <w:r>
              <w:rPr>
                <w:szCs w:val="22"/>
              </w:rPr>
              <w:t>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594670E3" w14:textId="77777777" w:rsidR="00095D7E" w:rsidRDefault="008740DD">
            <w:pPr>
              <w:autoSpaceDE w:val="0"/>
              <w:autoSpaceDN w:val="0"/>
              <w:adjustRightInd w:val="0"/>
              <w:rPr>
                <w:szCs w:val="22"/>
                <w:lang w:val="sr-Latn-ME"/>
              </w:rPr>
            </w:pPr>
            <w:r>
              <w:rPr>
                <w:szCs w:val="22"/>
                <w:lang w:val="sr-Latn-ME"/>
              </w:rPr>
              <w:t>-</w:t>
            </w:r>
          </w:p>
        </w:tc>
      </w:tr>
      <w:tr w:rsidR="00095D7E" w14:paraId="209089AE"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1BB4999E"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tcPr>
          <w:p w14:paraId="7A76127E" w14:textId="77777777" w:rsidR="00095D7E" w:rsidRDefault="008740DD">
            <w:pPr>
              <w:autoSpaceDE w:val="0"/>
              <w:autoSpaceDN w:val="0"/>
              <w:adjustRightInd w:val="0"/>
              <w:rPr>
                <w:szCs w:val="22"/>
                <w:lang w:val="sr-Latn-ME"/>
              </w:rPr>
            </w:pPr>
            <w:r>
              <w:rPr>
                <w:szCs w:val="22"/>
              </w:rPr>
              <w:t>Hipomagnezemija</w:t>
            </w:r>
          </w:p>
        </w:tc>
        <w:tc>
          <w:tcPr>
            <w:tcW w:w="638" w:type="pct"/>
            <w:tcBorders>
              <w:top w:val="threeDEmboss" w:sz="6" w:space="0" w:color="auto"/>
              <w:left w:val="threeDEmboss" w:sz="6" w:space="0" w:color="auto"/>
              <w:bottom w:val="threeDEmboss" w:sz="6" w:space="0" w:color="auto"/>
              <w:right w:val="threeDEmboss" w:sz="6" w:space="0" w:color="auto"/>
            </w:tcBorders>
          </w:tcPr>
          <w:p w14:paraId="1EB072A6"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tcPr>
          <w:p w14:paraId="722AFBFB" w14:textId="77777777" w:rsidR="00095D7E" w:rsidRDefault="008740DD">
            <w:pPr>
              <w:autoSpaceDE w:val="0"/>
              <w:autoSpaceDN w:val="0"/>
              <w:adjustRightInd w:val="0"/>
              <w:rPr>
                <w:szCs w:val="22"/>
                <w:lang w:val="sr-Latn-ME"/>
              </w:rPr>
            </w:pPr>
            <w:r>
              <w:rPr>
                <w:szCs w:val="22"/>
              </w:rPr>
              <w:t>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7611B66E" w14:textId="77777777" w:rsidR="00095D7E" w:rsidRDefault="008740DD">
            <w:pPr>
              <w:autoSpaceDE w:val="0"/>
              <w:autoSpaceDN w:val="0"/>
              <w:adjustRightInd w:val="0"/>
              <w:rPr>
                <w:szCs w:val="22"/>
                <w:lang w:val="sr-Latn-ME"/>
              </w:rPr>
            </w:pPr>
            <w:r>
              <w:rPr>
                <w:szCs w:val="22"/>
                <w:lang w:val="sr-Latn-ME"/>
              </w:rPr>
              <w:t>-</w:t>
            </w:r>
          </w:p>
        </w:tc>
      </w:tr>
      <w:tr w:rsidR="00095D7E" w14:paraId="69975759" w14:textId="77777777">
        <w:tc>
          <w:tcPr>
            <w:tcW w:w="956" w:type="pct"/>
            <w:vMerge w:val="restart"/>
            <w:tcBorders>
              <w:top w:val="threeDEmboss" w:sz="6" w:space="0" w:color="auto"/>
              <w:left w:val="threeDEmboss" w:sz="6" w:space="0" w:color="auto"/>
              <w:right w:val="threeDEmboss" w:sz="6" w:space="0" w:color="auto"/>
            </w:tcBorders>
            <w:vAlign w:val="center"/>
          </w:tcPr>
          <w:p w14:paraId="63FEAB74" w14:textId="77777777" w:rsidR="00095D7E" w:rsidRDefault="008740DD">
            <w:pPr>
              <w:autoSpaceDE w:val="0"/>
              <w:autoSpaceDN w:val="0"/>
              <w:adjustRightInd w:val="0"/>
              <w:rPr>
                <w:szCs w:val="22"/>
                <w:lang w:val="sr-Latn-ME"/>
              </w:rPr>
            </w:pPr>
            <w:r>
              <w:rPr>
                <w:b/>
                <w:bCs/>
                <w:szCs w:val="22"/>
                <w:lang w:val="sr-Latn-ME"/>
              </w:rPr>
              <w:t>Psihijatrijski poremećaji</w:t>
            </w:r>
            <w:r>
              <w:rPr>
                <w:szCs w:val="22"/>
                <w:lang w:val="sr-Latn-ME"/>
              </w:rPr>
              <w:t xml:space="preserve"> </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C0479C7" w14:textId="77777777" w:rsidR="00095D7E" w:rsidRDefault="008740DD">
            <w:pPr>
              <w:autoSpaceDE w:val="0"/>
              <w:autoSpaceDN w:val="0"/>
              <w:adjustRightInd w:val="0"/>
              <w:rPr>
                <w:szCs w:val="22"/>
                <w:lang w:val="sr-Latn-ME"/>
              </w:rPr>
            </w:pPr>
            <w:r>
              <w:rPr>
                <w:szCs w:val="22"/>
                <w:lang w:val="sr-Latn-ME"/>
              </w:rPr>
              <w:t>Promjene raspoloženja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2C08BB5"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7FBC4C02"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75BCDDD6" w14:textId="77777777" w:rsidR="00095D7E" w:rsidRDefault="008740DD">
            <w:pPr>
              <w:autoSpaceDE w:val="0"/>
              <w:autoSpaceDN w:val="0"/>
              <w:adjustRightInd w:val="0"/>
              <w:rPr>
                <w:szCs w:val="22"/>
                <w:lang w:val="sr-Latn-ME"/>
              </w:rPr>
            </w:pPr>
            <w:r>
              <w:rPr>
                <w:szCs w:val="22"/>
                <w:lang w:val="sr-Latn-ME"/>
              </w:rPr>
              <w:t>-</w:t>
            </w:r>
          </w:p>
        </w:tc>
      </w:tr>
      <w:tr w:rsidR="00095D7E" w14:paraId="485465C7" w14:textId="77777777">
        <w:tc>
          <w:tcPr>
            <w:tcW w:w="956" w:type="pct"/>
            <w:vMerge/>
            <w:tcBorders>
              <w:left w:val="threeDEmboss" w:sz="6" w:space="0" w:color="auto"/>
              <w:right w:val="threeDEmboss" w:sz="6" w:space="0" w:color="auto"/>
            </w:tcBorders>
            <w:vAlign w:val="center"/>
          </w:tcPr>
          <w:p w14:paraId="6DFECDDE"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32CA400" w14:textId="77777777" w:rsidR="00095D7E" w:rsidRDefault="008740DD">
            <w:pPr>
              <w:autoSpaceDE w:val="0"/>
              <w:autoSpaceDN w:val="0"/>
              <w:adjustRightInd w:val="0"/>
              <w:rPr>
                <w:szCs w:val="22"/>
                <w:lang w:val="sr-Latn-ME"/>
              </w:rPr>
            </w:pPr>
            <w:r>
              <w:rPr>
                <w:szCs w:val="22"/>
                <w:lang w:val="sr-Latn-ME"/>
              </w:rPr>
              <w:t xml:space="preserve">Poremećaj sna </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29C72A2"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06E69A81"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57C1FEAF" w14:textId="77777777" w:rsidR="00095D7E" w:rsidRDefault="008740DD">
            <w:pPr>
              <w:autoSpaceDE w:val="0"/>
              <w:autoSpaceDN w:val="0"/>
              <w:adjustRightInd w:val="0"/>
              <w:rPr>
                <w:szCs w:val="22"/>
                <w:lang w:val="sr-Latn-ME"/>
              </w:rPr>
            </w:pPr>
            <w:r>
              <w:rPr>
                <w:szCs w:val="22"/>
                <w:lang w:val="sr-Latn-ME"/>
              </w:rPr>
              <w:t>Nepoznato</w:t>
            </w:r>
          </w:p>
        </w:tc>
      </w:tr>
      <w:tr w:rsidR="00095D7E" w14:paraId="0527BD16" w14:textId="77777777">
        <w:tc>
          <w:tcPr>
            <w:tcW w:w="956" w:type="pct"/>
            <w:vMerge/>
            <w:tcBorders>
              <w:left w:val="threeDEmboss" w:sz="6" w:space="0" w:color="auto"/>
              <w:right w:val="threeDEmboss" w:sz="6" w:space="0" w:color="auto"/>
            </w:tcBorders>
            <w:vAlign w:val="center"/>
          </w:tcPr>
          <w:p w14:paraId="68D153D7"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18A430F" w14:textId="77777777" w:rsidR="00095D7E" w:rsidRDefault="008740DD">
            <w:pPr>
              <w:autoSpaceDE w:val="0"/>
              <w:autoSpaceDN w:val="0"/>
              <w:adjustRightInd w:val="0"/>
              <w:rPr>
                <w:szCs w:val="22"/>
                <w:lang w:val="sr-Latn-ME"/>
              </w:rPr>
            </w:pPr>
            <w:r>
              <w:rPr>
                <w:szCs w:val="22"/>
                <w:lang w:val="sr-Latn-ME"/>
              </w:rPr>
              <w:t>Zbunjenost</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03B7C20"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515C41F"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1F11B3B4" w14:textId="77777777" w:rsidR="00095D7E" w:rsidRDefault="008740DD">
            <w:pPr>
              <w:autoSpaceDE w:val="0"/>
              <w:autoSpaceDN w:val="0"/>
              <w:adjustRightInd w:val="0"/>
              <w:rPr>
                <w:szCs w:val="22"/>
                <w:lang w:val="sr-Latn-ME"/>
              </w:rPr>
            </w:pPr>
            <w:r>
              <w:rPr>
                <w:szCs w:val="22"/>
                <w:lang w:val="sr-Latn-ME"/>
              </w:rPr>
              <w:t>-</w:t>
            </w:r>
          </w:p>
        </w:tc>
      </w:tr>
      <w:tr w:rsidR="00095D7E" w14:paraId="6C264BEC" w14:textId="77777777">
        <w:tc>
          <w:tcPr>
            <w:tcW w:w="956" w:type="pct"/>
            <w:vMerge/>
            <w:tcBorders>
              <w:left w:val="threeDEmboss" w:sz="6" w:space="0" w:color="auto"/>
              <w:bottom w:val="threeDEmboss" w:sz="6" w:space="0" w:color="auto"/>
              <w:right w:val="threeDEmboss" w:sz="6" w:space="0" w:color="auto"/>
            </w:tcBorders>
            <w:vAlign w:val="center"/>
          </w:tcPr>
          <w:p w14:paraId="608DAD69"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6428CBB" w14:textId="77777777" w:rsidR="00095D7E" w:rsidRDefault="008740DD">
            <w:pPr>
              <w:autoSpaceDE w:val="0"/>
              <w:autoSpaceDN w:val="0"/>
              <w:adjustRightInd w:val="0"/>
              <w:rPr>
                <w:szCs w:val="22"/>
                <w:lang w:val="sr-Latn-ME"/>
              </w:rPr>
            </w:pPr>
            <w:r>
              <w:rPr>
                <w:szCs w:val="22"/>
                <w:lang w:val="sr-Latn-ME"/>
              </w:rPr>
              <w:t>Depresija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321DB7E1" w14:textId="77777777" w:rsidR="00095D7E" w:rsidRDefault="008740DD">
            <w:pPr>
              <w:autoSpaceDE w:val="0"/>
              <w:autoSpaceDN w:val="0"/>
              <w:adjustRightInd w:val="0"/>
              <w:rPr>
                <w:szCs w:val="22"/>
                <w:lang w:val="sr-Latn-ME"/>
              </w:rPr>
            </w:pPr>
            <w:r>
              <w:rPr>
                <w:szCs w:val="22"/>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923F354"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333AA705" w14:textId="77777777" w:rsidR="00095D7E" w:rsidRDefault="008740DD">
            <w:pPr>
              <w:autoSpaceDE w:val="0"/>
              <w:autoSpaceDN w:val="0"/>
              <w:adjustRightInd w:val="0"/>
              <w:rPr>
                <w:szCs w:val="22"/>
                <w:lang w:val="sr-Latn-ME"/>
              </w:rPr>
            </w:pPr>
            <w:r>
              <w:rPr>
                <w:szCs w:val="22"/>
                <w:lang w:val="sr-Latn-ME"/>
              </w:rPr>
              <w:t>Nepoznato</w:t>
            </w:r>
          </w:p>
        </w:tc>
      </w:tr>
      <w:tr w:rsidR="00095D7E" w14:paraId="081DE302" w14:textId="77777777">
        <w:tc>
          <w:tcPr>
            <w:tcW w:w="956" w:type="pct"/>
            <w:vMerge w:val="restart"/>
            <w:tcBorders>
              <w:top w:val="threeDEmboss" w:sz="6" w:space="0" w:color="auto"/>
              <w:left w:val="threeDEmboss" w:sz="6" w:space="0" w:color="auto"/>
              <w:right w:val="threeDEmboss" w:sz="6" w:space="0" w:color="auto"/>
            </w:tcBorders>
            <w:vAlign w:val="center"/>
          </w:tcPr>
          <w:p w14:paraId="143B8629" w14:textId="77777777" w:rsidR="00095D7E" w:rsidRDefault="008740DD">
            <w:pPr>
              <w:autoSpaceDE w:val="0"/>
              <w:autoSpaceDN w:val="0"/>
              <w:adjustRightInd w:val="0"/>
              <w:rPr>
                <w:szCs w:val="22"/>
                <w:lang w:val="sr-Latn-ME"/>
              </w:rPr>
            </w:pPr>
            <w:r>
              <w:rPr>
                <w:b/>
                <w:bCs/>
                <w:szCs w:val="22"/>
                <w:lang w:val="sr-Latn-ME"/>
              </w:rPr>
              <w:t>Poremećaji nervnog sistema</w:t>
            </w:r>
            <w:r>
              <w:rPr>
                <w:szCs w:val="22"/>
                <w:lang w:val="sr-Latn-ME"/>
              </w:rPr>
              <w:t xml:space="preserve"> </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A969C40" w14:textId="77777777" w:rsidR="00095D7E" w:rsidRDefault="008740DD">
            <w:pPr>
              <w:autoSpaceDE w:val="0"/>
              <w:autoSpaceDN w:val="0"/>
              <w:adjustRightInd w:val="0"/>
              <w:rPr>
                <w:szCs w:val="22"/>
                <w:lang w:val="sr-Latn-ME"/>
              </w:rPr>
            </w:pPr>
            <w:r>
              <w:rPr>
                <w:szCs w:val="22"/>
                <w:lang w:val="sr-Latn-ME"/>
              </w:rPr>
              <w:t>Vrtoglavica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EF5166C"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tcPr>
          <w:p w14:paraId="6B69F889" w14:textId="77777777" w:rsidR="00095D7E" w:rsidRDefault="00095D7E">
            <w:pPr>
              <w:rPr>
                <w:szCs w:val="22"/>
                <w:lang w:val="sr-Latn-ME"/>
              </w:rPr>
            </w:pPr>
          </w:p>
        </w:tc>
        <w:tc>
          <w:tcPr>
            <w:tcW w:w="696" w:type="pct"/>
            <w:tcBorders>
              <w:top w:val="threeDEmboss" w:sz="6" w:space="0" w:color="auto"/>
              <w:left w:val="threeDEmboss" w:sz="6" w:space="0" w:color="auto"/>
              <w:bottom w:val="threeDEmboss" w:sz="6" w:space="0" w:color="auto"/>
              <w:right w:val="threeDEmboss" w:sz="6" w:space="0" w:color="auto"/>
            </w:tcBorders>
          </w:tcPr>
          <w:p w14:paraId="5B708EA9" w14:textId="77777777" w:rsidR="00095D7E" w:rsidRDefault="008740DD">
            <w:pPr>
              <w:rPr>
                <w:szCs w:val="22"/>
                <w:lang w:val="sr-Latn-ME"/>
              </w:rPr>
            </w:pPr>
            <w:r>
              <w:rPr>
                <w:szCs w:val="22"/>
                <w:lang w:val="sr-Latn-ME"/>
              </w:rPr>
              <w:t>Često</w:t>
            </w:r>
          </w:p>
        </w:tc>
      </w:tr>
      <w:tr w:rsidR="00095D7E" w14:paraId="41326ACC" w14:textId="77777777">
        <w:tc>
          <w:tcPr>
            <w:tcW w:w="956" w:type="pct"/>
            <w:vMerge/>
            <w:tcBorders>
              <w:left w:val="threeDEmboss" w:sz="6" w:space="0" w:color="auto"/>
              <w:right w:val="threeDEmboss" w:sz="6" w:space="0" w:color="auto"/>
            </w:tcBorders>
            <w:vAlign w:val="center"/>
          </w:tcPr>
          <w:p w14:paraId="7D9A6FA2"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8B984A0" w14:textId="77777777" w:rsidR="00095D7E" w:rsidRDefault="008740DD">
            <w:pPr>
              <w:autoSpaceDE w:val="0"/>
              <w:autoSpaceDN w:val="0"/>
              <w:adjustRightInd w:val="0"/>
              <w:rPr>
                <w:szCs w:val="22"/>
                <w:lang w:val="sr-Latn-ME"/>
              </w:rPr>
            </w:pPr>
            <w:r>
              <w:rPr>
                <w:szCs w:val="22"/>
                <w:lang w:val="sr-Latn-ME"/>
              </w:rPr>
              <w:t>Glavobolja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021C1D1"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A156B01" w14:textId="77777777" w:rsidR="00095D7E" w:rsidRDefault="008740DD">
            <w:pPr>
              <w:autoSpaceDE w:val="0"/>
              <w:autoSpaceDN w:val="0"/>
              <w:adjustRightInd w:val="0"/>
              <w:rPr>
                <w:szCs w:val="22"/>
                <w:lang w:val="sr-Latn-ME"/>
              </w:rPr>
            </w:pPr>
            <w:r>
              <w:rPr>
                <w:szCs w:val="22"/>
                <w:lang w:val="sr-Latn-ME"/>
              </w:rPr>
              <w:t>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02B6FDC7" w14:textId="77777777" w:rsidR="00095D7E" w:rsidRDefault="008740DD">
            <w:pPr>
              <w:autoSpaceDE w:val="0"/>
              <w:autoSpaceDN w:val="0"/>
              <w:adjustRightInd w:val="0"/>
              <w:rPr>
                <w:szCs w:val="22"/>
                <w:lang w:val="sr-Latn-ME"/>
              </w:rPr>
            </w:pPr>
            <w:r>
              <w:rPr>
                <w:szCs w:val="22"/>
                <w:lang w:val="sr-Latn-ME"/>
              </w:rPr>
              <w:t>Često</w:t>
            </w:r>
          </w:p>
        </w:tc>
      </w:tr>
      <w:tr w:rsidR="00095D7E" w14:paraId="603C3B5C" w14:textId="77777777">
        <w:tc>
          <w:tcPr>
            <w:tcW w:w="956" w:type="pct"/>
            <w:vMerge/>
            <w:tcBorders>
              <w:left w:val="threeDEmboss" w:sz="6" w:space="0" w:color="auto"/>
              <w:right w:val="threeDEmboss" w:sz="6" w:space="0" w:color="auto"/>
            </w:tcBorders>
            <w:vAlign w:val="center"/>
          </w:tcPr>
          <w:p w14:paraId="4637F418"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B9C2158" w14:textId="77777777" w:rsidR="00095D7E" w:rsidRDefault="008740DD">
            <w:pPr>
              <w:autoSpaceDE w:val="0"/>
              <w:autoSpaceDN w:val="0"/>
              <w:adjustRightInd w:val="0"/>
              <w:rPr>
                <w:szCs w:val="22"/>
                <w:lang w:val="sr-Latn-ME"/>
              </w:rPr>
            </w:pPr>
            <w:r>
              <w:rPr>
                <w:szCs w:val="22"/>
                <w:lang w:val="sr-Latn-ME"/>
              </w:rPr>
              <w:t>Parestezija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FB82AFF"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756668F" w14:textId="77777777" w:rsidR="00095D7E" w:rsidRDefault="008740DD">
            <w:pPr>
              <w:autoSpaceDE w:val="0"/>
              <w:autoSpaceDN w:val="0"/>
              <w:adjustRightInd w:val="0"/>
              <w:rPr>
                <w:szCs w:val="22"/>
                <w:lang w:val="sr-Latn-ME"/>
              </w:rPr>
            </w:pPr>
            <w:r>
              <w:rPr>
                <w:szCs w:val="22"/>
                <w:lang w:val="sr-Latn-ME"/>
              </w:rPr>
              <w:t>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08A94156" w14:textId="77777777" w:rsidR="00095D7E" w:rsidRDefault="008740DD">
            <w:pPr>
              <w:autoSpaceDE w:val="0"/>
              <w:autoSpaceDN w:val="0"/>
              <w:adjustRightInd w:val="0"/>
              <w:rPr>
                <w:szCs w:val="22"/>
                <w:lang w:val="sr-Latn-ME"/>
              </w:rPr>
            </w:pPr>
            <w:r>
              <w:rPr>
                <w:szCs w:val="22"/>
                <w:lang w:val="sr-Latn-ME"/>
              </w:rPr>
              <w:t>-</w:t>
            </w:r>
          </w:p>
        </w:tc>
      </w:tr>
      <w:tr w:rsidR="00095D7E" w14:paraId="314D8B4B" w14:textId="77777777">
        <w:tc>
          <w:tcPr>
            <w:tcW w:w="956" w:type="pct"/>
            <w:vMerge/>
            <w:tcBorders>
              <w:left w:val="threeDEmboss" w:sz="6" w:space="0" w:color="auto"/>
              <w:right w:val="threeDEmboss" w:sz="6" w:space="0" w:color="auto"/>
            </w:tcBorders>
            <w:vAlign w:val="center"/>
          </w:tcPr>
          <w:p w14:paraId="01BE1E54"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59E3130" w14:textId="77777777" w:rsidR="00095D7E" w:rsidRDefault="008740DD">
            <w:pPr>
              <w:autoSpaceDE w:val="0"/>
              <w:autoSpaceDN w:val="0"/>
              <w:adjustRightInd w:val="0"/>
              <w:rPr>
                <w:szCs w:val="22"/>
                <w:lang w:val="sr-Latn-ME"/>
              </w:rPr>
            </w:pPr>
            <w:r>
              <w:rPr>
                <w:szCs w:val="22"/>
                <w:lang w:val="sr-Latn-ME"/>
              </w:rPr>
              <w:t xml:space="preserve">Disgeuzija </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0D1F2E1"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15F76A2"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6656F6F9" w14:textId="77777777" w:rsidR="00095D7E" w:rsidRDefault="008740DD">
            <w:pPr>
              <w:autoSpaceDE w:val="0"/>
              <w:autoSpaceDN w:val="0"/>
              <w:adjustRightInd w:val="0"/>
              <w:rPr>
                <w:szCs w:val="22"/>
                <w:lang w:val="sr-Latn-ME"/>
              </w:rPr>
            </w:pPr>
            <w:r>
              <w:rPr>
                <w:szCs w:val="22"/>
                <w:lang w:val="sr-Latn-ME"/>
              </w:rPr>
              <w:t>-</w:t>
            </w:r>
          </w:p>
        </w:tc>
      </w:tr>
      <w:tr w:rsidR="00095D7E" w14:paraId="15DD1E00" w14:textId="77777777">
        <w:tc>
          <w:tcPr>
            <w:tcW w:w="956" w:type="pct"/>
            <w:vMerge/>
            <w:tcBorders>
              <w:left w:val="threeDEmboss" w:sz="6" w:space="0" w:color="auto"/>
              <w:right w:val="threeDEmboss" w:sz="6" w:space="0" w:color="auto"/>
            </w:tcBorders>
            <w:vAlign w:val="center"/>
          </w:tcPr>
          <w:p w14:paraId="06E5981D"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109382C" w14:textId="77777777" w:rsidR="00095D7E" w:rsidRDefault="008740DD">
            <w:pPr>
              <w:autoSpaceDE w:val="0"/>
              <w:autoSpaceDN w:val="0"/>
              <w:adjustRightInd w:val="0"/>
              <w:rPr>
                <w:szCs w:val="22"/>
                <w:lang w:val="sr-Latn-ME"/>
              </w:rPr>
            </w:pPr>
            <w:r>
              <w:rPr>
                <w:szCs w:val="22"/>
                <w:lang w:val="sr-Latn-ME"/>
              </w:rPr>
              <w:t>Somnolenca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9BCCD32"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B18CF81"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31DD679F" w14:textId="77777777" w:rsidR="00095D7E" w:rsidRDefault="008740DD">
            <w:pPr>
              <w:autoSpaceDE w:val="0"/>
              <w:autoSpaceDN w:val="0"/>
              <w:adjustRightInd w:val="0"/>
              <w:rPr>
                <w:szCs w:val="22"/>
                <w:lang w:val="sr-Latn-ME"/>
              </w:rPr>
            </w:pPr>
            <w:r>
              <w:rPr>
                <w:szCs w:val="22"/>
                <w:lang w:val="sr-Latn-ME"/>
              </w:rPr>
              <w:t>-</w:t>
            </w:r>
          </w:p>
        </w:tc>
      </w:tr>
      <w:tr w:rsidR="00095D7E" w14:paraId="10427A48" w14:textId="77777777">
        <w:tc>
          <w:tcPr>
            <w:tcW w:w="956" w:type="pct"/>
            <w:vMerge/>
            <w:tcBorders>
              <w:left w:val="threeDEmboss" w:sz="6" w:space="0" w:color="auto"/>
              <w:right w:val="threeDEmboss" w:sz="6" w:space="0" w:color="auto"/>
            </w:tcBorders>
            <w:vAlign w:val="center"/>
          </w:tcPr>
          <w:p w14:paraId="5ED4944E"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C4A57EB" w14:textId="77777777" w:rsidR="00095D7E" w:rsidRDefault="008740DD">
            <w:pPr>
              <w:autoSpaceDE w:val="0"/>
              <w:autoSpaceDN w:val="0"/>
              <w:adjustRightInd w:val="0"/>
              <w:rPr>
                <w:szCs w:val="22"/>
                <w:lang w:val="sr-Latn-ME"/>
              </w:rPr>
            </w:pPr>
            <w:r>
              <w:rPr>
                <w:szCs w:val="22"/>
                <w:lang w:val="sr-Latn-ME"/>
              </w:rPr>
              <w:t>Sinkopa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B1B9534"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C37ECFF"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288BA4EA" w14:textId="77777777" w:rsidR="00095D7E" w:rsidRDefault="008740DD">
            <w:pPr>
              <w:autoSpaceDE w:val="0"/>
              <w:autoSpaceDN w:val="0"/>
              <w:adjustRightInd w:val="0"/>
              <w:rPr>
                <w:szCs w:val="22"/>
                <w:lang w:val="sr-Latn-ME"/>
              </w:rPr>
            </w:pPr>
            <w:r>
              <w:rPr>
                <w:szCs w:val="22"/>
                <w:lang w:val="sr-Latn-ME"/>
              </w:rPr>
              <w:t>-</w:t>
            </w:r>
          </w:p>
        </w:tc>
      </w:tr>
      <w:tr w:rsidR="00095D7E" w14:paraId="482CF204" w14:textId="77777777">
        <w:tc>
          <w:tcPr>
            <w:tcW w:w="956" w:type="pct"/>
            <w:vMerge/>
            <w:tcBorders>
              <w:left w:val="threeDEmboss" w:sz="6" w:space="0" w:color="auto"/>
              <w:right w:val="threeDEmboss" w:sz="6" w:space="0" w:color="auto"/>
            </w:tcBorders>
            <w:vAlign w:val="center"/>
          </w:tcPr>
          <w:p w14:paraId="6159C464"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BD01EEC" w14:textId="77777777" w:rsidR="00095D7E" w:rsidRDefault="008740DD">
            <w:pPr>
              <w:autoSpaceDE w:val="0"/>
              <w:autoSpaceDN w:val="0"/>
              <w:adjustRightInd w:val="0"/>
              <w:rPr>
                <w:szCs w:val="22"/>
                <w:lang w:val="sr-Latn-ME"/>
              </w:rPr>
            </w:pPr>
            <w:r>
              <w:rPr>
                <w:szCs w:val="22"/>
                <w:lang w:val="sr-Latn-ME"/>
              </w:rPr>
              <w:t>Periferna neuropatija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A3F2179"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2F3DB5A"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5032CE9B" w14:textId="77777777" w:rsidR="00095D7E" w:rsidRDefault="008740DD">
            <w:pPr>
              <w:autoSpaceDE w:val="0"/>
              <w:autoSpaceDN w:val="0"/>
              <w:adjustRightInd w:val="0"/>
              <w:rPr>
                <w:szCs w:val="22"/>
                <w:lang w:val="sr-Latn-ME"/>
              </w:rPr>
            </w:pPr>
            <w:r>
              <w:rPr>
                <w:szCs w:val="22"/>
                <w:lang w:val="sr-Latn-ME"/>
              </w:rPr>
              <w:t>Nepoznato</w:t>
            </w:r>
          </w:p>
        </w:tc>
      </w:tr>
      <w:tr w:rsidR="00095D7E" w14:paraId="2653F653" w14:textId="77777777">
        <w:tc>
          <w:tcPr>
            <w:tcW w:w="956" w:type="pct"/>
            <w:vMerge/>
            <w:tcBorders>
              <w:left w:val="threeDEmboss" w:sz="6" w:space="0" w:color="auto"/>
              <w:right w:val="threeDEmboss" w:sz="6" w:space="0" w:color="auto"/>
            </w:tcBorders>
            <w:vAlign w:val="center"/>
          </w:tcPr>
          <w:p w14:paraId="7F4D57E5"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531E13A" w14:textId="77777777" w:rsidR="00095D7E" w:rsidRDefault="008740DD">
            <w:pPr>
              <w:autoSpaceDE w:val="0"/>
              <w:autoSpaceDN w:val="0"/>
              <w:adjustRightInd w:val="0"/>
              <w:rPr>
                <w:szCs w:val="22"/>
                <w:lang w:val="sr-Latn-ME"/>
              </w:rPr>
            </w:pPr>
            <w:r>
              <w:rPr>
                <w:szCs w:val="22"/>
                <w:lang w:val="sr-Latn-ME"/>
              </w:rPr>
              <w:t>Polineuropatija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59A63C8"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EF2D735"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vAlign w:val="center"/>
          </w:tcPr>
          <w:p w14:paraId="0536E74C" w14:textId="77777777" w:rsidR="00095D7E" w:rsidRDefault="008740DD">
            <w:pPr>
              <w:autoSpaceDE w:val="0"/>
              <w:autoSpaceDN w:val="0"/>
              <w:adjustRightInd w:val="0"/>
              <w:rPr>
                <w:szCs w:val="22"/>
                <w:lang w:val="sr-Latn-ME"/>
              </w:rPr>
            </w:pPr>
            <w:r>
              <w:rPr>
                <w:szCs w:val="22"/>
                <w:lang w:val="sr-Latn-ME"/>
              </w:rPr>
              <w:t>Veoma rijetko</w:t>
            </w:r>
          </w:p>
        </w:tc>
      </w:tr>
      <w:tr w:rsidR="00095D7E" w14:paraId="4D7303E3" w14:textId="77777777">
        <w:tc>
          <w:tcPr>
            <w:tcW w:w="956" w:type="pct"/>
            <w:vMerge/>
            <w:tcBorders>
              <w:left w:val="threeDEmboss" w:sz="6" w:space="0" w:color="auto"/>
              <w:right w:val="threeDEmboss" w:sz="6" w:space="0" w:color="auto"/>
            </w:tcBorders>
            <w:vAlign w:val="center"/>
          </w:tcPr>
          <w:p w14:paraId="7E1D8BF7"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E8F7D50" w14:textId="77777777" w:rsidR="00095D7E" w:rsidRDefault="008740DD">
            <w:pPr>
              <w:autoSpaceDE w:val="0"/>
              <w:autoSpaceDN w:val="0"/>
              <w:adjustRightInd w:val="0"/>
              <w:rPr>
                <w:szCs w:val="22"/>
                <w:lang w:val="sr-Latn-ME"/>
              </w:rPr>
            </w:pPr>
            <w:r>
              <w:rPr>
                <w:szCs w:val="22"/>
                <w:lang w:val="sr-Latn-ME"/>
              </w:rPr>
              <w:t>Gubitak pamćenja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1C74631"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04DCC7BB"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vAlign w:val="center"/>
          </w:tcPr>
          <w:p w14:paraId="24E70336" w14:textId="77777777" w:rsidR="00095D7E" w:rsidRDefault="008740DD">
            <w:pPr>
              <w:autoSpaceDE w:val="0"/>
              <w:autoSpaceDN w:val="0"/>
              <w:adjustRightInd w:val="0"/>
              <w:rPr>
                <w:szCs w:val="22"/>
                <w:lang w:val="sr-Latn-ME"/>
              </w:rPr>
            </w:pPr>
            <w:r>
              <w:rPr>
                <w:szCs w:val="22"/>
                <w:lang w:val="sr-Latn-ME"/>
              </w:rPr>
              <w:t>Veoma rijetko</w:t>
            </w:r>
          </w:p>
        </w:tc>
      </w:tr>
      <w:tr w:rsidR="00095D7E" w14:paraId="00100C6B" w14:textId="77777777">
        <w:tc>
          <w:tcPr>
            <w:tcW w:w="956" w:type="pct"/>
            <w:vMerge/>
            <w:tcBorders>
              <w:left w:val="threeDEmboss" w:sz="6" w:space="0" w:color="auto"/>
              <w:right w:val="threeDEmboss" w:sz="6" w:space="0" w:color="auto"/>
            </w:tcBorders>
            <w:vAlign w:val="center"/>
          </w:tcPr>
          <w:p w14:paraId="5068EA10"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3E85668" w14:textId="77777777" w:rsidR="00095D7E" w:rsidRDefault="008740DD">
            <w:pPr>
              <w:autoSpaceDE w:val="0"/>
              <w:autoSpaceDN w:val="0"/>
              <w:adjustRightInd w:val="0"/>
              <w:rPr>
                <w:szCs w:val="22"/>
                <w:shd w:val="clear" w:color="auto" w:fill="F8F9FA"/>
                <w:lang w:val="sr-Latn-ME"/>
              </w:rPr>
            </w:pPr>
            <w:r>
              <w:rPr>
                <w:szCs w:val="22"/>
                <w:shd w:val="clear" w:color="auto" w:fill="F8F9FA"/>
                <w:lang w:val="sr-Latn-ME"/>
              </w:rPr>
              <w:t>Moždani udar vjerovatno sekundarno zbog prekomjerne hipotenzije kod visokorizičnih pacijenata (vidjeti dio 4.4).</w:t>
            </w:r>
          </w:p>
          <w:p w14:paraId="6347B184" w14:textId="77777777" w:rsidR="00095D7E" w:rsidRDefault="00095D7E">
            <w:pPr>
              <w:autoSpaceDE w:val="0"/>
              <w:autoSpaceDN w:val="0"/>
              <w:adjustRightInd w:val="0"/>
              <w:rPr>
                <w:szCs w:val="22"/>
                <w:lang w:val="sr-Latn-ME"/>
              </w:rPr>
            </w:pP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071F7B5"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F38C407"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7FC5223F" w14:textId="77777777" w:rsidR="00095D7E" w:rsidRDefault="00095D7E">
            <w:pPr>
              <w:autoSpaceDE w:val="0"/>
              <w:autoSpaceDN w:val="0"/>
              <w:adjustRightInd w:val="0"/>
              <w:rPr>
                <w:szCs w:val="22"/>
                <w:lang w:val="sr-Latn-ME"/>
              </w:rPr>
            </w:pPr>
          </w:p>
          <w:p w14:paraId="48BFC5B2" w14:textId="77777777" w:rsidR="00095D7E" w:rsidRDefault="008740DD">
            <w:pPr>
              <w:autoSpaceDE w:val="0"/>
              <w:autoSpaceDN w:val="0"/>
              <w:adjustRightInd w:val="0"/>
              <w:rPr>
                <w:szCs w:val="22"/>
                <w:lang w:val="sr-Latn-ME"/>
              </w:rPr>
            </w:pPr>
            <w:r>
              <w:rPr>
                <w:szCs w:val="22"/>
                <w:lang w:val="sr-Latn-ME"/>
              </w:rPr>
              <w:t>-</w:t>
            </w:r>
          </w:p>
        </w:tc>
      </w:tr>
      <w:tr w:rsidR="00095D7E" w14:paraId="6E68E853" w14:textId="77777777">
        <w:tc>
          <w:tcPr>
            <w:tcW w:w="956" w:type="pct"/>
            <w:vMerge/>
            <w:tcBorders>
              <w:left w:val="threeDEmboss" w:sz="6" w:space="0" w:color="auto"/>
              <w:right w:val="threeDEmboss" w:sz="6" w:space="0" w:color="auto"/>
            </w:tcBorders>
            <w:vAlign w:val="center"/>
          </w:tcPr>
          <w:p w14:paraId="02B914AE"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15B0658" w14:textId="77777777" w:rsidR="00095D7E" w:rsidRDefault="008740DD">
            <w:pPr>
              <w:rPr>
                <w:szCs w:val="22"/>
                <w:lang w:val="sr-Latn-ME" w:eastAsia="sr-Latn-RS"/>
              </w:rPr>
            </w:pPr>
            <w:r>
              <w:rPr>
                <w:szCs w:val="22"/>
                <w:lang w:val="sr-Latn-ME"/>
              </w:rPr>
              <w:t>Mogućnost pojave hepatičke encefalopatije u slučaju insuficijencije jetre (vidjeti dijelove 4.3 i 4.4)</w:t>
            </w:r>
          </w:p>
          <w:p w14:paraId="6C0F28C3" w14:textId="77777777" w:rsidR="00095D7E" w:rsidRDefault="00095D7E">
            <w:pPr>
              <w:autoSpaceDE w:val="0"/>
              <w:autoSpaceDN w:val="0"/>
              <w:adjustRightInd w:val="0"/>
              <w:rPr>
                <w:szCs w:val="22"/>
                <w:lang w:val="sr-Latn-ME"/>
              </w:rPr>
            </w:pP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C9BC3D6"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EB4A7E9"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139A4DD8" w14:textId="77777777" w:rsidR="00095D7E" w:rsidRDefault="00095D7E">
            <w:pPr>
              <w:autoSpaceDE w:val="0"/>
              <w:autoSpaceDN w:val="0"/>
              <w:adjustRightInd w:val="0"/>
              <w:rPr>
                <w:szCs w:val="22"/>
                <w:lang w:val="sr-Latn-ME"/>
              </w:rPr>
            </w:pPr>
          </w:p>
          <w:p w14:paraId="21A913CA" w14:textId="77777777" w:rsidR="00095D7E" w:rsidRDefault="008740DD">
            <w:pPr>
              <w:autoSpaceDE w:val="0"/>
              <w:autoSpaceDN w:val="0"/>
              <w:adjustRightInd w:val="0"/>
              <w:rPr>
                <w:szCs w:val="22"/>
                <w:lang w:val="sr-Latn-ME"/>
              </w:rPr>
            </w:pPr>
            <w:r>
              <w:rPr>
                <w:szCs w:val="22"/>
                <w:lang w:val="sr-Latn-ME"/>
              </w:rPr>
              <w:t>-</w:t>
            </w:r>
          </w:p>
        </w:tc>
      </w:tr>
      <w:tr w:rsidR="00095D7E" w14:paraId="7E962155" w14:textId="77777777">
        <w:tc>
          <w:tcPr>
            <w:tcW w:w="956" w:type="pct"/>
            <w:vMerge/>
            <w:tcBorders>
              <w:left w:val="threeDEmboss" w:sz="6" w:space="0" w:color="auto"/>
              <w:bottom w:val="threeDEmboss" w:sz="6" w:space="0" w:color="auto"/>
              <w:right w:val="threeDEmboss" w:sz="6" w:space="0" w:color="auto"/>
            </w:tcBorders>
            <w:vAlign w:val="center"/>
          </w:tcPr>
          <w:p w14:paraId="49A59DFB"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tcPr>
          <w:p w14:paraId="71AA7A53" w14:textId="77777777" w:rsidR="00095D7E" w:rsidRDefault="008740DD">
            <w:pPr>
              <w:rPr>
                <w:szCs w:val="22"/>
                <w:lang w:val="sr-Latn-ME"/>
              </w:rPr>
            </w:pPr>
            <w:r>
              <w:rPr>
                <w:szCs w:val="22"/>
                <w:lang w:val="en-US"/>
              </w:rPr>
              <w:t>Miastenia gravis</w:t>
            </w:r>
          </w:p>
        </w:tc>
        <w:tc>
          <w:tcPr>
            <w:tcW w:w="638" w:type="pct"/>
            <w:tcBorders>
              <w:top w:val="threeDEmboss" w:sz="6" w:space="0" w:color="auto"/>
              <w:left w:val="threeDEmboss" w:sz="6" w:space="0" w:color="auto"/>
              <w:bottom w:val="threeDEmboss" w:sz="6" w:space="0" w:color="auto"/>
              <w:right w:val="threeDEmboss" w:sz="6" w:space="0" w:color="auto"/>
            </w:tcBorders>
          </w:tcPr>
          <w:p w14:paraId="3423C1AE"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tcPr>
          <w:p w14:paraId="5ACA100B" w14:textId="77777777" w:rsidR="00095D7E" w:rsidRDefault="008740DD">
            <w:pPr>
              <w:autoSpaceDE w:val="0"/>
              <w:autoSpaceDN w:val="0"/>
              <w:adjustRightInd w:val="0"/>
              <w:rPr>
                <w:szCs w:val="22"/>
                <w:lang w:val="sr-Latn-ME"/>
              </w:rPr>
            </w:pPr>
            <w:r>
              <w:rPr>
                <w:szCs w:val="22"/>
                <w:lang w:val="en-US"/>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14D65C0D" w14:textId="77777777" w:rsidR="00095D7E" w:rsidRDefault="008740DD">
            <w:pPr>
              <w:autoSpaceDE w:val="0"/>
              <w:autoSpaceDN w:val="0"/>
              <w:adjustRightInd w:val="0"/>
              <w:rPr>
                <w:szCs w:val="22"/>
                <w:lang w:val="sr-Latn-ME"/>
              </w:rPr>
            </w:pPr>
            <w:r>
              <w:rPr>
                <w:szCs w:val="22"/>
                <w:lang w:val="en-US"/>
              </w:rPr>
              <w:t>Nepoznato</w:t>
            </w:r>
          </w:p>
        </w:tc>
      </w:tr>
      <w:tr w:rsidR="00095D7E" w14:paraId="2E22DE6E" w14:textId="77777777">
        <w:tc>
          <w:tcPr>
            <w:tcW w:w="956" w:type="pct"/>
            <w:vMerge w:val="restart"/>
            <w:tcBorders>
              <w:top w:val="threeDEmboss" w:sz="6" w:space="0" w:color="auto"/>
              <w:left w:val="threeDEmboss" w:sz="6" w:space="0" w:color="auto"/>
              <w:right w:val="threeDEmboss" w:sz="6" w:space="0" w:color="auto"/>
            </w:tcBorders>
            <w:vAlign w:val="center"/>
          </w:tcPr>
          <w:p w14:paraId="6089A613" w14:textId="77777777" w:rsidR="00095D7E" w:rsidRDefault="008740DD">
            <w:pPr>
              <w:autoSpaceDE w:val="0"/>
              <w:autoSpaceDN w:val="0"/>
              <w:adjustRightInd w:val="0"/>
              <w:rPr>
                <w:szCs w:val="22"/>
                <w:lang w:val="sr-Latn-ME"/>
              </w:rPr>
            </w:pPr>
            <w:r>
              <w:rPr>
                <w:b/>
                <w:bCs/>
                <w:szCs w:val="22"/>
                <w:lang w:val="sr-Latn-ME"/>
              </w:rPr>
              <w:t>Poremećaji oka</w:t>
            </w:r>
            <w:r>
              <w:rPr>
                <w:szCs w:val="22"/>
                <w:lang w:val="sr-Latn-ME"/>
              </w:rPr>
              <w:t xml:space="preserve"> </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BB50BD5" w14:textId="77777777" w:rsidR="00095D7E" w:rsidRDefault="008740DD">
            <w:pPr>
              <w:autoSpaceDE w:val="0"/>
              <w:autoSpaceDN w:val="0"/>
              <w:adjustRightInd w:val="0"/>
              <w:rPr>
                <w:szCs w:val="22"/>
                <w:lang w:val="sr-Latn-ME"/>
              </w:rPr>
            </w:pPr>
            <w:r>
              <w:rPr>
                <w:szCs w:val="22"/>
                <w:lang w:val="sr-Latn-ME"/>
              </w:rPr>
              <w:t>Poremećaji vida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B93B78F"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CF59FDF"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36030D52" w14:textId="77777777" w:rsidR="00095D7E" w:rsidRDefault="008740DD">
            <w:pPr>
              <w:autoSpaceDE w:val="0"/>
              <w:autoSpaceDN w:val="0"/>
              <w:adjustRightInd w:val="0"/>
              <w:rPr>
                <w:szCs w:val="22"/>
                <w:lang w:val="sr-Latn-ME"/>
              </w:rPr>
            </w:pPr>
            <w:r>
              <w:rPr>
                <w:szCs w:val="22"/>
                <w:lang w:val="sr-Latn-ME"/>
              </w:rPr>
              <w:t>-</w:t>
            </w:r>
          </w:p>
        </w:tc>
      </w:tr>
      <w:tr w:rsidR="00095D7E" w14:paraId="761467D2" w14:textId="77777777">
        <w:tc>
          <w:tcPr>
            <w:tcW w:w="956" w:type="pct"/>
            <w:vMerge/>
            <w:tcBorders>
              <w:left w:val="threeDEmboss" w:sz="6" w:space="0" w:color="auto"/>
              <w:right w:val="threeDEmboss" w:sz="6" w:space="0" w:color="auto"/>
            </w:tcBorders>
            <w:vAlign w:val="center"/>
          </w:tcPr>
          <w:p w14:paraId="0ABBDB0F"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3CF91A8" w14:textId="77777777" w:rsidR="00095D7E" w:rsidRDefault="008740DD">
            <w:pPr>
              <w:autoSpaceDE w:val="0"/>
              <w:autoSpaceDN w:val="0"/>
              <w:adjustRightInd w:val="0"/>
              <w:rPr>
                <w:szCs w:val="22"/>
                <w:lang w:val="sr-Latn-ME"/>
              </w:rPr>
            </w:pPr>
            <w:r>
              <w:rPr>
                <w:szCs w:val="22"/>
                <w:lang w:val="sr-Latn-ME"/>
              </w:rPr>
              <w:t>Miopija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D13D79D"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D4365FE"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4DACB7CF" w14:textId="77777777" w:rsidR="00095D7E" w:rsidRDefault="008740DD">
            <w:pPr>
              <w:autoSpaceDE w:val="0"/>
              <w:autoSpaceDN w:val="0"/>
              <w:adjustRightInd w:val="0"/>
              <w:rPr>
                <w:szCs w:val="22"/>
                <w:lang w:val="sr-Latn-ME"/>
              </w:rPr>
            </w:pPr>
            <w:r>
              <w:rPr>
                <w:szCs w:val="22"/>
                <w:lang w:val="sr-Latn-ME"/>
              </w:rPr>
              <w:t>-</w:t>
            </w:r>
          </w:p>
        </w:tc>
      </w:tr>
      <w:tr w:rsidR="00095D7E" w14:paraId="0055BE62" w14:textId="77777777">
        <w:tc>
          <w:tcPr>
            <w:tcW w:w="956" w:type="pct"/>
            <w:vMerge/>
            <w:tcBorders>
              <w:left w:val="threeDEmboss" w:sz="6" w:space="0" w:color="auto"/>
              <w:right w:val="threeDEmboss" w:sz="6" w:space="0" w:color="auto"/>
            </w:tcBorders>
            <w:vAlign w:val="center"/>
          </w:tcPr>
          <w:p w14:paraId="07DFEB83"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45ABCC2" w14:textId="77777777" w:rsidR="00095D7E" w:rsidRDefault="008740DD">
            <w:pPr>
              <w:autoSpaceDE w:val="0"/>
              <w:autoSpaceDN w:val="0"/>
              <w:adjustRightInd w:val="0"/>
              <w:rPr>
                <w:szCs w:val="22"/>
                <w:lang w:val="sr-Latn-ME"/>
              </w:rPr>
            </w:pPr>
            <w:r>
              <w:rPr>
                <w:szCs w:val="22"/>
                <w:lang w:val="sr-Latn-ME"/>
              </w:rPr>
              <w:t>Zamagljen vid</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80832D9"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0D93768B"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6D375F73" w14:textId="77777777" w:rsidR="00095D7E" w:rsidRDefault="008740DD">
            <w:pPr>
              <w:autoSpaceDE w:val="0"/>
              <w:autoSpaceDN w:val="0"/>
              <w:adjustRightInd w:val="0"/>
              <w:rPr>
                <w:szCs w:val="22"/>
                <w:lang w:val="sr-Latn-ME"/>
              </w:rPr>
            </w:pPr>
            <w:r>
              <w:rPr>
                <w:szCs w:val="22"/>
                <w:lang w:val="sr-Latn-ME"/>
              </w:rPr>
              <w:t>-</w:t>
            </w:r>
          </w:p>
        </w:tc>
      </w:tr>
      <w:tr w:rsidR="00095D7E" w14:paraId="04C2075D" w14:textId="77777777">
        <w:tc>
          <w:tcPr>
            <w:tcW w:w="956" w:type="pct"/>
            <w:vMerge/>
            <w:tcBorders>
              <w:left w:val="threeDEmboss" w:sz="6" w:space="0" w:color="auto"/>
              <w:right w:val="threeDEmboss" w:sz="6" w:space="0" w:color="auto"/>
            </w:tcBorders>
            <w:vAlign w:val="center"/>
          </w:tcPr>
          <w:p w14:paraId="747575F6"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93B5FB2" w14:textId="77777777" w:rsidR="00095D7E" w:rsidRDefault="008740DD">
            <w:pPr>
              <w:autoSpaceDE w:val="0"/>
              <w:autoSpaceDN w:val="0"/>
              <w:adjustRightInd w:val="0"/>
              <w:rPr>
                <w:szCs w:val="22"/>
                <w:lang w:val="sr-Latn-ME"/>
              </w:rPr>
            </w:pPr>
            <w:r>
              <w:rPr>
                <w:szCs w:val="22"/>
                <w:lang w:val="sr-Latn-ME"/>
              </w:rPr>
              <w:t>Akutni glaukom zatvorenog ugla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5D30528"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B79B30A"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26D64281" w14:textId="77777777" w:rsidR="00095D7E" w:rsidRDefault="008740DD">
            <w:pPr>
              <w:autoSpaceDE w:val="0"/>
              <w:autoSpaceDN w:val="0"/>
              <w:adjustRightInd w:val="0"/>
              <w:rPr>
                <w:szCs w:val="22"/>
                <w:lang w:val="sr-Latn-ME"/>
              </w:rPr>
            </w:pPr>
            <w:r>
              <w:rPr>
                <w:szCs w:val="22"/>
                <w:lang w:val="sr-Latn-ME"/>
              </w:rPr>
              <w:t>-</w:t>
            </w:r>
          </w:p>
        </w:tc>
      </w:tr>
      <w:tr w:rsidR="00095D7E" w14:paraId="064D3D2B" w14:textId="77777777">
        <w:tc>
          <w:tcPr>
            <w:tcW w:w="956" w:type="pct"/>
            <w:vMerge/>
            <w:tcBorders>
              <w:left w:val="threeDEmboss" w:sz="6" w:space="0" w:color="auto"/>
              <w:right w:val="threeDEmboss" w:sz="6" w:space="0" w:color="auto"/>
            </w:tcBorders>
            <w:vAlign w:val="center"/>
          </w:tcPr>
          <w:p w14:paraId="22A12C9D"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C3954DC" w14:textId="77777777" w:rsidR="00095D7E" w:rsidRDefault="008740DD">
            <w:pPr>
              <w:autoSpaceDE w:val="0"/>
              <w:autoSpaceDN w:val="0"/>
              <w:adjustRightInd w:val="0"/>
              <w:rPr>
                <w:szCs w:val="22"/>
                <w:lang w:val="sr-Latn-ME"/>
              </w:rPr>
            </w:pPr>
            <w:r>
              <w:rPr>
                <w:szCs w:val="22"/>
                <w:lang w:val="sr-Latn-ME"/>
              </w:rPr>
              <w:t>Horoidalna efuzija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E793CE2"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C219672"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5F958647" w14:textId="77777777" w:rsidR="00095D7E" w:rsidRDefault="008740DD">
            <w:pPr>
              <w:autoSpaceDE w:val="0"/>
              <w:autoSpaceDN w:val="0"/>
              <w:adjustRightInd w:val="0"/>
              <w:rPr>
                <w:szCs w:val="22"/>
                <w:lang w:val="sr-Latn-ME"/>
              </w:rPr>
            </w:pPr>
            <w:r>
              <w:rPr>
                <w:szCs w:val="22"/>
                <w:lang w:val="sr-Latn-ME"/>
              </w:rPr>
              <w:t>-</w:t>
            </w:r>
          </w:p>
        </w:tc>
      </w:tr>
      <w:tr w:rsidR="00095D7E" w14:paraId="40F18F36" w14:textId="77777777">
        <w:tc>
          <w:tcPr>
            <w:tcW w:w="956" w:type="pct"/>
            <w:vMerge/>
            <w:tcBorders>
              <w:left w:val="threeDEmboss" w:sz="6" w:space="0" w:color="auto"/>
              <w:bottom w:val="threeDEmboss" w:sz="6" w:space="0" w:color="auto"/>
              <w:right w:val="threeDEmboss" w:sz="6" w:space="0" w:color="auto"/>
            </w:tcBorders>
            <w:vAlign w:val="center"/>
          </w:tcPr>
          <w:p w14:paraId="5C305942"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5DD337C" w14:textId="77777777" w:rsidR="00095D7E" w:rsidRDefault="008740DD">
            <w:pPr>
              <w:autoSpaceDE w:val="0"/>
              <w:autoSpaceDN w:val="0"/>
              <w:adjustRightInd w:val="0"/>
              <w:rPr>
                <w:szCs w:val="22"/>
                <w:lang w:val="sr-Latn-ME"/>
              </w:rPr>
            </w:pPr>
            <w:r>
              <w:rPr>
                <w:szCs w:val="22"/>
              </w:rPr>
              <w:t>Okularna miastenia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20CF536"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627F84D"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566D7A16" w14:textId="77777777" w:rsidR="00095D7E" w:rsidRDefault="008740DD">
            <w:pPr>
              <w:autoSpaceDE w:val="0"/>
              <w:autoSpaceDN w:val="0"/>
              <w:adjustRightInd w:val="0"/>
              <w:rPr>
                <w:szCs w:val="22"/>
                <w:lang w:val="sr-Latn-ME"/>
              </w:rPr>
            </w:pPr>
            <w:r>
              <w:rPr>
                <w:szCs w:val="22"/>
                <w:lang w:val="en-US"/>
              </w:rPr>
              <w:t>Nepoznato</w:t>
            </w:r>
          </w:p>
        </w:tc>
      </w:tr>
      <w:tr w:rsidR="00095D7E" w14:paraId="33B7FC3D" w14:textId="77777777">
        <w:tc>
          <w:tcPr>
            <w:tcW w:w="956" w:type="pct"/>
            <w:vMerge w:val="restart"/>
            <w:tcBorders>
              <w:top w:val="threeDEmboss" w:sz="6" w:space="0" w:color="auto"/>
              <w:left w:val="threeDEmboss" w:sz="6" w:space="0" w:color="auto"/>
              <w:bottom w:val="threeDEmboss" w:sz="6" w:space="0" w:color="auto"/>
              <w:right w:val="threeDEmboss" w:sz="6" w:space="0" w:color="auto"/>
            </w:tcBorders>
            <w:vAlign w:val="center"/>
          </w:tcPr>
          <w:p w14:paraId="0E0FCFB4" w14:textId="77777777" w:rsidR="00095D7E" w:rsidRDefault="008740DD">
            <w:pPr>
              <w:autoSpaceDE w:val="0"/>
              <w:autoSpaceDN w:val="0"/>
              <w:adjustRightInd w:val="0"/>
              <w:rPr>
                <w:szCs w:val="22"/>
                <w:lang w:val="sr-Latn-ME"/>
              </w:rPr>
            </w:pPr>
            <w:r>
              <w:rPr>
                <w:b/>
                <w:bCs/>
                <w:szCs w:val="22"/>
                <w:lang w:val="sr-Latn-ME"/>
              </w:rPr>
              <w:t>Poremećaji uha i labirinta</w:t>
            </w:r>
            <w:r>
              <w:rPr>
                <w:szCs w:val="22"/>
                <w:lang w:val="sr-Latn-ME"/>
              </w:rPr>
              <w:t xml:space="preserve"> </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0F9FF201" w14:textId="77777777" w:rsidR="00095D7E" w:rsidRDefault="008740DD">
            <w:pPr>
              <w:autoSpaceDE w:val="0"/>
              <w:autoSpaceDN w:val="0"/>
              <w:adjustRightInd w:val="0"/>
              <w:rPr>
                <w:szCs w:val="22"/>
                <w:lang w:val="sr-Latn-ME"/>
              </w:rPr>
            </w:pPr>
            <w:r>
              <w:rPr>
                <w:szCs w:val="22"/>
                <w:lang w:val="sr-Latn-ME"/>
              </w:rPr>
              <w:t>Vertigo</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613BA07" w14:textId="77777777" w:rsidR="00095D7E" w:rsidRDefault="008740DD">
            <w:pPr>
              <w:autoSpaceDE w:val="0"/>
              <w:autoSpaceDN w:val="0"/>
              <w:adjustRightInd w:val="0"/>
              <w:rPr>
                <w:szCs w:val="22"/>
                <w:lang w:val="sr-Latn-ME"/>
              </w:rPr>
            </w:pPr>
            <w:r>
              <w:rPr>
                <w:szCs w:val="22"/>
                <w:lang w:val="sr-Latn-ME"/>
              </w:rPr>
              <w:t xml:space="preserve">Često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DD451B8" w14:textId="77777777" w:rsidR="00095D7E" w:rsidRDefault="008740DD">
            <w:pPr>
              <w:autoSpaceDE w:val="0"/>
              <w:autoSpaceDN w:val="0"/>
              <w:adjustRightInd w:val="0"/>
              <w:rPr>
                <w:szCs w:val="22"/>
                <w:lang w:val="sr-Latn-ME"/>
              </w:rPr>
            </w:pPr>
            <w:r>
              <w:rPr>
                <w:szCs w:val="22"/>
                <w:lang w:val="sr-Latn-ME"/>
              </w:rPr>
              <w:t>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154FDC02" w14:textId="77777777" w:rsidR="00095D7E" w:rsidRDefault="008740DD">
            <w:pPr>
              <w:autoSpaceDE w:val="0"/>
              <w:autoSpaceDN w:val="0"/>
              <w:adjustRightInd w:val="0"/>
              <w:rPr>
                <w:szCs w:val="22"/>
                <w:lang w:val="sr-Latn-ME"/>
              </w:rPr>
            </w:pPr>
            <w:r>
              <w:rPr>
                <w:szCs w:val="22"/>
                <w:lang w:val="sr-Latn-ME"/>
              </w:rPr>
              <w:t>-</w:t>
            </w:r>
          </w:p>
        </w:tc>
      </w:tr>
      <w:tr w:rsidR="00095D7E" w14:paraId="330FFA61"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34547CE3"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847EA4E" w14:textId="77777777" w:rsidR="00095D7E" w:rsidRDefault="008740DD">
            <w:pPr>
              <w:autoSpaceDE w:val="0"/>
              <w:autoSpaceDN w:val="0"/>
              <w:adjustRightInd w:val="0"/>
              <w:rPr>
                <w:szCs w:val="22"/>
                <w:lang w:val="sr-Latn-ME"/>
              </w:rPr>
            </w:pPr>
            <w:r>
              <w:rPr>
                <w:szCs w:val="22"/>
                <w:lang w:val="sr-Latn-ME"/>
              </w:rPr>
              <w:t>Tinitus</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9F48401"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4791A1D"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14EBBF20" w14:textId="77777777" w:rsidR="00095D7E" w:rsidRDefault="008740DD">
            <w:pPr>
              <w:autoSpaceDE w:val="0"/>
              <w:autoSpaceDN w:val="0"/>
              <w:adjustRightInd w:val="0"/>
              <w:rPr>
                <w:szCs w:val="22"/>
                <w:lang w:val="sr-Latn-ME"/>
              </w:rPr>
            </w:pPr>
            <w:r>
              <w:rPr>
                <w:szCs w:val="22"/>
                <w:lang w:val="sr-Latn-ME"/>
              </w:rPr>
              <w:t>-</w:t>
            </w:r>
          </w:p>
        </w:tc>
      </w:tr>
      <w:tr w:rsidR="00095D7E" w14:paraId="05DD4EB4" w14:textId="77777777">
        <w:tc>
          <w:tcPr>
            <w:tcW w:w="956" w:type="pct"/>
            <w:vMerge w:val="restart"/>
            <w:tcBorders>
              <w:top w:val="threeDEmboss" w:sz="6" w:space="0" w:color="auto"/>
              <w:left w:val="threeDEmboss" w:sz="6" w:space="0" w:color="auto"/>
              <w:bottom w:val="threeDEmboss" w:sz="6" w:space="0" w:color="auto"/>
              <w:right w:val="threeDEmboss" w:sz="6" w:space="0" w:color="auto"/>
            </w:tcBorders>
            <w:vAlign w:val="center"/>
          </w:tcPr>
          <w:p w14:paraId="07052738" w14:textId="77777777" w:rsidR="00095D7E" w:rsidRDefault="008740DD">
            <w:pPr>
              <w:autoSpaceDE w:val="0"/>
              <w:autoSpaceDN w:val="0"/>
              <w:adjustRightInd w:val="0"/>
              <w:rPr>
                <w:szCs w:val="22"/>
                <w:lang w:val="sr-Latn-ME"/>
              </w:rPr>
            </w:pPr>
            <w:r>
              <w:rPr>
                <w:b/>
                <w:bCs/>
                <w:szCs w:val="22"/>
                <w:lang w:val="sr-Latn-ME"/>
              </w:rPr>
              <w:lastRenderedPageBreak/>
              <w:t>Srčani poremećaji</w:t>
            </w:r>
            <w:r>
              <w:rPr>
                <w:szCs w:val="22"/>
                <w:lang w:val="sr-Latn-ME"/>
              </w:rPr>
              <w:t xml:space="preserve"> </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BBE49DC" w14:textId="77777777" w:rsidR="00095D7E" w:rsidRDefault="008740DD">
            <w:pPr>
              <w:autoSpaceDE w:val="0"/>
              <w:autoSpaceDN w:val="0"/>
              <w:adjustRightInd w:val="0"/>
              <w:rPr>
                <w:szCs w:val="22"/>
                <w:lang w:val="sr-Latn-ME"/>
              </w:rPr>
            </w:pPr>
            <w:r>
              <w:rPr>
                <w:szCs w:val="22"/>
                <w:lang w:val="sr-Latn-ME"/>
              </w:rPr>
              <w:t>Palpitacije</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E2477CD"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814EF7A"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36340CD6" w14:textId="77777777" w:rsidR="00095D7E" w:rsidRDefault="008740DD">
            <w:pPr>
              <w:autoSpaceDE w:val="0"/>
              <w:autoSpaceDN w:val="0"/>
              <w:adjustRightInd w:val="0"/>
              <w:rPr>
                <w:szCs w:val="22"/>
                <w:lang w:val="sr-Latn-ME"/>
              </w:rPr>
            </w:pPr>
            <w:r>
              <w:rPr>
                <w:szCs w:val="22"/>
                <w:lang w:val="sr-Latn-ME"/>
              </w:rPr>
              <w:t>-</w:t>
            </w:r>
          </w:p>
        </w:tc>
      </w:tr>
      <w:tr w:rsidR="00095D7E" w14:paraId="21B46479"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16210485"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0BB70D7B" w14:textId="77777777" w:rsidR="00095D7E" w:rsidRDefault="008740DD">
            <w:pPr>
              <w:autoSpaceDE w:val="0"/>
              <w:autoSpaceDN w:val="0"/>
              <w:adjustRightInd w:val="0"/>
              <w:rPr>
                <w:szCs w:val="22"/>
                <w:lang w:val="sr-Latn-ME"/>
              </w:rPr>
            </w:pPr>
            <w:r>
              <w:rPr>
                <w:szCs w:val="22"/>
                <w:lang w:val="sr-Latn-ME"/>
              </w:rPr>
              <w:t>Tahikardija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88CCCC7"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C989E66"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26017A0F" w14:textId="77777777" w:rsidR="00095D7E" w:rsidRDefault="008740DD">
            <w:pPr>
              <w:autoSpaceDE w:val="0"/>
              <w:autoSpaceDN w:val="0"/>
              <w:adjustRightInd w:val="0"/>
              <w:rPr>
                <w:szCs w:val="22"/>
                <w:lang w:val="sr-Latn-ME"/>
              </w:rPr>
            </w:pPr>
            <w:r>
              <w:rPr>
                <w:szCs w:val="22"/>
                <w:lang w:val="sr-Latn-ME"/>
              </w:rPr>
              <w:t>-</w:t>
            </w:r>
          </w:p>
        </w:tc>
      </w:tr>
      <w:tr w:rsidR="00095D7E" w14:paraId="02AF546C"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207F3353"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AE0C7ED" w14:textId="77777777" w:rsidR="00095D7E" w:rsidRDefault="008740DD">
            <w:pPr>
              <w:autoSpaceDE w:val="0"/>
              <w:autoSpaceDN w:val="0"/>
              <w:adjustRightInd w:val="0"/>
              <w:rPr>
                <w:szCs w:val="22"/>
                <w:lang w:val="sr-Latn-ME"/>
              </w:rPr>
            </w:pPr>
            <w:r>
              <w:rPr>
                <w:szCs w:val="22"/>
                <w:lang w:val="sr-Latn-ME"/>
              </w:rPr>
              <w:t>Angina pectoris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C62A198"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EDE1D88"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0A1FD808" w14:textId="77777777" w:rsidR="00095D7E" w:rsidRDefault="008740DD">
            <w:pPr>
              <w:autoSpaceDE w:val="0"/>
              <w:autoSpaceDN w:val="0"/>
              <w:adjustRightInd w:val="0"/>
              <w:rPr>
                <w:szCs w:val="22"/>
                <w:lang w:val="sr-Latn-ME"/>
              </w:rPr>
            </w:pPr>
            <w:r>
              <w:rPr>
                <w:szCs w:val="22"/>
                <w:lang w:val="sr-Latn-ME"/>
              </w:rPr>
              <w:t>-</w:t>
            </w:r>
          </w:p>
        </w:tc>
      </w:tr>
      <w:tr w:rsidR="00095D7E" w14:paraId="0DC9395D"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1B46587A"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4BCFE5C" w14:textId="77777777" w:rsidR="00095D7E" w:rsidRDefault="008740DD">
            <w:pPr>
              <w:rPr>
                <w:szCs w:val="22"/>
                <w:lang w:val="sr-Latn-ME" w:eastAsia="sr-Latn-RS"/>
              </w:rPr>
            </w:pPr>
            <w:r>
              <w:rPr>
                <w:szCs w:val="22"/>
                <w:lang w:val="sr-Latn-ME"/>
              </w:rPr>
              <w:t>Aritmije (uključujući bradikardiju, ventrikularnu tahikardiju, atrijalnu fibrilaciju)</w:t>
            </w:r>
          </w:p>
          <w:p w14:paraId="11770F8D" w14:textId="77777777" w:rsidR="00095D7E" w:rsidRDefault="00095D7E">
            <w:pPr>
              <w:autoSpaceDE w:val="0"/>
              <w:autoSpaceDN w:val="0"/>
              <w:adjustRightInd w:val="0"/>
              <w:rPr>
                <w:szCs w:val="22"/>
                <w:lang w:val="sr-Latn-ME"/>
              </w:rPr>
            </w:pP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F9C5F14"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4CF84759"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6BD60D4D" w14:textId="77777777" w:rsidR="00095D7E" w:rsidRDefault="008740DD">
            <w:pPr>
              <w:autoSpaceDE w:val="0"/>
              <w:autoSpaceDN w:val="0"/>
              <w:adjustRightInd w:val="0"/>
              <w:rPr>
                <w:szCs w:val="22"/>
                <w:lang w:val="sr-Latn-ME"/>
              </w:rPr>
            </w:pPr>
            <w:r>
              <w:rPr>
                <w:szCs w:val="22"/>
                <w:lang w:val="sr-Latn-ME"/>
              </w:rPr>
              <w:t>-</w:t>
            </w:r>
          </w:p>
        </w:tc>
      </w:tr>
      <w:tr w:rsidR="00095D7E" w14:paraId="586A73D0"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7BAA57F5"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0FD5487" w14:textId="77777777" w:rsidR="00095D7E" w:rsidRDefault="008740DD">
            <w:pPr>
              <w:rPr>
                <w:szCs w:val="22"/>
                <w:lang w:val="sr-Latn-ME"/>
              </w:rPr>
            </w:pPr>
            <w:r>
              <w:rPr>
                <w:szCs w:val="22"/>
                <w:lang w:val="sr-Latn-ME"/>
              </w:rPr>
              <w:t>Infarkt miokarda vjerovatno sekundarno zbog prekomjerne hipotenzije kod visokorizičnih pacijenata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1A0A912"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B82CBD7"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53D2C8B4" w14:textId="77777777" w:rsidR="00095D7E" w:rsidRDefault="008740DD">
            <w:pPr>
              <w:autoSpaceDE w:val="0"/>
              <w:autoSpaceDN w:val="0"/>
              <w:adjustRightInd w:val="0"/>
              <w:rPr>
                <w:szCs w:val="22"/>
                <w:lang w:val="sr-Latn-ME"/>
              </w:rPr>
            </w:pPr>
            <w:r>
              <w:rPr>
                <w:szCs w:val="22"/>
                <w:lang w:val="sr-Latn-ME"/>
              </w:rPr>
              <w:t>-</w:t>
            </w:r>
          </w:p>
        </w:tc>
      </w:tr>
      <w:tr w:rsidR="00095D7E" w14:paraId="42F9B1B7"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06E9C4EA"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133EA06" w14:textId="77777777" w:rsidR="00095D7E" w:rsidRDefault="008740DD">
            <w:pPr>
              <w:autoSpaceDE w:val="0"/>
              <w:autoSpaceDN w:val="0"/>
              <w:adjustRightInd w:val="0"/>
              <w:rPr>
                <w:szCs w:val="22"/>
                <w:lang w:val="sr-Latn-ME"/>
              </w:rPr>
            </w:pPr>
            <w:r>
              <w:rPr>
                <w:szCs w:val="22"/>
                <w:lang w:val="sr-Latn-ME"/>
              </w:rPr>
              <w:t>Torsade de pointes (potencijalno sa smrtnim ishodom) (vidjeti dio 4.4 i 4.5)</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FA5B7AE"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3845D56"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27FD7EE4" w14:textId="77777777" w:rsidR="00095D7E" w:rsidRDefault="008740DD">
            <w:pPr>
              <w:autoSpaceDE w:val="0"/>
              <w:autoSpaceDN w:val="0"/>
              <w:adjustRightInd w:val="0"/>
              <w:rPr>
                <w:szCs w:val="22"/>
                <w:lang w:val="sr-Latn-ME"/>
              </w:rPr>
            </w:pPr>
            <w:r>
              <w:rPr>
                <w:szCs w:val="22"/>
                <w:lang w:val="sr-Latn-ME"/>
              </w:rPr>
              <w:t>-</w:t>
            </w:r>
          </w:p>
        </w:tc>
      </w:tr>
      <w:tr w:rsidR="00095D7E" w14:paraId="42D1A469" w14:textId="77777777">
        <w:tc>
          <w:tcPr>
            <w:tcW w:w="956" w:type="pct"/>
            <w:vMerge w:val="restart"/>
            <w:tcBorders>
              <w:top w:val="threeDEmboss" w:sz="6" w:space="0" w:color="auto"/>
              <w:left w:val="threeDEmboss" w:sz="6" w:space="0" w:color="auto"/>
              <w:right w:val="threeDEmboss" w:sz="6" w:space="0" w:color="auto"/>
            </w:tcBorders>
            <w:vAlign w:val="center"/>
          </w:tcPr>
          <w:p w14:paraId="00239EDD" w14:textId="77777777" w:rsidR="00095D7E" w:rsidRDefault="008740DD">
            <w:pPr>
              <w:autoSpaceDE w:val="0"/>
              <w:autoSpaceDN w:val="0"/>
              <w:adjustRightInd w:val="0"/>
              <w:rPr>
                <w:b/>
                <w:szCs w:val="22"/>
                <w:lang w:val="sr-Latn-ME"/>
              </w:rPr>
            </w:pPr>
            <w:r>
              <w:rPr>
                <w:b/>
                <w:bCs/>
                <w:szCs w:val="22"/>
                <w:lang w:val="sr-Latn-ME"/>
              </w:rPr>
              <w:t>Vaskularni poremećaji</w:t>
            </w:r>
            <w:r>
              <w:rPr>
                <w:b/>
                <w:szCs w:val="22"/>
                <w:lang w:val="sr-Latn-ME"/>
              </w:rPr>
              <w:t xml:space="preserve"> </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1922E8B" w14:textId="77777777" w:rsidR="00095D7E" w:rsidRDefault="008740DD">
            <w:pPr>
              <w:rPr>
                <w:szCs w:val="22"/>
                <w:lang w:val="sr-Latn-ME"/>
              </w:rPr>
            </w:pPr>
            <w:r>
              <w:rPr>
                <w:szCs w:val="22"/>
                <w:lang w:val="sr-Latn-ME"/>
              </w:rPr>
              <w:t>Hipotenzija (i efekti povezani s hipotenzijom)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010756C"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27579E3"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4FD1E882" w14:textId="77777777" w:rsidR="00095D7E" w:rsidRDefault="008740DD">
            <w:pPr>
              <w:autoSpaceDE w:val="0"/>
              <w:autoSpaceDN w:val="0"/>
              <w:adjustRightInd w:val="0"/>
              <w:rPr>
                <w:szCs w:val="22"/>
                <w:lang w:val="sr-Latn-ME"/>
              </w:rPr>
            </w:pPr>
            <w:r>
              <w:rPr>
                <w:szCs w:val="22"/>
                <w:lang w:val="sr-Latn-ME"/>
              </w:rPr>
              <w:t>-</w:t>
            </w:r>
          </w:p>
        </w:tc>
      </w:tr>
      <w:tr w:rsidR="00095D7E" w14:paraId="4901CDFD" w14:textId="77777777">
        <w:tc>
          <w:tcPr>
            <w:tcW w:w="956" w:type="pct"/>
            <w:vMerge/>
            <w:tcBorders>
              <w:left w:val="threeDEmboss" w:sz="6" w:space="0" w:color="auto"/>
              <w:right w:val="threeDEmboss" w:sz="6" w:space="0" w:color="auto"/>
            </w:tcBorders>
            <w:vAlign w:val="center"/>
          </w:tcPr>
          <w:p w14:paraId="7F9D1A2C"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901F582" w14:textId="77777777" w:rsidR="00095D7E" w:rsidRDefault="008740DD">
            <w:pPr>
              <w:autoSpaceDE w:val="0"/>
              <w:autoSpaceDN w:val="0"/>
              <w:adjustRightInd w:val="0"/>
              <w:rPr>
                <w:szCs w:val="22"/>
                <w:lang w:val="sr-Latn-ME"/>
              </w:rPr>
            </w:pPr>
            <w:r>
              <w:rPr>
                <w:szCs w:val="22"/>
                <w:lang w:val="sr-Latn-ME"/>
              </w:rPr>
              <w:t>Vaskulitis</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B3448E0"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4FDCB29C"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60BCE09D" w14:textId="77777777" w:rsidR="00095D7E" w:rsidRDefault="008740DD">
            <w:pPr>
              <w:autoSpaceDE w:val="0"/>
              <w:autoSpaceDN w:val="0"/>
              <w:adjustRightInd w:val="0"/>
              <w:rPr>
                <w:szCs w:val="22"/>
                <w:lang w:val="sr-Latn-ME"/>
              </w:rPr>
            </w:pPr>
            <w:r>
              <w:rPr>
                <w:szCs w:val="22"/>
                <w:lang w:val="sr-Latn-ME"/>
              </w:rPr>
              <w:t>-</w:t>
            </w:r>
          </w:p>
        </w:tc>
      </w:tr>
      <w:tr w:rsidR="00095D7E" w14:paraId="11443928" w14:textId="77777777">
        <w:tc>
          <w:tcPr>
            <w:tcW w:w="956" w:type="pct"/>
            <w:vMerge/>
            <w:tcBorders>
              <w:left w:val="threeDEmboss" w:sz="6" w:space="0" w:color="auto"/>
              <w:right w:val="threeDEmboss" w:sz="6" w:space="0" w:color="auto"/>
            </w:tcBorders>
            <w:vAlign w:val="center"/>
          </w:tcPr>
          <w:p w14:paraId="65482C6A"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1CDCBF9E" w14:textId="77777777" w:rsidR="00095D7E" w:rsidRDefault="008740DD">
            <w:pPr>
              <w:autoSpaceDE w:val="0"/>
              <w:autoSpaceDN w:val="0"/>
              <w:adjustRightInd w:val="0"/>
              <w:rPr>
                <w:szCs w:val="22"/>
                <w:lang w:val="sr-Latn-ME"/>
              </w:rPr>
            </w:pPr>
            <w:r>
              <w:rPr>
                <w:szCs w:val="22"/>
              </w:rPr>
              <w:t>Naleti vrućine</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BAFD375" w14:textId="77777777" w:rsidR="00095D7E" w:rsidRDefault="008740DD">
            <w:pPr>
              <w:autoSpaceDE w:val="0"/>
              <w:autoSpaceDN w:val="0"/>
              <w:adjustRightInd w:val="0"/>
              <w:rPr>
                <w:szCs w:val="22"/>
                <w:highlight w:val="green"/>
                <w:lang w:val="sr-Latn-ME"/>
              </w:rPr>
            </w:pPr>
            <w:r>
              <w:rPr>
                <w:szCs w:val="22"/>
              </w:rPr>
              <w:t>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03501F27" w14:textId="77777777" w:rsidR="00095D7E" w:rsidRDefault="008740DD">
            <w:pPr>
              <w:autoSpaceDE w:val="0"/>
              <w:autoSpaceDN w:val="0"/>
              <w:adjustRightInd w:val="0"/>
              <w:rPr>
                <w:szCs w:val="22"/>
                <w:highlight w:val="green"/>
                <w:lang w:val="sr-Latn-ME"/>
              </w:rPr>
            </w:pPr>
            <w:r>
              <w:rPr>
                <w:szCs w:val="22"/>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33C7C102" w14:textId="77777777" w:rsidR="00095D7E" w:rsidRDefault="008740DD">
            <w:pPr>
              <w:autoSpaceDE w:val="0"/>
              <w:autoSpaceDN w:val="0"/>
              <w:adjustRightInd w:val="0"/>
              <w:rPr>
                <w:szCs w:val="22"/>
                <w:highlight w:val="green"/>
                <w:lang w:val="sr-Latn-ME"/>
              </w:rPr>
            </w:pPr>
            <w:r>
              <w:rPr>
                <w:szCs w:val="22"/>
              </w:rPr>
              <w:t>-</w:t>
            </w:r>
          </w:p>
        </w:tc>
      </w:tr>
      <w:tr w:rsidR="00095D7E" w14:paraId="1653263D" w14:textId="77777777">
        <w:tc>
          <w:tcPr>
            <w:tcW w:w="956" w:type="pct"/>
            <w:vMerge/>
            <w:tcBorders>
              <w:left w:val="threeDEmboss" w:sz="6" w:space="0" w:color="auto"/>
              <w:bottom w:val="threeDEmboss" w:sz="6" w:space="0" w:color="auto"/>
              <w:right w:val="threeDEmboss" w:sz="6" w:space="0" w:color="auto"/>
            </w:tcBorders>
            <w:vAlign w:val="center"/>
          </w:tcPr>
          <w:p w14:paraId="01516C55"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BB5A038" w14:textId="77777777" w:rsidR="00095D7E" w:rsidRDefault="008740DD">
            <w:pPr>
              <w:autoSpaceDE w:val="0"/>
              <w:autoSpaceDN w:val="0"/>
              <w:adjustRightInd w:val="0"/>
              <w:rPr>
                <w:szCs w:val="22"/>
                <w:lang w:val="sr-Latn-ME"/>
              </w:rPr>
            </w:pPr>
            <w:r>
              <w:rPr>
                <w:szCs w:val="22"/>
                <w:lang w:val="sr-Latn-ME"/>
              </w:rPr>
              <w:t>Rejn-ov fenomen</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1D045AE" w14:textId="77777777" w:rsidR="00095D7E" w:rsidRDefault="008740DD">
            <w:pPr>
              <w:autoSpaceDE w:val="0"/>
              <w:autoSpaceDN w:val="0"/>
              <w:adjustRightInd w:val="0"/>
              <w:rPr>
                <w:szCs w:val="22"/>
                <w:lang w:val="sr-Latn-ME"/>
              </w:rPr>
            </w:pPr>
            <w:r>
              <w:rPr>
                <w:szCs w:val="22"/>
                <w:lang w:val="sr-Latn-ME"/>
              </w:rPr>
              <w:t>Nepoznato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E0E1889"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5DD02CCA" w14:textId="77777777" w:rsidR="00095D7E" w:rsidRDefault="008740DD">
            <w:pPr>
              <w:autoSpaceDE w:val="0"/>
              <w:autoSpaceDN w:val="0"/>
              <w:adjustRightInd w:val="0"/>
              <w:rPr>
                <w:szCs w:val="22"/>
                <w:lang w:val="sr-Latn-ME"/>
              </w:rPr>
            </w:pPr>
            <w:r>
              <w:rPr>
                <w:szCs w:val="22"/>
                <w:lang w:val="sr-Latn-ME"/>
              </w:rPr>
              <w:t>-</w:t>
            </w:r>
          </w:p>
        </w:tc>
      </w:tr>
      <w:tr w:rsidR="00095D7E" w14:paraId="0BDCC190" w14:textId="77777777">
        <w:tc>
          <w:tcPr>
            <w:tcW w:w="956" w:type="pct"/>
            <w:vMerge w:val="restart"/>
            <w:tcBorders>
              <w:top w:val="threeDEmboss" w:sz="6" w:space="0" w:color="auto"/>
              <w:left w:val="threeDEmboss" w:sz="6" w:space="0" w:color="auto"/>
              <w:bottom w:val="threeDEmboss" w:sz="6" w:space="0" w:color="auto"/>
              <w:right w:val="threeDEmboss" w:sz="6" w:space="0" w:color="auto"/>
            </w:tcBorders>
            <w:vAlign w:val="center"/>
          </w:tcPr>
          <w:p w14:paraId="0EEEB85F" w14:textId="77777777" w:rsidR="00095D7E" w:rsidRDefault="008740DD">
            <w:pPr>
              <w:widowControl w:val="0"/>
              <w:tabs>
                <w:tab w:val="center" w:pos="4536"/>
                <w:tab w:val="right" w:pos="9072"/>
              </w:tabs>
              <w:rPr>
                <w:b/>
                <w:szCs w:val="22"/>
                <w:lang w:val="sr-Latn-ME"/>
              </w:rPr>
            </w:pPr>
            <w:r>
              <w:rPr>
                <w:b/>
                <w:szCs w:val="22"/>
                <w:lang w:val="sr-Latn-ME"/>
              </w:rPr>
              <w:t>Respiratorni, torakalni i medijastinalni poremećaji</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723CF8D" w14:textId="77777777" w:rsidR="00095D7E" w:rsidRDefault="008740DD">
            <w:pPr>
              <w:autoSpaceDE w:val="0"/>
              <w:autoSpaceDN w:val="0"/>
              <w:adjustRightInd w:val="0"/>
              <w:rPr>
                <w:szCs w:val="22"/>
                <w:lang w:val="sr-Latn-ME"/>
              </w:rPr>
            </w:pPr>
            <w:r>
              <w:rPr>
                <w:szCs w:val="22"/>
                <w:lang w:val="sr-Latn-ME"/>
              </w:rPr>
              <w:t>Kašalj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33DE5985"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741D228C"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1CC34FE5" w14:textId="77777777" w:rsidR="00095D7E" w:rsidRDefault="008740DD">
            <w:pPr>
              <w:autoSpaceDE w:val="0"/>
              <w:autoSpaceDN w:val="0"/>
              <w:adjustRightInd w:val="0"/>
              <w:rPr>
                <w:szCs w:val="22"/>
                <w:lang w:val="sr-Latn-ME"/>
              </w:rPr>
            </w:pPr>
            <w:r>
              <w:rPr>
                <w:szCs w:val="22"/>
                <w:lang w:val="sr-Latn-ME"/>
              </w:rPr>
              <w:t>Nepoznato</w:t>
            </w:r>
          </w:p>
        </w:tc>
      </w:tr>
      <w:tr w:rsidR="00095D7E" w14:paraId="5025FC55"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2EFA5BB9"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59D9AB4" w14:textId="77777777" w:rsidR="00095D7E" w:rsidRDefault="008740DD">
            <w:pPr>
              <w:autoSpaceDE w:val="0"/>
              <w:autoSpaceDN w:val="0"/>
              <w:adjustRightInd w:val="0"/>
              <w:rPr>
                <w:szCs w:val="22"/>
                <w:lang w:val="sr-Latn-ME"/>
              </w:rPr>
            </w:pPr>
            <w:r>
              <w:rPr>
                <w:szCs w:val="22"/>
                <w:lang w:val="sr-Latn-ME"/>
              </w:rPr>
              <w:t>Dispneja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A44C4B5"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B3B1B02"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058811F8" w14:textId="77777777" w:rsidR="00095D7E" w:rsidRDefault="008740DD">
            <w:pPr>
              <w:autoSpaceDE w:val="0"/>
              <w:autoSpaceDN w:val="0"/>
              <w:adjustRightInd w:val="0"/>
              <w:rPr>
                <w:szCs w:val="22"/>
                <w:lang w:val="sr-Latn-ME"/>
              </w:rPr>
            </w:pPr>
            <w:r>
              <w:rPr>
                <w:szCs w:val="22"/>
                <w:lang w:val="sr-Latn-ME"/>
              </w:rPr>
              <w:t>Nepoznato</w:t>
            </w:r>
          </w:p>
        </w:tc>
      </w:tr>
      <w:tr w:rsidR="00095D7E" w14:paraId="64941328"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5C4E2D48"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E2C0C48" w14:textId="77777777" w:rsidR="00095D7E" w:rsidRDefault="008740DD">
            <w:pPr>
              <w:autoSpaceDE w:val="0"/>
              <w:autoSpaceDN w:val="0"/>
              <w:adjustRightInd w:val="0"/>
              <w:rPr>
                <w:szCs w:val="22"/>
                <w:lang w:val="sr-Latn-ME"/>
              </w:rPr>
            </w:pPr>
            <w:r>
              <w:rPr>
                <w:szCs w:val="22"/>
                <w:lang w:val="sr-Latn-ME"/>
              </w:rPr>
              <w:t>Bronhospazam</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3ADFF9ED"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D83D5C9"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05AD4DF3" w14:textId="77777777" w:rsidR="00095D7E" w:rsidRDefault="008740DD">
            <w:pPr>
              <w:autoSpaceDE w:val="0"/>
              <w:autoSpaceDN w:val="0"/>
              <w:adjustRightInd w:val="0"/>
              <w:rPr>
                <w:szCs w:val="22"/>
                <w:lang w:val="sr-Latn-ME"/>
              </w:rPr>
            </w:pPr>
            <w:r>
              <w:rPr>
                <w:szCs w:val="22"/>
                <w:lang w:val="sr-Latn-ME"/>
              </w:rPr>
              <w:t>-</w:t>
            </w:r>
          </w:p>
        </w:tc>
      </w:tr>
      <w:tr w:rsidR="00095D7E" w14:paraId="5B2709AE"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1FAFC1FF"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4B20CA8" w14:textId="77777777" w:rsidR="00095D7E" w:rsidRDefault="008740DD">
            <w:pPr>
              <w:autoSpaceDE w:val="0"/>
              <w:autoSpaceDN w:val="0"/>
              <w:adjustRightInd w:val="0"/>
              <w:rPr>
                <w:szCs w:val="22"/>
                <w:lang w:val="sr-Latn-ME"/>
              </w:rPr>
            </w:pPr>
            <w:r>
              <w:rPr>
                <w:szCs w:val="22"/>
                <w:lang w:val="sr-Latn-ME"/>
              </w:rPr>
              <w:t>Eozinofilna pneumonija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D9C6BA3"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4DA278D"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202C362C" w14:textId="77777777" w:rsidR="00095D7E" w:rsidRDefault="008740DD">
            <w:pPr>
              <w:autoSpaceDE w:val="0"/>
              <w:autoSpaceDN w:val="0"/>
              <w:adjustRightInd w:val="0"/>
              <w:rPr>
                <w:szCs w:val="22"/>
                <w:lang w:val="sr-Latn-ME"/>
              </w:rPr>
            </w:pPr>
            <w:r>
              <w:rPr>
                <w:szCs w:val="22"/>
                <w:lang w:val="sr-Latn-ME"/>
              </w:rPr>
              <w:t>-</w:t>
            </w:r>
          </w:p>
        </w:tc>
      </w:tr>
      <w:tr w:rsidR="00095D7E" w14:paraId="3F788E30" w14:textId="77777777">
        <w:tc>
          <w:tcPr>
            <w:tcW w:w="956" w:type="pct"/>
            <w:vMerge w:val="restart"/>
            <w:tcBorders>
              <w:top w:val="threeDEmboss" w:sz="6" w:space="0" w:color="auto"/>
              <w:left w:val="threeDEmboss" w:sz="6" w:space="0" w:color="auto"/>
              <w:bottom w:val="threeDEmboss" w:sz="6" w:space="0" w:color="auto"/>
              <w:right w:val="threeDEmboss" w:sz="6" w:space="0" w:color="auto"/>
            </w:tcBorders>
            <w:vAlign w:val="center"/>
          </w:tcPr>
          <w:p w14:paraId="03AB2DEF" w14:textId="77777777" w:rsidR="00095D7E" w:rsidRDefault="008740DD">
            <w:pPr>
              <w:autoSpaceDE w:val="0"/>
              <w:autoSpaceDN w:val="0"/>
              <w:adjustRightInd w:val="0"/>
              <w:rPr>
                <w:b/>
                <w:szCs w:val="22"/>
                <w:lang w:val="sr-Latn-ME"/>
              </w:rPr>
            </w:pPr>
            <w:r>
              <w:rPr>
                <w:b/>
                <w:szCs w:val="22"/>
                <w:lang w:val="sr-Latn-ME"/>
              </w:rPr>
              <w:t>Gastrointestinalni poremećaji</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90DD582" w14:textId="77777777" w:rsidR="00095D7E" w:rsidRDefault="008740DD">
            <w:pPr>
              <w:autoSpaceDE w:val="0"/>
              <w:autoSpaceDN w:val="0"/>
              <w:adjustRightInd w:val="0"/>
              <w:rPr>
                <w:szCs w:val="22"/>
                <w:lang w:val="sr-Latn-ME"/>
              </w:rPr>
            </w:pPr>
            <w:r>
              <w:rPr>
                <w:szCs w:val="22"/>
                <w:lang w:val="sr-Latn-ME"/>
              </w:rPr>
              <w:t>Bol u abdomenu</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2C4B219"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4EF122B4"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13CD2106" w14:textId="77777777" w:rsidR="00095D7E" w:rsidRDefault="008740DD">
            <w:pPr>
              <w:autoSpaceDE w:val="0"/>
              <w:autoSpaceDN w:val="0"/>
              <w:adjustRightInd w:val="0"/>
              <w:rPr>
                <w:szCs w:val="22"/>
                <w:lang w:val="sr-Latn-ME"/>
              </w:rPr>
            </w:pPr>
            <w:r>
              <w:rPr>
                <w:szCs w:val="22"/>
                <w:lang w:val="sr-Latn-ME"/>
              </w:rPr>
              <w:t>Često</w:t>
            </w:r>
          </w:p>
        </w:tc>
      </w:tr>
      <w:tr w:rsidR="00095D7E" w14:paraId="2A216D46"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0EF3AB52"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5002123" w14:textId="77777777" w:rsidR="00095D7E" w:rsidRDefault="008740DD">
            <w:pPr>
              <w:autoSpaceDE w:val="0"/>
              <w:autoSpaceDN w:val="0"/>
              <w:adjustRightInd w:val="0"/>
              <w:rPr>
                <w:szCs w:val="22"/>
                <w:lang w:val="sr-Latn-ME"/>
              </w:rPr>
            </w:pPr>
            <w:r>
              <w:rPr>
                <w:szCs w:val="22"/>
                <w:lang w:val="sr-Latn-ME"/>
              </w:rPr>
              <w:t>Konstipacija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10405F8"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7265D528" w14:textId="77777777" w:rsidR="00095D7E" w:rsidRDefault="008740DD">
            <w:pPr>
              <w:autoSpaceDE w:val="0"/>
              <w:autoSpaceDN w:val="0"/>
              <w:adjustRightInd w:val="0"/>
              <w:rPr>
                <w:szCs w:val="22"/>
                <w:lang w:val="sr-Latn-ME"/>
              </w:rPr>
            </w:pPr>
            <w:r>
              <w:rPr>
                <w:szCs w:val="22"/>
                <w:lang w:val="sr-Latn-ME"/>
              </w:rPr>
              <w:t>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47AF461C" w14:textId="77777777" w:rsidR="00095D7E" w:rsidRDefault="008740DD">
            <w:pPr>
              <w:autoSpaceDE w:val="0"/>
              <w:autoSpaceDN w:val="0"/>
              <w:adjustRightInd w:val="0"/>
              <w:rPr>
                <w:szCs w:val="22"/>
                <w:lang w:val="sr-Latn-ME"/>
              </w:rPr>
            </w:pPr>
            <w:r>
              <w:rPr>
                <w:szCs w:val="22"/>
                <w:lang w:val="sr-Latn-ME"/>
              </w:rPr>
              <w:t>Često</w:t>
            </w:r>
          </w:p>
        </w:tc>
      </w:tr>
      <w:tr w:rsidR="00095D7E" w14:paraId="648E9C0F"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5F69ECBF"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DAC3ED0" w14:textId="77777777" w:rsidR="00095D7E" w:rsidRDefault="008740DD">
            <w:pPr>
              <w:autoSpaceDE w:val="0"/>
              <w:autoSpaceDN w:val="0"/>
              <w:adjustRightInd w:val="0"/>
              <w:rPr>
                <w:szCs w:val="22"/>
                <w:lang w:val="sr-Latn-ME"/>
              </w:rPr>
            </w:pPr>
            <w:r>
              <w:rPr>
                <w:szCs w:val="22"/>
                <w:lang w:val="sr-Latn-ME"/>
              </w:rPr>
              <w:t>Dijareja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3F2B330"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0D11B92"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111B6F6E" w14:textId="77777777" w:rsidR="00095D7E" w:rsidRDefault="008740DD">
            <w:pPr>
              <w:autoSpaceDE w:val="0"/>
              <w:autoSpaceDN w:val="0"/>
              <w:adjustRightInd w:val="0"/>
              <w:rPr>
                <w:szCs w:val="22"/>
                <w:lang w:val="sr-Latn-ME"/>
              </w:rPr>
            </w:pPr>
            <w:r>
              <w:rPr>
                <w:szCs w:val="22"/>
                <w:lang w:val="sr-Latn-ME"/>
              </w:rPr>
              <w:t>Nepoznato</w:t>
            </w:r>
          </w:p>
        </w:tc>
      </w:tr>
      <w:tr w:rsidR="00095D7E" w14:paraId="39A17A02"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4E05E821"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3A71D6B" w14:textId="77777777" w:rsidR="00095D7E" w:rsidRDefault="008740DD">
            <w:pPr>
              <w:autoSpaceDE w:val="0"/>
              <w:autoSpaceDN w:val="0"/>
              <w:adjustRightInd w:val="0"/>
              <w:rPr>
                <w:szCs w:val="22"/>
                <w:lang w:val="sr-Latn-ME"/>
              </w:rPr>
            </w:pPr>
            <w:r>
              <w:rPr>
                <w:szCs w:val="22"/>
                <w:lang w:val="sr-Latn-ME"/>
              </w:rPr>
              <w:t>Dispepsija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D206D22"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70079454"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6DD258B1" w14:textId="77777777" w:rsidR="00095D7E" w:rsidRDefault="008740DD">
            <w:pPr>
              <w:autoSpaceDE w:val="0"/>
              <w:autoSpaceDN w:val="0"/>
              <w:adjustRightInd w:val="0"/>
              <w:rPr>
                <w:szCs w:val="22"/>
                <w:lang w:val="sr-Latn-ME"/>
              </w:rPr>
            </w:pPr>
            <w:r>
              <w:rPr>
                <w:szCs w:val="22"/>
                <w:lang w:val="sr-Latn-ME"/>
              </w:rPr>
              <w:t>-</w:t>
            </w:r>
          </w:p>
        </w:tc>
      </w:tr>
      <w:tr w:rsidR="00095D7E" w14:paraId="366068EB"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02D27460"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EC72B97" w14:textId="77777777" w:rsidR="00095D7E" w:rsidRDefault="008740DD">
            <w:pPr>
              <w:autoSpaceDE w:val="0"/>
              <w:autoSpaceDN w:val="0"/>
              <w:adjustRightInd w:val="0"/>
              <w:rPr>
                <w:szCs w:val="22"/>
                <w:lang w:val="sr-Latn-ME"/>
              </w:rPr>
            </w:pPr>
            <w:r>
              <w:rPr>
                <w:szCs w:val="22"/>
                <w:lang w:val="sr-Latn-ME"/>
              </w:rPr>
              <w:t>Nauzeja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9E019D9"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454C6A15" w14:textId="77777777" w:rsidR="00095D7E" w:rsidRDefault="008740DD">
            <w:pPr>
              <w:autoSpaceDE w:val="0"/>
              <w:autoSpaceDN w:val="0"/>
              <w:adjustRightInd w:val="0"/>
              <w:rPr>
                <w:szCs w:val="22"/>
                <w:lang w:val="sr-Latn-ME"/>
              </w:rPr>
            </w:pPr>
            <w:r>
              <w:rPr>
                <w:szCs w:val="22"/>
                <w:lang w:val="sr-Latn-ME"/>
              </w:rPr>
              <w:t>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1F8E6FB6" w14:textId="77777777" w:rsidR="00095D7E" w:rsidRDefault="008740DD">
            <w:pPr>
              <w:autoSpaceDE w:val="0"/>
              <w:autoSpaceDN w:val="0"/>
              <w:adjustRightInd w:val="0"/>
              <w:rPr>
                <w:szCs w:val="22"/>
                <w:lang w:val="sr-Latn-ME"/>
              </w:rPr>
            </w:pPr>
            <w:r>
              <w:rPr>
                <w:szCs w:val="22"/>
                <w:lang w:val="sr-Latn-ME"/>
              </w:rPr>
              <w:t>Često</w:t>
            </w:r>
          </w:p>
        </w:tc>
      </w:tr>
      <w:tr w:rsidR="00095D7E" w14:paraId="6111BD79"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2BA5C402"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15D42E4" w14:textId="77777777" w:rsidR="00095D7E" w:rsidRDefault="008740DD">
            <w:pPr>
              <w:autoSpaceDE w:val="0"/>
              <w:autoSpaceDN w:val="0"/>
              <w:adjustRightInd w:val="0"/>
              <w:rPr>
                <w:szCs w:val="22"/>
                <w:lang w:val="sr-Latn-ME"/>
              </w:rPr>
            </w:pPr>
            <w:r>
              <w:rPr>
                <w:szCs w:val="22"/>
                <w:lang w:val="sr-Latn-ME"/>
              </w:rPr>
              <w:t>Povraćanje</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1DBE737"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C420046" w14:textId="77777777" w:rsidR="00095D7E" w:rsidRDefault="008740DD">
            <w:pPr>
              <w:autoSpaceDE w:val="0"/>
              <w:autoSpaceDN w:val="0"/>
              <w:adjustRightInd w:val="0"/>
              <w:rPr>
                <w:szCs w:val="22"/>
                <w:lang w:val="sr-Latn-ME"/>
              </w:rPr>
            </w:pPr>
            <w:r>
              <w:rPr>
                <w:szCs w:val="22"/>
                <w:lang w:val="sr-Latn-ME"/>
              </w:rPr>
              <w:t>Povremeno</w:t>
            </w:r>
          </w:p>
        </w:tc>
        <w:tc>
          <w:tcPr>
            <w:tcW w:w="696" w:type="pct"/>
            <w:tcBorders>
              <w:top w:val="threeDEmboss" w:sz="6" w:space="0" w:color="auto"/>
              <w:left w:val="threeDEmboss" w:sz="6" w:space="0" w:color="auto"/>
              <w:bottom w:val="threeDEmboss" w:sz="6" w:space="0" w:color="auto"/>
              <w:right w:val="threeDEmboss" w:sz="6" w:space="0" w:color="auto"/>
            </w:tcBorders>
          </w:tcPr>
          <w:p w14:paraId="7B11485B" w14:textId="77777777" w:rsidR="00095D7E" w:rsidRDefault="008740DD">
            <w:pPr>
              <w:autoSpaceDE w:val="0"/>
              <w:autoSpaceDN w:val="0"/>
              <w:adjustRightInd w:val="0"/>
              <w:rPr>
                <w:szCs w:val="22"/>
                <w:lang w:val="sr-Latn-ME"/>
              </w:rPr>
            </w:pPr>
            <w:r>
              <w:rPr>
                <w:szCs w:val="22"/>
                <w:lang w:val="sr-Latn-ME"/>
              </w:rPr>
              <w:t>-</w:t>
            </w:r>
          </w:p>
        </w:tc>
      </w:tr>
      <w:tr w:rsidR="00095D7E" w14:paraId="5316C18C"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009EB2E3"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3415F77" w14:textId="77777777" w:rsidR="00095D7E" w:rsidRDefault="008740DD">
            <w:pPr>
              <w:autoSpaceDE w:val="0"/>
              <w:autoSpaceDN w:val="0"/>
              <w:adjustRightInd w:val="0"/>
              <w:rPr>
                <w:szCs w:val="22"/>
                <w:lang w:val="sr-Latn-ME"/>
              </w:rPr>
            </w:pPr>
            <w:r>
              <w:rPr>
                <w:szCs w:val="22"/>
                <w:lang w:val="sr-Latn-ME"/>
              </w:rPr>
              <w:t>Suva usta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DF8507D"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A34C52C" w14:textId="77777777" w:rsidR="00095D7E" w:rsidRDefault="008740DD">
            <w:pPr>
              <w:autoSpaceDE w:val="0"/>
              <w:autoSpaceDN w:val="0"/>
              <w:adjustRightInd w:val="0"/>
              <w:rPr>
                <w:szCs w:val="22"/>
                <w:lang w:val="sr-Latn-ME"/>
              </w:rPr>
            </w:pPr>
            <w:r>
              <w:rPr>
                <w:szCs w:val="22"/>
                <w:lang w:val="sr-Latn-ME"/>
              </w:rPr>
              <w:t>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757CE2D3" w14:textId="77777777" w:rsidR="00095D7E" w:rsidRDefault="008740DD">
            <w:pPr>
              <w:autoSpaceDE w:val="0"/>
              <w:autoSpaceDN w:val="0"/>
              <w:adjustRightInd w:val="0"/>
              <w:rPr>
                <w:szCs w:val="22"/>
                <w:lang w:val="sr-Latn-ME"/>
              </w:rPr>
            </w:pPr>
            <w:r>
              <w:rPr>
                <w:szCs w:val="22"/>
                <w:lang w:val="sr-Latn-ME"/>
              </w:rPr>
              <w:t>-</w:t>
            </w:r>
          </w:p>
        </w:tc>
      </w:tr>
      <w:tr w:rsidR="00095D7E" w14:paraId="5AD15A74"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2B0BEC4E"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03753B04" w14:textId="77777777" w:rsidR="00095D7E" w:rsidRDefault="008740DD">
            <w:pPr>
              <w:autoSpaceDE w:val="0"/>
              <w:autoSpaceDN w:val="0"/>
              <w:adjustRightInd w:val="0"/>
              <w:rPr>
                <w:szCs w:val="22"/>
                <w:lang w:val="sr-Latn-ME"/>
              </w:rPr>
            </w:pPr>
            <w:r>
              <w:rPr>
                <w:szCs w:val="22"/>
                <w:lang w:val="sr-Latn-ME"/>
              </w:rPr>
              <w:t>Pankreatitis</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365B14A"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F4F3D80"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0DF71445" w14:textId="77777777" w:rsidR="00095D7E" w:rsidRDefault="008740DD">
            <w:pPr>
              <w:autoSpaceDE w:val="0"/>
              <w:autoSpaceDN w:val="0"/>
              <w:adjustRightInd w:val="0"/>
              <w:rPr>
                <w:szCs w:val="22"/>
                <w:lang w:val="sr-Latn-ME"/>
              </w:rPr>
            </w:pPr>
            <w:r>
              <w:rPr>
                <w:szCs w:val="22"/>
                <w:lang w:val="sr-Latn-ME"/>
              </w:rPr>
              <w:t>Rijetko</w:t>
            </w:r>
          </w:p>
        </w:tc>
      </w:tr>
      <w:tr w:rsidR="00095D7E" w14:paraId="0C784625" w14:textId="77777777">
        <w:tc>
          <w:tcPr>
            <w:tcW w:w="956" w:type="pct"/>
            <w:vMerge w:val="restart"/>
            <w:tcBorders>
              <w:top w:val="threeDEmboss" w:sz="6" w:space="0" w:color="auto"/>
              <w:left w:val="threeDEmboss" w:sz="6" w:space="0" w:color="auto"/>
              <w:right w:val="threeDEmboss" w:sz="6" w:space="0" w:color="auto"/>
            </w:tcBorders>
            <w:vAlign w:val="center"/>
          </w:tcPr>
          <w:p w14:paraId="2C88079B" w14:textId="77777777" w:rsidR="00095D7E" w:rsidRDefault="008740DD">
            <w:pPr>
              <w:autoSpaceDE w:val="0"/>
              <w:autoSpaceDN w:val="0"/>
              <w:adjustRightInd w:val="0"/>
              <w:rPr>
                <w:b/>
                <w:szCs w:val="22"/>
                <w:lang w:val="sr-Latn-ME"/>
              </w:rPr>
            </w:pPr>
            <w:r>
              <w:rPr>
                <w:b/>
                <w:szCs w:val="22"/>
                <w:lang w:val="sr-Latn-ME"/>
              </w:rPr>
              <w:t xml:space="preserve">Hepatobilijarni poremećaji </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9989B9F" w14:textId="77777777" w:rsidR="00095D7E" w:rsidRDefault="008740DD">
            <w:pPr>
              <w:autoSpaceDE w:val="0"/>
              <w:autoSpaceDN w:val="0"/>
              <w:adjustRightInd w:val="0"/>
              <w:rPr>
                <w:szCs w:val="22"/>
                <w:lang w:val="sr-Latn-ME"/>
              </w:rPr>
            </w:pPr>
            <w:r>
              <w:rPr>
                <w:szCs w:val="22"/>
                <w:lang w:val="sr-Latn-ME"/>
              </w:rPr>
              <w:t>Hepatitis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E972C8D"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8951EED"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4BD02DC2" w14:textId="77777777" w:rsidR="00095D7E" w:rsidRDefault="008740DD">
            <w:pPr>
              <w:autoSpaceDE w:val="0"/>
              <w:autoSpaceDN w:val="0"/>
              <w:adjustRightInd w:val="0"/>
              <w:rPr>
                <w:szCs w:val="22"/>
                <w:lang w:val="sr-Latn-ME"/>
              </w:rPr>
            </w:pPr>
            <w:r>
              <w:rPr>
                <w:szCs w:val="22"/>
                <w:lang w:val="sr-Latn-ME"/>
              </w:rPr>
              <w:t>Veoma rijetko</w:t>
            </w:r>
          </w:p>
        </w:tc>
      </w:tr>
      <w:tr w:rsidR="00095D7E" w14:paraId="632348BE" w14:textId="77777777">
        <w:tc>
          <w:tcPr>
            <w:tcW w:w="956" w:type="pct"/>
            <w:vMerge/>
            <w:tcBorders>
              <w:left w:val="threeDEmboss" w:sz="6" w:space="0" w:color="auto"/>
              <w:right w:val="threeDEmboss" w:sz="6" w:space="0" w:color="auto"/>
            </w:tcBorders>
            <w:vAlign w:val="center"/>
          </w:tcPr>
          <w:p w14:paraId="7D27A4AC"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4E55344" w14:textId="77777777" w:rsidR="00095D7E" w:rsidRDefault="008740DD">
            <w:pPr>
              <w:autoSpaceDE w:val="0"/>
              <w:autoSpaceDN w:val="0"/>
              <w:adjustRightInd w:val="0"/>
              <w:rPr>
                <w:szCs w:val="22"/>
                <w:lang w:val="sr-Latn-ME"/>
              </w:rPr>
            </w:pPr>
            <w:r>
              <w:rPr>
                <w:szCs w:val="22"/>
                <w:lang w:val="sr-Latn-ME"/>
              </w:rPr>
              <w:t>Abnormalna funkcija jetre</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CB8506A"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5F1BDF5"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06115CD7" w14:textId="77777777" w:rsidR="00095D7E" w:rsidRDefault="00095D7E">
            <w:pPr>
              <w:autoSpaceDE w:val="0"/>
              <w:autoSpaceDN w:val="0"/>
              <w:adjustRightInd w:val="0"/>
              <w:rPr>
                <w:szCs w:val="22"/>
                <w:lang w:val="sr-Latn-ME"/>
              </w:rPr>
            </w:pPr>
          </w:p>
        </w:tc>
      </w:tr>
      <w:tr w:rsidR="00095D7E" w14:paraId="1BCC12AE" w14:textId="77777777">
        <w:tc>
          <w:tcPr>
            <w:tcW w:w="956" w:type="pct"/>
            <w:vMerge/>
            <w:tcBorders>
              <w:left w:val="threeDEmboss" w:sz="6" w:space="0" w:color="auto"/>
              <w:bottom w:val="threeDEmboss" w:sz="6" w:space="0" w:color="auto"/>
              <w:right w:val="threeDEmboss" w:sz="6" w:space="0" w:color="auto"/>
            </w:tcBorders>
            <w:vAlign w:val="center"/>
          </w:tcPr>
          <w:p w14:paraId="5BAA9A68"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AF26B83" w14:textId="77777777" w:rsidR="00095D7E" w:rsidRDefault="008740DD">
            <w:pPr>
              <w:autoSpaceDE w:val="0"/>
              <w:autoSpaceDN w:val="0"/>
              <w:adjustRightInd w:val="0"/>
              <w:rPr>
                <w:szCs w:val="22"/>
                <w:lang w:val="sr-Latn-ME"/>
              </w:rPr>
            </w:pPr>
            <w:r>
              <w:rPr>
                <w:szCs w:val="22"/>
                <w:lang w:val="sr-Latn-ME"/>
              </w:rPr>
              <w:t>Žutica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113515E"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D252F48"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7693B678" w14:textId="77777777" w:rsidR="00095D7E" w:rsidRDefault="008740DD">
            <w:pPr>
              <w:autoSpaceDE w:val="0"/>
              <w:autoSpaceDN w:val="0"/>
              <w:adjustRightInd w:val="0"/>
              <w:rPr>
                <w:szCs w:val="22"/>
                <w:lang w:val="sr-Latn-ME"/>
              </w:rPr>
            </w:pPr>
            <w:r>
              <w:rPr>
                <w:szCs w:val="22"/>
                <w:lang w:val="sr-Latn-ME"/>
              </w:rPr>
              <w:t>Veoma rijetko</w:t>
            </w:r>
          </w:p>
        </w:tc>
      </w:tr>
      <w:tr w:rsidR="00095D7E" w14:paraId="089E5EA5" w14:textId="77777777">
        <w:tc>
          <w:tcPr>
            <w:tcW w:w="956" w:type="pct"/>
            <w:vMerge w:val="restart"/>
            <w:tcBorders>
              <w:top w:val="threeDEmboss" w:sz="6" w:space="0" w:color="auto"/>
              <w:left w:val="threeDEmboss" w:sz="6" w:space="0" w:color="auto"/>
              <w:right w:val="threeDEmboss" w:sz="6" w:space="0" w:color="auto"/>
            </w:tcBorders>
            <w:vAlign w:val="center"/>
          </w:tcPr>
          <w:p w14:paraId="7EF56510" w14:textId="77777777" w:rsidR="00095D7E" w:rsidRDefault="008740DD">
            <w:pPr>
              <w:autoSpaceDE w:val="0"/>
              <w:autoSpaceDN w:val="0"/>
              <w:adjustRightInd w:val="0"/>
              <w:rPr>
                <w:b/>
                <w:szCs w:val="22"/>
                <w:lang w:val="sr-Latn-ME"/>
              </w:rPr>
            </w:pPr>
            <w:r>
              <w:rPr>
                <w:b/>
                <w:szCs w:val="22"/>
                <w:lang w:val="sr-Latn-ME"/>
              </w:rPr>
              <w:t>Poremećaji kože i potkožnog tkiva</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7331E6F" w14:textId="77777777" w:rsidR="00095D7E" w:rsidRDefault="008740DD">
            <w:pPr>
              <w:autoSpaceDE w:val="0"/>
              <w:autoSpaceDN w:val="0"/>
              <w:adjustRightInd w:val="0"/>
              <w:rPr>
                <w:szCs w:val="22"/>
                <w:lang w:val="sr-Latn-ME"/>
              </w:rPr>
            </w:pPr>
            <w:r>
              <w:rPr>
                <w:szCs w:val="22"/>
                <w:lang w:val="sr-Latn-ME"/>
              </w:rPr>
              <w:t>Svrab</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F235978"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A2C45EF"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4F83A6AF" w14:textId="77777777" w:rsidR="00095D7E" w:rsidRDefault="008740DD">
            <w:pPr>
              <w:autoSpaceDE w:val="0"/>
              <w:autoSpaceDN w:val="0"/>
              <w:adjustRightInd w:val="0"/>
              <w:rPr>
                <w:szCs w:val="22"/>
                <w:lang w:val="sr-Latn-ME"/>
              </w:rPr>
            </w:pPr>
            <w:r>
              <w:rPr>
                <w:szCs w:val="22"/>
                <w:lang w:val="sr-Latn-ME"/>
              </w:rPr>
              <w:t>Povremeno</w:t>
            </w:r>
          </w:p>
        </w:tc>
      </w:tr>
      <w:tr w:rsidR="00095D7E" w14:paraId="7C82E5E1" w14:textId="77777777">
        <w:tc>
          <w:tcPr>
            <w:tcW w:w="956" w:type="pct"/>
            <w:vMerge/>
            <w:tcBorders>
              <w:left w:val="threeDEmboss" w:sz="6" w:space="0" w:color="auto"/>
              <w:right w:val="threeDEmboss" w:sz="6" w:space="0" w:color="auto"/>
            </w:tcBorders>
            <w:vAlign w:val="center"/>
          </w:tcPr>
          <w:p w14:paraId="3EA195F7"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802FD25" w14:textId="77777777" w:rsidR="00095D7E" w:rsidRDefault="008740DD">
            <w:pPr>
              <w:autoSpaceDE w:val="0"/>
              <w:autoSpaceDN w:val="0"/>
              <w:adjustRightInd w:val="0"/>
              <w:rPr>
                <w:szCs w:val="22"/>
                <w:lang w:val="sr-Latn-ME"/>
              </w:rPr>
            </w:pPr>
            <w:r>
              <w:rPr>
                <w:szCs w:val="22"/>
                <w:lang w:val="sr-Latn-ME"/>
              </w:rPr>
              <w:t>Osip</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5B65B2C"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FD45B96"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50CA5099" w14:textId="77777777" w:rsidR="00095D7E" w:rsidRDefault="008740DD">
            <w:pPr>
              <w:autoSpaceDE w:val="0"/>
              <w:autoSpaceDN w:val="0"/>
              <w:adjustRightInd w:val="0"/>
              <w:rPr>
                <w:szCs w:val="22"/>
                <w:lang w:val="sr-Latn-ME"/>
              </w:rPr>
            </w:pPr>
            <w:r>
              <w:rPr>
                <w:szCs w:val="22"/>
                <w:lang w:val="sr-Latn-ME"/>
              </w:rPr>
              <w:t>Povremeno</w:t>
            </w:r>
          </w:p>
        </w:tc>
      </w:tr>
      <w:tr w:rsidR="00095D7E" w14:paraId="700386F8" w14:textId="77777777">
        <w:tc>
          <w:tcPr>
            <w:tcW w:w="956" w:type="pct"/>
            <w:vMerge/>
            <w:tcBorders>
              <w:left w:val="threeDEmboss" w:sz="6" w:space="0" w:color="auto"/>
              <w:right w:val="threeDEmboss" w:sz="6" w:space="0" w:color="auto"/>
            </w:tcBorders>
            <w:vAlign w:val="center"/>
          </w:tcPr>
          <w:p w14:paraId="44B9E2F2"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A4441A5" w14:textId="77777777" w:rsidR="00095D7E" w:rsidRDefault="008740DD">
            <w:pPr>
              <w:autoSpaceDE w:val="0"/>
              <w:autoSpaceDN w:val="0"/>
              <w:adjustRightInd w:val="0"/>
              <w:rPr>
                <w:szCs w:val="22"/>
                <w:lang w:val="sr-Latn-ME"/>
              </w:rPr>
            </w:pPr>
            <w:r>
              <w:rPr>
                <w:szCs w:val="22"/>
                <w:lang w:val="sr-Latn-ME"/>
              </w:rPr>
              <w:t>Makulo-papularni osip</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79727B8"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CDB69FB" w14:textId="77777777" w:rsidR="00095D7E" w:rsidRDefault="008740DD">
            <w:pPr>
              <w:autoSpaceDE w:val="0"/>
              <w:autoSpaceDN w:val="0"/>
              <w:adjustRightInd w:val="0"/>
              <w:rPr>
                <w:szCs w:val="22"/>
                <w:lang w:val="sr-Latn-ME"/>
              </w:rPr>
            </w:pPr>
            <w:r>
              <w:rPr>
                <w:szCs w:val="22"/>
                <w:lang w:val="sr-Latn-ME"/>
              </w:rPr>
              <w:t>Često</w:t>
            </w:r>
          </w:p>
        </w:tc>
        <w:tc>
          <w:tcPr>
            <w:tcW w:w="696" w:type="pct"/>
            <w:tcBorders>
              <w:top w:val="threeDEmboss" w:sz="6" w:space="0" w:color="auto"/>
              <w:left w:val="threeDEmboss" w:sz="6" w:space="0" w:color="auto"/>
              <w:bottom w:val="threeDEmboss" w:sz="6" w:space="0" w:color="auto"/>
              <w:right w:val="threeDEmboss" w:sz="6" w:space="0" w:color="auto"/>
            </w:tcBorders>
          </w:tcPr>
          <w:p w14:paraId="287D7523" w14:textId="77777777" w:rsidR="00095D7E" w:rsidRDefault="008740DD">
            <w:pPr>
              <w:autoSpaceDE w:val="0"/>
              <w:autoSpaceDN w:val="0"/>
              <w:adjustRightInd w:val="0"/>
              <w:rPr>
                <w:szCs w:val="22"/>
                <w:lang w:val="sr-Latn-ME"/>
              </w:rPr>
            </w:pPr>
            <w:r>
              <w:rPr>
                <w:szCs w:val="22"/>
                <w:lang w:val="sr-Latn-ME"/>
              </w:rPr>
              <w:t>-</w:t>
            </w:r>
          </w:p>
        </w:tc>
      </w:tr>
      <w:tr w:rsidR="00095D7E" w14:paraId="256AC354" w14:textId="77777777">
        <w:tc>
          <w:tcPr>
            <w:tcW w:w="956" w:type="pct"/>
            <w:vMerge/>
            <w:tcBorders>
              <w:left w:val="threeDEmboss" w:sz="6" w:space="0" w:color="auto"/>
              <w:right w:val="threeDEmboss" w:sz="6" w:space="0" w:color="auto"/>
            </w:tcBorders>
            <w:vAlign w:val="center"/>
          </w:tcPr>
          <w:p w14:paraId="525DCE54"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3C15EA1" w14:textId="77777777" w:rsidR="00095D7E" w:rsidRDefault="008740DD">
            <w:pPr>
              <w:autoSpaceDE w:val="0"/>
              <w:autoSpaceDN w:val="0"/>
              <w:adjustRightInd w:val="0"/>
              <w:rPr>
                <w:szCs w:val="22"/>
                <w:lang w:val="sr-Latn-ME"/>
              </w:rPr>
            </w:pPr>
            <w:r>
              <w:rPr>
                <w:szCs w:val="22"/>
                <w:lang w:val="sr-Latn-ME"/>
              </w:rPr>
              <w:t>Urtikarija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C5838D4"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F88FE0C"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0586F4D2" w14:textId="77777777" w:rsidR="00095D7E" w:rsidRDefault="008740DD">
            <w:pPr>
              <w:autoSpaceDE w:val="0"/>
              <w:autoSpaceDN w:val="0"/>
              <w:adjustRightInd w:val="0"/>
              <w:rPr>
                <w:szCs w:val="22"/>
                <w:lang w:val="sr-Latn-ME"/>
              </w:rPr>
            </w:pPr>
            <w:r>
              <w:rPr>
                <w:szCs w:val="22"/>
                <w:lang w:val="sr-Latn-ME"/>
              </w:rPr>
              <w:t>Povremeno</w:t>
            </w:r>
          </w:p>
        </w:tc>
      </w:tr>
      <w:tr w:rsidR="00095D7E" w14:paraId="6D6FF8BE" w14:textId="77777777">
        <w:tc>
          <w:tcPr>
            <w:tcW w:w="956" w:type="pct"/>
            <w:vMerge/>
            <w:tcBorders>
              <w:left w:val="threeDEmboss" w:sz="6" w:space="0" w:color="auto"/>
              <w:right w:val="threeDEmboss" w:sz="6" w:space="0" w:color="auto"/>
            </w:tcBorders>
            <w:vAlign w:val="center"/>
          </w:tcPr>
          <w:p w14:paraId="0BD43959"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7A8B7EA" w14:textId="77777777" w:rsidR="00095D7E" w:rsidRDefault="008740DD">
            <w:pPr>
              <w:autoSpaceDE w:val="0"/>
              <w:autoSpaceDN w:val="0"/>
              <w:adjustRightInd w:val="0"/>
              <w:rPr>
                <w:szCs w:val="22"/>
                <w:lang w:val="sr-Latn-ME"/>
              </w:rPr>
            </w:pPr>
            <w:r>
              <w:rPr>
                <w:szCs w:val="22"/>
                <w:lang w:val="sr-Latn-ME"/>
              </w:rPr>
              <w:t>Angioedem (vidjeti dio 4.4)</w:t>
            </w:r>
          </w:p>
        </w:tc>
        <w:tc>
          <w:tcPr>
            <w:tcW w:w="638" w:type="pct"/>
            <w:tcBorders>
              <w:top w:val="threeDEmboss" w:sz="6" w:space="0" w:color="auto"/>
              <w:left w:val="threeDEmboss" w:sz="6" w:space="0" w:color="auto"/>
              <w:bottom w:val="threeDEmboss" w:sz="6" w:space="0" w:color="auto"/>
              <w:right w:val="threeDEmboss" w:sz="6" w:space="0" w:color="auto"/>
            </w:tcBorders>
          </w:tcPr>
          <w:p w14:paraId="4EA468C5"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4542277"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7ABADAFC" w14:textId="77777777" w:rsidR="00095D7E" w:rsidRDefault="008740DD">
            <w:pPr>
              <w:autoSpaceDE w:val="0"/>
              <w:autoSpaceDN w:val="0"/>
              <w:adjustRightInd w:val="0"/>
              <w:rPr>
                <w:szCs w:val="22"/>
                <w:lang w:val="sr-Latn-ME"/>
              </w:rPr>
            </w:pPr>
            <w:r>
              <w:rPr>
                <w:szCs w:val="22"/>
                <w:lang w:val="sr-Latn-ME"/>
              </w:rPr>
              <w:t>-</w:t>
            </w:r>
          </w:p>
        </w:tc>
      </w:tr>
      <w:tr w:rsidR="00095D7E" w14:paraId="0DC53866" w14:textId="77777777">
        <w:tc>
          <w:tcPr>
            <w:tcW w:w="956" w:type="pct"/>
            <w:vMerge/>
            <w:tcBorders>
              <w:left w:val="threeDEmboss" w:sz="6" w:space="0" w:color="auto"/>
              <w:right w:val="threeDEmboss" w:sz="6" w:space="0" w:color="auto"/>
            </w:tcBorders>
            <w:vAlign w:val="center"/>
          </w:tcPr>
          <w:p w14:paraId="7BA69352"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06EAC32" w14:textId="77777777" w:rsidR="00095D7E" w:rsidRDefault="008740DD">
            <w:pPr>
              <w:autoSpaceDE w:val="0"/>
              <w:autoSpaceDN w:val="0"/>
              <w:adjustRightInd w:val="0"/>
              <w:rPr>
                <w:szCs w:val="22"/>
                <w:lang w:val="sr-Latn-ME"/>
              </w:rPr>
            </w:pPr>
            <w:r>
              <w:rPr>
                <w:szCs w:val="22"/>
                <w:lang w:val="sr-Latn-ME"/>
              </w:rPr>
              <w:t>Purpura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0D0DA4B"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753712D" w14:textId="77777777" w:rsidR="00095D7E" w:rsidRDefault="008740DD">
            <w:pPr>
              <w:autoSpaceDE w:val="0"/>
              <w:autoSpaceDN w:val="0"/>
              <w:adjustRightInd w:val="0"/>
              <w:rPr>
                <w:szCs w:val="22"/>
                <w:lang w:val="sr-Latn-ME"/>
              </w:rPr>
            </w:pPr>
            <w:r>
              <w:rPr>
                <w:szCs w:val="22"/>
                <w:lang w:val="sr-Latn-ME"/>
              </w:rPr>
              <w:t>Povremeno</w:t>
            </w:r>
          </w:p>
        </w:tc>
        <w:tc>
          <w:tcPr>
            <w:tcW w:w="696" w:type="pct"/>
            <w:tcBorders>
              <w:top w:val="threeDEmboss" w:sz="6" w:space="0" w:color="auto"/>
              <w:left w:val="threeDEmboss" w:sz="6" w:space="0" w:color="auto"/>
              <w:bottom w:val="threeDEmboss" w:sz="6" w:space="0" w:color="auto"/>
              <w:right w:val="threeDEmboss" w:sz="6" w:space="0" w:color="auto"/>
            </w:tcBorders>
          </w:tcPr>
          <w:p w14:paraId="77297D9F" w14:textId="77777777" w:rsidR="00095D7E" w:rsidRDefault="008740DD">
            <w:pPr>
              <w:autoSpaceDE w:val="0"/>
              <w:autoSpaceDN w:val="0"/>
              <w:adjustRightInd w:val="0"/>
              <w:rPr>
                <w:szCs w:val="22"/>
                <w:lang w:val="sr-Latn-ME"/>
              </w:rPr>
            </w:pPr>
            <w:r>
              <w:rPr>
                <w:szCs w:val="22"/>
                <w:lang w:val="sr-Latn-ME"/>
              </w:rPr>
              <w:t>-</w:t>
            </w:r>
          </w:p>
        </w:tc>
      </w:tr>
      <w:tr w:rsidR="00095D7E" w14:paraId="02CC68D6" w14:textId="77777777">
        <w:tc>
          <w:tcPr>
            <w:tcW w:w="956" w:type="pct"/>
            <w:vMerge/>
            <w:tcBorders>
              <w:left w:val="threeDEmboss" w:sz="6" w:space="0" w:color="auto"/>
              <w:right w:val="threeDEmboss" w:sz="6" w:space="0" w:color="auto"/>
            </w:tcBorders>
            <w:vAlign w:val="center"/>
          </w:tcPr>
          <w:p w14:paraId="62114970"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C3B4A38" w14:textId="77777777" w:rsidR="00095D7E" w:rsidRDefault="008740DD">
            <w:pPr>
              <w:autoSpaceDE w:val="0"/>
              <w:autoSpaceDN w:val="0"/>
              <w:adjustRightInd w:val="0"/>
              <w:rPr>
                <w:szCs w:val="22"/>
                <w:lang w:val="sr-Latn-ME"/>
              </w:rPr>
            </w:pPr>
            <w:r>
              <w:rPr>
                <w:szCs w:val="22"/>
                <w:lang w:val="sr-Latn-ME"/>
              </w:rPr>
              <w:t>Hiperhidroza</w:t>
            </w:r>
          </w:p>
        </w:tc>
        <w:tc>
          <w:tcPr>
            <w:tcW w:w="638" w:type="pct"/>
            <w:tcBorders>
              <w:top w:val="threeDEmboss" w:sz="6" w:space="0" w:color="auto"/>
              <w:left w:val="threeDEmboss" w:sz="6" w:space="0" w:color="auto"/>
              <w:bottom w:val="threeDEmboss" w:sz="6" w:space="0" w:color="auto"/>
              <w:right w:val="threeDEmboss" w:sz="6" w:space="0" w:color="auto"/>
            </w:tcBorders>
          </w:tcPr>
          <w:p w14:paraId="199B1BD7"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E87C43F"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6980871E" w14:textId="77777777" w:rsidR="00095D7E" w:rsidRDefault="008740DD">
            <w:pPr>
              <w:autoSpaceDE w:val="0"/>
              <w:autoSpaceDN w:val="0"/>
              <w:adjustRightInd w:val="0"/>
              <w:rPr>
                <w:szCs w:val="22"/>
                <w:lang w:val="sr-Latn-ME"/>
              </w:rPr>
            </w:pPr>
            <w:r>
              <w:rPr>
                <w:szCs w:val="22"/>
                <w:lang w:val="sr-Latn-ME"/>
              </w:rPr>
              <w:t>-</w:t>
            </w:r>
          </w:p>
        </w:tc>
      </w:tr>
      <w:tr w:rsidR="00095D7E" w14:paraId="160AA576" w14:textId="77777777">
        <w:tc>
          <w:tcPr>
            <w:tcW w:w="956" w:type="pct"/>
            <w:vMerge/>
            <w:tcBorders>
              <w:left w:val="threeDEmboss" w:sz="6" w:space="0" w:color="auto"/>
              <w:right w:val="threeDEmboss" w:sz="6" w:space="0" w:color="auto"/>
            </w:tcBorders>
            <w:vAlign w:val="center"/>
          </w:tcPr>
          <w:p w14:paraId="76DE9289"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3A885D6" w14:textId="77777777" w:rsidR="00095D7E" w:rsidRDefault="008740DD">
            <w:pPr>
              <w:autoSpaceDE w:val="0"/>
              <w:autoSpaceDN w:val="0"/>
              <w:adjustRightInd w:val="0"/>
              <w:rPr>
                <w:szCs w:val="22"/>
                <w:lang w:val="sr-Latn-ME"/>
              </w:rPr>
            </w:pPr>
            <w:r>
              <w:rPr>
                <w:szCs w:val="22"/>
                <w:lang w:val="sr-Latn-ME"/>
              </w:rPr>
              <w:t>Fotosenzitivne reakcije</w:t>
            </w:r>
          </w:p>
        </w:tc>
        <w:tc>
          <w:tcPr>
            <w:tcW w:w="638" w:type="pct"/>
            <w:tcBorders>
              <w:top w:val="threeDEmboss" w:sz="6" w:space="0" w:color="auto"/>
              <w:left w:val="threeDEmboss" w:sz="6" w:space="0" w:color="auto"/>
              <w:bottom w:val="threeDEmboss" w:sz="6" w:space="0" w:color="auto"/>
              <w:right w:val="threeDEmboss" w:sz="6" w:space="0" w:color="auto"/>
            </w:tcBorders>
          </w:tcPr>
          <w:p w14:paraId="03233B16"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799E7462"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4EE3D90D" w14:textId="77777777" w:rsidR="00095D7E" w:rsidRDefault="008740DD">
            <w:pPr>
              <w:autoSpaceDE w:val="0"/>
              <w:autoSpaceDN w:val="0"/>
              <w:adjustRightInd w:val="0"/>
              <w:rPr>
                <w:szCs w:val="22"/>
                <w:lang w:val="sr-Latn-ME"/>
              </w:rPr>
            </w:pPr>
            <w:r>
              <w:rPr>
                <w:szCs w:val="22"/>
                <w:lang w:val="sr-Latn-ME"/>
              </w:rPr>
              <w:t>-</w:t>
            </w:r>
          </w:p>
        </w:tc>
      </w:tr>
      <w:tr w:rsidR="00095D7E" w14:paraId="2628D757" w14:textId="77777777">
        <w:tc>
          <w:tcPr>
            <w:tcW w:w="956" w:type="pct"/>
            <w:vMerge/>
            <w:tcBorders>
              <w:left w:val="threeDEmboss" w:sz="6" w:space="0" w:color="auto"/>
              <w:right w:val="threeDEmboss" w:sz="6" w:space="0" w:color="auto"/>
            </w:tcBorders>
            <w:vAlign w:val="center"/>
          </w:tcPr>
          <w:p w14:paraId="317A5C43"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E323940" w14:textId="77777777" w:rsidR="00095D7E" w:rsidRDefault="008740DD">
            <w:pPr>
              <w:autoSpaceDE w:val="0"/>
              <w:autoSpaceDN w:val="0"/>
              <w:adjustRightInd w:val="0"/>
              <w:rPr>
                <w:szCs w:val="22"/>
                <w:lang w:val="sr-Latn-ME"/>
              </w:rPr>
            </w:pPr>
            <w:r>
              <w:rPr>
                <w:szCs w:val="22"/>
                <w:lang w:val="sr-Latn-ME"/>
              </w:rPr>
              <w:t>Pemfigoid</w:t>
            </w:r>
          </w:p>
        </w:tc>
        <w:tc>
          <w:tcPr>
            <w:tcW w:w="638" w:type="pct"/>
            <w:tcBorders>
              <w:top w:val="threeDEmboss" w:sz="6" w:space="0" w:color="auto"/>
              <w:left w:val="threeDEmboss" w:sz="6" w:space="0" w:color="auto"/>
              <w:bottom w:val="threeDEmboss" w:sz="6" w:space="0" w:color="auto"/>
              <w:right w:val="threeDEmboss" w:sz="6" w:space="0" w:color="auto"/>
            </w:tcBorders>
          </w:tcPr>
          <w:p w14:paraId="27CB2DF5"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8AEE473"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287EDE74" w14:textId="77777777" w:rsidR="00095D7E" w:rsidRDefault="008740DD">
            <w:pPr>
              <w:autoSpaceDE w:val="0"/>
              <w:autoSpaceDN w:val="0"/>
              <w:adjustRightInd w:val="0"/>
              <w:rPr>
                <w:szCs w:val="22"/>
                <w:lang w:val="sr-Latn-ME"/>
              </w:rPr>
            </w:pPr>
            <w:r>
              <w:rPr>
                <w:szCs w:val="22"/>
                <w:lang w:val="sr-Latn-ME"/>
              </w:rPr>
              <w:t>-</w:t>
            </w:r>
          </w:p>
        </w:tc>
      </w:tr>
      <w:tr w:rsidR="00095D7E" w14:paraId="435173D3" w14:textId="77777777">
        <w:tc>
          <w:tcPr>
            <w:tcW w:w="956" w:type="pct"/>
            <w:vMerge/>
            <w:tcBorders>
              <w:left w:val="threeDEmboss" w:sz="6" w:space="0" w:color="auto"/>
              <w:right w:val="threeDEmboss" w:sz="6" w:space="0" w:color="auto"/>
            </w:tcBorders>
            <w:vAlign w:val="center"/>
          </w:tcPr>
          <w:p w14:paraId="07D9FE39"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0FA8D79" w14:textId="77777777" w:rsidR="00095D7E" w:rsidRDefault="008740DD">
            <w:pPr>
              <w:autoSpaceDE w:val="0"/>
              <w:autoSpaceDN w:val="0"/>
              <w:adjustRightInd w:val="0"/>
              <w:rPr>
                <w:szCs w:val="22"/>
                <w:lang w:val="sr-Latn-ME"/>
              </w:rPr>
            </w:pPr>
            <w:r>
              <w:rPr>
                <w:szCs w:val="22"/>
                <w:lang w:val="sr-Latn-ME"/>
              </w:rPr>
              <w:t>Pogoršanje psorijaze</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371240B6" w14:textId="77777777" w:rsidR="00095D7E" w:rsidRDefault="008740DD">
            <w:pPr>
              <w:autoSpaceDE w:val="0"/>
              <w:autoSpaceDN w:val="0"/>
              <w:adjustRightInd w:val="0"/>
              <w:rPr>
                <w:szCs w:val="22"/>
                <w:lang w:val="sr-Latn-ME"/>
              </w:rPr>
            </w:pPr>
            <w:r>
              <w:rPr>
                <w:szCs w:val="22"/>
                <w:lang w:val="sr-Latn-ME"/>
              </w:rPr>
              <w:t>Rijetko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2495338"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620A61A9" w14:textId="77777777" w:rsidR="00095D7E" w:rsidRDefault="008740DD">
            <w:pPr>
              <w:autoSpaceDE w:val="0"/>
              <w:autoSpaceDN w:val="0"/>
              <w:adjustRightInd w:val="0"/>
              <w:rPr>
                <w:szCs w:val="22"/>
                <w:lang w:val="sr-Latn-ME"/>
              </w:rPr>
            </w:pPr>
            <w:r>
              <w:rPr>
                <w:szCs w:val="22"/>
                <w:lang w:val="sr-Latn-ME"/>
              </w:rPr>
              <w:t>-</w:t>
            </w:r>
          </w:p>
        </w:tc>
      </w:tr>
      <w:tr w:rsidR="00095D7E" w14:paraId="70A33BDF" w14:textId="77777777">
        <w:tc>
          <w:tcPr>
            <w:tcW w:w="956" w:type="pct"/>
            <w:vMerge/>
            <w:tcBorders>
              <w:left w:val="threeDEmboss" w:sz="6" w:space="0" w:color="auto"/>
              <w:right w:val="threeDEmboss" w:sz="6" w:space="0" w:color="auto"/>
            </w:tcBorders>
            <w:vAlign w:val="center"/>
          </w:tcPr>
          <w:p w14:paraId="26D540EB"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E2833FD" w14:textId="77777777" w:rsidR="00095D7E" w:rsidRDefault="008740DD">
            <w:pPr>
              <w:autoSpaceDE w:val="0"/>
              <w:autoSpaceDN w:val="0"/>
              <w:adjustRightInd w:val="0"/>
              <w:rPr>
                <w:szCs w:val="22"/>
                <w:lang w:val="sr-Latn-ME"/>
              </w:rPr>
            </w:pPr>
            <w:r>
              <w:rPr>
                <w:szCs w:val="22"/>
                <w:lang w:val="sr-Latn-ME"/>
              </w:rPr>
              <w:t>Multiformni eritem</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75F48BA"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D75DCEA"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1DA8D294" w14:textId="77777777" w:rsidR="00095D7E" w:rsidRDefault="008740DD">
            <w:pPr>
              <w:autoSpaceDE w:val="0"/>
              <w:autoSpaceDN w:val="0"/>
              <w:adjustRightInd w:val="0"/>
              <w:rPr>
                <w:szCs w:val="22"/>
                <w:lang w:val="sr-Latn-ME"/>
              </w:rPr>
            </w:pPr>
            <w:r>
              <w:rPr>
                <w:szCs w:val="22"/>
                <w:lang w:val="sr-Latn-ME"/>
              </w:rPr>
              <w:t>-</w:t>
            </w:r>
          </w:p>
        </w:tc>
      </w:tr>
      <w:tr w:rsidR="00095D7E" w14:paraId="5A1C2376" w14:textId="77777777">
        <w:tc>
          <w:tcPr>
            <w:tcW w:w="956" w:type="pct"/>
            <w:vMerge/>
            <w:tcBorders>
              <w:left w:val="threeDEmboss" w:sz="6" w:space="0" w:color="auto"/>
              <w:right w:val="threeDEmboss" w:sz="6" w:space="0" w:color="auto"/>
            </w:tcBorders>
            <w:vAlign w:val="center"/>
          </w:tcPr>
          <w:p w14:paraId="413CDE7C"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7301A48" w14:textId="77777777" w:rsidR="00095D7E" w:rsidRDefault="008740DD">
            <w:pPr>
              <w:autoSpaceDE w:val="0"/>
              <w:autoSpaceDN w:val="0"/>
              <w:adjustRightInd w:val="0"/>
              <w:rPr>
                <w:szCs w:val="22"/>
                <w:lang w:val="sr-Latn-ME"/>
              </w:rPr>
            </w:pPr>
            <w:r>
              <w:rPr>
                <w:szCs w:val="22"/>
                <w:lang w:val="sr-Latn-ME"/>
              </w:rPr>
              <w:t>Toksična epidermalna nekroliza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B6D10D3"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22B523B"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62FE8AB5" w14:textId="77777777" w:rsidR="00095D7E" w:rsidRDefault="008740DD">
            <w:pPr>
              <w:autoSpaceDE w:val="0"/>
              <w:autoSpaceDN w:val="0"/>
              <w:adjustRightInd w:val="0"/>
              <w:rPr>
                <w:szCs w:val="22"/>
                <w:lang w:val="sr-Latn-ME"/>
              </w:rPr>
            </w:pPr>
            <w:r>
              <w:rPr>
                <w:szCs w:val="22"/>
                <w:lang w:val="sr-Latn-ME"/>
              </w:rPr>
              <w:t>-</w:t>
            </w:r>
          </w:p>
        </w:tc>
      </w:tr>
      <w:tr w:rsidR="00095D7E" w14:paraId="40780A4F" w14:textId="77777777">
        <w:tc>
          <w:tcPr>
            <w:tcW w:w="956" w:type="pct"/>
            <w:vMerge/>
            <w:tcBorders>
              <w:left w:val="threeDEmboss" w:sz="6" w:space="0" w:color="auto"/>
              <w:right w:val="threeDEmboss" w:sz="6" w:space="0" w:color="auto"/>
            </w:tcBorders>
            <w:vAlign w:val="center"/>
          </w:tcPr>
          <w:p w14:paraId="04893A51"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F8EDDBD" w14:textId="77777777" w:rsidR="00095D7E" w:rsidRDefault="008740DD">
            <w:pPr>
              <w:autoSpaceDE w:val="0"/>
              <w:autoSpaceDN w:val="0"/>
              <w:adjustRightInd w:val="0"/>
              <w:rPr>
                <w:szCs w:val="22"/>
                <w:lang w:val="sr-Latn-ME"/>
              </w:rPr>
            </w:pPr>
            <w:r>
              <w:rPr>
                <w:szCs w:val="22"/>
                <w:lang w:val="sr-Latn-ME"/>
              </w:rPr>
              <w:t>Stevens Johnson-ov sindrom</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6DD6ADC"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7595389"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78E691E6" w14:textId="77777777" w:rsidR="00095D7E" w:rsidRDefault="008740DD">
            <w:pPr>
              <w:autoSpaceDE w:val="0"/>
              <w:autoSpaceDN w:val="0"/>
              <w:adjustRightInd w:val="0"/>
              <w:rPr>
                <w:szCs w:val="22"/>
                <w:lang w:val="sr-Latn-ME"/>
              </w:rPr>
            </w:pPr>
            <w:r>
              <w:rPr>
                <w:szCs w:val="22"/>
                <w:lang w:val="sr-Latn-ME"/>
              </w:rPr>
              <w:t>Nepoznato</w:t>
            </w:r>
          </w:p>
        </w:tc>
      </w:tr>
      <w:tr w:rsidR="00095D7E" w14:paraId="1F65CE7C" w14:textId="77777777">
        <w:tc>
          <w:tcPr>
            <w:tcW w:w="956" w:type="pct"/>
            <w:vMerge/>
            <w:tcBorders>
              <w:left w:val="threeDEmboss" w:sz="6" w:space="0" w:color="auto"/>
              <w:bottom w:val="threeDEmboss" w:sz="6" w:space="0" w:color="auto"/>
              <w:right w:val="threeDEmboss" w:sz="6" w:space="0" w:color="auto"/>
            </w:tcBorders>
            <w:vAlign w:val="center"/>
          </w:tcPr>
          <w:p w14:paraId="583045F3"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tcPr>
          <w:p w14:paraId="4EF85F88" w14:textId="77777777" w:rsidR="00095D7E" w:rsidRDefault="008740DD">
            <w:pPr>
              <w:autoSpaceDE w:val="0"/>
              <w:autoSpaceDN w:val="0"/>
              <w:adjustRightInd w:val="0"/>
              <w:rPr>
                <w:szCs w:val="22"/>
                <w:highlight w:val="yellow"/>
                <w:lang w:val="sr-Latn-ME"/>
              </w:rPr>
            </w:pPr>
            <w:r>
              <w:rPr>
                <w:szCs w:val="22"/>
              </w:rPr>
              <w:t>Reakcija na lijek praćena eozinofilijom i sistemskim simptomima (DRESS)</w:t>
            </w:r>
          </w:p>
        </w:tc>
        <w:tc>
          <w:tcPr>
            <w:tcW w:w="638" w:type="pct"/>
            <w:tcBorders>
              <w:top w:val="threeDEmboss" w:sz="6" w:space="0" w:color="auto"/>
              <w:left w:val="threeDEmboss" w:sz="6" w:space="0" w:color="auto"/>
              <w:bottom w:val="threeDEmboss" w:sz="6" w:space="0" w:color="auto"/>
              <w:right w:val="threeDEmboss" w:sz="6" w:space="0" w:color="auto"/>
            </w:tcBorders>
          </w:tcPr>
          <w:p w14:paraId="2975BF98"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tcPr>
          <w:p w14:paraId="2544063C" w14:textId="77777777" w:rsidR="00095D7E" w:rsidRDefault="008740DD">
            <w:pPr>
              <w:autoSpaceDE w:val="0"/>
              <w:autoSpaceDN w:val="0"/>
              <w:adjustRightInd w:val="0"/>
              <w:rPr>
                <w:szCs w:val="22"/>
                <w:lang w:val="sr-Latn-ME"/>
              </w:rPr>
            </w:pPr>
            <w:r>
              <w:rPr>
                <w:szCs w:val="22"/>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3DAFE15F" w14:textId="77777777" w:rsidR="00095D7E" w:rsidRDefault="008740DD">
            <w:pPr>
              <w:autoSpaceDE w:val="0"/>
              <w:autoSpaceDN w:val="0"/>
              <w:adjustRightInd w:val="0"/>
              <w:rPr>
                <w:szCs w:val="22"/>
                <w:highlight w:val="yellow"/>
                <w:lang w:val="sr-Latn-ME"/>
              </w:rPr>
            </w:pPr>
            <w:r>
              <w:rPr>
                <w:szCs w:val="22"/>
              </w:rPr>
              <w:t>Nepoznato</w:t>
            </w:r>
          </w:p>
        </w:tc>
      </w:tr>
      <w:tr w:rsidR="00095D7E" w14:paraId="3DFB01FF" w14:textId="77777777">
        <w:tc>
          <w:tcPr>
            <w:tcW w:w="956" w:type="pct"/>
            <w:vMerge w:val="restart"/>
            <w:tcBorders>
              <w:top w:val="threeDEmboss" w:sz="6" w:space="0" w:color="auto"/>
              <w:left w:val="threeDEmboss" w:sz="6" w:space="0" w:color="auto"/>
              <w:right w:val="threeDEmboss" w:sz="6" w:space="0" w:color="auto"/>
            </w:tcBorders>
            <w:vAlign w:val="center"/>
          </w:tcPr>
          <w:p w14:paraId="1FAF1DC7" w14:textId="77777777" w:rsidR="00095D7E" w:rsidRDefault="008740DD">
            <w:pPr>
              <w:autoSpaceDE w:val="0"/>
              <w:autoSpaceDN w:val="0"/>
              <w:adjustRightInd w:val="0"/>
              <w:rPr>
                <w:b/>
                <w:szCs w:val="22"/>
                <w:lang w:val="sr-Latn-ME"/>
              </w:rPr>
            </w:pPr>
            <w:r>
              <w:rPr>
                <w:b/>
                <w:szCs w:val="22"/>
                <w:lang w:val="sr-Latn-ME"/>
              </w:rPr>
              <w:t>Poremećaji mišićno-koštanog sistema i vezivnog tkiva</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C160DA6" w14:textId="77777777" w:rsidR="00095D7E" w:rsidRDefault="008740DD">
            <w:pPr>
              <w:autoSpaceDE w:val="0"/>
              <w:autoSpaceDN w:val="0"/>
              <w:adjustRightInd w:val="0"/>
              <w:rPr>
                <w:szCs w:val="22"/>
                <w:lang w:val="sr-Latn-ME"/>
              </w:rPr>
            </w:pPr>
            <w:r>
              <w:rPr>
                <w:szCs w:val="22"/>
                <w:lang w:val="sr-Latn-ME"/>
              </w:rPr>
              <w:t>Mišićni spazam</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5164F2E"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3E86231"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550BBA68" w14:textId="77777777" w:rsidR="00095D7E" w:rsidRDefault="008740DD">
            <w:pPr>
              <w:autoSpaceDE w:val="0"/>
              <w:autoSpaceDN w:val="0"/>
              <w:adjustRightInd w:val="0"/>
              <w:rPr>
                <w:szCs w:val="22"/>
                <w:lang w:val="sr-Latn-ME"/>
              </w:rPr>
            </w:pPr>
            <w:r>
              <w:rPr>
                <w:szCs w:val="22"/>
                <w:lang w:val="sr-Latn-ME"/>
              </w:rPr>
              <w:t>-</w:t>
            </w:r>
          </w:p>
        </w:tc>
      </w:tr>
      <w:tr w:rsidR="00095D7E" w14:paraId="22D5C137" w14:textId="77777777">
        <w:tc>
          <w:tcPr>
            <w:tcW w:w="956" w:type="pct"/>
            <w:vMerge/>
            <w:tcBorders>
              <w:left w:val="threeDEmboss" w:sz="6" w:space="0" w:color="auto"/>
              <w:right w:val="threeDEmboss" w:sz="6" w:space="0" w:color="auto"/>
            </w:tcBorders>
            <w:vAlign w:val="center"/>
          </w:tcPr>
          <w:p w14:paraId="618861C9"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81C472B" w14:textId="77777777" w:rsidR="00095D7E" w:rsidRDefault="008740DD">
            <w:pPr>
              <w:rPr>
                <w:szCs w:val="22"/>
                <w:lang w:val="sr-Latn-ME" w:eastAsia="sr-Latn-RS"/>
              </w:rPr>
            </w:pPr>
            <w:r>
              <w:rPr>
                <w:szCs w:val="22"/>
                <w:lang w:val="sr-Latn-ME"/>
              </w:rPr>
              <w:t>Moguće pogoršanje postojećeg akutnog diseminovanog eritematoznog lupusa</w:t>
            </w:r>
          </w:p>
          <w:p w14:paraId="7FE30CB7" w14:textId="77777777" w:rsidR="00095D7E" w:rsidRDefault="00095D7E">
            <w:pPr>
              <w:autoSpaceDE w:val="0"/>
              <w:autoSpaceDN w:val="0"/>
              <w:adjustRightInd w:val="0"/>
              <w:rPr>
                <w:szCs w:val="22"/>
                <w:lang w:val="sr-Latn-ME"/>
              </w:rPr>
            </w:pP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46BCF5A"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76FE87BC"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1DAA218C" w14:textId="77777777" w:rsidR="00095D7E" w:rsidRDefault="008740DD">
            <w:pPr>
              <w:autoSpaceDE w:val="0"/>
              <w:autoSpaceDN w:val="0"/>
              <w:adjustRightInd w:val="0"/>
              <w:rPr>
                <w:szCs w:val="22"/>
                <w:lang w:val="sr-Latn-ME"/>
              </w:rPr>
            </w:pPr>
            <w:r>
              <w:rPr>
                <w:szCs w:val="22"/>
                <w:lang w:val="sr-Latn-ME"/>
              </w:rPr>
              <w:t>-</w:t>
            </w:r>
          </w:p>
        </w:tc>
      </w:tr>
      <w:tr w:rsidR="00095D7E" w14:paraId="208C20F3" w14:textId="77777777">
        <w:tc>
          <w:tcPr>
            <w:tcW w:w="956" w:type="pct"/>
            <w:vMerge/>
            <w:tcBorders>
              <w:left w:val="threeDEmboss" w:sz="6" w:space="0" w:color="auto"/>
              <w:right w:val="threeDEmboss" w:sz="6" w:space="0" w:color="auto"/>
            </w:tcBorders>
            <w:vAlign w:val="center"/>
          </w:tcPr>
          <w:p w14:paraId="7D622E26"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A915979" w14:textId="77777777" w:rsidR="00095D7E" w:rsidRDefault="008740DD">
            <w:pPr>
              <w:autoSpaceDE w:val="0"/>
              <w:autoSpaceDN w:val="0"/>
              <w:adjustRightInd w:val="0"/>
              <w:rPr>
                <w:szCs w:val="22"/>
                <w:lang w:val="sr-Latn-ME"/>
              </w:rPr>
            </w:pPr>
            <w:r>
              <w:rPr>
                <w:szCs w:val="22"/>
                <w:lang w:val="sr-Latn-ME"/>
              </w:rPr>
              <w:t>Artralgija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5223F8F"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DED5187"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545D7631" w14:textId="77777777" w:rsidR="00095D7E" w:rsidRDefault="008740DD">
            <w:pPr>
              <w:autoSpaceDE w:val="0"/>
              <w:autoSpaceDN w:val="0"/>
              <w:adjustRightInd w:val="0"/>
              <w:rPr>
                <w:szCs w:val="22"/>
                <w:lang w:val="sr-Latn-ME"/>
              </w:rPr>
            </w:pPr>
            <w:r>
              <w:rPr>
                <w:szCs w:val="22"/>
                <w:lang w:val="sr-Latn-ME"/>
              </w:rPr>
              <w:t>Veoma rijetko</w:t>
            </w:r>
          </w:p>
        </w:tc>
      </w:tr>
      <w:tr w:rsidR="00095D7E" w14:paraId="0628F2B0" w14:textId="77777777">
        <w:tc>
          <w:tcPr>
            <w:tcW w:w="956" w:type="pct"/>
            <w:vMerge/>
            <w:tcBorders>
              <w:left w:val="threeDEmboss" w:sz="6" w:space="0" w:color="auto"/>
              <w:right w:val="threeDEmboss" w:sz="6" w:space="0" w:color="auto"/>
            </w:tcBorders>
            <w:vAlign w:val="center"/>
          </w:tcPr>
          <w:p w14:paraId="3AD8DA60"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C3E7562" w14:textId="77777777" w:rsidR="00095D7E" w:rsidRDefault="008740DD">
            <w:pPr>
              <w:autoSpaceDE w:val="0"/>
              <w:autoSpaceDN w:val="0"/>
              <w:adjustRightInd w:val="0"/>
              <w:rPr>
                <w:szCs w:val="22"/>
                <w:lang w:val="sr-Latn-ME"/>
              </w:rPr>
            </w:pPr>
            <w:r>
              <w:rPr>
                <w:szCs w:val="22"/>
                <w:lang w:val="sr-Latn-ME"/>
              </w:rPr>
              <w:t>Mijalgija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32A08A4"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E9A65D4"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74413F5E" w14:textId="77777777" w:rsidR="00095D7E" w:rsidRDefault="008740DD">
            <w:pPr>
              <w:autoSpaceDE w:val="0"/>
              <w:autoSpaceDN w:val="0"/>
              <w:adjustRightInd w:val="0"/>
              <w:rPr>
                <w:szCs w:val="22"/>
                <w:lang w:val="sr-Latn-ME"/>
              </w:rPr>
            </w:pPr>
            <w:r>
              <w:rPr>
                <w:szCs w:val="22"/>
                <w:lang w:val="sr-Latn-ME"/>
              </w:rPr>
              <w:t>Često</w:t>
            </w:r>
          </w:p>
        </w:tc>
      </w:tr>
      <w:tr w:rsidR="00095D7E" w14:paraId="21629A40" w14:textId="77777777">
        <w:tc>
          <w:tcPr>
            <w:tcW w:w="956" w:type="pct"/>
            <w:vMerge/>
            <w:tcBorders>
              <w:left w:val="threeDEmboss" w:sz="6" w:space="0" w:color="auto"/>
              <w:right w:val="threeDEmboss" w:sz="6" w:space="0" w:color="auto"/>
            </w:tcBorders>
            <w:vAlign w:val="center"/>
          </w:tcPr>
          <w:p w14:paraId="6BF2EF06"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tcPr>
          <w:p w14:paraId="61C8B602" w14:textId="77777777" w:rsidR="00095D7E" w:rsidRDefault="008740DD">
            <w:pPr>
              <w:autoSpaceDE w:val="0"/>
              <w:autoSpaceDN w:val="0"/>
              <w:adjustRightInd w:val="0"/>
              <w:rPr>
                <w:szCs w:val="22"/>
                <w:lang w:val="sr-Latn-ME"/>
              </w:rPr>
            </w:pPr>
            <w:r>
              <w:rPr>
                <w:szCs w:val="22"/>
              </w:rPr>
              <w:t>Mišićna slabost</w:t>
            </w:r>
          </w:p>
        </w:tc>
        <w:tc>
          <w:tcPr>
            <w:tcW w:w="638" w:type="pct"/>
            <w:tcBorders>
              <w:top w:val="threeDEmboss" w:sz="6" w:space="0" w:color="auto"/>
              <w:left w:val="threeDEmboss" w:sz="6" w:space="0" w:color="auto"/>
              <w:bottom w:val="threeDEmboss" w:sz="6" w:space="0" w:color="auto"/>
              <w:right w:val="threeDEmboss" w:sz="6" w:space="0" w:color="auto"/>
            </w:tcBorders>
          </w:tcPr>
          <w:p w14:paraId="6BFB5C3E" w14:textId="77777777" w:rsidR="00095D7E" w:rsidRDefault="008740DD">
            <w:pPr>
              <w:autoSpaceDE w:val="0"/>
              <w:autoSpaceDN w:val="0"/>
              <w:adjustRightInd w:val="0"/>
              <w:rPr>
                <w:szCs w:val="22"/>
                <w:lang w:val="sr-Latn-ME"/>
              </w:rPr>
            </w:pPr>
            <w:r>
              <w:rPr>
                <w:szCs w:val="22"/>
              </w:rPr>
              <w:t>-</w:t>
            </w:r>
          </w:p>
        </w:tc>
        <w:tc>
          <w:tcPr>
            <w:tcW w:w="1157" w:type="pct"/>
            <w:tcBorders>
              <w:top w:val="threeDEmboss" w:sz="6" w:space="0" w:color="auto"/>
              <w:left w:val="threeDEmboss" w:sz="6" w:space="0" w:color="auto"/>
              <w:bottom w:val="threeDEmboss" w:sz="6" w:space="0" w:color="auto"/>
              <w:right w:val="threeDEmboss" w:sz="6" w:space="0" w:color="auto"/>
            </w:tcBorders>
          </w:tcPr>
          <w:p w14:paraId="250E977C"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3BD62552" w14:textId="77777777" w:rsidR="00095D7E" w:rsidRDefault="008740DD">
            <w:pPr>
              <w:autoSpaceDE w:val="0"/>
              <w:autoSpaceDN w:val="0"/>
              <w:adjustRightInd w:val="0"/>
              <w:rPr>
                <w:szCs w:val="22"/>
                <w:lang w:val="sr-Latn-ME"/>
              </w:rPr>
            </w:pPr>
            <w:r>
              <w:rPr>
                <w:szCs w:val="22"/>
              </w:rPr>
              <w:t>-</w:t>
            </w:r>
          </w:p>
        </w:tc>
      </w:tr>
      <w:tr w:rsidR="00095D7E" w14:paraId="19FE96B8" w14:textId="77777777">
        <w:tc>
          <w:tcPr>
            <w:tcW w:w="956" w:type="pct"/>
            <w:vMerge/>
            <w:tcBorders>
              <w:left w:val="threeDEmboss" w:sz="6" w:space="0" w:color="auto"/>
              <w:right w:val="threeDEmboss" w:sz="6" w:space="0" w:color="auto"/>
            </w:tcBorders>
            <w:vAlign w:val="center"/>
          </w:tcPr>
          <w:p w14:paraId="5EC44C76"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BB62216" w14:textId="77777777" w:rsidR="00095D7E" w:rsidRDefault="008740DD">
            <w:pPr>
              <w:rPr>
                <w:szCs w:val="22"/>
                <w:lang w:val="sr-Latn-ME" w:eastAsia="sr-Latn-RS"/>
              </w:rPr>
            </w:pPr>
            <w:r>
              <w:rPr>
                <w:szCs w:val="22"/>
                <w:lang w:val="sr-Latn-ME"/>
              </w:rPr>
              <w:t>Miopatija (uključujući miozitis)</w:t>
            </w:r>
          </w:p>
          <w:p w14:paraId="054669F5" w14:textId="77777777" w:rsidR="00095D7E" w:rsidRDefault="00095D7E">
            <w:pPr>
              <w:autoSpaceDE w:val="0"/>
              <w:autoSpaceDN w:val="0"/>
              <w:adjustRightInd w:val="0"/>
              <w:rPr>
                <w:szCs w:val="22"/>
                <w:lang w:val="sr-Latn-ME"/>
              </w:rPr>
            </w:pP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95B85D0"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4729640A"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19EFA7A1" w14:textId="77777777" w:rsidR="00095D7E" w:rsidRDefault="008740DD">
            <w:pPr>
              <w:autoSpaceDE w:val="0"/>
              <w:autoSpaceDN w:val="0"/>
              <w:adjustRightInd w:val="0"/>
              <w:rPr>
                <w:szCs w:val="22"/>
                <w:lang w:val="sr-Latn-ME"/>
              </w:rPr>
            </w:pPr>
            <w:r>
              <w:rPr>
                <w:szCs w:val="22"/>
                <w:lang w:val="sr-Latn-ME"/>
              </w:rPr>
              <w:t>Rijetko</w:t>
            </w:r>
          </w:p>
        </w:tc>
      </w:tr>
      <w:tr w:rsidR="00095D7E" w14:paraId="2FDB0F68" w14:textId="77777777">
        <w:tc>
          <w:tcPr>
            <w:tcW w:w="956" w:type="pct"/>
            <w:vMerge/>
            <w:tcBorders>
              <w:left w:val="threeDEmboss" w:sz="6" w:space="0" w:color="auto"/>
              <w:right w:val="threeDEmboss" w:sz="6" w:space="0" w:color="auto"/>
            </w:tcBorders>
            <w:vAlign w:val="center"/>
          </w:tcPr>
          <w:p w14:paraId="56E8D268"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CDCB726" w14:textId="77777777" w:rsidR="00095D7E" w:rsidRDefault="008740DD">
            <w:pPr>
              <w:autoSpaceDE w:val="0"/>
              <w:autoSpaceDN w:val="0"/>
              <w:adjustRightInd w:val="0"/>
              <w:rPr>
                <w:szCs w:val="22"/>
                <w:lang w:val="sr-Latn-ME"/>
              </w:rPr>
            </w:pPr>
            <w:r>
              <w:rPr>
                <w:szCs w:val="22"/>
                <w:lang w:val="sr-Latn-ME"/>
              </w:rPr>
              <w:t>Rabdomioliza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A6AFEB3"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75BA0752"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7CB7BD03" w14:textId="77777777" w:rsidR="00095D7E" w:rsidRDefault="008740DD">
            <w:pPr>
              <w:autoSpaceDE w:val="0"/>
              <w:autoSpaceDN w:val="0"/>
              <w:adjustRightInd w:val="0"/>
              <w:rPr>
                <w:b/>
                <w:szCs w:val="22"/>
                <w:lang w:val="sr-Latn-ME"/>
              </w:rPr>
            </w:pPr>
            <w:r>
              <w:rPr>
                <w:szCs w:val="22"/>
                <w:lang w:val="sr-Latn-ME"/>
              </w:rPr>
              <w:t>Rijetko</w:t>
            </w:r>
          </w:p>
        </w:tc>
      </w:tr>
      <w:tr w:rsidR="00095D7E" w14:paraId="2B12EEBB" w14:textId="77777777">
        <w:tc>
          <w:tcPr>
            <w:tcW w:w="956" w:type="pct"/>
            <w:vMerge/>
            <w:tcBorders>
              <w:left w:val="threeDEmboss" w:sz="6" w:space="0" w:color="auto"/>
              <w:right w:val="threeDEmboss" w:sz="6" w:space="0" w:color="auto"/>
            </w:tcBorders>
            <w:vAlign w:val="center"/>
          </w:tcPr>
          <w:p w14:paraId="01EAD13E"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869DD70" w14:textId="77777777" w:rsidR="00095D7E" w:rsidRDefault="008740DD">
            <w:pPr>
              <w:autoSpaceDE w:val="0"/>
              <w:autoSpaceDN w:val="0"/>
              <w:adjustRightInd w:val="0"/>
              <w:rPr>
                <w:szCs w:val="22"/>
                <w:lang w:val="sr-Latn-ME"/>
              </w:rPr>
            </w:pPr>
            <w:r>
              <w:rPr>
                <w:szCs w:val="22"/>
                <w:lang w:val="sr-Latn-ME"/>
              </w:rPr>
              <w:t>Lupusu sličan sindrom</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060E816"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0B448AB"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3F549633" w14:textId="77777777" w:rsidR="00095D7E" w:rsidRDefault="008740DD">
            <w:pPr>
              <w:autoSpaceDE w:val="0"/>
              <w:autoSpaceDN w:val="0"/>
              <w:adjustRightInd w:val="0"/>
              <w:rPr>
                <w:szCs w:val="22"/>
                <w:lang w:val="sr-Latn-ME"/>
              </w:rPr>
            </w:pPr>
            <w:r>
              <w:rPr>
                <w:szCs w:val="22"/>
                <w:lang w:val="sr-Latn-ME"/>
              </w:rPr>
              <w:t>Rijetko</w:t>
            </w:r>
          </w:p>
        </w:tc>
      </w:tr>
      <w:tr w:rsidR="00095D7E" w14:paraId="51CF7150" w14:textId="77777777">
        <w:tc>
          <w:tcPr>
            <w:tcW w:w="956" w:type="pct"/>
            <w:vMerge/>
            <w:tcBorders>
              <w:left w:val="threeDEmboss" w:sz="6" w:space="0" w:color="auto"/>
              <w:right w:val="threeDEmboss" w:sz="6" w:space="0" w:color="auto"/>
            </w:tcBorders>
            <w:vAlign w:val="center"/>
          </w:tcPr>
          <w:p w14:paraId="105D4B5C"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6620D093" w14:textId="77777777" w:rsidR="00095D7E" w:rsidRDefault="008740DD">
            <w:pPr>
              <w:autoSpaceDE w:val="0"/>
              <w:autoSpaceDN w:val="0"/>
              <w:adjustRightInd w:val="0"/>
              <w:rPr>
                <w:szCs w:val="22"/>
                <w:lang w:val="sr-Latn-ME"/>
              </w:rPr>
            </w:pPr>
            <w:r>
              <w:rPr>
                <w:szCs w:val="22"/>
                <w:lang w:val="sr-Latn-ME"/>
              </w:rPr>
              <w:t>Ruptura mišića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3EE9489"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42C50C48"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1C750F0F" w14:textId="77777777" w:rsidR="00095D7E" w:rsidRDefault="008740DD">
            <w:pPr>
              <w:autoSpaceDE w:val="0"/>
              <w:autoSpaceDN w:val="0"/>
              <w:adjustRightInd w:val="0"/>
              <w:rPr>
                <w:szCs w:val="22"/>
                <w:lang w:val="sr-Latn-ME"/>
              </w:rPr>
            </w:pPr>
            <w:r>
              <w:rPr>
                <w:szCs w:val="22"/>
                <w:lang w:val="sr-Latn-ME"/>
              </w:rPr>
              <w:t>Rijetko</w:t>
            </w:r>
          </w:p>
        </w:tc>
      </w:tr>
      <w:tr w:rsidR="00095D7E" w14:paraId="1057A3DF" w14:textId="77777777">
        <w:tc>
          <w:tcPr>
            <w:tcW w:w="956" w:type="pct"/>
            <w:vMerge/>
            <w:tcBorders>
              <w:left w:val="threeDEmboss" w:sz="6" w:space="0" w:color="auto"/>
              <w:right w:val="threeDEmboss" w:sz="6" w:space="0" w:color="auto"/>
            </w:tcBorders>
            <w:vAlign w:val="center"/>
          </w:tcPr>
          <w:p w14:paraId="1E3AF31D"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68D6C56" w14:textId="77777777" w:rsidR="00095D7E" w:rsidRDefault="008740DD">
            <w:pPr>
              <w:rPr>
                <w:szCs w:val="22"/>
                <w:lang w:val="sr-Latn-ME"/>
              </w:rPr>
            </w:pPr>
            <w:r>
              <w:rPr>
                <w:szCs w:val="22"/>
                <w:lang w:val="sr-Latn-ME"/>
              </w:rPr>
              <w:t>Poremećaji tetiva, ponekad komplikovani rupturom</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A82000E"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848C046"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5A051731" w14:textId="77777777" w:rsidR="00095D7E" w:rsidRDefault="008740DD">
            <w:pPr>
              <w:autoSpaceDE w:val="0"/>
              <w:autoSpaceDN w:val="0"/>
              <w:adjustRightInd w:val="0"/>
              <w:rPr>
                <w:szCs w:val="22"/>
                <w:lang w:val="sr-Latn-ME"/>
              </w:rPr>
            </w:pPr>
            <w:r>
              <w:rPr>
                <w:szCs w:val="22"/>
                <w:lang w:val="sr-Latn-ME"/>
              </w:rPr>
              <w:t>Nepoznato</w:t>
            </w:r>
          </w:p>
        </w:tc>
      </w:tr>
      <w:tr w:rsidR="00095D7E" w14:paraId="0F868814" w14:textId="77777777">
        <w:tc>
          <w:tcPr>
            <w:tcW w:w="956" w:type="pct"/>
            <w:vMerge/>
            <w:tcBorders>
              <w:left w:val="threeDEmboss" w:sz="6" w:space="0" w:color="auto"/>
              <w:bottom w:val="threeDEmboss" w:sz="6" w:space="0" w:color="auto"/>
              <w:right w:val="threeDEmboss" w:sz="6" w:space="0" w:color="auto"/>
            </w:tcBorders>
            <w:vAlign w:val="center"/>
          </w:tcPr>
          <w:p w14:paraId="0D36592A"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90747BE" w14:textId="77777777" w:rsidR="00095D7E" w:rsidRDefault="008740DD">
            <w:pPr>
              <w:rPr>
                <w:szCs w:val="22"/>
                <w:lang w:val="sr-Latn-ME"/>
              </w:rPr>
            </w:pPr>
            <w:r>
              <w:rPr>
                <w:szCs w:val="22"/>
                <w:lang w:val="sr-Latn-ME"/>
              </w:rPr>
              <w:t>Imunski posredovana nekrotizirajuća miopatija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75839AA"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7EA8E920"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31045D92" w14:textId="77777777" w:rsidR="00095D7E" w:rsidRDefault="008740DD">
            <w:pPr>
              <w:autoSpaceDE w:val="0"/>
              <w:autoSpaceDN w:val="0"/>
              <w:adjustRightInd w:val="0"/>
              <w:rPr>
                <w:szCs w:val="22"/>
                <w:lang w:val="sr-Latn-ME"/>
              </w:rPr>
            </w:pPr>
            <w:r>
              <w:rPr>
                <w:szCs w:val="22"/>
                <w:lang w:val="sr-Latn-ME"/>
              </w:rPr>
              <w:t>Nepoznato</w:t>
            </w:r>
          </w:p>
        </w:tc>
      </w:tr>
      <w:tr w:rsidR="00095D7E" w14:paraId="378BC1DE" w14:textId="77777777">
        <w:tc>
          <w:tcPr>
            <w:tcW w:w="956" w:type="pct"/>
            <w:vMerge w:val="restart"/>
            <w:tcBorders>
              <w:top w:val="threeDEmboss" w:sz="6" w:space="0" w:color="auto"/>
              <w:left w:val="threeDEmboss" w:sz="6" w:space="0" w:color="auto"/>
              <w:right w:val="threeDEmboss" w:sz="6" w:space="0" w:color="auto"/>
            </w:tcBorders>
            <w:vAlign w:val="center"/>
          </w:tcPr>
          <w:p w14:paraId="371F192B" w14:textId="77777777" w:rsidR="00095D7E" w:rsidRDefault="008740DD">
            <w:pPr>
              <w:autoSpaceDE w:val="0"/>
              <w:autoSpaceDN w:val="0"/>
              <w:adjustRightInd w:val="0"/>
              <w:rPr>
                <w:b/>
                <w:szCs w:val="22"/>
                <w:lang w:val="sr-Latn-ME"/>
              </w:rPr>
            </w:pPr>
            <w:r>
              <w:rPr>
                <w:b/>
                <w:bCs/>
                <w:iCs/>
                <w:szCs w:val="22"/>
                <w:lang w:val="sr-Latn-ME" w:eastAsia="ar-SA"/>
              </w:rPr>
              <w:t>Poremećaji  bubrega i urinarnog sistema</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F155F69" w14:textId="77777777" w:rsidR="00095D7E" w:rsidRDefault="008740DD">
            <w:pPr>
              <w:autoSpaceDE w:val="0"/>
              <w:autoSpaceDN w:val="0"/>
              <w:adjustRightInd w:val="0"/>
              <w:rPr>
                <w:szCs w:val="22"/>
                <w:lang w:val="sr-Latn-ME"/>
              </w:rPr>
            </w:pPr>
            <w:r>
              <w:rPr>
                <w:szCs w:val="22"/>
                <w:lang w:val="sr-Latn-ME"/>
              </w:rPr>
              <w:t>Bubrežna insuficijencija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31FA225A"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4049D0D" w14:textId="77777777" w:rsidR="00095D7E" w:rsidRDefault="008740DD">
            <w:pPr>
              <w:autoSpaceDE w:val="0"/>
              <w:autoSpaceDN w:val="0"/>
              <w:adjustRightInd w:val="0"/>
              <w:rPr>
                <w:szCs w:val="22"/>
                <w:lang w:val="sr-Latn-ME"/>
              </w:rPr>
            </w:pPr>
            <w:r>
              <w:rPr>
                <w:szCs w:val="22"/>
                <w:lang w:val="sr-Latn-ME"/>
              </w:rPr>
              <w:t xml:space="preserve">- </w:t>
            </w:r>
          </w:p>
        </w:tc>
        <w:tc>
          <w:tcPr>
            <w:tcW w:w="696" w:type="pct"/>
            <w:tcBorders>
              <w:top w:val="threeDEmboss" w:sz="6" w:space="0" w:color="auto"/>
              <w:left w:val="threeDEmboss" w:sz="6" w:space="0" w:color="auto"/>
              <w:bottom w:val="threeDEmboss" w:sz="6" w:space="0" w:color="auto"/>
              <w:right w:val="threeDEmboss" w:sz="6" w:space="0" w:color="auto"/>
            </w:tcBorders>
          </w:tcPr>
          <w:p w14:paraId="2009EB12" w14:textId="77777777" w:rsidR="00095D7E" w:rsidRDefault="008740DD">
            <w:pPr>
              <w:autoSpaceDE w:val="0"/>
              <w:autoSpaceDN w:val="0"/>
              <w:adjustRightInd w:val="0"/>
              <w:rPr>
                <w:szCs w:val="22"/>
                <w:lang w:val="sr-Latn-ME"/>
              </w:rPr>
            </w:pPr>
            <w:r>
              <w:rPr>
                <w:szCs w:val="22"/>
                <w:lang w:val="sr-Latn-ME"/>
              </w:rPr>
              <w:t>-</w:t>
            </w:r>
          </w:p>
        </w:tc>
      </w:tr>
      <w:tr w:rsidR="00095D7E" w14:paraId="0238FF27" w14:textId="77777777">
        <w:tc>
          <w:tcPr>
            <w:tcW w:w="956" w:type="pct"/>
            <w:vMerge/>
            <w:tcBorders>
              <w:left w:val="threeDEmboss" w:sz="6" w:space="0" w:color="auto"/>
              <w:right w:val="threeDEmboss" w:sz="6" w:space="0" w:color="auto"/>
            </w:tcBorders>
            <w:vAlign w:val="center"/>
          </w:tcPr>
          <w:p w14:paraId="0799418F"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D74D19C" w14:textId="77777777" w:rsidR="00095D7E" w:rsidRDefault="008740DD">
            <w:pPr>
              <w:autoSpaceDE w:val="0"/>
              <w:autoSpaceDN w:val="0"/>
              <w:adjustRightInd w:val="0"/>
              <w:rPr>
                <w:szCs w:val="22"/>
                <w:lang w:val="sr-Latn-ME"/>
              </w:rPr>
            </w:pPr>
            <w:r>
              <w:rPr>
                <w:szCs w:val="22"/>
                <w:lang w:val="sr-Latn-ME"/>
              </w:rPr>
              <w:t>Akutna bubrežna insuficijencija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59A0C2A" w14:textId="77777777" w:rsidR="00095D7E" w:rsidRDefault="008740DD">
            <w:pPr>
              <w:autoSpaceDE w:val="0"/>
              <w:autoSpaceDN w:val="0"/>
              <w:adjustRightInd w:val="0"/>
              <w:rPr>
                <w:szCs w:val="22"/>
                <w:lang w:val="sr-Latn-ME"/>
              </w:rPr>
            </w:pPr>
            <w:r>
              <w:rPr>
                <w:szCs w:val="22"/>
                <w:lang w:val="sr-Latn-ME"/>
              </w:rPr>
              <w:t>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1D16D78"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7A614FA2" w14:textId="77777777" w:rsidR="00095D7E" w:rsidRDefault="008740DD">
            <w:pPr>
              <w:autoSpaceDE w:val="0"/>
              <w:autoSpaceDN w:val="0"/>
              <w:adjustRightInd w:val="0"/>
              <w:rPr>
                <w:szCs w:val="22"/>
                <w:lang w:val="sr-Latn-ME"/>
              </w:rPr>
            </w:pPr>
            <w:r>
              <w:rPr>
                <w:szCs w:val="22"/>
                <w:lang w:val="sr-Latn-ME"/>
              </w:rPr>
              <w:t>-</w:t>
            </w:r>
          </w:p>
        </w:tc>
      </w:tr>
      <w:tr w:rsidR="00095D7E" w14:paraId="2E452F25" w14:textId="77777777">
        <w:tc>
          <w:tcPr>
            <w:tcW w:w="956" w:type="pct"/>
            <w:vMerge/>
            <w:tcBorders>
              <w:left w:val="threeDEmboss" w:sz="6" w:space="0" w:color="auto"/>
              <w:right w:val="threeDEmboss" w:sz="6" w:space="0" w:color="auto"/>
            </w:tcBorders>
            <w:vAlign w:val="center"/>
          </w:tcPr>
          <w:p w14:paraId="5FA13409"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656384E" w14:textId="77777777" w:rsidR="00095D7E" w:rsidRDefault="008740DD">
            <w:pPr>
              <w:autoSpaceDE w:val="0"/>
              <w:autoSpaceDN w:val="0"/>
              <w:adjustRightInd w:val="0"/>
              <w:rPr>
                <w:szCs w:val="22"/>
                <w:lang w:val="sr-Latn-ME"/>
              </w:rPr>
            </w:pPr>
            <w:r>
              <w:rPr>
                <w:szCs w:val="22"/>
              </w:rPr>
              <w:t>Anurija/Oligurija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4BADC8D" w14:textId="77777777" w:rsidR="00095D7E" w:rsidRDefault="008740DD">
            <w:pPr>
              <w:autoSpaceDE w:val="0"/>
              <w:autoSpaceDN w:val="0"/>
              <w:adjustRightInd w:val="0"/>
              <w:rPr>
                <w:szCs w:val="22"/>
                <w:lang w:val="sr-Latn-ME"/>
              </w:rPr>
            </w:pPr>
            <w:r>
              <w:rPr>
                <w:szCs w:val="22"/>
              </w:rPr>
              <w:t>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FAC13B8" w14:textId="77777777" w:rsidR="00095D7E" w:rsidRDefault="008740DD">
            <w:pPr>
              <w:autoSpaceDE w:val="0"/>
              <w:autoSpaceDN w:val="0"/>
              <w:adjustRightInd w:val="0"/>
              <w:rPr>
                <w:szCs w:val="22"/>
                <w:lang w:val="sr-Latn-ME"/>
              </w:rPr>
            </w:pPr>
            <w:r>
              <w:rPr>
                <w:szCs w:val="22"/>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477D557B" w14:textId="77777777" w:rsidR="00095D7E" w:rsidRDefault="008740DD">
            <w:pPr>
              <w:autoSpaceDE w:val="0"/>
              <w:autoSpaceDN w:val="0"/>
              <w:adjustRightInd w:val="0"/>
              <w:rPr>
                <w:szCs w:val="22"/>
                <w:lang w:val="sr-Latn-ME"/>
              </w:rPr>
            </w:pPr>
            <w:r>
              <w:rPr>
                <w:szCs w:val="22"/>
              </w:rPr>
              <w:t>-</w:t>
            </w:r>
          </w:p>
        </w:tc>
      </w:tr>
      <w:tr w:rsidR="00095D7E" w14:paraId="4C0341EA" w14:textId="77777777">
        <w:tc>
          <w:tcPr>
            <w:tcW w:w="956" w:type="pct"/>
            <w:vMerge/>
            <w:tcBorders>
              <w:left w:val="threeDEmboss" w:sz="6" w:space="0" w:color="auto"/>
              <w:bottom w:val="threeDEmboss" w:sz="6" w:space="0" w:color="auto"/>
              <w:right w:val="threeDEmboss" w:sz="6" w:space="0" w:color="auto"/>
            </w:tcBorders>
            <w:vAlign w:val="center"/>
          </w:tcPr>
          <w:p w14:paraId="2F2E61A7"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1651AE3" w14:textId="77777777" w:rsidR="00095D7E" w:rsidRDefault="008740DD">
            <w:pPr>
              <w:autoSpaceDE w:val="0"/>
              <w:autoSpaceDN w:val="0"/>
              <w:adjustRightInd w:val="0"/>
              <w:rPr>
                <w:szCs w:val="22"/>
                <w:lang w:val="sr-Latn-ME"/>
              </w:rPr>
            </w:pPr>
            <w:r>
              <w:rPr>
                <w:szCs w:val="22"/>
                <w:lang w:val="sr-Latn-ME"/>
              </w:rPr>
              <w:t>Hematurija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3EC53A6D" w14:textId="77777777" w:rsidR="00095D7E" w:rsidRDefault="00095D7E">
            <w:pPr>
              <w:autoSpaceDE w:val="0"/>
              <w:autoSpaceDN w:val="0"/>
              <w:adjustRightInd w:val="0"/>
              <w:rPr>
                <w:szCs w:val="22"/>
                <w:lang w:val="sr-Latn-ME"/>
              </w:rPr>
            </w:pP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F5F37C6" w14:textId="77777777" w:rsidR="00095D7E" w:rsidRDefault="00095D7E">
            <w:pPr>
              <w:autoSpaceDE w:val="0"/>
              <w:autoSpaceDN w:val="0"/>
              <w:adjustRightInd w:val="0"/>
              <w:rPr>
                <w:szCs w:val="22"/>
                <w:lang w:val="sr-Latn-ME"/>
              </w:rPr>
            </w:pPr>
          </w:p>
        </w:tc>
        <w:tc>
          <w:tcPr>
            <w:tcW w:w="696" w:type="pct"/>
            <w:tcBorders>
              <w:top w:val="threeDEmboss" w:sz="6" w:space="0" w:color="auto"/>
              <w:left w:val="threeDEmboss" w:sz="6" w:space="0" w:color="auto"/>
              <w:bottom w:val="threeDEmboss" w:sz="6" w:space="0" w:color="auto"/>
              <w:right w:val="threeDEmboss" w:sz="6" w:space="0" w:color="auto"/>
            </w:tcBorders>
          </w:tcPr>
          <w:p w14:paraId="72EB680A" w14:textId="77777777" w:rsidR="00095D7E" w:rsidRDefault="008740DD">
            <w:pPr>
              <w:autoSpaceDE w:val="0"/>
              <w:autoSpaceDN w:val="0"/>
              <w:adjustRightInd w:val="0"/>
              <w:rPr>
                <w:szCs w:val="22"/>
                <w:lang w:val="sr-Latn-ME"/>
              </w:rPr>
            </w:pPr>
            <w:r>
              <w:rPr>
                <w:szCs w:val="22"/>
                <w:lang w:val="sr-Latn-ME"/>
              </w:rPr>
              <w:t>Veoma rijetko</w:t>
            </w:r>
          </w:p>
        </w:tc>
      </w:tr>
      <w:tr w:rsidR="00095D7E" w14:paraId="2149A005" w14:textId="77777777">
        <w:tc>
          <w:tcPr>
            <w:tcW w:w="956" w:type="pct"/>
            <w:vMerge w:val="restart"/>
            <w:tcBorders>
              <w:top w:val="threeDEmboss" w:sz="6" w:space="0" w:color="auto"/>
              <w:left w:val="threeDEmboss" w:sz="6" w:space="0" w:color="auto"/>
              <w:right w:val="threeDEmboss" w:sz="6" w:space="0" w:color="auto"/>
            </w:tcBorders>
            <w:vAlign w:val="center"/>
          </w:tcPr>
          <w:p w14:paraId="340498A2" w14:textId="77777777" w:rsidR="00095D7E" w:rsidRDefault="008740DD">
            <w:pPr>
              <w:autoSpaceDE w:val="0"/>
              <w:autoSpaceDN w:val="0"/>
              <w:adjustRightInd w:val="0"/>
              <w:rPr>
                <w:b/>
                <w:szCs w:val="22"/>
                <w:lang w:val="sr-Latn-ME"/>
              </w:rPr>
            </w:pPr>
            <w:r>
              <w:rPr>
                <w:b/>
                <w:szCs w:val="22"/>
                <w:lang w:val="sr-Latn-ME"/>
              </w:rPr>
              <w:t>Poremećaji reproduktivnog sistema i dojki</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F604489" w14:textId="77777777" w:rsidR="00095D7E" w:rsidRDefault="008740DD">
            <w:pPr>
              <w:autoSpaceDE w:val="0"/>
              <w:autoSpaceDN w:val="0"/>
              <w:adjustRightInd w:val="0"/>
              <w:rPr>
                <w:szCs w:val="22"/>
                <w:lang w:val="sr-Latn-ME"/>
              </w:rPr>
            </w:pPr>
            <w:r>
              <w:rPr>
                <w:szCs w:val="22"/>
                <w:lang w:val="sr-Latn-ME"/>
              </w:rPr>
              <w:t xml:space="preserve">Erektilna disfunkcija </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B3212C4" w14:textId="77777777" w:rsidR="00095D7E" w:rsidRDefault="008740DD">
            <w:pPr>
              <w:autoSpaceDE w:val="0"/>
              <w:autoSpaceDN w:val="0"/>
              <w:adjustRightInd w:val="0"/>
              <w:rPr>
                <w:szCs w:val="22"/>
                <w:lang w:val="sr-Latn-ME"/>
              </w:rPr>
            </w:pPr>
            <w:r>
              <w:rPr>
                <w:szCs w:val="22"/>
                <w:lang w:val="sr-Latn-ME"/>
              </w:rPr>
              <w:t>Povremeno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6B069841" w14:textId="77777777" w:rsidR="00095D7E" w:rsidRDefault="008740DD">
            <w:pPr>
              <w:autoSpaceDE w:val="0"/>
              <w:autoSpaceDN w:val="0"/>
              <w:adjustRightInd w:val="0"/>
              <w:rPr>
                <w:szCs w:val="22"/>
                <w:lang w:val="sr-Latn-ME"/>
              </w:rPr>
            </w:pPr>
            <w:r>
              <w:rPr>
                <w:szCs w:val="22"/>
                <w:lang w:val="sr-Latn-ME"/>
              </w:rPr>
              <w:t>Veoma 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770BF883" w14:textId="77777777" w:rsidR="00095D7E" w:rsidRDefault="008740DD">
            <w:pPr>
              <w:autoSpaceDE w:val="0"/>
              <w:autoSpaceDN w:val="0"/>
              <w:adjustRightInd w:val="0"/>
              <w:rPr>
                <w:szCs w:val="22"/>
                <w:lang w:val="sr-Latn-ME"/>
              </w:rPr>
            </w:pPr>
            <w:r>
              <w:rPr>
                <w:szCs w:val="22"/>
                <w:lang w:val="sr-Latn-ME"/>
              </w:rPr>
              <w:t>-</w:t>
            </w:r>
          </w:p>
        </w:tc>
      </w:tr>
      <w:tr w:rsidR="00095D7E" w14:paraId="5BD672AA" w14:textId="77777777">
        <w:tc>
          <w:tcPr>
            <w:tcW w:w="956" w:type="pct"/>
            <w:vMerge/>
            <w:tcBorders>
              <w:left w:val="threeDEmboss" w:sz="6" w:space="0" w:color="auto"/>
              <w:right w:val="threeDEmboss" w:sz="6" w:space="0" w:color="auto"/>
            </w:tcBorders>
            <w:vAlign w:val="center"/>
          </w:tcPr>
          <w:p w14:paraId="208C9EFC"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DBBE1BE" w14:textId="77777777" w:rsidR="00095D7E" w:rsidRDefault="008740DD">
            <w:pPr>
              <w:autoSpaceDE w:val="0"/>
              <w:autoSpaceDN w:val="0"/>
              <w:adjustRightInd w:val="0"/>
              <w:rPr>
                <w:szCs w:val="22"/>
                <w:lang w:val="sr-Latn-ME"/>
              </w:rPr>
            </w:pPr>
            <w:r>
              <w:rPr>
                <w:szCs w:val="22"/>
                <w:lang w:val="sr-Latn-ME"/>
              </w:rPr>
              <w:t>Ginekomastija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3BD018B4"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95093B3"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633EF97D" w14:textId="77777777" w:rsidR="00095D7E" w:rsidRDefault="00095D7E">
            <w:pPr>
              <w:autoSpaceDE w:val="0"/>
              <w:autoSpaceDN w:val="0"/>
              <w:adjustRightInd w:val="0"/>
              <w:rPr>
                <w:szCs w:val="22"/>
                <w:lang w:val="sr-Latn-ME"/>
              </w:rPr>
            </w:pPr>
          </w:p>
          <w:p w14:paraId="01F62AD9" w14:textId="77777777" w:rsidR="00095D7E" w:rsidRDefault="008740DD">
            <w:pPr>
              <w:autoSpaceDE w:val="0"/>
              <w:autoSpaceDN w:val="0"/>
              <w:adjustRightInd w:val="0"/>
              <w:rPr>
                <w:szCs w:val="22"/>
                <w:lang w:val="sr-Latn-ME"/>
              </w:rPr>
            </w:pPr>
            <w:r>
              <w:rPr>
                <w:szCs w:val="22"/>
                <w:lang w:val="sr-Latn-ME"/>
              </w:rPr>
              <w:t>Veoma rijetko</w:t>
            </w:r>
          </w:p>
        </w:tc>
      </w:tr>
      <w:tr w:rsidR="00095D7E" w14:paraId="4ECDE07D" w14:textId="77777777">
        <w:tc>
          <w:tcPr>
            <w:tcW w:w="956" w:type="pct"/>
            <w:vMerge w:val="restart"/>
            <w:tcBorders>
              <w:top w:val="threeDEmboss" w:sz="6" w:space="0" w:color="auto"/>
              <w:left w:val="threeDEmboss" w:sz="6" w:space="0" w:color="auto"/>
              <w:bottom w:val="threeDEmboss" w:sz="6" w:space="0" w:color="auto"/>
              <w:right w:val="threeDEmboss" w:sz="6" w:space="0" w:color="auto"/>
            </w:tcBorders>
            <w:vAlign w:val="center"/>
          </w:tcPr>
          <w:p w14:paraId="4CF9C790" w14:textId="77777777" w:rsidR="00095D7E" w:rsidRDefault="008740DD">
            <w:pPr>
              <w:autoSpaceDE w:val="0"/>
              <w:autoSpaceDN w:val="0"/>
              <w:adjustRightInd w:val="0"/>
              <w:rPr>
                <w:b/>
                <w:szCs w:val="22"/>
                <w:lang w:val="sr-Latn-ME"/>
              </w:rPr>
            </w:pPr>
            <w:r>
              <w:rPr>
                <w:b/>
                <w:szCs w:val="22"/>
                <w:lang w:val="sr-Latn-ME"/>
              </w:rPr>
              <w:t>Opšti poremećaji i reakcije na mjestu primjene</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569CE0F" w14:textId="77777777" w:rsidR="00095D7E" w:rsidRDefault="008740DD">
            <w:pPr>
              <w:autoSpaceDE w:val="0"/>
              <w:autoSpaceDN w:val="0"/>
              <w:adjustRightInd w:val="0"/>
              <w:rPr>
                <w:szCs w:val="22"/>
                <w:lang w:val="sr-Latn-ME"/>
              </w:rPr>
            </w:pPr>
            <w:r>
              <w:rPr>
                <w:szCs w:val="22"/>
                <w:lang w:val="sr-Latn-ME"/>
              </w:rPr>
              <w:t>Astenija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712DAC1" w14:textId="77777777" w:rsidR="00095D7E" w:rsidRDefault="008740DD">
            <w:pPr>
              <w:autoSpaceDE w:val="0"/>
              <w:autoSpaceDN w:val="0"/>
              <w:adjustRightInd w:val="0"/>
              <w:rPr>
                <w:szCs w:val="22"/>
                <w:lang w:val="sr-Latn-ME"/>
              </w:rPr>
            </w:pPr>
            <w:r>
              <w:rPr>
                <w:szCs w:val="22"/>
                <w:lang w:val="sr-Latn-ME"/>
              </w:rPr>
              <w:t>Često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595F1EFD"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3134B9EF" w14:textId="77777777" w:rsidR="00095D7E" w:rsidRDefault="008740DD">
            <w:pPr>
              <w:autoSpaceDE w:val="0"/>
              <w:autoSpaceDN w:val="0"/>
              <w:adjustRightInd w:val="0"/>
              <w:rPr>
                <w:szCs w:val="22"/>
                <w:lang w:val="sr-Latn-ME"/>
              </w:rPr>
            </w:pPr>
            <w:r>
              <w:rPr>
                <w:szCs w:val="22"/>
                <w:lang w:val="sr-Latn-ME"/>
              </w:rPr>
              <w:t>Često</w:t>
            </w:r>
          </w:p>
        </w:tc>
      </w:tr>
      <w:tr w:rsidR="00095D7E" w14:paraId="18DE418D"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4B29ED02"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2763826" w14:textId="77777777" w:rsidR="00095D7E" w:rsidRDefault="008740DD">
            <w:pPr>
              <w:autoSpaceDE w:val="0"/>
              <w:autoSpaceDN w:val="0"/>
              <w:adjustRightInd w:val="0"/>
              <w:rPr>
                <w:szCs w:val="22"/>
                <w:lang w:val="sr-Latn-ME"/>
              </w:rPr>
            </w:pPr>
            <w:r>
              <w:rPr>
                <w:szCs w:val="22"/>
                <w:lang w:val="sr-Latn-ME"/>
              </w:rPr>
              <w:t>Bol u grudima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C54DC27"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4E8E8F8C"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4E25BD5C" w14:textId="77777777" w:rsidR="00095D7E" w:rsidRDefault="008740DD">
            <w:pPr>
              <w:autoSpaceDE w:val="0"/>
              <w:autoSpaceDN w:val="0"/>
              <w:adjustRightInd w:val="0"/>
              <w:rPr>
                <w:szCs w:val="22"/>
                <w:lang w:val="sr-Latn-ME"/>
              </w:rPr>
            </w:pPr>
            <w:r>
              <w:rPr>
                <w:szCs w:val="22"/>
                <w:lang w:val="sr-Latn-ME"/>
              </w:rPr>
              <w:t>-</w:t>
            </w:r>
          </w:p>
        </w:tc>
      </w:tr>
      <w:tr w:rsidR="00095D7E" w14:paraId="79B694B3"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21856A82"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653BE1E" w14:textId="77777777" w:rsidR="00095D7E" w:rsidRDefault="008740DD">
            <w:pPr>
              <w:autoSpaceDE w:val="0"/>
              <w:autoSpaceDN w:val="0"/>
              <w:adjustRightInd w:val="0"/>
              <w:rPr>
                <w:szCs w:val="22"/>
                <w:lang w:val="sr-Latn-ME"/>
              </w:rPr>
            </w:pPr>
            <w:r>
              <w:rPr>
                <w:szCs w:val="22"/>
                <w:lang w:val="sr-Latn-ME"/>
              </w:rPr>
              <w:t>Slabost</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5B143EA"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C8738A2"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0A94636A" w14:textId="77777777" w:rsidR="00095D7E" w:rsidRDefault="008740DD">
            <w:pPr>
              <w:autoSpaceDE w:val="0"/>
              <w:autoSpaceDN w:val="0"/>
              <w:adjustRightInd w:val="0"/>
              <w:rPr>
                <w:szCs w:val="22"/>
                <w:lang w:val="sr-Latn-ME"/>
              </w:rPr>
            </w:pPr>
            <w:r>
              <w:rPr>
                <w:szCs w:val="22"/>
                <w:lang w:val="sr-Latn-ME"/>
              </w:rPr>
              <w:t>-</w:t>
            </w:r>
          </w:p>
        </w:tc>
      </w:tr>
      <w:tr w:rsidR="00095D7E" w14:paraId="7F660455"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6C7383E5"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697E58C" w14:textId="77777777" w:rsidR="00095D7E" w:rsidRDefault="008740DD">
            <w:pPr>
              <w:autoSpaceDE w:val="0"/>
              <w:autoSpaceDN w:val="0"/>
              <w:adjustRightInd w:val="0"/>
              <w:rPr>
                <w:szCs w:val="22"/>
                <w:lang w:val="sr-Latn-ME"/>
              </w:rPr>
            </w:pPr>
            <w:r>
              <w:rPr>
                <w:szCs w:val="22"/>
                <w:lang w:val="sr-Latn-ME"/>
              </w:rPr>
              <w:t>Periferni edemi</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C4E015B"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4796BD33"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7CE52FC1" w14:textId="77777777" w:rsidR="00095D7E" w:rsidRDefault="008740DD">
            <w:pPr>
              <w:autoSpaceDE w:val="0"/>
              <w:autoSpaceDN w:val="0"/>
              <w:adjustRightInd w:val="0"/>
              <w:rPr>
                <w:szCs w:val="22"/>
                <w:lang w:val="sr-Latn-ME"/>
              </w:rPr>
            </w:pPr>
            <w:r>
              <w:rPr>
                <w:szCs w:val="22"/>
                <w:lang w:val="sr-Latn-ME"/>
              </w:rPr>
              <w:t>Nepoznato</w:t>
            </w:r>
          </w:p>
        </w:tc>
      </w:tr>
      <w:tr w:rsidR="00095D7E" w14:paraId="7B2E4E8E"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07C12F96"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94B46F7" w14:textId="77777777" w:rsidR="00095D7E" w:rsidRDefault="008740DD">
            <w:pPr>
              <w:autoSpaceDE w:val="0"/>
              <w:autoSpaceDN w:val="0"/>
              <w:adjustRightInd w:val="0"/>
              <w:rPr>
                <w:szCs w:val="22"/>
                <w:lang w:val="sr-Latn-ME"/>
              </w:rPr>
            </w:pPr>
            <w:r>
              <w:rPr>
                <w:szCs w:val="22"/>
                <w:lang w:val="sr-Latn-ME"/>
              </w:rPr>
              <w:t>Temperatura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77EE316B"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07EABED9"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53A850BD" w14:textId="77777777" w:rsidR="00095D7E" w:rsidRDefault="008740DD">
            <w:pPr>
              <w:autoSpaceDE w:val="0"/>
              <w:autoSpaceDN w:val="0"/>
              <w:adjustRightInd w:val="0"/>
              <w:rPr>
                <w:szCs w:val="22"/>
                <w:lang w:val="sr-Latn-ME"/>
              </w:rPr>
            </w:pPr>
            <w:r>
              <w:rPr>
                <w:szCs w:val="22"/>
                <w:lang w:val="sr-Latn-ME"/>
              </w:rPr>
              <w:t>-</w:t>
            </w:r>
          </w:p>
        </w:tc>
      </w:tr>
      <w:tr w:rsidR="00095D7E" w14:paraId="1828AD57"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3A888D01" w14:textId="77777777" w:rsidR="00095D7E" w:rsidRDefault="00095D7E">
            <w:pPr>
              <w:autoSpaceDE w:val="0"/>
              <w:autoSpaceDN w:val="0"/>
              <w:adjustRightInd w:val="0"/>
              <w:rPr>
                <w:b/>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23963D1A" w14:textId="77777777" w:rsidR="00095D7E" w:rsidRDefault="008740DD">
            <w:pPr>
              <w:autoSpaceDE w:val="0"/>
              <w:autoSpaceDN w:val="0"/>
              <w:adjustRightInd w:val="0"/>
              <w:rPr>
                <w:szCs w:val="22"/>
                <w:lang w:val="sr-Latn-ME"/>
              </w:rPr>
            </w:pPr>
            <w:r>
              <w:rPr>
                <w:szCs w:val="22"/>
                <w:lang w:val="sr-Latn-ME"/>
              </w:rPr>
              <w:t>Umor</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55B2CAD6"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471C5D04" w14:textId="77777777" w:rsidR="00095D7E" w:rsidRDefault="008740DD">
            <w:pPr>
              <w:autoSpaceDE w:val="0"/>
              <w:autoSpaceDN w:val="0"/>
              <w:adjustRightInd w:val="0"/>
              <w:rPr>
                <w:szCs w:val="22"/>
                <w:lang w:val="sr-Latn-ME"/>
              </w:rPr>
            </w:pPr>
            <w:r>
              <w:rPr>
                <w:szCs w:val="22"/>
                <w:lang w:val="sr-Latn-ME"/>
              </w:rPr>
              <w:t>Rijetko</w:t>
            </w:r>
          </w:p>
        </w:tc>
        <w:tc>
          <w:tcPr>
            <w:tcW w:w="696" w:type="pct"/>
            <w:tcBorders>
              <w:top w:val="threeDEmboss" w:sz="6" w:space="0" w:color="auto"/>
              <w:left w:val="threeDEmboss" w:sz="6" w:space="0" w:color="auto"/>
              <w:bottom w:val="threeDEmboss" w:sz="6" w:space="0" w:color="auto"/>
              <w:right w:val="threeDEmboss" w:sz="6" w:space="0" w:color="auto"/>
            </w:tcBorders>
          </w:tcPr>
          <w:p w14:paraId="26294429" w14:textId="77777777" w:rsidR="00095D7E" w:rsidRDefault="008740DD">
            <w:pPr>
              <w:autoSpaceDE w:val="0"/>
              <w:autoSpaceDN w:val="0"/>
              <w:adjustRightInd w:val="0"/>
              <w:rPr>
                <w:szCs w:val="22"/>
                <w:lang w:val="sr-Latn-ME"/>
              </w:rPr>
            </w:pPr>
            <w:r>
              <w:rPr>
                <w:szCs w:val="22"/>
                <w:lang w:val="sr-Latn-ME"/>
              </w:rPr>
              <w:t>-</w:t>
            </w:r>
          </w:p>
        </w:tc>
      </w:tr>
      <w:tr w:rsidR="00095D7E" w14:paraId="2A2781B0" w14:textId="77777777">
        <w:tc>
          <w:tcPr>
            <w:tcW w:w="956" w:type="pct"/>
            <w:vMerge w:val="restart"/>
            <w:tcBorders>
              <w:top w:val="threeDEmboss" w:sz="6" w:space="0" w:color="auto"/>
              <w:left w:val="threeDEmboss" w:sz="6" w:space="0" w:color="auto"/>
              <w:bottom w:val="threeDEmboss" w:sz="6" w:space="0" w:color="auto"/>
              <w:right w:val="threeDEmboss" w:sz="6" w:space="0" w:color="auto"/>
            </w:tcBorders>
            <w:vAlign w:val="center"/>
          </w:tcPr>
          <w:p w14:paraId="6B8EB147" w14:textId="77777777" w:rsidR="00095D7E" w:rsidRDefault="008740DD">
            <w:pPr>
              <w:autoSpaceDE w:val="0"/>
              <w:autoSpaceDN w:val="0"/>
              <w:adjustRightInd w:val="0"/>
              <w:rPr>
                <w:b/>
                <w:szCs w:val="22"/>
                <w:lang w:val="sr-Latn-ME"/>
              </w:rPr>
            </w:pPr>
            <w:r>
              <w:rPr>
                <w:b/>
                <w:bCs/>
                <w:szCs w:val="22"/>
                <w:lang w:val="sr-Latn-ME"/>
              </w:rPr>
              <w:t>Pretrage</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5C33E65B" w14:textId="77777777" w:rsidR="00095D7E" w:rsidRDefault="008740DD">
            <w:pPr>
              <w:autoSpaceDE w:val="0"/>
              <w:autoSpaceDN w:val="0"/>
              <w:adjustRightInd w:val="0"/>
              <w:rPr>
                <w:szCs w:val="22"/>
                <w:lang w:val="sr-Latn-ME"/>
              </w:rPr>
            </w:pPr>
            <w:r>
              <w:rPr>
                <w:szCs w:val="22"/>
                <w:lang w:val="sr-Latn-ME"/>
              </w:rPr>
              <w:t>Povećanje nivoa ureje u krvi</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E190ABF"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1BE2B7D"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679715AD" w14:textId="77777777" w:rsidR="00095D7E" w:rsidRDefault="00095D7E">
            <w:pPr>
              <w:autoSpaceDE w:val="0"/>
              <w:autoSpaceDN w:val="0"/>
              <w:adjustRightInd w:val="0"/>
              <w:rPr>
                <w:szCs w:val="22"/>
                <w:lang w:val="sr-Latn-ME"/>
              </w:rPr>
            </w:pPr>
          </w:p>
        </w:tc>
      </w:tr>
      <w:tr w:rsidR="00095D7E" w14:paraId="417B9E08"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48A70FBC"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C136E1F" w14:textId="77777777" w:rsidR="00095D7E" w:rsidRDefault="008740DD">
            <w:pPr>
              <w:autoSpaceDE w:val="0"/>
              <w:autoSpaceDN w:val="0"/>
              <w:adjustRightInd w:val="0"/>
              <w:rPr>
                <w:szCs w:val="22"/>
                <w:lang w:val="sr-Latn-ME"/>
              </w:rPr>
            </w:pPr>
            <w:r>
              <w:rPr>
                <w:szCs w:val="22"/>
                <w:lang w:val="sr-Latn-ME"/>
              </w:rPr>
              <w:t>Povećanje nivoa kreatinina u krvi</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0747866"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F3BB26E"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2038E37B" w14:textId="77777777" w:rsidR="00095D7E" w:rsidRDefault="008740DD">
            <w:pPr>
              <w:autoSpaceDE w:val="0"/>
              <w:autoSpaceDN w:val="0"/>
              <w:adjustRightInd w:val="0"/>
              <w:rPr>
                <w:szCs w:val="22"/>
                <w:lang w:val="sr-Latn-ME"/>
              </w:rPr>
            </w:pPr>
            <w:r>
              <w:rPr>
                <w:szCs w:val="22"/>
                <w:lang w:val="sr-Latn-ME"/>
              </w:rPr>
              <w:t>-</w:t>
            </w:r>
          </w:p>
        </w:tc>
      </w:tr>
      <w:tr w:rsidR="00095D7E" w14:paraId="7BE81749"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3E6A6329"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126AF5F6" w14:textId="77777777" w:rsidR="00095D7E" w:rsidRDefault="008740DD">
            <w:pPr>
              <w:autoSpaceDE w:val="0"/>
              <w:autoSpaceDN w:val="0"/>
              <w:adjustRightInd w:val="0"/>
              <w:rPr>
                <w:szCs w:val="22"/>
                <w:lang w:val="sr-Latn-ME"/>
              </w:rPr>
            </w:pPr>
            <w:r>
              <w:rPr>
                <w:szCs w:val="22"/>
                <w:lang w:val="sr-Latn-ME"/>
              </w:rPr>
              <w:t>Povećanje nivoa bilirubina u krvi</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2C6A9E95" w14:textId="77777777" w:rsidR="00095D7E" w:rsidRDefault="008740DD">
            <w:pPr>
              <w:autoSpaceDE w:val="0"/>
              <w:autoSpaceDN w:val="0"/>
              <w:adjustRightInd w:val="0"/>
              <w:rPr>
                <w:szCs w:val="22"/>
                <w:lang w:val="sr-Latn-ME"/>
              </w:rPr>
            </w:pPr>
            <w:r>
              <w:rPr>
                <w:szCs w:val="22"/>
                <w:lang w:val="sr-Latn-ME"/>
              </w:rPr>
              <w:t>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1528729"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2617D8E2" w14:textId="77777777" w:rsidR="00095D7E" w:rsidRDefault="008740DD">
            <w:pPr>
              <w:autoSpaceDE w:val="0"/>
              <w:autoSpaceDN w:val="0"/>
              <w:adjustRightInd w:val="0"/>
              <w:rPr>
                <w:szCs w:val="22"/>
                <w:lang w:val="sr-Latn-ME"/>
              </w:rPr>
            </w:pPr>
            <w:r>
              <w:rPr>
                <w:szCs w:val="22"/>
                <w:lang w:val="sr-Latn-ME"/>
              </w:rPr>
              <w:t>-</w:t>
            </w:r>
          </w:p>
        </w:tc>
      </w:tr>
      <w:tr w:rsidR="00095D7E" w14:paraId="399E6B56"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11D24CC6"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BD80825" w14:textId="77777777" w:rsidR="00095D7E" w:rsidRDefault="008740DD">
            <w:pPr>
              <w:autoSpaceDE w:val="0"/>
              <w:autoSpaceDN w:val="0"/>
              <w:adjustRightInd w:val="0"/>
              <w:rPr>
                <w:szCs w:val="22"/>
                <w:lang w:val="sr-Latn-ME"/>
              </w:rPr>
            </w:pPr>
            <w:r>
              <w:rPr>
                <w:szCs w:val="22"/>
                <w:lang w:val="sr-Latn-ME"/>
              </w:rPr>
              <w:t>Povećanje jetrenih enzima</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39BD4078" w14:textId="77777777" w:rsidR="00095D7E" w:rsidRDefault="008740DD">
            <w:pPr>
              <w:autoSpaceDE w:val="0"/>
              <w:autoSpaceDN w:val="0"/>
              <w:adjustRightInd w:val="0"/>
              <w:rPr>
                <w:szCs w:val="22"/>
                <w:lang w:val="sr-Latn-ME"/>
              </w:rPr>
            </w:pPr>
            <w:r>
              <w:rPr>
                <w:szCs w:val="22"/>
                <w:lang w:val="sr-Latn-ME"/>
              </w:rPr>
              <w:t>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2C5F0AF2"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5533A71A" w14:textId="77777777" w:rsidR="00095D7E" w:rsidRDefault="008740DD">
            <w:pPr>
              <w:autoSpaceDE w:val="0"/>
              <w:autoSpaceDN w:val="0"/>
              <w:adjustRightInd w:val="0"/>
              <w:rPr>
                <w:szCs w:val="22"/>
                <w:lang w:val="sr-Latn-ME"/>
              </w:rPr>
            </w:pPr>
            <w:r>
              <w:rPr>
                <w:szCs w:val="22"/>
                <w:lang w:val="sr-Latn-ME"/>
              </w:rPr>
              <w:t>Rijetko</w:t>
            </w:r>
          </w:p>
        </w:tc>
      </w:tr>
      <w:tr w:rsidR="00095D7E" w14:paraId="21B91B69"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0D888262"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8FEAFA9" w14:textId="77777777" w:rsidR="00095D7E" w:rsidRDefault="008740DD">
            <w:pPr>
              <w:autoSpaceDE w:val="0"/>
              <w:autoSpaceDN w:val="0"/>
              <w:adjustRightInd w:val="0"/>
              <w:rPr>
                <w:szCs w:val="22"/>
                <w:lang w:val="sr-Latn-ME"/>
              </w:rPr>
            </w:pPr>
            <w:r>
              <w:rPr>
                <w:szCs w:val="22"/>
                <w:lang w:val="sr-Latn-ME"/>
              </w:rPr>
              <w:t>Snižen hemoglobin i hematokrit (vidjeti dio 4.4)</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DA5B9DD" w14:textId="77777777" w:rsidR="00095D7E" w:rsidRDefault="008740DD">
            <w:pPr>
              <w:autoSpaceDE w:val="0"/>
              <w:autoSpaceDN w:val="0"/>
              <w:adjustRightInd w:val="0"/>
              <w:rPr>
                <w:szCs w:val="22"/>
                <w:lang w:val="sr-Latn-ME"/>
              </w:rPr>
            </w:pPr>
            <w:r>
              <w:rPr>
                <w:szCs w:val="22"/>
                <w:lang w:val="sr-Latn-ME"/>
              </w:rPr>
              <w:t>Veoma rijetko</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09D83A77"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47479F5A" w14:textId="77777777" w:rsidR="00095D7E" w:rsidRDefault="00095D7E">
            <w:pPr>
              <w:autoSpaceDE w:val="0"/>
              <w:autoSpaceDN w:val="0"/>
              <w:adjustRightInd w:val="0"/>
              <w:rPr>
                <w:szCs w:val="22"/>
                <w:lang w:val="sr-Latn-ME"/>
              </w:rPr>
            </w:pPr>
          </w:p>
        </w:tc>
      </w:tr>
      <w:tr w:rsidR="00095D7E" w14:paraId="3F200460"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555D4B35"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771B15B4" w14:textId="77777777" w:rsidR="00095D7E" w:rsidRDefault="008740DD">
            <w:pPr>
              <w:autoSpaceDE w:val="0"/>
              <w:autoSpaceDN w:val="0"/>
              <w:adjustRightInd w:val="0"/>
              <w:rPr>
                <w:szCs w:val="22"/>
                <w:lang w:val="sr-Latn-ME"/>
              </w:rPr>
            </w:pPr>
            <w:r>
              <w:rPr>
                <w:szCs w:val="22"/>
                <w:lang w:val="sr-Latn-ME"/>
              </w:rPr>
              <w:t xml:space="preserve">Povećanje nivoa glukoze u krvi </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651C9858"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50D4ED9"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3A969D5E" w14:textId="77777777" w:rsidR="00095D7E" w:rsidRDefault="008740DD">
            <w:pPr>
              <w:autoSpaceDE w:val="0"/>
              <w:autoSpaceDN w:val="0"/>
              <w:adjustRightInd w:val="0"/>
              <w:rPr>
                <w:szCs w:val="22"/>
                <w:lang w:val="sr-Latn-ME"/>
              </w:rPr>
            </w:pPr>
            <w:r>
              <w:rPr>
                <w:szCs w:val="22"/>
                <w:lang w:val="sr-Latn-ME"/>
              </w:rPr>
              <w:t>Često</w:t>
            </w:r>
          </w:p>
        </w:tc>
      </w:tr>
      <w:tr w:rsidR="00095D7E" w14:paraId="5C03006E"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4A54BFED"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053B3E7" w14:textId="77777777" w:rsidR="00095D7E" w:rsidRDefault="008740DD">
            <w:pPr>
              <w:autoSpaceDE w:val="0"/>
              <w:autoSpaceDN w:val="0"/>
              <w:adjustRightInd w:val="0"/>
              <w:rPr>
                <w:szCs w:val="22"/>
                <w:lang w:val="sr-Latn-ME"/>
              </w:rPr>
            </w:pPr>
            <w:r>
              <w:rPr>
                <w:szCs w:val="22"/>
                <w:lang w:val="sr-Latn-ME"/>
              </w:rPr>
              <w:t>Povećanje nivoa mokraćne kiseline u krvi</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16295F5D"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4C3C4056"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3E7CFD02" w14:textId="77777777" w:rsidR="00095D7E" w:rsidRDefault="008740DD">
            <w:pPr>
              <w:autoSpaceDE w:val="0"/>
              <w:autoSpaceDN w:val="0"/>
              <w:adjustRightInd w:val="0"/>
              <w:rPr>
                <w:szCs w:val="22"/>
                <w:lang w:val="sr-Latn-ME"/>
              </w:rPr>
            </w:pPr>
            <w:r>
              <w:rPr>
                <w:szCs w:val="22"/>
                <w:lang w:val="sr-Latn-ME"/>
              </w:rPr>
              <w:t>-</w:t>
            </w:r>
          </w:p>
        </w:tc>
      </w:tr>
      <w:tr w:rsidR="00095D7E" w14:paraId="25C09834" w14:textId="77777777">
        <w:tc>
          <w:tcPr>
            <w:tcW w:w="956" w:type="pct"/>
            <w:vMerge/>
            <w:tcBorders>
              <w:top w:val="threeDEmboss" w:sz="6" w:space="0" w:color="auto"/>
              <w:left w:val="threeDEmboss" w:sz="6" w:space="0" w:color="auto"/>
              <w:bottom w:val="threeDEmboss" w:sz="6" w:space="0" w:color="auto"/>
              <w:right w:val="threeDEmboss" w:sz="6" w:space="0" w:color="auto"/>
            </w:tcBorders>
            <w:vAlign w:val="center"/>
          </w:tcPr>
          <w:p w14:paraId="7A345978" w14:textId="77777777" w:rsidR="00095D7E" w:rsidRDefault="00095D7E">
            <w:pPr>
              <w:autoSpaceDE w:val="0"/>
              <w:autoSpaceDN w:val="0"/>
              <w:adjustRightInd w:val="0"/>
              <w:rPr>
                <w:szCs w:val="22"/>
                <w:lang w:val="sr-Latn-ME"/>
              </w:rPr>
            </w:pP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455944CF" w14:textId="77777777" w:rsidR="00095D7E" w:rsidRDefault="008740DD">
            <w:pPr>
              <w:autoSpaceDE w:val="0"/>
              <w:autoSpaceDN w:val="0"/>
              <w:adjustRightInd w:val="0"/>
              <w:rPr>
                <w:szCs w:val="22"/>
                <w:lang w:val="sr-Latn-ME"/>
              </w:rPr>
            </w:pPr>
            <w:r>
              <w:rPr>
                <w:szCs w:val="22"/>
                <w:lang w:val="sr-Latn-ME"/>
              </w:rPr>
              <w:t>Produženje QT intervala na elektrokardiogramu (vidjeti dijelove 4.4 i 4.5)</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0CB1888D" w14:textId="77777777" w:rsidR="00095D7E" w:rsidRDefault="008740DD">
            <w:pPr>
              <w:autoSpaceDE w:val="0"/>
              <w:autoSpaceDN w:val="0"/>
              <w:adjustRightInd w:val="0"/>
              <w:rPr>
                <w:szCs w:val="22"/>
                <w:lang w:val="sr-Latn-ME"/>
              </w:rPr>
            </w:pPr>
            <w:r>
              <w:rPr>
                <w:szCs w:val="22"/>
                <w:lang w:val="sr-Latn-ME"/>
              </w:rPr>
              <w:t>-</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11D04A6A" w14:textId="77777777" w:rsidR="00095D7E" w:rsidRDefault="008740DD">
            <w:pPr>
              <w:autoSpaceDE w:val="0"/>
              <w:autoSpaceDN w:val="0"/>
              <w:adjustRightInd w:val="0"/>
              <w:rPr>
                <w:szCs w:val="22"/>
                <w:lang w:val="sr-Latn-ME"/>
              </w:rPr>
            </w:pPr>
            <w:r>
              <w:rPr>
                <w:szCs w:val="22"/>
                <w:lang w:val="sr-Latn-ME"/>
              </w:rPr>
              <w:t>Nepoznato</w:t>
            </w:r>
          </w:p>
        </w:tc>
        <w:tc>
          <w:tcPr>
            <w:tcW w:w="696" w:type="pct"/>
            <w:tcBorders>
              <w:top w:val="threeDEmboss" w:sz="6" w:space="0" w:color="auto"/>
              <w:left w:val="threeDEmboss" w:sz="6" w:space="0" w:color="auto"/>
              <w:bottom w:val="threeDEmboss" w:sz="6" w:space="0" w:color="auto"/>
              <w:right w:val="threeDEmboss" w:sz="6" w:space="0" w:color="auto"/>
            </w:tcBorders>
          </w:tcPr>
          <w:p w14:paraId="7EC37907" w14:textId="77777777" w:rsidR="00095D7E" w:rsidRDefault="00095D7E">
            <w:pPr>
              <w:autoSpaceDE w:val="0"/>
              <w:autoSpaceDN w:val="0"/>
              <w:adjustRightInd w:val="0"/>
              <w:rPr>
                <w:szCs w:val="22"/>
                <w:lang w:val="sr-Latn-ME"/>
              </w:rPr>
            </w:pPr>
          </w:p>
          <w:p w14:paraId="2C070E69" w14:textId="77777777" w:rsidR="00095D7E" w:rsidRDefault="008740DD">
            <w:pPr>
              <w:autoSpaceDE w:val="0"/>
              <w:autoSpaceDN w:val="0"/>
              <w:adjustRightInd w:val="0"/>
              <w:rPr>
                <w:szCs w:val="22"/>
                <w:lang w:val="sr-Latn-ME"/>
              </w:rPr>
            </w:pPr>
            <w:r>
              <w:rPr>
                <w:szCs w:val="22"/>
                <w:lang w:val="sr-Latn-ME"/>
              </w:rPr>
              <w:t>-</w:t>
            </w:r>
          </w:p>
        </w:tc>
      </w:tr>
      <w:tr w:rsidR="00095D7E" w14:paraId="23E66B15" w14:textId="77777777">
        <w:tc>
          <w:tcPr>
            <w:tcW w:w="956" w:type="pct"/>
            <w:tcBorders>
              <w:top w:val="threeDEmboss" w:sz="6" w:space="0" w:color="auto"/>
              <w:left w:val="threeDEmboss" w:sz="6" w:space="0" w:color="auto"/>
              <w:bottom w:val="threeDEmboss" w:sz="6" w:space="0" w:color="auto"/>
              <w:right w:val="threeDEmboss" w:sz="6" w:space="0" w:color="auto"/>
            </w:tcBorders>
            <w:vAlign w:val="center"/>
          </w:tcPr>
          <w:p w14:paraId="689BD65C" w14:textId="77777777" w:rsidR="00095D7E" w:rsidRDefault="008740DD">
            <w:pPr>
              <w:autoSpaceDE w:val="0"/>
              <w:autoSpaceDN w:val="0"/>
              <w:adjustRightInd w:val="0"/>
              <w:rPr>
                <w:szCs w:val="22"/>
                <w:lang w:val="sr-Latn-ME"/>
              </w:rPr>
            </w:pPr>
            <w:r>
              <w:rPr>
                <w:b/>
                <w:bCs/>
                <w:szCs w:val="22"/>
                <w:lang w:val="sr-Latn-ME"/>
              </w:rPr>
              <w:t>Povrede, trovanja i proceduralne komplikacije</w:t>
            </w:r>
            <w:r>
              <w:rPr>
                <w:szCs w:val="22"/>
                <w:lang w:val="sr-Latn-ME"/>
              </w:rPr>
              <w:t xml:space="preserve"> </w:t>
            </w:r>
          </w:p>
        </w:tc>
        <w:tc>
          <w:tcPr>
            <w:tcW w:w="1553" w:type="pct"/>
            <w:tcBorders>
              <w:top w:val="threeDEmboss" w:sz="6" w:space="0" w:color="auto"/>
              <w:left w:val="threeDEmboss" w:sz="6" w:space="0" w:color="auto"/>
              <w:bottom w:val="threeDEmboss" w:sz="6" w:space="0" w:color="auto"/>
              <w:right w:val="threeDEmboss" w:sz="6" w:space="0" w:color="auto"/>
            </w:tcBorders>
            <w:vAlign w:val="center"/>
          </w:tcPr>
          <w:p w14:paraId="3D7B6E99" w14:textId="77777777" w:rsidR="00095D7E" w:rsidRDefault="008740DD">
            <w:pPr>
              <w:autoSpaceDE w:val="0"/>
              <w:autoSpaceDN w:val="0"/>
              <w:adjustRightInd w:val="0"/>
              <w:rPr>
                <w:szCs w:val="22"/>
                <w:lang w:val="sr-Latn-ME"/>
              </w:rPr>
            </w:pPr>
            <w:r>
              <w:rPr>
                <w:szCs w:val="22"/>
                <w:lang w:val="sr-Latn-ME"/>
              </w:rPr>
              <w:t>Padovi</w:t>
            </w:r>
          </w:p>
        </w:tc>
        <w:tc>
          <w:tcPr>
            <w:tcW w:w="638" w:type="pct"/>
            <w:tcBorders>
              <w:top w:val="threeDEmboss" w:sz="6" w:space="0" w:color="auto"/>
              <w:left w:val="threeDEmboss" w:sz="6" w:space="0" w:color="auto"/>
              <w:bottom w:val="threeDEmboss" w:sz="6" w:space="0" w:color="auto"/>
              <w:right w:val="threeDEmboss" w:sz="6" w:space="0" w:color="auto"/>
            </w:tcBorders>
            <w:vAlign w:val="center"/>
          </w:tcPr>
          <w:p w14:paraId="434EC1FE" w14:textId="77777777" w:rsidR="00095D7E" w:rsidRDefault="008740DD">
            <w:pPr>
              <w:autoSpaceDE w:val="0"/>
              <w:autoSpaceDN w:val="0"/>
              <w:adjustRightInd w:val="0"/>
              <w:rPr>
                <w:szCs w:val="22"/>
                <w:lang w:val="sr-Latn-ME"/>
              </w:rPr>
            </w:pPr>
            <w:r>
              <w:rPr>
                <w:szCs w:val="22"/>
                <w:lang w:val="sr-Latn-ME"/>
              </w:rPr>
              <w:t>Povremeno *</w:t>
            </w:r>
          </w:p>
        </w:tc>
        <w:tc>
          <w:tcPr>
            <w:tcW w:w="1157" w:type="pct"/>
            <w:tcBorders>
              <w:top w:val="threeDEmboss" w:sz="6" w:space="0" w:color="auto"/>
              <w:left w:val="threeDEmboss" w:sz="6" w:space="0" w:color="auto"/>
              <w:bottom w:val="threeDEmboss" w:sz="6" w:space="0" w:color="auto"/>
              <w:right w:val="threeDEmboss" w:sz="6" w:space="0" w:color="auto"/>
            </w:tcBorders>
            <w:vAlign w:val="center"/>
          </w:tcPr>
          <w:p w14:paraId="3F750205" w14:textId="77777777" w:rsidR="00095D7E" w:rsidRDefault="008740DD">
            <w:pPr>
              <w:autoSpaceDE w:val="0"/>
              <w:autoSpaceDN w:val="0"/>
              <w:adjustRightInd w:val="0"/>
              <w:rPr>
                <w:szCs w:val="22"/>
                <w:lang w:val="sr-Latn-ME"/>
              </w:rPr>
            </w:pPr>
            <w:r>
              <w:rPr>
                <w:szCs w:val="22"/>
                <w:lang w:val="sr-Latn-ME"/>
              </w:rPr>
              <w:t>-</w:t>
            </w:r>
          </w:p>
        </w:tc>
        <w:tc>
          <w:tcPr>
            <w:tcW w:w="696" w:type="pct"/>
            <w:tcBorders>
              <w:top w:val="threeDEmboss" w:sz="6" w:space="0" w:color="auto"/>
              <w:left w:val="threeDEmboss" w:sz="6" w:space="0" w:color="auto"/>
              <w:bottom w:val="threeDEmboss" w:sz="6" w:space="0" w:color="auto"/>
              <w:right w:val="threeDEmboss" w:sz="6" w:space="0" w:color="auto"/>
            </w:tcBorders>
          </w:tcPr>
          <w:p w14:paraId="06DB3E01" w14:textId="77777777" w:rsidR="00095D7E" w:rsidRDefault="008740DD">
            <w:pPr>
              <w:autoSpaceDE w:val="0"/>
              <w:autoSpaceDN w:val="0"/>
              <w:adjustRightInd w:val="0"/>
              <w:rPr>
                <w:szCs w:val="22"/>
                <w:lang w:val="sr-Latn-ME"/>
              </w:rPr>
            </w:pPr>
            <w:r>
              <w:rPr>
                <w:szCs w:val="22"/>
                <w:lang w:val="sr-Latn-ME"/>
              </w:rPr>
              <w:t>-</w:t>
            </w:r>
          </w:p>
        </w:tc>
      </w:tr>
    </w:tbl>
    <w:p w14:paraId="59A6B961" w14:textId="77777777" w:rsidR="00095D7E" w:rsidRDefault="008740DD">
      <w:pPr>
        <w:pStyle w:val="NormalWeb"/>
        <w:spacing w:before="0" w:beforeAutospacing="0" w:after="0"/>
        <w:rPr>
          <w:i/>
          <w:sz w:val="22"/>
          <w:szCs w:val="22"/>
          <w:lang w:val="sr-Latn-ME"/>
        </w:rPr>
      </w:pPr>
      <w:r>
        <w:rPr>
          <w:i/>
          <w:iCs/>
          <w:color w:val="auto"/>
          <w:sz w:val="22"/>
          <w:szCs w:val="22"/>
          <w:lang w:val="sr-Latn-ME"/>
        </w:rPr>
        <w:t xml:space="preserve">* </w:t>
      </w:r>
      <w:r>
        <w:rPr>
          <w:i/>
          <w:color w:val="auto"/>
          <w:sz w:val="22"/>
          <w:szCs w:val="22"/>
          <w:lang w:val="sr-Latn-ME"/>
        </w:rPr>
        <w:t>Frekvenca izračunata iz kliničkih ispitivanja neželjenih događaja otkrivenih spontanim prijavljivanjem.</w:t>
      </w:r>
    </w:p>
    <w:p w14:paraId="6C229348" w14:textId="77777777" w:rsidR="00095D7E" w:rsidRDefault="008740DD">
      <w:pPr>
        <w:pStyle w:val="NormalWeb"/>
        <w:spacing w:before="0" w:beforeAutospacing="0" w:after="0"/>
        <w:rPr>
          <w:i/>
          <w:sz w:val="22"/>
          <w:szCs w:val="22"/>
          <w:lang w:val="sr-Latn-ME"/>
        </w:rPr>
      </w:pPr>
      <w:r>
        <w:rPr>
          <w:i/>
          <w:color w:val="auto"/>
          <w:sz w:val="22"/>
          <w:szCs w:val="22"/>
          <w:lang w:val="sr-Latn-ME"/>
        </w:rPr>
        <w:t>1 Učestalost će zavisiti od prisustva ili odsustva faktora rizika (preprandijalna glukoza ≥ 5,6 mmol/L, BMI &gt; 30 kg/m2, povišeni trigliceridi, hipertenzija u anamnezi).</w:t>
      </w:r>
    </w:p>
    <w:p w14:paraId="05791138" w14:textId="77777777" w:rsidR="00095D7E" w:rsidRDefault="00095D7E">
      <w:pPr>
        <w:widowControl w:val="0"/>
        <w:jc w:val="both"/>
        <w:rPr>
          <w:szCs w:val="22"/>
          <w:lang w:val="sr-Latn-ME"/>
        </w:rPr>
      </w:pPr>
    </w:p>
    <w:p w14:paraId="10963FBA" w14:textId="77777777" w:rsidR="00095D7E" w:rsidRDefault="008740DD">
      <w:pPr>
        <w:widowControl w:val="0"/>
        <w:jc w:val="both"/>
        <w:rPr>
          <w:iCs/>
          <w:szCs w:val="22"/>
          <w:lang w:val="sr-Latn-ME"/>
        </w:rPr>
      </w:pPr>
      <w:r>
        <w:rPr>
          <w:szCs w:val="22"/>
          <w:lang w:val="sr-Latn-ME"/>
        </w:rPr>
        <w:t>Kao i sa drugim inhibitorima HMG-CoA reduktaze, incidenca neželjenih reakcija na lijek teži da bude zavisna od doze.</w:t>
      </w:r>
    </w:p>
    <w:p w14:paraId="6F1786C1" w14:textId="77777777" w:rsidR="00095D7E" w:rsidRDefault="00095D7E">
      <w:pPr>
        <w:jc w:val="both"/>
        <w:rPr>
          <w:szCs w:val="22"/>
          <w:u w:val="single"/>
          <w:lang w:val="sr-Latn-ME"/>
        </w:rPr>
      </w:pPr>
    </w:p>
    <w:p w14:paraId="74997F30" w14:textId="77777777" w:rsidR="00095D7E" w:rsidRDefault="008740DD">
      <w:pPr>
        <w:widowControl w:val="0"/>
        <w:jc w:val="both"/>
        <w:rPr>
          <w:i/>
          <w:iCs/>
          <w:szCs w:val="22"/>
          <w:lang w:val="sr-Latn-ME"/>
        </w:rPr>
      </w:pPr>
      <w:r>
        <w:rPr>
          <w:i/>
          <w:szCs w:val="22"/>
          <w:lang w:val="sr-Latn-ME"/>
        </w:rPr>
        <w:t>Dodatne informacije u vezi sa rosuvastatinom</w:t>
      </w:r>
    </w:p>
    <w:p w14:paraId="3FB155FD" w14:textId="77777777" w:rsidR="00095D7E" w:rsidRDefault="00095D7E">
      <w:pPr>
        <w:widowControl w:val="0"/>
        <w:rPr>
          <w:iCs/>
          <w:szCs w:val="22"/>
          <w:u w:val="single"/>
          <w:lang w:val="sr-Latn-ME"/>
        </w:rPr>
      </w:pPr>
    </w:p>
    <w:p w14:paraId="113CA700" w14:textId="77777777" w:rsidR="00095D7E" w:rsidRDefault="008740DD">
      <w:pPr>
        <w:widowControl w:val="0"/>
        <w:rPr>
          <w:i/>
          <w:iCs/>
          <w:szCs w:val="22"/>
          <w:lang w:val="sr-Latn-ME"/>
        </w:rPr>
      </w:pPr>
      <w:r>
        <w:rPr>
          <w:i/>
          <w:szCs w:val="22"/>
          <w:u w:val="single"/>
          <w:lang w:val="sr-Latn-ME"/>
        </w:rPr>
        <w:t>Opis pojedinih neželjenih reakcija</w:t>
      </w:r>
    </w:p>
    <w:p w14:paraId="5EDF678A" w14:textId="77777777" w:rsidR="00095D7E" w:rsidRDefault="00095D7E">
      <w:pPr>
        <w:widowControl w:val="0"/>
        <w:rPr>
          <w:iCs/>
          <w:szCs w:val="22"/>
          <w:u w:val="single"/>
          <w:lang w:val="sr-Latn-ME"/>
        </w:rPr>
      </w:pPr>
    </w:p>
    <w:p w14:paraId="3B941058" w14:textId="77777777" w:rsidR="00095D7E" w:rsidRDefault="008740DD">
      <w:pPr>
        <w:widowControl w:val="0"/>
        <w:jc w:val="both"/>
        <w:rPr>
          <w:iCs/>
          <w:szCs w:val="22"/>
          <w:lang w:val="sr-Latn-ME"/>
        </w:rPr>
      </w:pPr>
      <w:r>
        <w:rPr>
          <w:i/>
          <w:szCs w:val="22"/>
          <w:lang w:val="sr-Latn-ME"/>
        </w:rPr>
        <w:t>Dejstva na bubrege</w:t>
      </w:r>
      <w:r>
        <w:rPr>
          <w:szCs w:val="22"/>
          <w:lang w:val="sr-Latn-ME"/>
        </w:rPr>
        <w:t>: Proteinurija, otkrivena testiranjem pomoću kontrolnog štapića i pretežno tubularna po porijeklu, primijećena je kod pacijenata koji su liječeni rosuvastatinom. Promjene proteina u urinu od „bez“ ili „tragova“ do „++“ ili više bile su primijećene kod &lt;1% pacijenata u nekom trenutku tokom terapije sa dozama od 10 i 20 mg, i kod približno 3% pacijenata liječenih sa 40 mg. Manje povećanje u promjeni sa „bez“ ili „tragova“ do „+“ bilo je primijećeno sa dozom od 20 mg. U većini slučajeva, proteinurija se smanjila ili nestala spontano, sa nastavkom terapije. Pregledom podataka iz kliničkih istraživanja i iskustava nakon stavljanja lijeka na tržište do sada nije utvrđena uzročna povezanost proteinurije i akutnog ili progresivnog oboljenja bubrega.</w:t>
      </w:r>
    </w:p>
    <w:p w14:paraId="3A43D96F" w14:textId="77777777" w:rsidR="00095D7E" w:rsidRDefault="00095D7E">
      <w:pPr>
        <w:widowControl w:val="0"/>
        <w:jc w:val="both"/>
        <w:rPr>
          <w:iCs/>
          <w:szCs w:val="22"/>
          <w:lang w:val="sr-Latn-ME"/>
        </w:rPr>
      </w:pPr>
    </w:p>
    <w:p w14:paraId="57F94C84" w14:textId="77777777" w:rsidR="00095D7E" w:rsidRDefault="008740DD">
      <w:pPr>
        <w:widowControl w:val="0"/>
        <w:jc w:val="both"/>
        <w:rPr>
          <w:iCs/>
          <w:szCs w:val="22"/>
          <w:lang w:val="sr-Latn-ME"/>
        </w:rPr>
      </w:pPr>
      <w:r>
        <w:rPr>
          <w:szCs w:val="22"/>
          <w:lang w:val="sr-Latn-ME"/>
        </w:rPr>
        <w:t>Hematurija je bila primijećena kod pacijenata liječenih rosuvastatinom, a podaci iz kliničkih ispitivanja pokazuju da je učestalost pojave mala.</w:t>
      </w:r>
    </w:p>
    <w:p w14:paraId="11F951F3" w14:textId="77777777" w:rsidR="00095D7E" w:rsidRDefault="00095D7E">
      <w:pPr>
        <w:widowControl w:val="0"/>
        <w:jc w:val="both"/>
        <w:rPr>
          <w:iCs/>
          <w:szCs w:val="22"/>
          <w:lang w:val="sr-Latn-ME"/>
        </w:rPr>
      </w:pPr>
    </w:p>
    <w:p w14:paraId="24C9A3A2" w14:textId="77777777" w:rsidR="00095D7E" w:rsidRDefault="008740DD">
      <w:pPr>
        <w:widowControl w:val="0"/>
        <w:jc w:val="both"/>
        <w:rPr>
          <w:iCs/>
          <w:szCs w:val="22"/>
          <w:lang w:val="sr-Latn-ME"/>
        </w:rPr>
      </w:pPr>
      <w:r>
        <w:rPr>
          <w:i/>
          <w:szCs w:val="22"/>
          <w:lang w:val="sr-Latn-ME"/>
        </w:rPr>
        <w:t>Dejstva na skeletne mišiće</w:t>
      </w:r>
      <w:r>
        <w:rPr>
          <w:szCs w:val="22"/>
          <w:lang w:val="sr-Latn-ME"/>
        </w:rPr>
        <w:t>: Dejstva na skeletne mišiće npr. mijalgija, miopatija (uključujući miozitis) i, rijetko, rabdomioliza sa akutnom insuficijencijom bubrega ili bez nje zabilježena su kod pacijenata liječenih rosuvastatinom sa svim dozama, a naročito sa dozama &gt; 20 mg.</w:t>
      </w:r>
    </w:p>
    <w:p w14:paraId="669734D9" w14:textId="77777777" w:rsidR="00095D7E" w:rsidRDefault="00095D7E">
      <w:pPr>
        <w:widowControl w:val="0"/>
        <w:jc w:val="both"/>
        <w:rPr>
          <w:iCs/>
          <w:szCs w:val="22"/>
          <w:lang w:val="sr-Latn-ME"/>
        </w:rPr>
      </w:pPr>
    </w:p>
    <w:p w14:paraId="51D34F1C" w14:textId="77777777" w:rsidR="00095D7E" w:rsidRDefault="008740DD">
      <w:pPr>
        <w:widowControl w:val="0"/>
        <w:jc w:val="both"/>
        <w:rPr>
          <w:iCs/>
          <w:szCs w:val="22"/>
          <w:lang w:val="sr-Latn-ME"/>
        </w:rPr>
      </w:pPr>
      <w:r>
        <w:rPr>
          <w:szCs w:val="22"/>
          <w:lang w:val="sr-Latn-ME"/>
        </w:rPr>
        <w:t xml:space="preserve">Primijećeno je povećanje nivoa CK zavisno od doze kod pacijenata koji su uzimali rosuvastatin. U većini </w:t>
      </w:r>
      <w:r>
        <w:rPr>
          <w:szCs w:val="22"/>
          <w:lang w:val="sr-Latn-ME"/>
        </w:rPr>
        <w:lastRenderedPageBreak/>
        <w:t>slučajeva ono je bilo blago, asimptomatsko i prolazno. Ako je nivo CK povišen (&gt; 5 x GGN), terapiju treba prekinuti (vidjeti dio 4.4).</w:t>
      </w:r>
    </w:p>
    <w:p w14:paraId="328EBCB0" w14:textId="77777777" w:rsidR="00095D7E" w:rsidRDefault="00095D7E">
      <w:pPr>
        <w:widowControl w:val="0"/>
        <w:jc w:val="both"/>
        <w:rPr>
          <w:iCs/>
          <w:szCs w:val="22"/>
          <w:lang w:val="sr-Latn-ME"/>
        </w:rPr>
      </w:pPr>
    </w:p>
    <w:p w14:paraId="28E98BC6" w14:textId="77777777" w:rsidR="00095D7E" w:rsidRDefault="008740DD">
      <w:pPr>
        <w:widowControl w:val="0"/>
        <w:jc w:val="both"/>
        <w:rPr>
          <w:iCs/>
          <w:szCs w:val="22"/>
          <w:lang w:val="sr-Latn-ME"/>
        </w:rPr>
      </w:pPr>
      <w:r>
        <w:rPr>
          <w:i/>
          <w:szCs w:val="22"/>
          <w:lang w:val="sr-Latn-ME"/>
        </w:rPr>
        <w:t>Dejstva na jetru</w:t>
      </w:r>
      <w:r>
        <w:rPr>
          <w:szCs w:val="22"/>
          <w:lang w:val="sr-Latn-ME"/>
        </w:rPr>
        <w:t>: Kao i sa drugim inhibitorima HMG-CoA reduktaze, primijećeno je povećanje transaminaza zavisno od doze kod malog broja pacijenata koji su uzimali rosuvastatin. U većini slučajeva ono je bilo blago, asimptomatsko i prolazno.</w:t>
      </w:r>
    </w:p>
    <w:p w14:paraId="22A3EA9F" w14:textId="77777777" w:rsidR="00095D7E" w:rsidRDefault="00095D7E">
      <w:pPr>
        <w:widowControl w:val="0"/>
        <w:rPr>
          <w:iCs/>
          <w:szCs w:val="22"/>
          <w:lang w:val="sr-Latn-ME"/>
        </w:rPr>
      </w:pPr>
    </w:p>
    <w:p w14:paraId="056C9860" w14:textId="77777777" w:rsidR="00095D7E" w:rsidRDefault="008740DD">
      <w:pPr>
        <w:widowControl w:val="0"/>
        <w:jc w:val="both"/>
        <w:rPr>
          <w:iCs/>
          <w:szCs w:val="22"/>
          <w:lang w:val="sr-Latn-ME"/>
        </w:rPr>
      </w:pPr>
      <w:r>
        <w:rPr>
          <w:szCs w:val="22"/>
          <w:lang w:val="sr-Latn-ME"/>
        </w:rPr>
        <w:t>Sa nekim statinima zabilježena su sljedeći neželjeni događaji:</w:t>
      </w:r>
    </w:p>
    <w:p w14:paraId="321E60B6" w14:textId="77777777" w:rsidR="00095D7E" w:rsidRDefault="008740DD">
      <w:pPr>
        <w:widowControl w:val="0"/>
        <w:numPr>
          <w:ilvl w:val="0"/>
          <w:numId w:val="12"/>
        </w:numPr>
        <w:spacing w:line="240" w:lineRule="auto"/>
        <w:ind w:left="567" w:hanging="567"/>
        <w:jc w:val="both"/>
        <w:rPr>
          <w:iCs/>
          <w:szCs w:val="22"/>
          <w:lang w:val="sr-Latn-ME"/>
        </w:rPr>
      </w:pPr>
      <w:r>
        <w:rPr>
          <w:szCs w:val="22"/>
          <w:lang w:val="sr-Latn-ME"/>
        </w:rPr>
        <w:t>seksualna disfunkcija,</w:t>
      </w:r>
    </w:p>
    <w:p w14:paraId="5270E4AE" w14:textId="77777777" w:rsidR="00095D7E" w:rsidRDefault="008740DD">
      <w:pPr>
        <w:widowControl w:val="0"/>
        <w:numPr>
          <w:ilvl w:val="0"/>
          <w:numId w:val="12"/>
        </w:numPr>
        <w:spacing w:line="240" w:lineRule="auto"/>
        <w:ind w:left="567" w:hanging="567"/>
        <w:jc w:val="both"/>
        <w:rPr>
          <w:iCs/>
          <w:szCs w:val="22"/>
          <w:lang w:val="sr-Latn-ME"/>
        </w:rPr>
      </w:pPr>
      <w:r>
        <w:rPr>
          <w:szCs w:val="22"/>
          <w:lang w:val="sr-Latn-ME"/>
        </w:rPr>
        <w:t>izuzetni slučajevi intersticijalne bolesti pluća, naročito kod dugotrajne terapije (vidjeti dio 4.4).</w:t>
      </w:r>
    </w:p>
    <w:p w14:paraId="5001DAC0" w14:textId="77777777" w:rsidR="00095D7E" w:rsidRDefault="00095D7E">
      <w:pPr>
        <w:widowControl w:val="0"/>
        <w:jc w:val="both"/>
        <w:rPr>
          <w:iCs/>
          <w:szCs w:val="22"/>
          <w:lang w:val="sr-Latn-ME"/>
        </w:rPr>
      </w:pPr>
    </w:p>
    <w:p w14:paraId="7231D508" w14:textId="77777777" w:rsidR="00095D7E" w:rsidRDefault="008740DD">
      <w:pPr>
        <w:widowControl w:val="0"/>
        <w:jc w:val="both"/>
        <w:rPr>
          <w:iCs/>
          <w:szCs w:val="22"/>
          <w:lang w:val="sr-Latn-ME"/>
        </w:rPr>
      </w:pPr>
      <w:r>
        <w:rPr>
          <w:szCs w:val="22"/>
          <w:lang w:val="sr-Latn-ME"/>
        </w:rPr>
        <w:t>Stope prijavljivanja rabdomiolize i ozbiljnih događaja povezanih sa bubrezima i jetrom (koji se uglavnom sastoje od povećanih transaminaza jetre) veće su sa dozom od 40 mg.</w:t>
      </w:r>
    </w:p>
    <w:p w14:paraId="7CC69993" w14:textId="77777777" w:rsidR="00095D7E" w:rsidRDefault="00095D7E">
      <w:pPr>
        <w:widowControl w:val="0"/>
        <w:rPr>
          <w:iCs/>
          <w:szCs w:val="22"/>
          <w:lang w:val="sr-Latn-ME"/>
        </w:rPr>
      </w:pPr>
    </w:p>
    <w:p w14:paraId="69FE9E67" w14:textId="77777777" w:rsidR="00095D7E" w:rsidRDefault="008740DD">
      <w:pPr>
        <w:widowControl w:val="0"/>
        <w:jc w:val="both"/>
        <w:rPr>
          <w:iCs/>
          <w:szCs w:val="22"/>
          <w:u w:val="single"/>
          <w:lang w:val="sr-Latn-ME"/>
        </w:rPr>
      </w:pPr>
      <w:r>
        <w:rPr>
          <w:szCs w:val="22"/>
          <w:u w:val="single"/>
          <w:lang w:val="sr-Latn-ME"/>
        </w:rPr>
        <w:t>Pedijatrijska populacija</w:t>
      </w:r>
    </w:p>
    <w:p w14:paraId="680FB4F3" w14:textId="77777777" w:rsidR="00095D7E" w:rsidRDefault="008740DD">
      <w:pPr>
        <w:widowControl w:val="0"/>
        <w:jc w:val="both"/>
        <w:rPr>
          <w:iCs/>
          <w:szCs w:val="22"/>
          <w:lang w:val="sr-Latn-ME"/>
        </w:rPr>
      </w:pPr>
      <w:r>
        <w:rPr>
          <w:szCs w:val="22"/>
          <w:lang w:val="sr-Latn-ME"/>
        </w:rPr>
        <w:t>Povećanje kreatin kinaze &gt;10 x GGN i mišićni simptomi nakon vježbanja ili povećane fizičke aktivnosti češće su primijećeni kod djece i adolescenata nego kod odraslih u kliničkom ispitivanju koje je trajalo 52 nedjelje (vidjeti dio 4.4). Što se drugih stvari tiče, bezbjednosni profil rosuvastatina bio je sličan kod djece i adolescenata kao i kod odrasle populacije.</w:t>
      </w:r>
    </w:p>
    <w:p w14:paraId="3D9DBED2" w14:textId="77777777" w:rsidR="00095D7E" w:rsidRDefault="00095D7E">
      <w:pPr>
        <w:widowControl w:val="0"/>
        <w:jc w:val="both"/>
        <w:rPr>
          <w:rFonts w:eastAsia="Calibri"/>
          <w:szCs w:val="22"/>
          <w:u w:val="single"/>
          <w:lang w:val="sr-Latn-ME"/>
        </w:rPr>
      </w:pPr>
    </w:p>
    <w:p w14:paraId="67AE5162" w14:textId="77777777" w:rsidR="00095D7E" w:rsidRDefault="008740DD">
      <w:pPr>
        <w:widowControl w:val="0"/>
        <w:jc w:val="both"/>
        <w:rPr>
          <w:i/>
          <w:iCs/>
          <w:szCs w:val="22"/>
          <w:lang w:val="sr-Latn-ME"/>
        </w:rPr>
      </w:pPr>
      <w:r>
        <w:rPr>
          <w:i/>
          <w:szCs w:val="22"/>
          <w:lang w:val="sr-Latn-ME"/>
        </w:rPr>
        <w:t>Dodatne informacije u vezi sa indapamidom</w:t>
      </w:r>
    </w:p>
    <w:p w14:paraId="2575074D" w14:textId="77777777" w:rsidR="00095D7E" w:rsidRDefault="00095D7E">
      <w:pPr>
        <w:widowControl w:val="0"/>
        <w:jc w:val="both"/>
        <w:rPr>
          <w:i/>
          <w:color w:val="000000"/>
          <w:szCs w:val="22"/>
          <w:lang w:val="en"/>
        </w:rPr>
      </w:pPr>
    </w:p>
    <w:p w14:paraId="15A5E1A1" w14:textId="77777777" w:rsidR="00095D7E" w:rsidRDefault="008740DD">
      <w:pPr>
        <w:widowControl w:val="0"/>
        <w:jc w:val="both"/>
        <w:rPr>
          <w:i/>
          <w:color w:val="000000"/>
          <w:szCs w:val="22"/>
          <w:u w:val="single"/>
        </w:rPr>
      </w:pPr>
      <w:r>
        <w:rPr>
          <w:i/>
          <w:color w:val="000000"/>
          <w:szCs w:val="22"/>
          <w:u w:val="single"/>
        </w:rPr>
        <w:t>Opis odabranih neželjenih reakcija</w:t>
      </w:r>
    </w:p>
    <w:p w14:paraId="17CD8A00" w14:textId="77777777" w:rsidR="00095D7E" w:rsidRDefault="008740DD">
      <w:pPr>
        <w:widowControl w:val="0"/>
        <w:jc w:val="both"/>
        <w:rPr>
          <w:color w:val="000000"/>
          <w:szCs w:val="22"/>
          <w:lang w:val="sr-Latn-ME"/>
        </w:rPr>
      </w:pPr>
      <w:r>
        <w:rPr>
          <w:color w:val="000000"/>
          <w:szCs w:val="22"/>
          <w:lang w:val="sr-Latn-ME"/>
        </w:rPr>
        <w:t>Tokom faze II i III sprovođenja studija u kojima su se poredile doze indapamida od 1,5 mg i 2,5 mg, nivo koncentracije kalijuma u plazmi pokazao se kao dozno zavistan od indapamida:</w:t>
      </w:r>
    </w:p>
    <w:p w14:paraId="4333D16E" w14:textId="77777777" w:rsidR="00095D7E" w:rsidRDefault="008740DD">
      <w:pPr>
        <w:widowControl w:val="0"/>
        <w:jc w:val="both"/>
        <w:rPr>
          <w:color w:val="000000"/>
          <w:szCs w:val="22"/>
          <w:lang w:val="sr-Latn-ME"/>
        </w:rPr>
      </w:pPr>
      <w:r>
        <w:rPr>
          <w:color w:val="000000"/>
          <w:szCs w:val="22"/>
          <w:lang w:val="sr-Latn-ME"/>
        </w:rPr>
        <w:t>- Indapamid 1,5 mg: Vrijednosti kalijuma u plazmi &lt;3.4 mmol/l su uočene kod 10% pacijenata, i &lt;3.2 mmol/l kod 4% pacijenata nakon 4 do 6 nedjelja liječenja. Nakon 12 nedjelja liječenja, ukupno smanjenje nivoa kalijuma je iznosilo 0.23 mmol/l.</w:t>
      </w:r>
    </w:p>
    <w:p w14:paraId="35F641FA" w14:textId="77777777" w:rsidR="00095D7E" w:rsidRDefault="008740DD">
      <w:pPr>
        <w:widowControl w:val="0"/>
        <w:jc w:val="both"/>
        <w:rPr>
          <w:color w:val="000000"/>
          <w:szCs w:val="22"/>
          <w:lang w:val="sr-Latn-ME"/>
        </w:rPr>
      </w:pPr>
      <w:r>
        <w:rPr>
          <w:color w:val="000000"/>
          <w:szCs w:val="22"/>
          <w:lang w:val="sr-Latn-ME"/>
        </w:rPr>
        <w:t>- Indapamid 2.5 mg: Vrijednosti kalijuma u plazmi &lt;3.4 mmol/l su uočene kod 25% pacijenata, i &lt;3.2 mmol/l kod 10% pacijenata nakon 4 do 6 nedjelja liječenja. Nakon 12 nedjelja liječenja, ukupno smanjenje nivoa kalijuma je iznosilo 0.41 mmol/l.</w:t>
      </w:r>
    </w:p>
    <w:p w14:paraId="434DE591" w14:textId="77777777" w:rsidR="00095D7E" w:rsidRDefault="00095D7E">
      <w:pPr>
        <w:widowControl w:val="0"/>
        <w:jc w:val="both"/>
        <w:rPr>
          <w:rFonts w:eastAsia="Calibri"/>
          <w:szCs w:val="22"/>
          <w:u w:val="single"/>
          <w:lang w:val="sr-Latn-ME"/>
        </w:rPr>
      </w:pPr>
    </w:p>
    <w:p w14:paraId="1E6CCC09" w14:textId="77777777" w:rsidR="00095D7E" w:rsidRDefault="008740DD">
      <w:pPr>
        <w:spacing w:after="200" w:line="276" w:lineRule="auto"/>
        <w:jc w:val="both"/>
        <w:rPr>
          <w:rFonts w:eastAsia="Calibri"/>
          <w:szCs w:val="22"/>
          <w:u w:val="single"/>
          <w:lang w:val="sr-Latn-ME"/>
        </w:rPr>
      </w:pPr>
      <w:r>
        <w:rPr>
          <w:rFonts w:eastAsia="Calibri"/>
          <w:szCs w:val="22"/>
          <w:u w:val="single"/>
          <w:lang w:val="sr-Latn-ME"/>
        </w:rPr>
        <w:t>Prijavljivanje sumnji na neželjena dejstva</w:t>
      </w:r>
    </w:p>
    <w:p w14:paraId="4EDC3F5F" w14:textId="77777777" w:rsidR="00095D7E" w:rsidRDefault="008740DD">
      <w:pPr>
        <w:tabs>
          <w:tab w:val="clear" w:pos="567"/>
        </w:tabs>
        <w:spacing w:after="200" w:line="240" w:lineRule="auto"/>
        <w:jc w:val="both"/>
        <w:rPr>
          <w:rFonts w:eastAsia="Calibri"/>
          <w:szCs w:val="22"/>
          <w:lang w:val="sr-Latn-RS"/>
        </w:rPr>
      </w:pPr>
      <w:r>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2781200" w14:textId="77777777" w:rsidR="00095D7E" w:rsidRDefault="008740DD">
      <w:pPr>
        <w:tabs>
          <w:tab w:val="clear" w:pos="567"/>
        </w:tabs>
        <w:spacing w:line="240" w:lineRule="auto"/>
        <w:jc w:val="both"/>
        <w:rPr>
          <w:rFonts w:eastAsia="Calibri"/>
          <w:szCs w:val="22"/>
          <w:lang w:val="sr-Latn-RS"/>
        </w:rPr>
      </w:pPr>
      <w:r>
        <w:rPr>
          <w:rFonts w:eastAsia="Calibri"/>
          <w:szCs w:val="22"/>
          <w:lang w:val="sr-Latn-RS"/>
        </w:rPr>
        <w:t xml:space="preserve">Institut za ljekove i medicinska sredstva </w:t>
      </w:r>
    </w:p>
    <w:p w14:paraId="035778D3" w14:textId="77777777" w:rsidR="00095D7E" w:rsidRDefault="008740DD">
      <w:pPr>
        <w:tabs>
          <w:tab w:val="clear" w:pos="567"/>
        </w:tabs>
        <w:spacing w:line="240" w:lineRule="auto"/>
        <w:jc w:val="both"/>
        <w:rPr>
          <w:rFonts w:eastAsia="Calibri"/>
          <w:szCs w:val="22"/>
          <w:lang w:val="sr-Latn-RS"/>
        </w:rPr>
      </w:pPr>
      <w:r>
        <w:rPr>
          <w:rFonts w:eastAsia="Calibri"/>
          <w:szCs w:val="22"/>
          <w:lang w:val="sr-Latn-RS"/>
        </w:rPr>
        <w:t>Odjeljenje za farmakovigilancu</w:t>
      </w:r>
    </w:p>
    <w:p w14:paraId="4DC2DCA4" w14:textId="77777777" w:rsidR="00095D7E" w:rsidRDefault="008740DD">
      <w:pPr>
        <w:tabs>
          <w:tab w:val="clear" w:pos="567"/>
        </w:tabs>
        <w:spacing w:line="240" w:lineRule="auto"/>
        <w:jc w:val="both"/>
        <w:rPr>
          <w:rFonts w:eastAsia="Calibri"/>
          <w:szCs w:val="22"/>
          <w:lang w:val="sr-Latn-RS"/>
        </w:rPr>
      </w:pPr>
      <w:r>
        <w:rPr>
          <w:rFonts w:eastAsia="Calibri"/>
          <w:szCs w:val="22"/>
          <w:lang w:val="sr-Latn-RS"/>
        </w:rPr>
        <w:t>Bulevar Ivana Crnojevića 64a, 81000 Podgorica</w:t>
      </w:r>
    </w:p>
    <w:p w14:paraId="47975CF0" w14:textId="77777777" w:rsidR="00095D7E" w:rsidRDefault="00095D7E">
      <w:pPr>
        <w:tabs>
          <w:tab w:val="clear" w:pos="567"/>
        </w:tabs>
        <w:spacing w:line="240" w:lineRule="auto"/>
        <w:rPr>
          <w:rFonts w:eastAsia="Calibri"/>
          <w:szCs w:val="22"/>
          <w:lang w:val="sr-Latn-RS"/>
        </w:rPr>
      </w:pPr>
    </w:p>
    <w:p w14:paraId="14D54978" w14:textId="77777777" w:rsidR="00095D7E" w:rsidRDefault="008740DD">
      <w:pPr>
        <w:tabs>
          <w:tab w:val="clear" w:pos="567"/>
        </w:tabs>
        <w:spacing w:line="240" w:lineRule="auto"/>
        <w:jc w:val="both"/>
        <w:rPr>
          <w:rFonts w:eastAsia="Calibri"/>
          <w:szCs w:val="22"/>
          <w:lang w:val="sr-Latn-RS"/>
        </w:rPr>
      </w:pPr>
      <w:r>
        <w:rPr>
          <w:rFonts w:eastAsia="Calibri"/>
          <w:szCs w:val="22"/>
          <w:lang w:val="sr-Latn-RS"/>
        </w:rPr>
        <w:t>tel: +382 (0) 20 310 280</w:t>
      </w:r>
    </w:p>
    <w:p w14:paraId="557031BF" w14:textId="77777777" w:rsidR="00095D7E" w:rsidRDefault="008740DD">
      <w:pPr>
        <w:tabs>
          <w:tab w:val="clear" w:pos="567"/>
          <w:tab w:val="left" w:pos="6720"/>
        </w:tabs>
        <w:spacing w:line="240" w:lineRule="auto"/>
        <w:jc w:val="both"/>
        <w:rPr>
          <w:rFonts w:eastAsia="Calibri"/>
          <w:szCs w:val="22"/>
          <w:lang w:val="sr-Latn-RS"/>
        </w:rPr>
      </w:pPr>
      <w:r>
        <w:rPr>
          <w:rFonts w:eastAsia="Calibri"/>
          <w:szCs w:val="22"/>
          <w:lang w:val="sr-Latn-RS"/>
        </w:rPr>
        <w:t>fax: +382 (0) 20 310 581</w:t>
      </w:r>
      <w:r>
        <w:rPr>
          <w:rFonts w:eastAsia="Calibri"/>
          <w:szCs w:val="22"/>
          <w:lang w:val="sr-Latn-RS"/>
        </w:rPr>
        <w:tab/>
      </w:r>
    </w:p>
    <w:p w14:paraId="4C314C38" w14:textId="77777777" w:rsidR="00095D7E" w:rsidRDefault="00D05007">
      <w:pPr>
        <w:tabs>
          <w:tab w:val="clear" w:pos="567"/>
        </w:tabs>
        <w:spacing w:line="240" w:lineRule="auto"/>
        <w:jc w:val="both"/>
        <w:rPr>
          <w:rFonts w:eastAsia="Calibri"/>
          <w:szCs w:val="22"/>
          <w:lang w:val="sr-Latn-RS"/>
        </w:rPr>
      </w:pPr>
      <w:hyperlink r:id="rId7" w:history="1">
        <w:r w:rsidR="008740DD">
          <w:rPr>
            <w:rFonts w:eastAsia="Calibri"/>
            <w:color w:val="0563C1"/>
            <w:szCs w:val="22"/>
            <w:u w:val="single"/>
            <w:lang w:val="sr-Latn-RS"/>
          </w:rPr>
          <w:t>www.cinmed.me</w:t>
        </w:r>
      </w:hyperlink>
    </w:p>
    <w:p w14:paraId="1A45E666" w14:textId="77777777" w:rsidR="00095D7E" w:rsidRDefault="00D05007">
      <w:pPr>
        <w:tabs>
          <w:tab w:val="clear" w:pos="567"/>
        </w:tabs>
        <w:spacing w:line="240" w:lineRule="auto"/>
        <w:jc w:val="both"/>
        <w:rPr>
          <w:rFonts w:eastAsia="Calibri"/>
          <w:color w:val="0000FF"/>
          <w:szCs w:val="22"/>
          <w:u w:val="single"/>
          <w:lang w:val="sr-Latn-RS"/>
        </w:rPr>
      </w:pPr>
      <w:hyperlink r:id="rId8" w:history="1">
        <w:r w:rsidR="008740DD">
          <w:rPr>
            <w:rFonts w:eastAsia="Calibri"/>
            <w:color w:val="0563C1"/>
            <w:szCs w:val="22"/>
            <w:u w:val="single"/>
            <w:lang w:val="sr-Latn-RS"/>
          </w:rPr>
          <w:t>nezeljenadejstva@cinmed.me</w:t>
        </w:r>
      </w:hyperlink>
    </w:p>
    <w:p w14:paraId="06A499AB" w14:textId="77777777" w:rsidR="00095D7E" w:rsidRDefault="008740DD">
      <w:pPr>
        <w:tabs>
          <w:tab w:val="clear" w:pos="567"/>
        </w:tabs>
        <w:spacing w:line="240" w:lineRule="auto"/>
        <w:jc w:val="both"/>
        <w:rPr>
          <w:rFonts w:eastAsia="Calibri"/>
          <w:szCs w:val="22"/>
          <w:lang w:val="sr-Latn-RS"/>
        </w:rPr>
      </w:pPr>
      <w:r>
        <w:rPr>
          <w:rFonts w:eastAsia="Calibri"/>
          <w:szCs w:val="22"/>
          <w:lang w:val="sr-Latn-RS"/>
        </w:rPr>
        <w:t>putem IS zdravstvene zaštite</w:t>
      </w:r>
    </w:p>
    <w:p w14:paraId="73A7FAF4" w14:textId="77777777" w:rsidR="00095D7E" w:rsidRDefault="008740DD">
      <w:pPr>
        <w:tabs>
          <w:tab w:val="clear" w:pos="567"/>
        </w:tabs>
        <w:spacing w:line="240" w:lineRule="auto"/>
        <w:jc w:val="both"/>
        <w:rPr>
          <w:rFonts w:eastAsia="Calibri"/>
          <w:szCs w:val="22"/>
          <w:lang w:val="sr-Latn-RS"/>
        </w:rPr>
      </w:pPr>
      <w:r>
        <w:rPr>
          <w:rFonts w:eastAsia="Calibri"/>
          <w:szCs w:val="22"/>
          <w:lang w:val="sr-Latn-RS"/>
        </w:rPr>
        <w:t>QR kod za online prijavu sumnje na neželjeno dejstvo lijeka:</w:t>
      </w:r>
    </w:p>
    <w:p w14:paraId="0E534793" w14:textId="77777777" w:rsidR="00095D7E" w:rsidRDefault="00095D7E">
      <w:pPr>
        <w:tabs>
          <w:tab w:val="clear" w:pos="567"/>
        </w:tabs>
        <w:spacing w:line="240" w:lineRule="auto"/>
        <w:jc w:val="both"/>
        <w:rPr>
          <w:rFonts w:eastAsia="Calibri"/>
          <w:szCs w:val="22"/>
          <w:lang w:val="sr-Latn-RS"/>
        </w:rPr>
      </w:pPr>
    </w:p>
    <w:p w14:paraId="2BED794B" w14:textId="77777777" w:rsidR="00095D7E" w:rsidRDefault="00673D20">
      <w:pPr>
        <w:tabs>
          <w:tab w:val="clear" w:pos="567"/>
        </w:tabs>
        <w:spacing w:line="240" w:lineRule="auto"/>
        <w:rPr>
          <w:rFonts w:eastAsia="Calibri"/>
          <w:szCs w:val="22"/>
          <w:lang w:val="sr-Latn-RS"/>
        </w:rPr>
      </w:pPr>
      <w:r>
        <w:rPr>
          <w:noProof/>
          <w:sz w:val="24"/>
          <w:szCs w:val="24"/>
          <w:lang w:val="en-US"/>
        </w:rPr>
        <w:drawing>
          <wp:inline distT="0" distB="0" distL="0" distR="0" wp14:anchorId="2B872881" wp14:editId="7B29AB4F">
            <wp:extent cx="971550" cy="971550"/>
            <wp:effectExtent l="0" t="0" r="0" b="0"/>
            <wp:docPr id="1"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052F023" w14:textId="77777777" w:rsidR="00095D7E" w:rsidRDefault="00095D7E">
      <w:pPr>
        <w:tabs>
          <w:tab w:val="clear" w:pos="567"/>
          <w:tab w:val="left" w:pos="540"/>
          <w:tab w:val="left" w:pos="569"/>
        </w:tabs>
        <w:rPr>
          <w:b/>
          <w:bCs/>
          <w:szCs w:val="22"/>
          <w:lang w:val="sr-Latn-ME"/>
        </w:rPr>
      </w:pPr>
    </w:p>
    <w:p w14:paraId="18D349E8" w14:textId="77777777" w:rsidR="00095D7E" w:rsidRDefault="008740DD">
      <w:pPr>
        <w:tabs>
          <w:tab w:val="clear" w:pos="567"/>
          <w:tab w:val="left" w:pos="540"/>
          <w:tab w:val="left" w:pos="569"/>
        </w:tabs>
        <w:rPr>
          <w:b/>
          <w:bCs/>
          <w:szCs w:val="22"/>
          <w:lang w:val="sr-Latn-ME"/>
        </w:rPr>
      </w:pPr>
      <w:r>
        <w:rPr>
          <w:b/>
          <w:bCs/>
          <w:szCs w:val="22"/>
          <w:lang w:val="sr-Latn-ME"/>
        </w:rPr>
        <w:lastRenderedPageBreak/>
        <w:t xml:space="preserve">4.9. </w:t>
      </w:r>
      <w:r>
        <w:rPr>
          <w:b/>
          <w:bCs/>
          <w:szCs w:val="22"/>
          <w:lang w:val="sr-Latn-ME"/>
        </w:rPr>
        <w:tab/>
        <w:t xml:space="preserve">Predoziranje </w:t>
      </w:r>
    </w:p>
    <w:p w14:paraId="7CC6FEED" w14:textId="77777777" w:rsidR="00095D7E" w:rsidRDefault="00095D7E">
      <w:pPr>
        <w:tabs>
          <w:tab w:val="clear" w:pos="567"/>
          <w:tab w:val="left" w:pos="540"/>
          <w:tab w:val="left" w:pos="569"/>
        </w:tabs>
        <w:rPr>
          <w:b/>
          <w:bCs/>
          <w:szCs w:val="22"/>
          <w:lang w:val="sr-Latn-ME"/>
        </w:rPr>
      </w:pPr>
    </w:p>
    <w:p w14:paraId="792ECC65" w14:textId="77777777" w:rsidR="00095D7E" w:rsidRDefault="008740DD">
      <w:pPr>
        <w:widowControl w:val="0"/>
        <w:rPr>
          <w:i/>
          <w:iCs/>
          <w:snapToGrid w:val="0"/>
          <w:szCs w:val="22"/>
          <w:lang w:val="sr-Latn-ME"/>
        </w:rPr>
      </w:pPr>
      <w:r>
        <w:rPr>
          <w:i/>
          <w:szCs w:val="22"/>
          <w:lang w:val="sr-Latn-ME"/>
        </w:rPr>
        <w:t>Simptomi</w:t>
      </w:r>
    </w:p>
    <w:p w14:paraId="13643A1A" w14:textId="77777777" w:rsidR="00095D7E" w:rsidRDefault="008740DD">
      <w:pPr>
        <w:widowControl w:val="0"/>
        <w:jc w:val="both"/>
        <w:rPr>
          <w:spacing w:val="-2"/>
          <w:szCs w:val="22"/>
          <w:lang w:val="sr-Latn-ME"/>
        </w:rPr>
      </w:pPr>
      <w:r>
        <w:rPr>
          <w:szCs w:val="22"/>
          <w:lang w:val="sr-Latn-ME"/>
        </w:rPr>
        <w:t>Najvjerovatnija neželjena reakcija koja se može javiti u slučajevima predoziranja jeste hipotenzija, ponekad praćena mučninom, povraćanjem, grčevima mišića, vrtoglavicom, pospanošću, mentalnom konfuzijom, oligurijom koja može da se pogorša do anurije (usljed hipovolemije).</w:t>
      </w:r>
      <w:r>
        <w:rPr>
          <w:spacing w:val="-2"/>
          <w:szCs w:val="22"/>
          <w:lang w:val="sr-Latn-ME"/>
        </w:rPr>
        <w:t xml:space="preserve"> </w:t>
      </w:r>
      <w:r>
        <w:rPr>
          <w:szCs w:val="22"/>
          <w:lang w:val="sr-Latn-ME"/>
        </w:rPr>
        <w:t xml:space="preserve">Može doći do poremećaja soli i tečnosti (niske koncentracije natrijuma, </w:t>
      </w:r>
      <w:r>
        <w:rPr>
          <w:spacing w:val="-2"/>
          <w:szCs w:val="22"/>
          <w:lang w:val="sr-Latn-ME"/>
        </w:rPr>
        <w:t>niske koncentracije kalijuma).</w:t>
      </w:r>
    </w:p>
    <w:p w14:paraId="0715B138" w14:textId="77777777" w:rsidR="00095D7E" w:rsidRDefault="00095D7E">
      <w:pPr>
        <w:widowControl w:val="0"/>
        <w:jc w:val="both"/>
        <w:rPr>
          <w:snapToGrid w:val="0"/>
          <w:szCs w:val="22"/>
          <w:lang w:val="sr-Latn-ME"/>
        </w:rPr>
      </w:pPr>
    </w:p>
    <w:p w14:paraId="663C668A" w14:textId="77777777" w:rsidR="00095D7E" w:rsidRDefault="008740DD">
      <w:pPr>
        <w:widowControl w:val="0"/>
        <w:jc w:val="both"/>
        <w:rPr>
          <w:snapToGrid w:val="0"/>
          <w:szCs w:val="22"/>
          <w:lang w:val="sr-Latn-ME"/>
        </w:rPr>
      </w:pPr>
      <w:r>
        <w:rPr>
          <w:i/>
          <w:szCs w:val="22"/>
          <w:lang w:val="sr-Latn-ME"/>
        </w:rPr>
        <w:t>Terapija</w:t>
      </w:r>
    </w:p>
    <w:p w14:paraId="3636BAFD" w14:textId="77777777" w:rsidR="00095D7E" w:rsidRDefault="008740DD">
      <w:pPr>
        <w:widowControl w:val="0"/>
        <w:jc w:val="both"/>
        <w:rPr>
          <w:szCs w:val="22"/>
          <w:lang w:val="sr-Latn-ME"/>
        </w:rPr>
      </w:pPr>
      <w:r>
        <w:rPr>
          <w:szCs w:val="22"/>
          <w:lang w:val="sr-Latn-ME"/>
        </w:rPr>
        <w:t>Ne postoji posebna terapija u slučaju predoziranja. Ako dođe do predoziranja, pacijenta treba liječiti simptomatski i, po potrebi, preduzeti suportivne mjere. Prva mjera koju treba preduzeti jeste brzo uklanjanje ljekova koji su uneseni u organizam ispiranjem želuca i/ili davanjem aktivnog uglja, a zatim ponovno uspostavljanje ravnoteže tečnosti i elektrolita dok se ne vrate na normalu. Ako se razvije izražena hipotenzija, pacijenta treba postaviti u ležeći položaj sa podignutim nogama i spuštenom glavom. Ukoliko je neophodno, može se dati intravenska infuzija izotoničnog rastvora ili se može primijeniti neki drugi metod koji dovodi do ekspanzije volumena. Treba pratiti funkciju jetre i nivo CK.</w:t>
      </w:r>
    </w:p>
    <w:p w14:paraId="6CB0433D" w14:textId="77777777" w:rsidR="00095D7E" w:rsidRDefault="00095D7E">
      <w:pPr>
        <w:jc w:val="both"/>
        <w:rPr>
          <w:szCs w:val="22"/>
          <w:lang w:val="sr-Latn-ME"/>
        </w:rPr>
      </w:pPr>
    </w:p>
    <w:p w14:paraId="4110785E" w14:textId="77777777" w:rsidR="00095D7E" w:rsidRDefault="008740DD">
      <w:pPr>
        <w:jc w:val="both"/>
        <w:rPr>
          <w:szCs w:val="22"/>
          <w:lang w:val="sr-Latn-ME"/>
        </w:rPr>
      </w:pPr>
      <w:r>
        <w:rPr>
          <w:szCs w:val="22"/>
          <w:lang w:val="sr-Latn-ME"/>
        </w:rPr>
        <w:t>Perindoprilat, aktivni oblik perindoprila, može se dijalizirati (vidjeti dio 5.2). Malo je vjerovatno da će hemodijaliza rosuvastatina biti od koristi.</w:t>
      </w:r>
    </w:p>
    <w:p w14:paraId="2FE675B5" w14:textId="77777777" w:rsidR="00095D7E" w:rsidRDefault="00095D7E">
      <w:pPr>
        <w:tabs>
          <w:tab w:val="clear" w:pos="567"/>
          <w:tab w:val="left" w:pos="540"/>
          <w:tab w:val="left" w:pos="569"/>
        </w:tabs>
        <w:rPr>
          <w:b/>
          <w:bCs/>
          <w:szCs w:val="22"/>
          <w:lang w:val="sr-Latn-ME"/>
        </w:rPr>
      </w:pPr>
    </w:p>
    <w:p w14:paraId="373E6623" w14:textId="77777777" w:rsidR="00095D7E" w:rsidRDefault="00095D7E">
      <w:pPr>
        <w:tabs>
          <w:tab w:val="clear" w:pos="567"/>
          <w:tab w:val="left" w:pos="540"/>
          <w:tab w:val="left" w:pos="569"/>
        </w:tabs>
        <w:rPr>
          <w:b/>
          <w:bCs/>
          <w:szCs w:val="22"/>
          <w:lang w:val="sr-Latn-ME"/>
        </w:rPr>
      </w:pPr>
    </w:p>
    <w:p w14:paraId="6FE12E32" w14:textId="77777777" w:rsidR="00095D7E" w:rsidRDefault="008740DD">
      <w:pPr>
        <w:tabs>
          <w:tab w:val="clear" w:pos="567"/>
          <w:tab w:val="left" w:pos="540"/>
          <w:tab w:val="left" w:pos="569"/>
        </w:tabs>
        <w:rPr>
          <w:b/>
          <w:bCs/>
          <w:szCs w:val="22"/>
          <w:lang w:val="sr-Latn-ME"/>
        </w:rPr>
      </w:pPr>
      <w:r>
        <w:rPr>
          <w:b/>
          <w:bCs/>
          <w:szCs w:val="22"/>
          <w:lang w:val="sr-Latn-ME"/>
        </w:rPr>
        <w:t xml:space="preserve">5. </w:t>
      </w:r>
      <w:r>
        <w:rPr>
          <w:b/>
          <w:bCs/>
          <w:szCs w:val="22"/>
          <w:lang w:val="sr-Latn-ME"/>
        </w:rPr>
        <w:tab/>
        <w:t>FARMAKOLOŠKI PODACI</w:t>
      </w:r>
    </w:p>
    <w:p w14:paraId="2CB61A11" w14:textId="77777777" w:rsidR="00095D7E" w:rsidRDefault="00095D7E">
      <w:pPr>
        <w:tabs>
          <w:tab w:val="clear" w:pos="567"/>
          <w:tab w:val="left" w:pos="540"/>
          <w:tab w:val="left" w:pos="569"/>
        </w:tabs>
        <w:rPr>
          <w:b/>
          <w:bCs/>
          <w:szCs w:val="22"/>
          <w:lang w:val="sr-Latn-ME"/>
        </w:rPr>
      </w:pPr>
    </w:p>
    <w:p w14:paraId="6112D936" w14:textId="77777777" w:rsidR="00095D7E" w:rsidRDefault="008740DD">
      <w:pPr>
        <w:tabs>
          <w:tab w:val="clear" w:pos="567"/>
          <w:tab w:val="left" w:pos="540"/>
          <w:tab w:val="left" w:pos="569"/>
        </w:tabs>
        <w:rPr>
          <w:b/>
          <w:bCs/>
          <w:szCs w:val="22"/>
          <w:lang w:val="sr-Latn-ME"/>
        </w:rPr>
      </w:pPr>
      <w:r>
        <w:rPr>
          <w:b/>
          <w:bCs/>
          <w:szCs w:val="22"/>
          <w:lang w:val="sr-Latn-ME"/>
        </w:rPr>
        <w:t xml:space="preserve">5.1. </w:t>
      </w:r>
      <w:r>
        <w:rPr>
          <w:b/>
          <w:bCs/>
          <w:szCs w:val="22"/>
          <w:lang w:val="sr-Latn-ME"/>
        </w:rPr>
        <w:tab/>
        <w:t xml:space="preserve">Farmakodinamski podaci </w:t>
      </w:r>
    </w:p>
    <w:p w14:paraId="2B23E10F" w14:textId="77777777" w:rsidR="00095D7E" w:rsidRDefault="00095D7E">
      <w:pPr>
        <w:tabs>
          <w:tab w:val="clear" w:pos="567"/>
          <w:tab w:val="left" w:pos="540"/>
          <w:tab w:val="left" w:pos="569"/>
        </w:tabs>
        <w:rPr>
          <w:b/>
          <w:bCs/>
          <w:szCs w:val="22"/>
          <w:lang w:val="sr-Latn-ME"/>
        </w:rPr>
      </w:pPr>
    </w:p>
    <w:p w14:paraId="1A7DBA45" w14:textId="77777777" w:rsidR="00095D7E" w:rsidRDefault="008740DD">
      <w:pPr>
        <w:jc w:val="both"/>
        <w:rPr>
          <w:bCs/>
          <w:szCs w:val="22"/>
          <w:lang w:val="sr-Latn-ME" w:eastAsia="sr-Latn-CS"/>
        </w:rPr>
      </w:pPr>
      <w:r>
        <w:rPr>
          <w:bCs/>
          <w:szCs w:val="22"/>
          <w:lang w:val="sr-Latn-ME"/>
        </w:rPr>
        <w:t>Farmakoterapijska grupa:</w:t>
      </w:r>
      <w:r>
        <w:rPr>
          <w:szCs w:val="22"/>
          <w:lang w:val="sr-Latn-ME"/>
        </w:rPr>
        <w:t xml:space="preserve"> </w:t>
      </w:r>
      <w:r>
        <w:rPr>
          <w:szCs w:val="22"/>
          <w:lang w:val="sr-Latn-ME" w:eastAsia="sr-Latn-CS"/>
        </w:rPr>
        <w:t>Sredstva koja modifikuju lipide; inhibitori HMG CoA reduktaze, ostale kombinacije</w:t>
      </w:r>
    </w:p>
    <w:p w14:paraId="645F96EC" w14:textId="77777777" w:rsidR="00095D7E" w:rsidRDefault="00095D7E">
      <w:pPr>
        <w:tabs>
          <w:tab w:val="clear" w:pos="567"/>
          <w:tab w:val="left" w:pos="540"/>
          <w:tab w:val="left" w:pos="569"/>
        </w:tabs>
        <w:jc w:val="both"/>
        <w:rPr>
          <w:bCs/>
          <w:szCs w:val="22"/>
          <w:lang w:val="sr-Latn-ME"/>
        </w:rPr>
      </w:pPr>
    </w:p>
    <w:p w14:paraId="422DBBDE" w14:textId="77777777" w:rsidR="00095D7E" w:rsidRDefault="008740DD">
      <w:pPr>
        <w:tabs>
          <w:tab w:val="clear" w:pos="567"/>
          <w:tab w:val="left" w:pos="540"/>
          <w:tab w:val="left" w:pos="569"/>
        </w:tabs>
        <w:jc w:val="both"/>
        <w:rPr>
          <w:bCs/>
          <w:szCs w:val="22"/>
          <w:lang w:val="sr-Latn-ME"/>
        </w:rPr>
      </w:pPr>
      <w:r>
        <w:rPr>
          <w:bCs/>
          <w:szCs w:val="22"/>
          <w:lang w:val="sr-Latn-ME"/>
        </w:rPr>
        <w:t>ATC kod:</w:t>
      </w:r>
      <w:r>
        <w:rPr>
          <w:szCs w:val="22"/>
          <w:lang w:val="sr-Latn-ME"/>
        </w:rPr>
        <w:t xml:space="preserve"> C10BX13</w:t>
      </w:r>
    </w:p>
    <w:p w14:paraId="6F8D0F35" w14:textId="77777777" w:rsidR="00095D7E" w:rsidRDefault="00095D7E">
      <w:pPr>
        <w:tabs>
          <w:tab w:val="clear" w:pos="567"/>
          <w:tab w:val="left" w:pos="540"/>
          <w:tab w:val="left" w:pos="569"/>
        </w:tabs>
        <w:jc w:val="both"/>
        <w:rPr>
          <w:b/>
          <w:bCs/>
          <w:szCs w:val="22"/>
          <w:lang w:val="sr-Latn-ME"/>
        </w:rPr>
      </w:pPr>
    </w:p>
    <w:p w14:paraId="118D631C" w14:textId="77777777" w:rsidR="00095D7E" w:rsidRDefault="008740DD">
      <w:pPr>
        <w:widowControl w:val="0"/>
        <w:jc w:val="both"/>
        <w:rPr>
          <w:szCs w:val="22"/>
          <w:lang w:val="sr-Latn-ME"/>
        </w:rPr>
      </w:pPr>
      <w:r>
        <w:rPr>
          <w:szCs w:val="22"/>
          <w:lang w:val="sr-Latn-ME"/>
        </w:rPr>
        <w:t>Lijek Roxiper predstavlja kombinaciju soli perindopril terc-butilamina, inhibitora angiotenzin konvertujućeg enzima, indapamida, hlorosulfamoilnog diuretika i rosuvastatina, selektivnog i kompetitivnog inhibitora HMG-CoA reduktaze. Njegova farmakološka svojstva proističu od onih koja su vezana za pojedinačne sastojke kada se uzimaju odvojeno, a osim toga i od aditivnog sinergističkog djelovanja perindoprila i indapamida kada se koriste u kombinaciji.</w:t>
      </w:r>
    </w:p>
    <w:p w14:paraId="781FF093" w14:textId="77777777" w:rsidR="00095D7E" w:rsidRDefault="00095D7E">
      <w:pPr>
        <w:rPr>
          <w:szCs w:val="22"/>
          <w:lang w:val="sr-Latn-ME"/>
        </w:rPr>
      </w:pPr>
    </w:p>
    <w:p w14:paraId="7C5D3B93" w14:textId="77777777" w:rsidR="00095D7E" w:rsidRDefault="008740DD">
      <w:pPr>
        <w:rPr>
          <w:bCs/>
          <w:i/>
          <w:szCs w:val="22"/>
          <w:lang w:val="sr-Latn-ME"/>
        </w:rPr>
      </w:pPr>
      <w:r>
        <w:rPr>
          <w:i/>
          <w:szCs w:val="22"/>
          <w:lang w:val="sr-Latn-ME"/>
        </w:rPr>
        <w:t>Mehanizam dejstva:</w:t>
      </w:r>
    </w:p>
    <w:p w14:paraId="1FC36021" w14:textId="77777777" w:rsidR="00095D7E" w:rsidRDefault="00095D7E">
      <w:pPr>
        <w:rPr>
          <w:szCs w:val="22"/>
          <w:lang w:val="sr-Latn-ME"/>
        </w:rPr>
      </w:pPr>
    </w:p>
    <w:p w14:paraId="254B90DB" w14:textId="77777777" w:rsidR="00095D7E" w:rsidRDefault="008740DD">
      <w:pPr>
        <w:widowControl w:val="0"/>
        <w:jc w:val="both"/>
        <w:rPr>
          <w:szCs w:val="22"/>
          <w:u w:val="single"/>
          <w:lang w:val="sr-Latn-ME"/>
        </w:rPr>
      </w:pPr>
      <w:r>
        <w:rPr>
          <w:szCs w:val="22"/>
          <w:u w:val="single"/>
          <w:lang w:val="sr-Latn-ME"/>
        </w:rPr>
        <w:t>U vezi sa rosuvastatinom</w:t>
      </w:r>
    </w:p>
    <w:p w14:paraId="5F00E43E" w14:textId="77777777" w:rsidR="00095D7E" w:rsidRDefault="008740DD">
      <w:pPr>
        <w:widowControl w:val="0"/>
        <w:jc w:val="both"/>
        <w:rPr>
          <w:szCs w:val="22"/>
          <w:lang w:val="sr-Latn-ME"/>
        </w:rPr>
      </w:pPr>
      <w:r>
        <w:rPr>
          <w:szCs w:val="22"/>
          <w:lang w:val="sr-Latn-ME"/>
        </w:rPr>
        <w:t>Rosuvastatin je selektivni i kompetitivni inhibitor HMG-CoA reduktaze, enzima koji ograničava stopu pretvaranja 3-hidroksi-3-metil-glutaril koenzima A u mevalonat, prekursor holesterola. Primarno mjesto djelovanja rosuvastatina je jetra, ciljni organ za snižavanje holesterola.</w:t>
      </w:r>
    </w:p>
    <w:p w14:paraId="404111B0" w14:textId="77777777" w:rsidR="00095D7E" w:rsidRDefault="00095D7E">
      <w:pPr>
        <w:widowControl w:val="0"/>
        <w:jc w:val="both"/>
        <w:rPr>
          <w:szCs w:val="22"/>
          <w:lang w:val="sr-Latn-ME"/>
        </w:rPr>
      </w:pPr>
    </w:p>
    <w:p w14:paraId="1B506DBF" w14:textId="77777777" w:rsidR="00095D7E" w:rsidRDefault="008740DD">
      <w:pPr>
        <w:widowControl w:val="0"/>
        <w:jc w:val="both"/>
        <w:rPr>
          <w:szCs w:val="22"/>
          <w:lang w:val="sr-Latn-ME"/>
        </w:rPr>
      </w:pPr>
      <w:r>
        <w:rPr>
          <w:szCs w:val="22"/>
          <w:lang w:val="sr-Latn-ME"/>
        </w:rPr>
        <w:t>Rosuvastatin povećava broj hepatičkih LDL receptora na površini ćelija, pojačavajući preuzimanje i katabolizam LDL-a i inhibira hepatičku sintezu VLDL-a, čime se smanjuje ukupni broj VLDL i LDL čestica.</w:t>
      </w:r>
    </w:p>
    <w:p w14:paraId="778F05EF" w14:textId="77777777" w:rsidR="00095D7E" w:rsidRDefault="00095D7E">
      <w:pPr>
        <w:widowControl w:val="0"/>
        <w:jc w:val="both"/>
        <w:rPr>
          <w:szCs w:val="22"/>
          <w:lang w:val="sr-Latn-ME"/>
        </w:rPr>
      </w:pPr>
    </w:p>
    <w:p w14:paraId="44E3A1F4" w14:textId="77777777" w:rsidR="00095D7E" w:rsidRDefault="008740DD">
      <w:pPr>
        <w:widowControl w:val="0"/>
        <w:jc w:val="both"/>
        <w:rPr>
          <w:szCs w:val="22"/>
          <w:u w:val="single"/>
          <w:lang w:val="sr-Latn-ME"/>
        </w:rPr>
      </w:pPr>
      <w:r>
        <w:rPr>
          <w:szCs w:val="22"/>
          <w:u w:val="single"/>
          <w:lang w:val="sr-Latn-ME"/>
        </w:rPr>
        <w:t>U vezi sa perindoprilom</w:t>
      </w:r>
    </w:p>
    <w:p w14:paraId="6BC8D87E" w14:textId="77777777" w:rsidR="00095D7E" w:rsidRDefault="008740DD">
      <w:pPr>
        <w:widowControl w:val="0"/>
        <w:tabs>
          <w:tab w:val="left" w:pos="0"/>
        </w:tabs>
        <w:jc w:val="both"/>
        <w:rPr>
          <w:strike/>
          <w:szCs w:val="22"/>
          <w:lang w:val="sr-Latn-ME"/>
        </w:rPr>
      </w:pPr>
      <w:r>
        <w:rPr>
          <w:szCs w:val="22"/>
          <w:lang w:val="sr-Latn-ME"/>
        </w:rPr>
        <w:t>Perindopril je inhibitor angiotenzin konvertujućeg enzima (ACE inhibitor) koji konvertuje angiotenzin I u angiotenzin II, vazokonstriktornu supstancu. Osim toga ovaj enzim stimuliše lučenje aldosterona u adrenalnom korteksu i stimuliše razgradnju bradikinina, vazodilatorske supstance, u neaktivne heptapeptide.</w:t>
      </w:r>
    </w:p>
    <w:p w14:paraId="13264539" w14:textId="77777777" w:rsidR="00095D7E" w:rsidRDefault="00095D7E">
      <w:pPr>
        <w:widowControl w:val="0"/>
        <w:tabs>
          <w:tab w:val="left" w:pos="0"/>
          <w:tab w:val="left" w:pos="993"/>
        </w:tabs>
        <w:jc w:val="both"/>
        <w:rPr>
          <w:szCs w:val="22"/>
          <w:lang w:val="sr-Latn-ME"/>
        </w:rPr>
      </w:pPr>
    </w:p>
    <w:p w14:paraId="3E3A6177" w14:textId="77777777" w:rsidR="00095D7E" w:rsidRDefault="008740DD">
      <w:pPr>
        <w:widowControl w:val="0"/>
        <w:tabs>
          <w:tab w:val="left" w:pos="0"/>
          <w:tab w:val="left" w:pos="993"/>
        </w:tabs>
        <w:jc w:val="both"/>
        <w:rPr>
          <w:szCs w:val="22"/>
          <w:lang w:val="sr-Latn-ME"/>
        </w:rPr>
      </w:pPr>
      <w:r>
        <w:rPr>
          <w:szCs w:val="22"/>
          <w:lang w:val="sr-Latn-ME"/>
        </w:rPr>
        <w:t>Ovo dovodi do:</w:t>
      </w:r>
    </w:p>
    <w:p w14:paraId="60B9F030" w14:textId="77777777" w:rsidR="00095D7E" w:rsidRDefault="008740DD">
      <w:pPr>
        <w:widowControl w:val="0"/>
        <w:numPr>
          <w:ilvl w:val="0"/>
          <w:numId w:val="14"/>
        </w:numPr>
        <w:spacing w:line="240" w:lineRule="auto"/>
        <w:jc w:val="both"/>
        <w:rPr>
          <w:szCs w:val="22"/>
          <w:lang w:val="sr-Latn-ME"/>
        </w:rPr>
      </w:pPr>
      <w:r>
        <w:rPr>
          <w:szCs w:val="22"/>
          <w:lang w:val="sr-Latn-ME"/>
        </w:rPr>
        <w:t>smanjenja sekrecije aldosterona,</w:t>
      </w:r>
    </w:p>
    <w:p w14:paraId="58405919" w14:textId="77777777" w:rsidR="00095D7E" w:rsidRDefault="008740DD">
      <w:pPr>
        <w:widowControl w:val="0"/>
        <w:numPr>
          <w:ilvl w:val="0"/>
          <w:numId w:val="14"/>
        </w:numPr>
        <w:spacing w:line="240" w:lineRule="auto"/>
        <w:jc w:val="both"/>
        <w:rPr>
          <w:szCs w:val="22"/>
          <w:lang w:val="sr-Latn-ME"/>
        </w:rPr>
      </w:pPr>
      <w:r>
        <w:rPr>
          <w:szCs w:val="22"/>
          <w:lang w:val="sr-Latn-ME"/>
        </w:rPr>
        <w:t xml:space="preserve">povećanja aktivnosti renina u plazmi, pošto aldosteron više ne ispoljava negativnu povratnu </w:t>
      </w:r>
      <w:r>
        <w:rPr>
          <w:szCs w:val="22"/>
          <w:lang w:val="sr-Latn-ME"/>
        </w:rPr>
        <w:lastRenderedPageBreak/>
        <w:t>spregu,</w:t>
      </w:r>
    </w:p>
    <w:p w14:paraId="37A6F0FE" w14:textId="77777777" w:rsidR="00095D7E" w:rsidRDefault="008740DD">
      <w:pPr>
        <w:widowControl w:val="0"/>
        <w:numPr>
          <w:ilvl w:val="0"/>
          <w:numId w:val="14"/>
        </w:numPr>
        <w:spacing w:line="240" w:lineRule="auto"/>
        <w:jc w:val="both"/>
        <w:rPr>
          <w:szCs w:val="22"/>
          <w:lang w:val="sr-Latn-ME"/>
        </w:rPr>
      </w:pPr>
      <w:r>
        <w:rPr>
          <w:szCs w:val="22"/>
          <w:lang w:val="sr-Latn-ME"/>
        </w:rPr>
        <w:t>smanjenja vrijednosti ukupnog perifernog otpora sa posebno izraženim dejstvom na vaskularno korito u mišićima i bubregu, bez prateće retencije soli i tečnosti ili refleksne tahikardije, prilikom hronične terapije.</w:t>
      </w:r>
    </w:p>
    <w:p w14:paraId="1A78231B" w14:textId="77777777" w:rsidR="00095D7E" w:rsidRDefault="008740DD">
      <w:pPr>
        <w:widowControl w:val="0"/>
        <w:numPr>
          <w:ilvl w:val="12"/>
          <w:numId w:val="0"/>
        </w:numPr>
        <w:tabs>
          <w:tab w:val="left" w:pos="0"/>
        </w:tabs>
        <w:jc w:val="both"/>
        <w:rPr>
          <w:szCs w:val="22"/>
          <w:lang w:val="sr-Latn-ME"/>
        </w:rPr>
      </w:pPr>
      <w:r>
        <w:rPr>
          <w:szCs w:val="22"/>
          <w:lang w:val="sr-Latn-ME"/>
        </w:rPr>
        <w:t>Antihipertenzivna aktivnost perindoprila se takođe javlja kod pacijenata sa niskom ili normalnom koncentracijom renina.</w:t>
      </w:r>
    </w:p>
    <w:p w14:paraId="0DE78CB1" w14:textId="77777777" w:rsidR="00095D7E" w:rsidRDefault="00095D7E">
      <w:pPr>
        <w:widowControl w:val="0"/>
        <w:jc w:val="both"/>
        <w:rPr>
          <w:szCs w:val="22"/>
          <w:lang w:val="sr-Latn-ME"/>
        </w:rPr>
      </w:pPr>
    </w:p>
    <w:p w14:paraId="070D1987" w14:textId="77777777" w:rsidR="00095D7E" w:rsidRDefault="008740DD">
      <w:pPr>
        <w:widowControl w:val="0"/>
        <w:jc w:val="both"/>
        <w:rPr>
          <w:szCs w:val="22"/>
          <w:lang w:val="sr-Latn-ME"/>
        </w:rPr>
      </w:pPr>
      <w:r>
        <w:rPr>
          <w:szCs w:val="22"/>
          <w:lang w:val="sr-Latn-ME"/>
        </w:rPr>
        <w:t>Perindopril djeluje kroz svoj aktivni metabolit, perindoprilat. Drugi metaboliti su neaktivni.</w:t>
      </w:r>
    </w:p>
    <w:p w14:paraId="1C98FE80" w14:textId="77777777" w:rsidR="00095D7E" w:rsidRDefault="008740DD">
      <w:pPr>
        <w:widowControl w:val="0"/>
        <w:tabs>
          <w:tab w:val="left" w:pos="709"/>
        </w:tabs>
        <w:jc w:val="both"/>
        <w:rPr>
          <w:szCs w:val="22"/>
          <w:lang w:val="sr-Latn-ME"/>
        </w:rPr>
      </w:pPr>
      <w:r>
        <w:rPr>
          <w:szCs w:val="22"/>
          <w:lang w:val="sr-Latn-ME"/>
        </w:rPr>
        <w:t>Perindopril smanjuje srčani rad:</w:t>
      </w:r>
    </w:p>
    <w:p w14:paraId="34683FA7" w14:textId="77777777" w:rsidR="00095D7E" w:rsidRDefault="008740DD">
      <w:pPr>
        <w:widowControl w:val="0"/>
        <w:numPr>
          <w:ilvl w:val="0"/>
          <w:numId w:val="13"/>
        </w:numPr>
        <w:tabs>
          <w:tab w:val="left" w:pos="567"/>
        </w:tabs>
        <w:spacing w:line="240" w:lineRule="auto"/>
        <w:jc w:val="both"/>
        <w:rPr>
          <w:szCs w:val="22"/>
          <w:lang w:val="sr-Latn-ME"/>
        </w:rPr>
      </w:pPr>
      <w:r>
        <w:rPr>
          <w:szCs w:val="22"/>
          <w:lang w:val="sr-Latn-ME"/>
        </w:rPr>
        <w:t>preko vazodilatatornog efekta na vene, vjerovatno djelujući na metabolizam prostaglandina: smanjenje prethodnog punjenja,</w:t>
      </w:r>
    </w:p>
    <w:p w14:paraId="1E5ECAA1" w14:textId="77777777" w:rsidR="00095D7E" w:rsidRDefault="008740DD">
      <w:pPr>
        <w:widowControl w:val="0"/>
        <w:numPr>
          <w:ilvl w:val="0"/>
          <w:numId w:val="13"/>
        </w:numPr>
        <w:tabs>
          <w:tab w:val="left" w:pos="567"/>
        </w:tabs>
        <w:spacing w:line="240" w:lineRule="auto"/>
        <w:jc w:val="both"/>
        <w:rPr>
          <w:szCs w:val="22"/>
          <w:lang w:val="sr-Latn-ME"/>
        </w:rPr>
      </w:pPr>
      <w:r>
        <w:rPr>
          <w:szCs w:val="22"/>
          <w:lang w:val="sr-Latn-ME"/>
        </w:rPr>
        <w:t>smanjujući ukupni periferni otpor: smanjenje naknadnog punjenja.</w:t>
      </w:r>
    </w:p>
    <w:p w14:paraId="3590379D" w14:textId="77777777" w:rsidR="00095D7E" w:rsidRDefault="00095D7E">
      <w:pPr>
        <w:widowControl w:val="0"/>
        <w:tabs>
          <w:tab w:val="left" w:pos="709"/>
        </w:tabs>
        <w:rPr>
          <w:szCs w:val="22"/>
          <w:lang w:val="sr-Latn-ME"/>
        </w:rPr>
      </w:pPr>
    </w:p>
    <w:p w14:paraId="78B2538E" w14:textId="77777777" w:rsidR="00095D7E" w:rsidRDefault="008740DD">
      <w:pPr>
        <w:widowControl w:val="0"/>
        <w:tabs>
          <w:tab w:val="left" w:pos="709"/>
        </w:tabs>
        <w:rPr>
          <w:szCs w:val="22"/>
          <w:lang w:val="sr-Latn-ME"/>
        </w:rPr>
      </w:pPr>
      <w:r>
        <w:rPr>
          <w:szCs w:val="22"/>
          <w:lang w:val="sr-Latn-ME"/>
        </w:rPr>
        <w:t>Studije rađene na pacijentima koji su bolovali od srčane insuficijencije pokazale su:</w:t>
      </w:r>
    </w:p>
    <w:p w14:paraId="6C3C6066" w14:textId="77777777" w:rsidR="00095D7E" w:rsidRDefault="008740DD">
      <w:pPr>
        <w:widowControl w:val="0"/>
        <w:numPr>
          <w:ilvl w:val="0"/>
          <w:numId w:val="15"/>
        </w:numPr>
        <w:tabs>
          <w:tab w:val="left" w:pos="567"/>
        </w:tabs>
        <w:spacing w:line="240" w:lineRule="auto"/>
        <w:rPr>
          <w:szCs w:val="22"/>
          <w:lang w:val="sr-Latn-ME"/>
        </w:rPr>
      </w:pPr>
      <w:r>
        <w:rPr>
          <w:szCs w:val="22"/>
          <w:lang w:val="sr-Latn-ME"/>
        </w:rPr>
        <w:t>smanjenje pritiska punjenja lijeve i desne komore,</w:t>
      </w:r>
    </w:p>
    <w:p w14:paraId="634B25F5" w14:textId="77777777" w:rsidR="00095D7E" w:rsidRDefault="008740DD">
      <w:pPr>
        <w:widowControl w:val="0"/>
        <w:numPr>
          <w:ilvl w:val="0"/>
          <w:numId w:val="15"/>
        </w:numPr>
        <w:tabs>
          <w:tab w:val="left" w:pos="567"/>
        </w:tabs>
        <w:spacing w:line="240" w:lineRule="auto"/>
        <w:rPr>
          <w:szCs w:val="22"/>
          <w:lang w:val="sr-Latn-ME"/>
        </w:rPr>
      </w:pPr>
      <w:r>
        <w:rPr>
          <w:szCs w:val="22"/>
          <w:lang w:val="sr-Latn-ME"/>
        </w:rPr>
        <w:t>smanjenje ukupnog perifernog vaskularnog otpora,</w:t>
      </w:r>
    </w:p>
    <w:p w14:paraId="54FC206A" w14:textId="77777777" w:rsidR="00095D7E" w:rsidRDefault="008740DD">
      <w:pPr>
        <w:widowControl w:val="0"/>
        <w:numPr>
          <w:ilvl w:val="0"/>
          <w:numId w:val="15"/>
        </w:numPr>
        <w:tabs>
          <w:tab w:val="left" w:pos="567"/>
          <w:tab w:val="left" w:pos="709"/>
        </w:tabs>
        <w:spacing w:line="240" w:lineRule="auto"/>
        <w:rPr>
          <w:szCs w:val="22"/>
          <w:lang w:val="sr-Latn-ME"/>
        </w:rPr>
      </w:pPr>
      <w:r>
        <w:rPr>
          <w:szCs w:val="22"/>
          <w:lang w:val="sr-Latn-ME"/>
        </w:rPr>
        <w:t>povećan srčani udarni volumen i poboljšan srčani indeks,</w:t>
      </w:r>
    </w:p>
    <w:p w14:paraId="67745860" w14:textId="77777777" w:rsidR="00095D7E" w:rsidRDefault="008740DD">
      <w:pPr>
        <w:widowControl w:val="0"/>
        <w:numPr>
          <w:ilvl w:val="0"/>
          <w:numId w:val="15"/>
        </w:numPr>
        <w:tabs>
          <w:tab w:val="left" w:pos="567"/>
          <w:tab w:val="left" w:pos="709"/>
        </w:tabs>
        <w:spacing w:line="240" w:lineRule="auto"/>
        <w:rPr>
          <w:szCs w:val="22"/>
          <w:lang w:val="sr-Latn-ME"/>
        </w:rPr>
      </w:pPr>
      <w:r>
        <w:rPr>
          <w:szCs w:val="22"/>
          <w:lang w:val="sr-Latn-ME"/>
        </w:rPr>
        <w:t>povećan lokalni protok krvi u mišiću.</w:t>
      </w:r>
    </w:p>
    <w:p w14:paraId="756F3ADB" w14:textId="77777777" w:rsidR="00095D7E" w:rsidRDefault="008740DD">
      <w:pPr>
        <w:widowControl w:val="0"/>
        <w:tabs>
          <w:tab w:val="left" w:pos="709"/>
        </w:tabs>
        <w:rPr>
          <w:szCs w:val="22"/>
          <w:lang w:val="sr-Latn-ME"/>
        </w:rPr>
      </w:pPr>
      <w:r>
        <w:rPr>
          <w:szCs w:val="22"/>
          <w:lang w:val="sr-Latn-ME"/>
        </w:rPr>
        <w:t>Rezultati fizičkog testa takođe su pokazali poboljšanje.</w:t>
      </w:r>
    </w:p>
    <w:p w14:paraId="4731D78C" w14:textId="77777777" w:rsidR="00095D7E" w:rsidRDefault="00095D7E">
      <w:pPr>
        <w:widowControl w:val="0"/>
        <w:tabs>
          <w:tab w:val="left" w:pos="709"/>
        </w:tabs>
        <w:rPr>
          <w:szCs w:val="22"/>
          <w:lang w:val="sr-Latn-ME"/>
        </w:rPr>
      </w:pPr>
    </w:p>
    <w:p w14:paraId="5E26F697" w14:textId="77777777" w:rsidR="00095D7E" w:rsidRDefault="008740DD">
      <w:pPr>
        <w:widowControl w:val="0"/>
        <w:tabs>
          <w:tab w:val="left" w:pos="709"/>
          <w:tab w:val="left" w:pos="993"/>
        </w:tabs>
        <w:jc w:val="both"/>
        <w:rPr>
          <w:iCs/>
          <w:szCs w:val="22"/>
          <w:u w:val="single"/>
          <w:lang w:val="sr-Latn-ME"/>
        </w:rPr>
      </w:pPr>
      <w:r>
        <w:rPr>
          <w:szCs w:val="22"/>
          <w:u w:val="single"/>
          <w:lang w:val="sr-Latn-ME"/>
        </w:rPr>
        <w:t>U vezi sa indapamidom</w:t>
      </w:r>
    </w:p>
    <w:p w14:paraId="17CEEBCE" w14:textId="77777777" w:rsidR="00095D7E" w:rsidRDefault="008740DD">
      <w:pPr>
        <w:widowControl w:val="0"/>
        <w:tabs>
          <w:tab w:val="left" w:pos="709"/>
        </w:tabs>
        <w:jc w:val="both"/>
        <w:rPr>
          <w:szCs w:val="22"/>
          <w:lang w:val="sr-Latn-ME"/>
        </w:rPr>
      </w:pPr>
      <w:r>
        <w:rPr>
          <w:szCs w:val="22"/>
          <w:lang w:val="sr-Latn-ME"/>
        </w:rPr>
        <w:t>Indapamid je sulfonamidni derivat sa indolnim prstenom, farmakološki srodan tiazidnoj grupi diuretika. Indapamid inhibira reapsorpciju natrijuma u kortikalnom dilucionom segmentu. On povećava urinarnu ekskreciju natrijuma i hlorida i, u manjoj mjeri, kalijuma i magnezijuma, stoga povećava ukupnu ekskreciju urina i ima antihipertenzivno dejstvo.</w:t>
      </w:r>
    </w:p>
    <w:p w14:paraId="7838F55B" w14:textId="77777777" w:rsidR="00095D7E" w:rsidRDefault="00095D7E">
      <w:pPr>
        <w:jc w:val="both"/>
        <w:rPr>
          <w:szCs w:val="22"/>
          <w:lang w:val="sr-Latn-ME"/>
        </w:rPr>
      </w:pPr>
    </w:p>
    <w:p w14:paraId="3C2994C0" w14:textId="77777777" w:rsidR="00095D7E" w:rsidRDefault="008740DD">
      <w:pPr>
        <w:widowControl w:val="0"/>
        <w:autoSpaceDE w:val="0"/>
        <w:autoSpaceDN w:val="0"/>
        <w:adjustRightInd w:val="0"/>
        <w:jc w:val="both"/>
        <w:rPr>
          <w:i/>
          <w:iCs/>
          <w:szCs w:val="22"/>
          <w:lang w:val="sr-Latn-ME"/>
        </w:rPr>
      </w:pPr>
      <w:r>
        <w:rPr>
          <w:i/>
          <w:szCs w:val="22"/>
          <w:lang w:val="sr-Latn-ME"/>
        </w:rPr>
        <w:t>Farmakodinamski efekti</w:t>
      </w:r>
    </w:p>
    <w:p w14:paraId="223C6AC9" w14:textId="77777777" w:rsidR="00095D7E" w:rsidRDefault="00095D7E">
      <w:pPr>
        <w:jc w:val="both"/>
        <w:rPr>
          <w:szCs w:val="22"/>
          <w:lang w:val="sr-Latn-ME"/>
        </w:rPr>
      </w:pPr>
    </w:p>
    <w:p w14:paraId="02D95D1E" w14:textId="77777777" w:rsidR="00095D7E" w:rsidRDefault="008740DD">
      <w:pPr>
        <w:widowControl w:val="0"/>
        <w:jc w:val="both"/>
        <w:rPr>
          <w:szCs w:val="22"/>
          <w:u w:val="single"/>
          <w:lang w:val="sr-Latn-ME"/>
        </w:rPr>
      </w:pPr>
      <w:r>
        <w:rPr>
          <w:szCs w:val="22"/>
          <w:u w:val="single"/>
          <w:lang w:val="sr-Latn-ME"/>
        </w:rPr>
        <w:t>U vezi sa perindoprilom/indapamidom</w:t>
      </w:r>
    </w:p>
    <w:p w14:paraId="67D5EEEF" w14:textId="77777777" w:rsidR="00095D7E" w:rsidRDefault="008740DD">
      <w:pPr>
        <w:widowControl w:val="0"/>
        <w:jc w:val="both"/>
        <w:rPr>
          <w:szCs w:val="22"/>
          <w:lang w:val="sr-Latn-ME"/>
        </w:rPr>
      </w:pPr>
      <w:r>
        <w:rPr>
          <w:szCs w:val="22"/>
          <w:lang w:val="sr-Latn-ME"/>
        </w:rPr>
        <w:t>Kod pacijenata koji boluju od hipertenzije, bez obzira na godine, kombinacija perindopril/indapamid pokazuje antihipertenzivno dejstvo zavisno od doze na dijastolni i sistolni arterijski pritisak u ležećem i stojećem položaju.</w:t>
      </w:r>
    </w:p>
    <w:p w14:paraId="153C3905" w14:textId="77777777" w:rsidR="00095D7E" w:rsidRDefault="008740DD">
      <w:pPr>
        <w:widowControl w:val="0"/>
        <w:jc w:val="both"/>
        <w:rPr>
          <w:szCs w:val="22"/>
          <w:lang w:val="sr-Latn-ME"/>
        </w:rPr>
      </w:pPr>
      <w:r>
        <w:rPr>
          <w:szCs w:val="22"/>
          <w:lang w:val="sr-Latn-ME"/>
        </w:rPr>
        <w:t>Ovo antihipertenzivno dejstvo traje 24 sata. Smanjenje krvnog pritiska se održava kraće od mjesec dana bez tahifilakse, prekid terapije ne izaziva povratni efekat. Tokom kliničkih studija, istovremeno davanje perindoprila i indapamida dovodi do antihipertenzivnih dejstava sinergijske prirode u odnosu na davanje svakog lijeka pojedinačno.</w:t>
      </w:r>
    </w:p>
    <w:p w14:paraId="42643867" w14:textId="77777777" w:rsidR="00095D7E" w:rsidRDefault="00095D7E">
      <w:pPr>
        <w:widowControl w:val="0"/>
        <w:rPr>
          <w:szCs w:val="22"/>
          <w:lang w:val="sr-Latn-ME"/>
        </w:rPr>
      </w:pPr>
    </w:p>
    <w:p w14:paraId="19D49B1E" w14:textId="77777777" w:rsidR="00095D7E" w:rsidRDefault="008740DD">
      <w:pPr>
        <w:widowControl w:val="0"/>
        <w:tabs>
          <w:tab w:val="left" w:pos="-142"/>
          <w:tab w:val="left" w:pos="709"/>
        </w:tabs>
        <w:jc w:val="both"/>
        <w:rPr>
          <w:szCs w:val="22"/>
          <w:lang w:val="sr-Latn-ME"/>
        </w:rPr>
      </w:pPr>
      <w:r>
        <w:rPr>
          <w:szCs w:val="22"/>
          <w:lang w:val="sr-Latn-ME"/>
        </w:rPr>
        <w:t>U ispitivanju PICXEL, multicentričnom, randomizovanom, dvostruko slijepom, aktivno kontrolisanom ispitivanju, na osnovu ehokardiografije procjenjivano je dejstvo kombinacije perindopril/indapamid na hipertrofiju lijeve komore (HLK) u odnosu na monoterapiju enalaprilom.</w:t>
      </w:r>
    </w:p>
    <w:p w14:paraId="0C4F7D42" w14:textId="77777777" w:rsidR="00095D7E" w:rsidRDefault="008740DD">
      <w:pPr>
        <w:widowControl w:val="0"/>
        <w:jc w:val="both"/>
        <w:rPr>
          <w:szCs w:val="22"/>
          <w:lang w:val="sr-Latn-ME"/>
        </w:rPr>
      </w:pPr>
      <w:r>
        <w:rPr>
          <w:szCs w:val="22"/>
          <w:lang w:val="sr-Latn-ME"/>
        </w:rPr>
        <w:t>U ispitivanju PICXEL, hipertenzivni pacijenti sa HLK (definisano kao indeks mase lijeve komore (IMLK) &gt; 120 g/m</w:t>
      </w:r>
      <w:r>
        <w:rPr>
          <w:szCs w:val="22"/>
          <w:vertAlign w:val="superscript"/>
          <w:lang w:val="sr-Latn-ME"/>
        </w:rPr>
        <w:t>2</w:t>
      </w:r>
      <w:r>
        <w:rPr>
          <w:szCs w:val="22"/>
          <w:lang w:val="sr-Latn-ME"/>
        </w:rPr>
        <w:t xml:space="preserve"> kod muškaraca i &gt; 100 g/m</w:t>
      </w:r>
      <w:r>
        <w:rPr>
          <w:szCs w:val="22"/>
          <w:vertAlign w:val="superscript"/>
          <w:lang w:val="sr-Latn-ME"/>
        </w:rPr>
        <w:t>2</w:t>
      </w:r>
      <w:r>
        <w:rPr>
          <w:szCs w:val="22"/>
          <w:lang w:val="sr-Latn-ME"/>
        </w:rPr>
        <w:t xml:space="preserve"> kod žena) bili su slučajnim uzorkom raspoređeni da primaju ili perindopril od 2 mg/indapamid od 0,625 mg ili enalapril od 10 mg jednom dnevno, tokom terapije od godinu dana. Doza se prilagođavala u skladu sa odgovorom krvnog pritiska, do 8 mg perindoprila i 2,5 mg indapamida ili 40 mg enalaprila jednom dnevno. Samo 34% ispitanika ostalo je na terapiji 2 mg perindoprila/0,625 mg indapamida (naspram 20% sa 10 mg enalaprila).</w:t>
      </w:r>
    </w:p>
    <w:p w14:paraId="6084F8A8" w14:textId="77777777" w:rsidR="00095D7E" w:rsidRDefault="008740DD">
      <w:pPr>
        <w:widowControl w:val="0"/>
        <w:jc w:val="both"/>
        <w:rPr>
          <w:szCs w:val="22"/>
          <w:lang w:val="sr-Latn-ME"/>
        </w:rPr>
      </w:pPr>
      <w:r>
        <w:rPr>
          <w:szCs w:val="22"/>
          <w:lang w:val="sr-Latn-ME"/>
        </w:rPr>
        <w:t>Na kraju terapije, IMLK je bio značajno više smanjen u grupi sa perindoprilom/indapamidom (-10,1 g/m²) nego u grupi sa enalaprilom (-1,1 g/m²) u svim randomizovanim populacijama pacijenata. Razlika između grupa u promjeni IMLK bila je -8,3 (95% CI (-11,5;-5,0), p &lt; 0,0001).</w:t>
      </w:r>
    </w:p>
    <w:p w14:paraId="68444143" w14:textId="77777777" w:rsidR="00095D7E" w:rsidRDefault="008740DD">
      <w:pPr>
        <w:widowControl w:val="0"/>
        <w:jc w:val="both"/>
        <w:rPr>
          <w:szCs w:val="22"/>
          <w:lang w:val="sr-Latn-ME"/>
        </w:rPr>
      </w:pPr>
      <w:r>
        <w:rPr>
          <w:szCs w:val="22"/>
          <w:lang w:val="sr-Latn-ME"/>
        </w:rPr>
        <w:t>Bolje dejstvo na IMLK bilo je postignuto sa 8 mg perindoprila/2,5 mg indapamida.</w:t>
      </w:r>
    </w:p>
    <w:p w14:paraId="1D888753" w14:textId="77777777" w:rsidR="00095D7E" w:rsidRDefault="00095D7E">
      <w:pPr>
        <w:widowControl w:val="0"/>
        <w:jc w:val="both"/>
        <w:rPr>
          <w:szCs w:val="22"/>
          <w:lang w:val="sr-Latn-ME"/>
        </w:rPr>
      </w:pPr>
    </w:p>
    <w:p w14:paraId="19BC48C8" w14:textId="77777777" w:rsidR="00095D7E" w:rsidRDefault="008740DD">
      <w:pPr>
        <w:widowControl w:val="0"/>
        <w:jc w:val="both"/>
        <w:rPr>
          <w:szCs w:val="22"/>
          <w:lang w:val="sr-Latn-ME"/>
        </w:rPr>
      </w:pPr>
      <w:r>
        <w:rPr>
          <w:szCs w:val="22"/>
          <w:lang w:val="sr-Latn-ME"/>
        </w:rPr>
        <w:t>Kada je u pitanju krvni pritisak, procijenjena srednja razlika između grupa u randomizovanoj populaciji bila je -5,8 mmHg (95% CI (-7,9; -3,7), p &lt; 0,0001) za sistolni krvni pritisak i -2,3 mmHg (95% CI (-3,6;-0,9), p = 0,0004) za dijastolni krvni pritisak, tim redosljedom, u korist grupe sa perindoprilom/indapamidom.</w:t>
      </w:r>
    </w:p>
    <w:p w14:paraId="6740DB06" w14:textId="77777777" w:rsidR="00095D7E" w:rsidRDefault="00095D7E">
      <w:pPr>
        <w:widowControl w:val="0"/>
        <w:rPr>
          <w:szCs w:val="22"/>
          <w:lang w:val="sr-Latn-ME"/>
        </w:rPr>
      </w:pPr>
    </w:p>
    <w:p w14:paraId="3E1F6220" w14:textId="77777777" w:rsidR="00095D7E" w:rsidRDefault="008740DD">
      <w:pPr>
        <w:widowControl w:val="0"/>
        <w:jc w:val="both"/>
        <w:rPr>
          <w:szCs w:val="22"/>
          <w:u w:val="single"/>
          <w:lang w:val="sr-Latn-ME"/>
        </w:rPr>
      </w:pPr>
      <w:r>
        <w:rPr>
          <w:szCs w:val="22"/>
          <w:u w:val="single"/>
          <w:lang w:val="sr-Latn-ME"/>
        </w:rPr>
        <w:lastRenderedPageBreak/>
        <w:t>U vezi sa perindoprilom</w:t>
      </w:r>
    </w:p>
    <w:p w14:paraId="55044382" w14:textId="77777777" w:rsidR="00095D7E" w:rsidRDefault="008740DD">
      <w:pPr>
        <w:widowControl w:val="0"/>
        <w:tabs>
          <w:tab w:val="left" w:pos="0"/>
        </w:tabs>
        <w:jc w:val="both"/>
        <w:rPr>
          <w:szCs w:val="22"/>
          <w:lang w:val="sr-Latn-ME"/>
        </w:rPr>
      </w:pPr>
      <w:r>
        <w:rPr>
          <w:szCs w:val="22"/>
          <w:lang w:val="sr-Latn-ME"/>
        </w:rPr>
        <w:t>Perindopril je aktivan u svim stepenima hipertenzije: blage do umjerene ili teške. Smanjenje sistolnog i dijastolnog arterijskog pritiska se može zabilježiti i u ležećem i u stojećem položaju. Antihipertenzivno dejstvo nakon jedne doze je maksimalno između 4 i 6 sati nakon davanja i održava se u naredna 24 sata. Postoji visok stepen rezidualnog blokiranja angiotenzin konvertujućeg enzima u toku 24 sata, približno 80%.</w:t>
      </w:r>
    </w:p>
    <w:p w14:paraId="1F9EC2EC" w14:textId="77777777" w:rsidR="00095D7E" w:rsidRDefault="008740DD">
      <w:pPr>
        <w:widowControl w:val="0"/>
        <w:tabs>
          <w:tab w:val="left" w:pos="0"/>
        </w:tabs>
        <w:jc w:val="both"/>
        <w:rPr>
          <w:szCs w:val="22"/>
          <w:lang w:val="sr-Latn-ME"/>
        </w:rPr>
      </w:pPr>
      <w:r>
        <w:rPr>
          <w:szCs w:val="22"/>
          <w:lang w:val="sr-Latn-ME"/>
        </w:rPr>
        <w:t>Kod pacijenata kod kojih se javio odgovor, normalne vrijednosti krvnog pritiska postižu se nakon mjesec dana i održavaju se bez tahifilakse.</w:t>
      </w:r>
    </w:p>
    <w:p w14:paraId="28A89268" w14:textId="77777777" w:rsidR="00095D7E" w:rsidRDefault="00095D7E">
      <w:pPr>
        <w:widowControl w:val="0"/>
        <w:jc w:val="both"/>
        <w:rPr>
          <w:szCs w:val="22"/>
          <w:lang w:val="sr-Latn-ME"/>
        </w:rPr>
      </w:pPr>
    </w:p>
    <w:p w14:paraId="66055BDF" w14:textId="77777777" w:rsidR="00095D7E" w:rsidRDefault="008740DD">
      <w:pPr>
        <w:widowControl w:val="0"/>
        <w:jc w:val="both"/>
        <w:rPr>
          <w:szCs w:val="22"/>
          <w:lang w:val="sr-Latn-ME"/>
        </w:rPr>
      </w:pPr>
      <w:r>
        <w:rPr>
          <w:szCs w:val="22"/>
          <w:lang w:val="sr-Latn-ME"/>
        </w:rPr>
        <w:t>Prilikom prekidanja terapije nema ponovnog vraćanja simptoma.</w:t>
      </w:r>
    </w:p>
    <w:p w14:paraId="76A26DC6" w14:textId="77777777" w:rsidR="00095D7E" w:rsidRDefault="00095D7E">
      <w:pPr>
        <w:widowControl w:val="0"/>
        <w:jc w:val="both"/>
        <w:rPr>
          <w:szCs w:val="22"/>
          <w:lang w:val="sr-Latn-ME"/>
        </w:rPr>
      </w:pPr>
    </w:p>
    <w:p w14:paraId="505A371F" w14:textId="77777777" w:rsidR="00095D7E" w:rsidRDefault="008740DD">
      <w:pPr>
        <w:widowControl w:val="0"/>
        <w:tabs>
          <w:tab w:val="left" w:pos="0"/>
        </w:tabs>
        <w:jc w:val="both"/>
        <w:rPr>
          <w:szCs w:val="22"/>
          <w:lang w:val="sr-Latn-ME"/>
        </w:rPr>
      </w:pPr>
      <w:r>
        <w:rPr>
          <w:szCs w:val="22"/>
          <w:lang w:val="sr-Latn-ME"/>
        </w:rPr>
        <w:t>Perindopril posjeduje vazodilatorne karakteristike i vraća elastičnost glavnih arterijskih stabala, popravlja histomorfometrijske promjene u arterijama koje pružaju otpor i ublažava hipertrofiju lijeve komore. Ukoliko je neophodno, dodavanje tiazidnog diuretika djeluje aditivno sinergistički.</w:t>
      </w:r>
    </w:p>
    <w:p w14:paraId="30017335" w14:textId="77777777" w:rsidR="00095D7E" w:rsidRDefault="00095D7E">
      <w:pPr>
        <w:widowControl w:val="0"/>
        <w:tabs>
          <w:tab w:val="left" w:pos="0"/>
        </w:tabs>
        <w:jc w:val="both"/>
        <w:rPr>
          <w:szCs w:val="22"/>
          <w:lang w:val="sr-Latn-ME"/>
        </w:rPr>
      </w:pPr>
    </w:p>
    <w:p w14:paraId="42AD9504" w14:textId="77777777" w:rsidR="00095D7E" w:rsidRDefault="008740DD">
      <w:pPr>
        <w:widowControl w:val="0"/>
        <w:jc w:val="both"/>
        <w:rPr>
          <w:szCs w:val="22"/>
          <w:lang w:val="sr-Latn-ME"/>
        </w:rPr>
      </w:pPr>
      <w:r>
        <w:rPr>
          <w:szCs w:val="22"/>
          <w:lang w:val="sr-Latn-ME"/>
        </w:rPr>
        <w:t>Kombinacija inhibitora angiotenzin konvertujućeg enzima sa tiazidnim diuretikom smanjuje rizik od hipokalemije koji je prisutan kada se diuretici koriste samostalno.</w:t>
      </w:r>
    </w:p>
    <w:p w14:paraId="183A8F5A" w14:textId="77777777" w:rsidR="00095D7E" w:rsidRDefault="00095D7E">
      <w:pPr>
        <w:widowControl w:val="0"/>
        <w:rPr>
          <w:szCs w:val="22"/>
          <w:u w:val="single"/>
          <w:lang w:val="sr-Latn-ME"/>
        </w:rPr>
      </w:pPr>
    </w:p>
    <w:p w14:paraId="199A1B75" w14:textId="77777777" w:rsidR="00095D7E" w:rsidRDefault="008740DD">
      <w:pPr>
        <w:jc w:val="both"/>
        <w:rPr>
          <w:i/>
          <w:szCs w:val="22"/>
          <w:u w:val="single"/>
          <w:lang w:val="sr-Latn-ME" w:eastAsia="sr-Latn-RS"/>
        </w:rPr>
      </w:pPr>
      <w:r>
        <w:rPr>
          <w:i/>
          <w:szCs w:val="22"/>
          <w:u w:val="single"/>
          <w:lang w:val="sr-Latn-ME"/>
        </w:rPr>
        <w:t>Dvostruka blokada renin-angiotenzin-aldosteronskog sistema (RAAS) – podaci iz kliničkih ispitivanja</w:t>
      </w:r>
    </w:p>
    <w:p w14:paraId="481C0DFA" w14:textId="77777777" w:rsidR="00095D7E" w:rsidRDefault="008740DD">
      <w:pPr>
        <w:widowControl w:val="0"/>
        <w:jc w:val="both"/>
        <w:rPr>
          <w:szCs w:val="22"/>
          <w:lang w:val="sr-Latn-ME"/>
        </w:rPr>
      </w:pPr>
      <w:r>
        <w:rPr>
          <w:szCs w:val="22"/>
          <w:lang w:val="sr-Latn-ME"/>
        </w:rPr>
        <w:t>U dva velika randomizovana, kontrolisana ispitivanja – Globalno istraživanje ishoda stalne terapije samim telmisartanom i u kombinaciji sa ramiprilom (ONgoing Telmisartan Alone and in combination with Ramipril Global Endpoint Trial – ONTARGET) i Nefropatija kod dijabetesa (Veterans Affairs Nephropathy in Diabetes – VA NEPHRON</w:t>
      </w:r>
      <w:r>
        <w:rPr>
          <w:szCs w:val="22"/>
          <w:lang w:val="sr-Latn-ME"/>
        </w:rPr>
        <w:noBreakHyphen/>
        <w:t>D) ispitivana je primjena ACE inhibitora sa blokatorima receptora angiotenzina II.</w:t>
      </w:r>
    </w:p>
    <w:p w14:paraId="77510BAE" w14:textId="77777777" w:rsidR="00095D7E" w:rsidRDefault="008740DD">
      <w:pPr>
        <w:widowControl w:val="0"/>
        <w:jc w:val="both"/>
        <w:rPr>
          <w:szCs w:val="22"/>
          <w:lang w:val="sr-Latn-ME"/>
        </w:rPr>
      </w:pPr>
      <w:r>
        <w:rPr>
          <w:szCs w:val="22"/>
          <w:lang w:val="sr-Latn-ME"/>
        </w:rPr>
        <w:t>ONTARGET je bilo ispitivanje sprovedeno kod pacijenata sa istorijom kardiovaskularnih ili cerebrovaskularnih oboljenja, ili sa dijabetes melitusom tipa 2 praćenim dokazima o oštećenju ciljnog organa. VA NEPHRON</w:t>
      </w:r>
      <w:r>
        <w:rPr>
          <w:szCs w:val="22"/>
          <w:lang w:val="sr-Latn-ME"/>
        </w:rPr>
        <w:noBreakHyphen/>
        <w:t>D je bilo ispitivanje sa pacijentima sa dijabetes melitusom tipa 2 i dijabetičkom nefropatijom.</w:t>
      </w:r>
    </w:p>
    <w:p w14:paraId="7B3A0692" w14:textId="77777777" w:rsidR="00095D7E" w:rsidRDefault="008740DD">
      <w:pPr>
        <w:widowControl w:val="0"/>
        <w:jc w:val="both"/>
        <w:rPr>
          <w:szCs w:val="22"/>
          <w:lang w:val="sr-Latn-ME"/>
        </w:rPr>
      </w:pPr>
      <w:r>
        <w:rPr>
          <w:szCs w:val="22"/>
          <w:lang w:val="sr-Latn-ME"/>
        </w:rPr>
        <w:t>Ova ispitivanja su pokazala da nema značajnog korisnog dejstva na renalne i/ili kardiovaskularne ishode i mortalitet, dok je zabilježen povećan rizik od hiperkalemije, akutnog oštećenja bubrega i/ili hipotenzije u poređenju sa monoterapijom. S obzirom na njihova slična farmakodinamska svojstva, ovi rezultati su relevantni i za druge ACE inhibitore i blokatore receptora angiotenzina II.</w:t>
      </w:r>
    </w:p>
    <w:p w14:paraId="7C1B12AF" w14:textId="77777777" w:rsidR="00095D7E" w:rsidRDefault="008740DD">
      <w:pPr>
        <w:widowControl w:val="0"/>
        <w:jc w:val="both"/>
        <w:rPr>
          <w:szCs w:val="22"/>
          <w:lang w:val="sr-Latn-ME"/>
        </w:rPr>
      </w:pPr>
      <w:r>
        <w:rPr>
          <w:szCs w:val="22"/>
          <w:lang w:val="sr-Latn-ME"/>
        </w:rPr>
        <w:t>ACE inhibitori i blokatori receptora angiotenzina II se zbog toga ne smiju istovremeno koristiti kod pacijenata sa dijabetičkom nefropatijom.</w:t>
      </w:r>
    </w:p>
    <w:p w14:paraId="35A8C952" w14:textId="77777777" w:rsidR="00095D7E" w:rsidRDefault="008740DD">
      <w:pPr>
        <w:widowControl w:val="0"/>
        <w:jc w:val="both"/>
        <w:rPr>
          <w:szCs w:val="22"/>
          <w:lang w:val="sr-Latn-ME"/>
        </w:rPr>
      </w:pPr>
      <w:r>
        <w:rPr>
          <w:szCs w:val="22"/>
          <w:lang w:val="sr-Latn-ME"/>
        </w:rPr>
        <w:t>Ispitivanje aliskirena kod dijabetesa tipa 2 korišćenjem ishoda za kardiovaskularna i bubrežna oboljenja (Aliskiren Trial in Type 2 Diabetes Using Cardiovascular and Renal Disease Endpoints – ALTITUDE) bilo je osmišljeno da ispita korisna dejsva dodavanja aliskirena u standardnu terapiju sa ACE inhibitorom ili blokatorom receptora angiotenzina II kod pacijenata sa dijabetes melitusom tipa 2 i hroničnim oboljenjem bubrega, kardiovaskularnim oboljenjem ili oba. Ovo ispitivanje je prekinuto ranije zbog povećanog rizika od neželjenih ishoda. I kardiovaskularna smrt i moždani udar su bili češći u grupi koja je dobijala aliskiren u odnosu na grupu koja je dobijala placebo, a neželjeni događaji i ozbiljni neželjeni događaji od značaja (hiperkalemija, hipotenzija i disfunkcija bubrega) bili su češće zabilježeni u grupi sa aliskirenom nego u grupi sa placebom.</w:t>
      </w:r>
    </w:p>
    <w:p w14:paraId="27403179" w14:textId="77777777" w:rsidR="00095D7E" w:rsidRDefault="00095D7E">
      <w:pPr>
        <w:widowControl w:val="0"/>
        <w:rPr>
          <w:szCs w:val="22"/>
          <w:lang w:val="sr-Latn-ME"/>
        </w:rPr>
      </w:pPr>
    </w:p>
    <w:p w14:paraId="64B6AAE6" w14:textId="77777777" w:rsidR="00095D7E" w:rsidRDefault="008740DD">
      <w:pPr>
        <w:widowControl w:val="0"/>
        <w:jc w:val="both"/>
        <w:rPr>
          <w:szCs w:val="22"/>
          <w:u w:val="single"/>
          <w:lang w:val="sr-Latn-ME"/>
        </w:rPr>
      </w:pPr>
      <w:r>
        <w:rPr>
          <w:szCs w:val="22"/>
          <w:u w:val="single"/>
          <w:lang w:val="sr-Latn-ME"/>
        </w:rPr>
        <w:t>U vezi sa indapamidom</w:t>
      </w:r>
    </w:p>
    <w:p w14:paraId="4EC71F62" w14:textId="77777777" w:rsidR="00095D7E" w:rsidRDefault="008740DD">
      <w:pPr>
        <w:widowControl w:val="0"/>
        <w:jc w:val="both"/>
        <w:rPr>
          <w:szCs w:val="22"/>
          <w:lang w:val="sr-Latn-ME"/>
        </w:rPr>
      </w:pPr>
      <w:r>
        <w:rPr>
          <w:szCs w:val="22"/>
          <w:lang w:val="sr-Latn-ME"/>
        </w:rPr>
        <w:t>Indapamid, kao monoterapija, ima antihipertenzivno dejstvo koje traje 24 sata. Ovo dejstvo se javlja pri dozama u kojima su diuretska svojstva minimalna.</w:t>
      </w:r>
    </w:p>
    <w:p w14:paraId="480BC6AC" w14:textId="77777777" w:rsidR="00095D7E" w:rsidRDefault="008740DD">
      <w:pPr>
        <w:widowControl w:val="0"/>
        <w:jc w:val="both"/>
        <w:rPr>
          <w:szCs w:val="22"/>
          <w:lang w:val="sr-Latn-ME"/>
        </w:rPr>
      </w:pPr>
      <w:r>
        <w:rPr>
          <w:szCs w:val="22"/>
          <w:lang w:val="sr-Latn-ME"/>
        </w:rPr>
        <w:t>Njegovo antihipertenzivno dejstvo proporcionalno je poboljšanju arterijske komplijanse i smanjenju ukupnog i arteriolarnog perifernog vaskularnog otpora. Indapamid smanjuje hipertrofiju lijeve komore.</w:t>
      </w:r>
    </w:p>
    <w:p w14:paraId="06D186AF" w14:textId="77777777" w:rsidR="00095D7E" w:rsidRDefault="008740DD">
      <w:pPr>
        <w:widowControl w:val="0"/>
        <w:jc w:val="both"/>
        <w:rPr>
          <w:szCs w:val="22"/>
          <w:lang w:val="sr-Latn-ME"/>
        </w:rPr>
      </w:pPr>
      <w:r>
        <w:rPr>
          <w:szCs w:val="22"/>
          <w:lang w:val="sr-Latn-ME"/>
        </w:rPr>
        <w:t>Kada se prekorači doza tiazidnih diuretika i diuretika srodnih tiazidima, antihipertenzivno dejstvo dostiže svoj plato, dok neželjena dejstava nastavljaju da se uvećavaju. Ukoliko terapija nema efekta, dozu ne treba povećavati.</w:t>
      </w:r>
    </w:p>
    <w:p w14:paraId="2F28A504" w14:textId="77777777" w:rsidR="00095D7E" w:rsidRDefault="008740DD">
      <w:pPr>
        <w:widowControl w:val="0"/>
        <w:tabs>
          <w:tab w:val="left" w:pos="0"/>
        </w:tabs>
        <w:jc w:val="both"/>
        <w:rPr>
          <w:szCs w:val="22"/>
          <w:lang w:val="sr-Latn-ME"/>
        </w:rPr>
      </w:pPr>
      <w:r>
        <w:rPr>
          <w:szCs w:val="22"/>
          <w:lang w:val="sr-Latn-ME"/>
        </w:rPr>
        <w:t>Osim toga, pokazalo se da prilikom kratkotrajnog, srednjeg i dugotrajnog davanja pacijentima koji boluju od hipertenzije, indapamid:</w:t>
      </w:r>
    </w:p>
    <w:p w14:paraId="454F6232" w14:textId="77777777" w:rsidR="00095D7E" w:rsidRDefault="008740DD">
      <w:pPr>
        <w:widowControl w:val="0"/>
        <w:numPr>
          <w:ilvl w:val="0"/>
          <w:numId w:val="2"/>
        </w:numPr>
        <w:tabs>
          <w:tab w:val="left" w:pos="567"/>
        </w:tabs>
        <w:spacing w:line="240" w:lineRule="auto"/>
        <w:ind w:left="0" w:firstLine="0"/>
        <w:jc w:val="both"/>
        <w:rPr>
          <w:szCs w:val="22"/>
          <w:lang w:val="sr-Latn-ME"/>
        </w:rPr>
      </w:pPr>
      <w:r>
        <w:rPr>
          <w:szCs w:val="22"/>
          <w:lang w:val="sr-Latn-ME"/>
        </w:rPr>
        <w:t>nije imao uticaja na metabolizam lipida: triglicerida, LDL-holesterola i HDL-holesterola,</w:t>
      </w:r>
    </w:p>
    <w:p w14:paraId="1176E68B" w14:textId="77777777" w:rsidR="00095D7E" w:rsidRDefault="008740DD">
      <w:pPr>
        <w:widowControl w:val="0"/>
        <w:numPr>
          <w:ilvl w:val="0"/>
          <w:numId w:val="2"/>
        </w:numPr>
        <w:tabs>
          <w:tab w:val="left" w:pos="567"/>
        </w:tabs>
        <w:spacing w:line="240" w:lineRule="auto"/>
        <w:jc w:val="both"/>
        <w:rPr>
          <w:szCs w:val="22"/>
          <w:lang w:val="sr-Latn-ME"/>
        </w:rPr>
      </w:pPr>
      <w:r>
        <w:rPr>
          <w:szCs w:val="22"/>
          <w:lang w:val="sr-Latn-ME"/>
        </w:rPr>
        <w:t xml:space="preserve">nema uticaja na metabolizam ugljenih hidrata, čak ni kod hipertenzivnih pacijenata koji boluju </w:t>
      </w:r>
      <w:r>
        <w:rPr>
          <w:szCs w:val="22"/>
          <w:lang w:val="sr-Latn-ME"/>
        </w:rPr>
        <w:lastRenderedPageBreak/>
        <w:t>od dijabetesa.</w:t>
      </w:r>
    </w:p>
    <w:p w14:paraId="197715D3" w14:textId="77777777" w:rsidR="00095D7E" w:rsidRDefault="00095D7E">
      <w:pPr>
        <w:widowControl w:val="0"/>
        <w:jc w:val="both"/>
        <w:rPr>
          <w:szCs w:val="22"/>
          <w:lang w:val="sr-Latn-ME"/>
        </w:rPr>
      </w:pPr>
    </w:p>
    <w:p w14:paraId="088D0364" w14:textId="77777777" w:rsidR="00095D7E" w:rsidRDefault="008740DD">
      <w:pPr>
        <w:widowControl w:val="0"/>
        <w:autoSpaceDE w:val="0"/>
        <w:autoSpaceDN w:val="0"/>
        <w:adjustRightInd w:val="0"/>
        <w:jc w:val="both"/>
        <w:rPr>
          <w:szCs w:val="22"/>
          <w:u w:val="single"/>
          <w:lang w:val="sr-Latn-ME"/>
        </w:rPr>
      </w:pPr>
      <w:r>
        <w:rPr>
          <w:szCs w:val="22"/>
          <w:u w:val="single"/>
          <w:lang w:val="sr-Latn-ME"/>
        </w:rPr>
        <w:t>U vezi sa rosuvastatinom</w:t>
      </w:r>
    </w:p>
    <w:p w14:paraId="24C7CE99"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Rosuvastatin smanjuje povišeni LDL-holesterol, ukupni holesterol i trigliceride i povećava HDL-holesterol. On snižava i ApoB, neHDL-h, VLDL-h, VLDL-tg i povećava ApoA-I (vidjeti Tabelu 3). Rosuvastatin takođe snižava odnose LDL-h/HDL-h, ukupni h/HDL-h i neHDL-h/HDL-h te ApoB/ApoA-I.</w:t>
      </w:r>
    </w:p>
    <w:p w14:paraId="204D910F" w14:textId="77777777" w:rsidR="00095D7E" w:rsidRDefault="00095D7E">
      <w:pPr>
        <w:pStyle w:val="NormalWeb"/>
        <w:widowControl w:val="0"/>
        <w:spacing w:before="0" w:beforeAutospacing="0" w:after="0"/>
        <w:rPr>
          <w:color w:val="auto"/>
          <w:sz w:val="22"/>
          <w:szCs w:val="22"/>
          <w:lang w:val="sr-Latn-ME"/>
        </w:rPr>
      </w:pPr>
    </w:p>
    <w:p w14:paraId="5AC2BF3E" w14:textId="77777777" w:rsidR="00095D7E" w:rsidRDefault="008740DD">
      <w:pPr>
        <w:pStyle w:val="NormalWeb"/>
        <w:widowControl w:val="0"/>
        <w:spacing w:before="0" w:beforeAutospacing="0" w:after="0"/>
        <w:rPr>
          <w:b/>
          <w:bCs/>
          <w:color w:val="auto"/>
          <w:sz w:val="22"/>
          <w:szCs w:val="22"/>
          <w:lang w:val="sr-Latn-ME"/>
        </w:rPr>
      </w:pPr>
      <w:r>
        <w:rPr>
          <w:rStyle w:val="CommentTextChar"/>
          <w:b/>
          <w:snapToGrid/>
          <w:color w:val="auto"/>
          <w:sz w:val="22"/>
          <w:szCs w:val="22"/>
          <w:lang w:val="sr-Latn-ME"/>
        </w:rPr>
        <w:t>Tabela 3: Odgovor na dozu kod pacijenata sa primarnom hiperholesterolemijom (tipa IIa i IIb) (prilagođen prosječan procenat promjene u odnosu na početni nivo)</w:t>
      </w:r>
    </w:p>
    <w:p w14:paraId="7C2FA2B5" w14:textId="77777777" w:rsidR="00095D7E" w:rsidRDefault="00095D7E">
      <w:pPr>
        <w:pStyle w:val="NormalWeb"/>
        <w:widowControl w:val="0"/>
        <w:spacing w:before="0" w:beforeAutospacing="0" w:after="0"/>
        <w:rPr>
          <w:color w:val="auto"/>
          <w:sz w:val="22"/>
          <w:szCs w:val="22"/>
          <w:lang w:val="sr-Latn-ME"/>
        </w:rPr>
      </w:pPr>
    </w:p>
    <w:tbl>
      <w:tblPr>
        <w:tblW w:w="4813" w:type="pct"/>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firstRow="0" w:lastRow="0" w:firstColumn="0" w:lastColumn="0" w:noHBand="0" w:noVBand="0"/>
      </w:tblPr>
      <w:tblGrid>
        <w:gridCol w:w="1008"/>
        <w:gridCol w:w="739"/>
        <w:gridCol w:w="977"/>
        <w:gridCol w:w="1042"/>
        <w:gridCol w:w="1002"/>
        <w:gridCol w:w="716"/>
        <w:gridCol w:w="1341"/>
        <w:gridCol w:w="851"/>
        <w:gridCol w:w="1011"/>
      </w:tblGrid>
      <w:tr w:rsidR="00095D7E" w14:paraId="36936455" w14:textId="77777777">
        <w:tc>
          <w:tcPr>
            <w:tcW w:w="1021" w:type="dxa"/>
            <w:shd w:val="clear" w:color="auto" w:fill="auto"/>
          </w:tcPr>
          <w:p w14:paraId="4A81FD41" w14:textId="77777777" w:rsidR="00095D7E" w:rsidRDefault="008740DD">
            <w:pPr>
              <w:pStyle w:val="NormalWeb"/>
              <w:widowControl w:val="0"/>
              <w:spacing w:before="0" w:beforeAutospacing="0" w:after="0"/>
              <w:rPr>
                <w:color w:val="auto"/>
                <w:sz w:val="22"/>
                <w:szCs w:val="22"/>
                <w:lang w:val="sr-Latn-ME"/>
              </w:rPr>
            </w:pPr>
            <w:r>
              <w:rPr>
                <w:rStyle w:val="CommentTextChar"/>
                <w:b/>
                <w:snapToGrid/>
                <w:color w:val="auto"/>
                <w:sz w:val="22"/>
                <w:szCs w:val="22"/>
                <w:lang w:val="sr-Latn-ME"/>
              </w:rPr>
              <w:t>Doza</w:t>
            </w:r>
          </w:p>
        </w:tc>
        <w:tc>
          <w:tcPr>
            <w:tcW w:w="779" w:type="dxa"/>
            <w:shd w:val="clear" w:color="auto" w:fill="auto"/>
          </w:tcPr>
          <w:p w14:paraId="77DD780F" w14:textId="77777777" w:rsidR="00095D7E" w:rsidRDefault="008740DD">
            <w:pPr>
              <w:pStyle w:val="NormalWeb"/>
              <w:widowControl w:val="0"/>
              <w:spacing w:before="0" w:beforeAutospacing="0" w:after="0"/>
              <w:rPr>
                <w:color w:val="auto"/>
                <w:sz w:val="22"/>
                <w:szCs w:val="22"/>
                <w:lang w:val="sr-Latn-ME"/>
              </w:rPr>
            </w:pPr>
            <w:r>
              <w:rPr>
                <w:rStyle w:val="CommentTextChar"/>
                <w:b/>
                <w:snapToGrid/>
                <w:color w:val="auto"/>
                <w:sz w:val="22"/>
                <w:szCs w:val="22"/>
                <w:lang w:val="sr-Latn-ME"/>
              </w:rPr>
              <w:t>N</w:t>
            </w:r>
          </w:p>
        </w:tc>
        <w:tc>
          <w:tcPr>
            <w:tcW w:w="1007" w:type="dxa"/>
            <w:shd w:val="clear" w:color="auto" w:fill="auto"/>
          </w:tcPr>
          <w:p w14:paraId="0653C24D" w14:textId="77777777" w:rsidR="00095D7E" w:rsidRDefault="008740DD">
            <w:pPr>
              <w:pStyle w:val="NormalWeb"/>
              <w:widowControl w:val="0"/>
              <w:spacing w:before="0" w:beforeAutospacing="0" w:after="0"/>
              <w:rPr>
                <w:color w:val="auto"/>
                <w:sz w:val="22"/>
                <w:szCs w:val="22"/>
                <w:lang w:val="sr-Latn-ME"/>
              </w:rPr>
            </w:pPr>
            <w:r>
              <w:rPr>
                <w:rStyle w:val="CommentTextChar"/>
                <w:b/>
                <w:snapToGrid/>
                <w:color w:val="auto"/>
                <w:sz w:val="22"/>
                <w:szCs w:val="22"/>
                <w:lang w:val="sr-Latn-ME"/>
              </w:rPr>
              <w:t>LDL-h</w:t>
            </w:r>
          </w:p>
        </w:tc>
        <w:tc>
          <w:tcPr>
            <w:tcW w:w="1057" w:type="dxa"/>
            <w:shd w:val="clear" w:color="auto" w:fill="auto"/>
          </w:tcPr>
          <w:p w14:paraId="5651B859" w14:textId="77777777" w:rsidR="00095D7E" w:rsidRDefault="008740DD">
            <w:pPr>
              <w:pStyle w:val="NormalWeb"/>
              <w:widowControl w:val="0"/>
              <w:spacing w:before="0" w:beforeAutospacing="0" w:after="0"/>
              <w:rPr>
                <w:color w:val="auto"/>
                <w:sz w:val="22"/>
                <w:szCs w:val="22"/>
                <w:lang w:val="sr-Latn-ME"/>
              </w:rPr>
            </w:pPr>
            <w:r>
              <w:rPr>
                <w:rStyle w:val="CommentTextChar"/>
                <w:b/>
                <w:snapToGrid/>
                <w:color w:val="auto"/>
                <w:sz w:val="22"/>
                <w:szCs w:val="22"/>
                <w:lang w:val="sr-Latn-ME"/>
              </w:rPr>
              <w:t>Ukupni h</w:t>
            </w:r>
          </w:p>
        </w:tc>
        <w:tc>
          <w:tcPr>
            <w:tcW w:w="1032" w:type="dxa"/>
            <w:shd w:val="clear" w:color="auto" w:fill="auto"/>
          </w:tcPr>
          <w:p w14:paraId="181A06E6" w14:textId="77777777" w:rsidR="00095D7E" w:rsidRDefault="008740DD">
            <w:pPr>
              <w:pStyle w:val="NormalWeb"/>
              <w:widowControl w:val="0"/>
              <w:spacing w:before="0" w:beforeAutospacing="0" w:after="0"/>
              <w:rPr>
                <w:color w:val="auto"/>
                <w:sz w:val="22"/>
                <w:szCs w:val="22"/>
                <w:lang w:val="sr-Latn-ME"/>
              </w:rPr>
            </w:pPr>
            <w:r>
              <w:rPr>
                <w:rStyle w:val="CommentTextChar"/>
                <w:b/>
                <w:snapToGrid/>
                <w:color w:val="auto"/>
                <w:sz w:val="22"/>
                <w:szCs w:val="22"/>
                <w:lang w:val="sr-Latn-ME"/>
              </w:rPr>
              <w:t>HDL-h</w:t>
            </w:r>
          </w:p>
        </w:tc>
        <w:tc>
          <w:tcPr>
            <w:tcW w:w="739" w:type="dxa"/>
            <w:shd w:val="clear" w:color="auto" w:fill="auto"/>
          </w:tcPr>
          <w:p w14:paraId="398773DB" w14:textId="77777777" w:rsidR="00095D7E" w:rsidRDefault="008740DD">
            <w:pPr>
              <w:pStyle w:val="NormalWeb"/>
              <w:widowControl w:val="0"/>
              <w:spacing w:before="0" w:beforeAutospacing="0" w:after="0"/>
              <w:rPr>
                <w:color w:val="auto"/>
                <w:sz w:val="22"/>
                <w:szCs w:val="22"/>
                <w:lang w:val="sr-Latn-ME"/>
              </w:rPr>
            </w:pPr>
            <w:r>
              <w:rPr>
                <w:rStyle w:val="CommentTextChar"/>
                <w:b/>
                <w:snapToGrid/>
                <w:color w:val="auto"/>
                <w:sz w:val="22"/>
                <w:szCs w:val="22"/>
                <w:lang w:val="sr-Latn-ME"/>
              </w:rPr>
              <w:t>TG</w:t>
            </w:r>
          </w:p>
        </w:tc>
        <w:tc>
          <w:tcPr>
            <w:tcW w:w="1387" w:type="dxa"/>
            <w:shd w:val="clear" w:color="auto" w:fill="auto"/>
          </w:tcPr>
          <w:p w14:paraId="1C746B48" w14:textId="77777777" w:rsidR="00095D7E" w:rsidRDefault="008740DD">
            <w:pPr>
              <w:pStyle w:val="NormalWeb"/>
              <w:widowControl w:val="0"/>
              <w:spacing w:before="0" w:beforeAutospacing="0" w:after="0"/>
              <w:rPr>
                <w:color w:val="auto"/>
                <w:sz w:val="22"/>
                <w:szCs w:val="22"/>
                <w:lang w:val="sr-Latn-ME"/>
              </w:rPr>
            </w:pPr>
            <w:r>
              <w:rPr>
                <w:rStyle w:val="CommentTextChar"/>
                <w:b/>
                <w:snapToGrid/>
                <w:color w:val="auto"/>
                <w:sz w:val="22"/>
                <w:szCs w:val="22"/>
                <w:lang w:val="sr-Latn-ME"/>
              </w:rPr>
              <w:t>neHDL-h</w:t>
            </w:r>
          </w:p>
        </w:tc>
        <w:tc>
          <w:tcPr>
            <w:tcW w:w="863" w:type="dxa"/>
            <w:shd w:val="clear" w:color="auto" w:fill="auto"/>
          </w:tcPr>
          <w:p w14:paraId="39447103" w14:textId="77777777" w:rsidR="00095D7E" w:rsidRDefault="008740DD">
            <w:pPr>
              <w:pStyle w:val="NormalWeb"/>
              <w:widowControl w:val="0"/>
              <w:spacing w:before="0" w:beforeAutospacing="0" w:after="0"/>
              <w:rPr>
                <w:color w:val="auto"/>
                <w:sz w:val="22"/>
                <w:szCs w:val="22"/>
                <w:lang w:val="sr-Latn-ME"/>
              </w:rPr>
            </w:pPr>
            <w:r>
              <w:rPr>
                <w:rStyle w:val="CommentTextChar"/>
                <w:b/>
                <w:snapToGrid/>
                <w:color w:val="auto"/>
                <w:sz w:val="22"/>
                <w:szCs w:val="22"/>
                <w:lang w:val="sr-Latn-ME"/>
              </w:rPr>
              <w:t>ApoB</w:t>
            </w:r>
          </w:p>
        </w:tc>
        <w:tc>
          <w:tcPr>
            <w:tcW w:w="1033" w:type="dxa"/>
            <w:shd w:val="clear" w:color="auto" w:fill="auto"/>
          </w:tcPr>
          <w:p w14:paraId="11B0615A" w14:textId="77777777" w:rsidR="00095D7E" w:rsidRDefault="008740DD">
            <w:pPr>
              <w:pStyle w:val="NormalWeb"/>
              <w:widowControl w:val="0"/>
              <w:spacing w:before="0" w:beforeAutospacing="0" w:after="0"/>
              <w:rPr>
                <w:color w:val="auto"/>
                <w:sz w:val="22"/>
                <w:szCs w:val="22"/>
                <w:lang w:val="sr-Latn-ME"/>
              </w:rPr>
            </w:pPr>
            <w:r>
              <w:rPr>
                <w:rStyle w:val="CommentTextChar"/>
                <w:b/>
                <w:snapToGrid/>
                <w:color w:val="auto"/>
                <w:sz w:val="22"/>
                <w:szCs w:val="22"/>
                <w:lang w:val="sr-Latn-ME"/>
              </w:rPr>
              <w:t>ApoA-I</w:t>
            </w:r>
          </w:p>
        </w:tc>
      </w:tr>
      <w:tr w:rsidR="00095D7E" w14:paraId="36D30B70" w14:textId="77777777">
        <w:tc>
          <w:tcPr>
            <w:tcW w:w="1021" w:type="dxa"/>
            <w:shd w:val="clear" w:color="auto" w:fill="auto"/>
          </w:tcPr>
          <w:p w14:paraId="4F7CD1EB"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Placebo</w:t>
            </w:r>
          </w:p>
        </w:tc>
        <w:tc>
          <w:tcPr>
            <w:tcW w:w="779" w:type="dxa"/>
            <w:shd w:val="clear" w:color="auto" w:fill="auto"/>
          </w:tcPr>
          <w:p w14:paraId="028DF154"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13</w:t>
            </w:r>
          </w:p>
        </w:tc>
        <w:tc>
          <w:tcPr>
            <w:tcW w:w="1007" w:type="dxa"/>
            <w:shd w:val="clear" w:color="auto" w:fill="auto"/>
          </w:tcPr>
          <w:p w14:paraId="1A6FC589"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-7</w:t>
            </w:r>
          </w:p>
        </w:tc>
        <w:tc>
          <w:tcPr>
            <w:tcW w:w="1057" w:type="dxa"/>
            <w:shd w:val="clear" w:color="auto" w:fill="auto"/>
          </w:tcPr>
          <w:p w14:paraId="4CF9DE15"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-5</w:t>
            </w:r>
          </w:p>
        </w:tc>
        <w:tc>
          <w:tcPr>
            <w:tcW w:w="1032" w:type="dxa"/>
            <w:shd w:val="clear" w:color="auto" w:fill="auto"/>
          </w:tcPr>
          <w:p w14:paraId="28C996C9"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3</w:t>
            </w:r>
          </w:p>
        </w:tc>
        <w:tc>
          <w:tcPr>
            <w:tcW w:w="739" w:type="dxa"/>
            <w:shd w:val="clear" w:color="auto" w:fill="auto"/>
          </w:tcPr>
          <w:p w14:paraId="58AA579D"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-3</w:t>
            </w:r>
          </w:p>
        </w:tc>
        <w:tc>
          <w:tcPr>
            <w:tcW w:w="1387" w:type="dxa"/>
            <w:shd w:val="clear" w:color="auto" w:fill="auto"/>
          </w:tcPr>
          <w:p w14:paraId="19EFFD86"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-7</w:t>
            </w:r>
          </w:p>
        </w:tc>
        <w:tc>
          <w:tcPr>
            <w:tcW w:w="863" w:type="dxa"/>
            <w:shd w:val="clear" w:color="auto" w:fill="auto"/>
          </w:tcPr>
          <w:p w14:paraId="26DDCF34"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-3</w:t>
            </w:r>
          </w:p>
        </w:tc>
        <w:tc>
          <w:tcPr>
            <w:tcW w:w="1033" w:type="dxa"/>
            <w:shd w:val="clear" w:color="auto" w:fill="auto"/>
          </w:tcPr>
          <w:p w14:paraId="2662C958"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0</w:t>
            </w:r>
          </w:p>
        </w:tc>
      </w:tr>
      <w:tr w:rsidR="00095D7E" w14:paraId="1024358A" w14:textId="77777777">
        <w:tc>
          <w:tcPr>
            <w:tcW w:w="1021" w:type="dxa"/>
            <w:shd w:val="clear" w:color="auto" w:fill="auto"/>
          </w:tcPr>
          <w:p w14:paraId="596A92B1"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5</w:t>
            </w:r>
          </w:p>
        </w:tc>
        <w:tc>
          <w:tcPr>
            <w:tcW w:w="779" w:type="dxa"/>
            <w:shd w:val="clear" w:color="auto" w:fill="auto"/>
          </w:tcPr>
          <w:p w14:paraId="688A6352"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17</w:t>
            </w:r>
          </w:p>
        </w:tc>
        <w:tc>
          <w:tcPr>
            <w:tcW w:w="1007" w:type="dxa"/>
            <w:shd w:val="clear" w:color="auto" w:fill="auto"/>
          </w:tcPr>
          <w:p w14:paraId="20112485"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-45</w:t>
            </w:r>
          </w:p>
        </w:tc>
        <w:tc>
          <w:tcPr>
            <w:tcW w:w="1057" w:type="dxa"/>
            <w:shd w:val="clear" w:color="auto" w:fill="auto"/>
          </w:tcPr>
          <w:p w14:paraId="4CB2D317"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-33</w:t>
            </w:r>
          </w:p>
        </w:tc>
        <w:tc>
          <w:tcPr>
            <w:tcW w:w="1032" w:type="dxa"/>
            <w:shd w:val="clear" w:color="auto" w:fill="auto"/>
          </w:tcPr>
          <w:p w14:paraId="0358EBDB"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13</w:t>
            </w:r>
          </w:p>
        </w:tc>
        <w:tc>
          <w:tcPr>
            <w:tcW w:w="739" w:type="dxa"/>
            <w:shd w:val="clear" w:color="auto" w:fill="auto"/>
          </w:tcPr>
          <w:p w14:paraId="055CE384"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-35</w:t>
            </w:r>
          </w:p>
        </w:tc>
        <w:tc>
          <w:tcPr>
            <w:tcW w:w="1387" w:type="dxa"/>
            <w:shd w:val="clear" w:color="auto" w:fill="auto"/>
          </w:tcPr>
          <w:p w14:paraId="5790DFD8"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-44</w:t>
            </w:r>
          </w:p>
        </w:tc>
        <w:tc>
          <w:tcPr>
            <w:tcW w:w="863" w:type="dxa"/>
            <w:shd w:val="clear" w:color="auto" w:fill="auto"/>
          </w:tcPr>
          <w:p w14:paraId="6BE857B4"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-38</w:t>
            </w:r>
          </w:p>
        </w:tc>
        <w:tc>
          <w:tcPr>
            <w:tcW w:w="1033" w:type="dxa"/>
            <w:shd w:val="clear" w:color="auto" w:fill="auto"/>
          </w:tcPr>
          <w:p w14:paraId="4B79865B"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4</w:t>
            </w:r>
          </w:p>
        </w:tc>
      </w:tr>
      <w:tr w:rsidR="00095D7E" w14:paraId="4DC967D3" w14:textId="77777777">
        <w:tc>
          <w:tcPr>
            <w:tcW w:w="1021" w:type="dxa"/>
            <w:shd w:val="clear" w:color="auto" w:fill="auto"/>
          </w:tcPr>
          <w:p w14:paraId="5826B8DC"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10</w:t>
            </w:r>
          </w:p>
        </w:tc>
        <w:tc>
          <w:tcPr>
            <w:tcW w:w="779" w:type="dxa"/>
            <w:shd w:val="clear" w:color="auto" w:fill="auto"/>
          </w:tcPr>
          <w:p w14:paraId="608EC5EF"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17</w:t>
            </w:r>
          </w:p>
        </w:tc>
        <w:tc>
          <w:tcPr>
            <w:tcW w:w="1007" w:type="dxa"/>
            <w:shd w:val="clear" w:color="auto" w:fill="auto"/>
          </w:tcPr>
          <w:p w14:paraId="604C3EE2"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-52</w:t>
            </w:r>
          </w:p>
        </w:tc>
        <w:tc>
          <w:tcPr>
            <w:tcW w:w="1057" w:type="dxa"/>
            <w:shd w:val="clear" w:color="auto" w:fill="auto"/>
          </w:tcPr>
          <w:p w14:paraId="681554DE"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-36</w:t>
            </w:r>
          </w:p>
        </w:tc>
        <w:tc>
          <w:tcPr>
            <w:tcW w:w="1032" w:type="dxa"/>
            <w:shd w:val="clear" w:color="auto" w:fill="auto"/>
          </w:tcPr>
          <w:p w14:paraId="1565B0A7"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14</w:t>
            </w:r>
          </w:p>
        </w:tc>
        <w:tc>
          <w:tcPr>
            <w:tcW w:w="739" w:type="dxa"/>
            <w:shd w:val="clear" w:color="auto" w:fill="auto"/>
          </w:tcPr>
          <w:p w14:paraId="7936AEA3"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-10</w:t>
            </w:r>
          </w:p>
        </w:tc>
        <w:tc>
          <w:tcPr>
            <w:tcW w:w="1387" w:type="dxa"/>
            <w:shd w:val="clear" w:color="auto" w:fill="auto"/>
          </w:tcPr>
          <w:p w14:paraId="41D6975B"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-48</w:t>
            </w:r>
          </w:p>
        </w:tc>
        <w:tc>
          <w:tcPr>
            <w:tcW w:w="863" w:type="dxa"/>
            <w:shd w:val="clear" w:color="auto" w:fill="auto"/>
          </w:tcPr>
          <w:p w14:paraId="60794683"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-42</w:t>
            </w:r>
          </w:p>
        </w:tc>
        <w:tc>
          <w:tcPr>
            <w:tcW w:w="1033" w:type="dxa"/>
            <w:shd w:val="clear" w:color="auto" w:fill="auto"/>
          </w:tcPr>
          <w:p w14:paraId="2793023B"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4</w:t>
            </w:r>
          </w:p>
        </w:tc>
      </w:tr>
      <w:tr w:rsidR="00095D7E" w14:paraId="28B60E78" w14:textId="77777777">
        <w:tc>
          <w:tcPr>
            <w:tcW w:w="1021" w:type="dxa"/>
            <w:shd w:val="clear" w:color="auto" w:fill="auto"/>
          </w:tcPr>
          <w:p w14:paraId="42A0F40D"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20</w:t>
            </w:r>
          </w:p>
        </w:tc>
        <w:tc>
          <w:tcPr>
            <w:tcW w:w="779" w:type="dxa"/>
            <w:shd w:val="clear" w:color="auto" w:fill="auto"/>
          </w:tcPr>
          <w:p w14:paraId="33BF6DDE"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17</w:t>
            </w:r>
          </w:p>
        </w:tc>
        <w:tc>
          <w:tcPr>
            <w:tcW w:w="1007" w:type="dxa"/>
            <w:shd w:val="clear" w:color="auto" w:fill="auto"/>
          </w:tcPr>
          <w:p w14:paraId="51E69AA4"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-55</w:t>
            </w:r>
          </w:p>
        </w:tc>
        <w:tc>
          <w:tcPr>
            <w:tcW w:w="1057" w:type="dxa"/>
            <w:shd w:val="clear" w:color="auto" w:fill="auto"/>
          </w:tcPr>
          <w:p w14:paraId="16C759E0"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-40</w:t>
            </w:r>
          </w:p>
        </w:tc>
        <w:tc>
          <w:tcPr>
            <w:tcW w:w="1032" w:type="dxa"/>
            <w:shd w:val="clear" w:color="auto" w:fill="auto"/>
          </w:tcPr>
          <w:p w14:paraId="78CFA71C"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8</w:t>
            </w:r>
          </w:p>
        </w:tc>
        <w:tc>
          <w:tcPr>
            <w:tcW w:w="739" w:type="dxa"/>
            <w:shd w:val="clear" w:color="auto" w:fill="auto"/>
          </w:tcPr>
          <w:p w14:paraId="514ADAFA"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-23</w:t>
            </w:r>
          </w:p>
        </w:tc>
        <w:tc>
          <w:tcPr>
            <w:tcW w:w="1387" w:type="dxa"/>
            <w:shd w:val="clear" w:color="auto" w:fill="auto"/>
          </w:tcPr>
          <w:p w14:paraId="3FBF81C3"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-51</w:t>
            </w:r>
          </w:p>
        </w:tc>
        <w:tc>
          <w:tcPr>
            <w:tcW w:w="863" w:type="dxa"/>
            <w:shd w:val="clear" w:color="auto" w:fill="auto"/>
          </w:tcPr>
          <w:p w14:paraId="30E1E09F"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-46</w:t>
            </w:r>
          </w:p>
        </w:tc>
        <w:tc>
          <w:tcPr>
            <w:tcW w:w="1033" w:type="dxa"/>
            <w:shd w:val="clear" w:color="auto" w:fill="auto"/>
          </w:tcPr>
          <w:p w14:paraId="6472F1E0"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5</w:t>
            </w:r>
          </w:p>
        </w:tc>
      </w:tr>
      <w:tr w:rsidR="00095D7E" w14:paraId="0C3BEB12" w14:textId="77777777">
        <w:tc>
          <w:tcPr>
            <w:tcW w:w="1021" w:type="dxa"/>
            <w:shd w:val="clear" w:color="auto" w:fill="auto"/>
          </w:tcPr>
          <w:p w14:paraId="6B55E13D"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40</w:t>
            </w:r>
          </w:p>
        </w:tc>
        <w:tc>
          <w:tcPr>
            <w:tcW w:w="779" w:type="dxa"/>
            <w:shd w:val="clear" w:color="auto" w:fill="auto"/>
          </w:tcPr>
          <w:p w14:paraId="58AEE495"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18</w:t>
            </w:r>
          </w:p>
        </w:tc>
        <w:tc>
          <w:tcPr>
            <w:tcW w:w="1007" w:type="dxa"/>
            <w:shd w:val="clear" w:color="auto" w:fill="auto"/>
          </w:tcPr>
          <w:p w14:paraId="4884190C"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-63</w:t>
            </w:r>
          </w:p>
        </w:tc>
        <w:tc>
          <w:tcPr>
            <w:tcW w:w="1057" w:type="dxa"/>
            <w:shd w:val="clear" w:color="auto" w:fill="auto"/>
          </w:tcPr>
          <w:p w14:paraId="0EC1B0F0"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-46</w:t>
            </w:r>
          </w:p>
        </w:tc>
        <w:tc>
          <w:tcPr>
            <w:tcW w:w="1032" w:type="dxa"/>
            <w:shd w:val="clear" w:color="auto" w:fill="auto"/>
          </w:tcPr>
          <w:p w14:paraId="37AD96EB"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10</w:t>
            </w:r>
          </w:p>
        </w:tc>
        <w:tc>
          <w:tcPr>
            <w:tcW w:w="739" w:type="dxa"/>
            <w:shd w:val="clear" w:color="auto" w:fill="auto"/>
          </w:tcPr>
          <w:p w14:paraId="198383E6"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-28</w:t>
            </w:r>
          </w:p>
        </w:tc>
        <w:tc>
          <w:tcPr>
            <w:tcW w:w="1387" w:type="dxa"/>
            <w:shd w:val="clear" w:color="auto" w:fill="auto"/>
          </w:tcPr>
          <w:p w14:paraId="6567CFD1"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-60</w:t>
            </w:r>
          </w:p>
        </w:tc>
        <w:tc>
          <w:tcPr>
            <w:tcW w:w="863" w:type="dxa"/>
            <w:shd w:val="clear" w:color="auto" w:fill="auto"/>
          </w:tcPr>
          <w:p w14:paraId="5A9C66C8"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-54</w:t>
            </w:r>
          </w:p>
        </w:tc>
        <w:tc>
          <w:tcPr>
            <w:tcW w:w="1033" w:type="dxa"/>
            <w:shd w:val="clear" w:color="auto" w:fill="auto"/>
          </w:tcPr>
          <w:p w14:paraId="3D1FE90A" w14:textId="77777777" w:rsidR="00095D7E" w:rsidRDefault="008740DD">
            <w:pPr>
              <w:pStyle w:val="NormalWeb"/>
              <w:widowControl w:val="0"/>
              <w:spacing w:before="0" w:beforeAutospacing="0" w:after="0"/>
              <w:rPr>
                <w:color w:val="auto"/>
                <w:sz w:val="22"/>
                <w:szCs w:val="22"/>
                <w:lang w:val="sr-Latn-ME"/>
              </w:rPr>
            </w:pPr>
            <w:r>
              <w:rPr>
                <w:rStyle w:val="CommentTextChar"/>
                <w:snapToGrid/>
                <w:color w:val="auto"/>
                <w:sz w:val="22"/>
                <w:szCs w:val="22"/>
                <w:lang w:val="sr-Latn-ME"/>
              </w:rPr>
              <w:t>0</w:t>
            </w:r>
          </w:p>
        </w:tc>
      </w:tr>
    </w:tbl>
    <w:p w14:paraId="71B5BB1F" w14:textId="77777777" w:rsidR="00095D7E" w:rsidRDefault="00095D7E">
      <w:pPr>
        <w:pStyle w:val="NormalWeb"/>
        <w:widowControl w:val="0"/>
        <w:spacing w:before="0" w:beforeAutospacing="0" w:after="0"/>
        <w:rPr>
          <w:color w:val="auto"/>
          <w:sz w:val="22"/>
          <w:szCs w:val="22"/>
          <w:lang w:val="sr-Latn-ME"/>
        </w:rPr>
      </w:pPr>
    </w:p>
    <w:p w14:paraId="63D88D32"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Terapijsko dejstvo je postignuto u roku od nedjelju dana od započinjanja terapije, a 90% maksimalnog odgovora dostignuto je za 2 nedjelje. Maksimalni odgovor se obično dostiže za 4 nedjelje i održava se nakon toga.</w:t>
      </w:r>
    </w:p>
    <w:p w14:paraId="05AD979A" w14:textId="77777777" w:rsidR="00095D7E" w:rsidRDefault="00095D7E">
      <w:pPr>
        <w:widowControl w:val="0"/>
        <w:autoSpaceDE w:val="0"/>
        <w:autoSpaceDN w:val="0"/>
        <w:adjustRightInd w:val="0"/>
        <w:jc w:val="both"/>
        <w:rPr>
          <w:szCs w:val="22"/>
          <w:lang w:val="sr-Latn-ME"/>
        </w:rPr>
      </w:pPr>
    </w:p>
    <w:p w14:paraId="6F9D99A7"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Rosuvastatin je efikasan kod odraslih osoba sa hiperholesterolemijom, sa hipertrigliceridemijom ili bez nje, bez obzira na rasu, pol ili starost, kao i kod posebnih populacija kao što su pacijenti sa dijabetesom ili porodičnom hiperholesterolemijom.</w:t>
      </w:r>
    </w:p>
    <w:p w14:paraId="0C1C8A0A" w14:textId="77777777" w:rsidR="00095D7E" w:rsidRDefault="00095D7E">
      <w:pPr>
        <w:pStyle w:val="NormalWeb"/>
        <w:widowControl w:val="0"/>
        <w:spacing w:before="0" w:beforeAutospacing="0" w:after="0"/>
        <w:jc w:val="both"/>
        <w:rPr>
          <w:color w:val="auto"/>
          <w:sz w:val="22"/>
          <w:szCs w:val="22"/>
          <w:lang w:val="sr-Latn-ME"/>
        </w:rPr>
      </w:pPr>
    </w:p>
    <w:p w14:paraId="3DE86A8A"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Na osnovu udruženih podataka faze III, pokazalo se da je rosuvastatin efikasan u liječenju većine pacijenata sa hiperholesterolemijom tipa IIa i IIb (prosječna vrijednost prije terapije LDL-h oko 4,8 mmol/L) do priznatih ciljnih vrijednosti Evropskog udruženja za aterosklerozu (European Atherosclerosis Society – EAS; 1998); oko 80% pacijenata liječenih sa 10 mg dostiglo je ciljnu vrijednost prema EAS za nivo LDL-h (&lt; 3 mmol/L).</w:t>
      </w:r>
    </w:p>
    <w:p w14:paraId="184BFFDC" w14:textId="77777777" w:rsidR="00095D7E" w:rsidRDefault="00095D7E">
      <w:pPr>
        <w:pStyle w:val="NormalWeb"/>
        <w:widowControl w:val="0"/>
        <w:spacing w:before="0" w:beforeAutospacing="0" w:after="0"/>
        <w:jc w:val="both"/>
        <w:rPr>
          <w:color w:val="auto"/>
          <w:sz w:val="22"/>
          <w:szCs w:val="22"/>
          <w:lang w:val="sr-Latn-ME"/>
        </w:rPr>
      </w:pPr>
    </w:p>
    <w:p w14:paraId="36A35897" w14:textId="77777777" w:rsidR="00095D7E" w:rsidRDefault="008740DD">
      <w:pPr>
        <w:widowControl w:val="0"/>
        <w:jc w:val="both"/>
        <w:rPr>
          <w:szCs w:val="22"/>
          <w:lang w:val="sr-Latn-ME"/>
        </w:rPr>
      </w:pPr>
      <w:r>
        <w:rPr>
          <w:szCs w:val="22"/>
          <w:lang w:val="sr-Latn-ME"/>
        </w:rPr>
        <w:t>U velikom ispitivanju, 435 pacijenta sa heterozigotnom porodičnom hiperholesterolemijom dobijalo je rosuvastatin u dozi od 20 mg do 80 mg u režimu forsirane titracije. Pokazalo se da sve doze imaju korisna dejstva na parametre lipida i postizanje ciljnih vrijednosti. Nakon titracije na dnevnu dozu od 40 mg (12 nedjelja terapije), LDL-h je bio smanjen za 53%. 33% pacijenata dostiglo je smjernice EAS za nivo LDL-h (&lt; 3 mmol/L).</w:t>
      </w:r>
    </w:p>
    <w:p w14:paraId="338A5F24" w14:textId="77777777" w:rsidR="00095D7E" w:rsidRDefault="00095D7E">
      <w:pPr>
        <w:pStyle w:val="NormalWeb"/>
        <w:widowControl w:val="0"/>
        <w:spacing w:before="0" w:beforeAutospacing="0" w:after="0"/>
        <w:rPr>
          <w:color w:val="auto"/>
          <w:sz w:val="22"/>
          <w:szCs w:val="22"/>
          <w:lang w:val="sr-Latn-ME"/>
        </w:rPr>
      </w:pPr>
    </w:p>
    <w:p w14:paraId="5E70AA17"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U otvorenom ispitivanju sa forsiranom titracijom kod 42 pacijenta sa homozigotnom porodičnom hiperholesterolemijom praćen je odgovor na rosuvastatin 20</w:t>
      </w:r>
      <w:r>
        <w:rPr>
          <w:color w:val="auto"/>
          <w:sz w:val="22"/>
          <w:szCs w:val="22"/>
          <w:lang w:val="sr-Latn-ME"/>
        </w:rPr>
        <w:sym w:font="Symbol" w:char="F02D"/>
      </w:r>
      <w:r>
        <w:rPr>
          <w:rStyle w:val="CommentTextChar"/>
          <w:snapToGrid/>
          <w:color w:val="auto"/>
          <w:sz w:val="22"/>
          <w:szCs w:val="22"/>
          <w:lang w:val="sr-Latn-ME"/>
        </w:rPr>
        <w:t>40 mg. U ukupnoj populaciji, prosječno smanjenje LDL-h bilo je 22%.</w:t>
      </w:r>
    </w:p>
    <w:p w14:paraId="233A0F2C" w14:textId="77777777" w:rsidR="00095D7E" w:rsidRDefault="00095D7E">
      <w:pPr>
        <w:pStyle w:val="NormalWeb"/>
        <w:widowControl w:val="0"/>
        <w:spacing w:before="0" w:beforeAutospacing="0" w:after="0"/>
        <w:jc w:val="both"/>
        <w:rPr>
          <w:color w:val="auto"/>
          <w:sz w:val="22"/>
          <w:szCs w:val="22"/>
          <w:lang w:val="sr-Latn-ME"/>
        </w:rPr>
      </w:pPr>
    </w:p>
    <w:p w14:paraId="0564C429"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U kliničkim ispitivanjima sa ograničenim brojem pacijenata, pokazalo se da rosuvastatin ima aditivno dejstvo u snižavanju triglicerida kada se koristi u kombinaciji sa fenofibratom i u povećavanju nivoa HDL-h kada se koristi u kombinaciji sa nijacinom (vidjeti dio 4.4).</w:t>
      </w:r>
    </w:p>
    <w:p w14:paraId="05C5FCB7" w14:textId="77777777" w:rsidR="00095D7E" w:rsidRDefault="00095D7E">
      <w:pPr>
        <w:pStyle w:val="NormalWeb"/>
        <w:widowControl w:val="0"/>
        <w:spacing w:before="0" w:beforeAutospacing="0" w:after="0"/>
        <w:jc w:val="both"/>
        <w:rPr>
          <w:color w:val="auto"/>
          <w:sz w:val="22"/>
          <w:szCs w:val="22"/>
          <w:lang w:val="sr-Latn-ME"/>
        </w:rPr>
      </w:pPr>
    </w:p>
    <w:p w14:paraId="177CA537" w14:textId="77777777" w:rsidR="00095D7E" w:rsidRDefault="008740DD">
      <w:pPr>
        <w:widowControl w:val="0"/>
        <w:jc w:val="both"/>
        <w:rPr>
          <w:szCs w:val="22"/>
          <w:lang w:val="sr-Latn-ME"/>
        </w:rPr>
      </w:pPr>
      <w:r>
        <w:rPr>
          <w:szCs w:val="22"/>
          <w:lang w:val="sr-Latn-ME"/>
        </w:rPr>
        <w:t xml:space="preserve">U multicentričnom, dvostruko slijepom kliničkom ispitivanju kontrolisanom placebom (METEOR), 984 pacijenata između 45 i 70 godina starosti sa malim rizikom od koronarne bolesti srca (definisano kao Framingamski rizik &lt; 10% preko 10 godina), sa prosječnim LDL-h od 4,0 mmol/L (154,5 mg/dL), ali sa subkliničkom aterosklerozom (otkriveno mjerenjem debljine intime medije karotidnih arterija, engl. </w:t>
      </w:r>
      <w:r>
        <w:rPr>
          <w:i/>
          <w:szCs w:val="22"/>
          <w:lang w:val="sr-Latn-ME"/>
        </w:rPr>
        <w:t>Carotid Intima Media Thickness</w:t>
      </w:r>
      <w:r>
        <w:rPr>
          <w:szCs w:val="22"/>
          <w:lang w:val="sr-Latn-ME"/>
        </w:rPr>
        <w:t xml:space="preserve"> - CIMT) slučajnim uzorkom su raspoređeni da primaju rosuvastatin od 40 mg jednom dnevno ili placebo, tokom 2 godine. Rosuvastatin je značajno usporio stopu napredovanja maksimalne CIMT za 12 lokacija na karotidi u poređenju sa placebom za vrijednost od -0,0145 mm/godina [95% interval pouzdanosti -0,0196, -0,0093; p&lt;0,0001]. Promjena u odnosu na početno stanje bila je -0,0014 mm/godini (-0,12% godišnje (bez značaja)) za rosuvastatin u poređenju sa </w:t>
      </w:r>
      <w:r>
        <w:rPr>
          <w:szCs w:val="22"/>
          <w:lang w:val="sr-Latn-ME"/>
        </w:rPr>
        <w:lastRenderedPageBreak/>
        <w:t>progresijom od +0,0131 mm/godini (1,12% godišnje (p&lt;0,0001)) za placebo. Direktna povezanost između smanjenja CIMT i smanjenja rizika od kardiovaskularnih događaja još uvijek nije pokazana. Populacija ispitivana u studiji METEOR ima mali rizik od koronarne bolesti srca i ne predstavlja ciljnu populaciju za rosuvastatin od 40 mg. Dozu od 40 mg treba propisivati samo pacijentima sa teškom hiperholesterolemijom koji imaju visok kardiovaskularni rizik (vidjeti dio 4.2).</w:t>
      </w:r>
    </w:p>
    <w:p w14:paraId="23DAF351" w14:textId="77777777" w:rsidR="00095D7E" w:rsidRDefault="00095D7E">
      <w:pPr>
        <w:widowControl w:val="0"/>
        <w:autoSpaceDE w:val="0"/>
        <w:autoSpaceDN w:val="0"/>
        <w:adjustRightInd w:val="0"/>
        <w:jc w:val="both"/>
        <w:rPr>
          <w:szCs w:val="22"/>
          <w:lang w:val="sr-Latn-ME"/>
        </w:rPr>
      </w:pPr>
    </w:p>
    <w:p w14:paraId="21B53714" w14:textId="77777777" w:rsidR="00095D7E" w:rsidRDefault="008740DD">
      <w:pPr>
        <w:widowControl w:val="0"/>
        <w:jc w:val="both"/>
        <w:rPr>
          <w:szCs w:val="22"/>
          <w:lang w:val="sr-Latn-ME"/>
        </w:rPr>
      </w:pPr>
      <w:r>
        <w:rPr>
          <w:szCs w:val="22"/>
          <w:lang w:val="sr-Latn-ME"/>
        </w:rPr>
        <w:t>U studiji Opravdanost upotrebe statina u primarnoj prevenciji: intervencijsko ispitivanje rosuvastatina (Justification for the Use of Statins in Primary Prevention: An Intervention Trial Evaluating Rosuvastatin – JUPITER), procijenjivano je dejstvo rosuvastatina na pojavu većih događaja aterosklerotičnog oboljenja kardiovaskularnog sistema kod 17802 muškaraca (</w:t>
      </w:r>
      <w:r>
        <w:rPr>
          <w:szCs w:val="22"/>
          <w:lang w:val="sr-Latn-ME"/>
        </w:rPr>
        <w:sym w:font="Symbol" w:char="F0B3"/>
      </w:r>
      <w:r>
        <w:rPr>
          <w:szCs w:val="22"/>
          <w:lang w:val="sr-Latn-ME"/>
        </w:rPr>
        <w:t xml:space="preserve"> 50 godina) i žena (</w:t>
      </w:r>
      <w:r>
        <w:rPr>
          <w:szCs w:val="22"/>
          <w:lang w:val="sr-Latn-ME"/>
        </w:rPr>
        <w:sym w:font="Symbol" w:char="F0B3"/>
      </w:r>
      <w:r>
        <w:rPr>
          <w:szCs w:val="22"/>
          <w:lang w:val="sr-Latn-ME"/>
        </w:rPr>
        <w:t xml:space="preserve"> 60 godina).</w:t>
      </w:r>
    </w:p>
    <w:p w14:paraId="400ECD23" w14:textId="77777777" w:rsidR="00095D7E" w:rsidRDefault="00095D7E">
      <w:pPr>
        <w:widowControl w:val="0"/>
        <w:jc w:val="both"/>
        <w:rPr>
          <w:szCs w:val="22"/>
          <w:lang w:val="sr-Latn-ME"/>
        </w:rPr>
      </w:pPr>
    </w:p>
    <w:p w14:paraId="12E08D83" w14:textId="77777777" w:rsidR="00095D7E" w:rsidRDefault="008740DD">
      <w:pPr>
        <w:widowControl w:val="0"/>
        <w:jc w:val="both"/>
        <w:rPr>
          <w:szCs w:val="22"/>
          <w:lang w:val="sr-Latn-ME"/>
        </w:rPr>
      </w:pPr>
      <w:r>
        <w:rPr>
          <w:szCs w:val="22"/>
          <w:lang w:val="sr-Latn-ME"/>
        </w:rPr>
        <w:t>Učesnici studije su slučajnim uzorkom raspoređeni da primaju placebo (n=8901) ili rosuvastatin od 20 mg, jednom dnevno (n=8901) i praćeni su tokom perioda od prosječno 2 godine.</w:t>
      </w:r>
    </w:p>
    <w:p w14:paraId="4BA18D3E" w14:textId="77777777" w:rsidR="00095D7E" w:rsidRDefault="00095D7E">
      <w:pPr>
        <w:widowControl w:val="0"/>
        <w:rPr>
          <w:szCs w:val="22"/>
          <w:lang w:val="sr-Latn-ME"/>
        </w:rPr>
      </w:pPr>
    </w:p>
    <w:p w14:paraId="0FB45546" w14:textId="77777777" w:rsidR="00095D7E" w:rsidRDefault="008740DD">
      <w:pPr>
        <w:widowControl w:val="0"/>
        <w:jc w:val="both"/>
        <w:rPr>
          <w:szCs w:val="22"/>
          <w:lang w:val="sr-Latn-ME"/>
        </w:rPr>
      </w:pPr>
      <w:r>
        <w:rPr>
          <w:szCs w:val="22"/>
          <w:lang w:val="sr-Latn-ME"/>
        </w:rPr>
        <w:t>Koncentracija LDL-holesterola bila je smanjena za 45% (p&lt;0,001) u grupi sa rosuvastatinom u poređenju sa grupom koja je dobijala placebo.</w:t>
      </w:r>
    </w:p>
    <w:p w14:paraId="1438186D" w14:textId="77777777" w:rsidR="00095D7E" w:rsidRDefault="00095D7E">
      <w:pPr>
        <w:widowControl w:val="0"/>
        <w:jc w:val="both"/>
        <w:rPr>
          <w:szCs w:val="22"/>
          <w:lang w:val="sr-Latn-ME"/>
        </w:rPr>
      </w:pPr>
    </w:p>
    <w:p w14:paraId="470DD7B4" w14:textId="77777777" w:rsidR="00095D7E" w:rsidRDefault="008740DD">
      <w:pPr>
        <w:widowControl w:val="0"/>
        <w:jc w:val="both"/>
        <w:rPr>
          <w:szCs w:val="22"/>
          <w:lang w:val="sr-Latn-ME"/>
        </w:rPr>
      </w:pPr>
      <w:r>
        <w:rPr>
          <w:szCs w:val="22"/>
          <w:lang w:val="sr-Latn-ME"/>
        </w:rPr>
        <w:t xml:space="preserve">U </w:t>
      </w:r>
      <w:r>
        <w:rPr>
          <w:i/>
          <w:szCs w:val="22"/>
          <w:lang w:val="sr-Latn-ME"/>
        </w:rPr>
        <w:t>post hoc</w:t>
      </w:r>
      <w:r>
        <w:rPr>
          <w:szCs w:val="22"/>
          <w:lang w:val="sr-Latn-ME"/>
        </w:rPr>
        <w:t xml:space="preserve"> analizama podgrupa ispitanika sa visokim rizikom sa Framingamskim skorom rizika &gt; 20% (1558 ispitanika) prije početka terapije, došlo je do značajnog smanjenja u kombinovanim krajnjim ishodima kardiovaskularne smrtnosti, moždanog udara i infarkta miokarda (p=0,028) sa terapijom rosuvastatinom u poređenju sa placebom. Apsolutno smanjenje rizika u stopi događaja na 1000 pacijent-godina bilo je 8,8. Ukupan mortalitet nije bio promijenjen u ovoj grupi sa visokim rizikom (p=0,193). U post-hoc analizama podgrupa ispitanika sa visokim rizikom (ukupno 9302 ispitanika) sa osnovnim SCORE rizikom </w:t>
      </w:r>
      <w:r>
        <w:rPr>
          <w:szCs w:val="22"/>
          <w:lang w:val="sr-Latn-ME"/>
        </w:rPr>
        <w:sym w:font="Symbol" w:char="F0B3"/>
      </w:r>
      <w:r>
        <w:rPr>
          <w:szCs w:val="22"/>
          <w:lang w:val="sr-Latn-ME"/>
        </w:rPr>
        <w:t xml:space="preserve"> 5% prije početka terapije (ekstrapolirano tako da se uključe ispitanici stariji od 65 godina), došlo je do značajnog smanjenja u kombinovanim krajnjim ishodima kardiovaskularne smrtnosti, moždanog udara i infarkta miokarda (p=0,0003) sa terapijom rosuvastatinom u poređenju sa placebom. Apsolutno smanjenje rizika u stopi događaja na 1000 pacijent-godina bilo je 5,1. Ukupan mortalitet nije bio promijenjen u ovoj grupi sa visokim rizikom (p=0,076).</w:t>
      </w:r>
    </w:p>
    <w:p w14:paraId="7918E084" w14:textId="77777777" w:rsidR="00095D7E" w:rsidRDefault="00095D7E">
      <w:pPr>
        <w:widowControl w:val="0"/>
        <w:rPr>
          <w:szCs w:val="22"/>
          <w:lang w:val="sr-Latn-ME"/>
        </w:rPr>
      </w:pPr>
    </w:p>
    <w:p w14:paraId="4A6A16C6" w14:textId="77777777" w:rsidR="00095D7E" w:rsidRDefault="008740DD">
      <w:pPr>
        <w:widowControl w:val="0"/>
        <w:jc w:val="both"/>
        <w:rPr>
          <w:szCs w:val="22"/>
          <w:lang w:val="sr-Latn-ME"/>
        </w:rPr>
      </w:pPr>
      <w:r>
        <w:rPr>
          <w:szCs w:val="22"/>
          <w:lang w:val="sr-Latn-ME"/>
        </w:rPr>
        <w:t>U studiji JUPITER 6,6% ispitanika koji su dobijali rosuvastatin i 6,2% onih koji su dobijali placebo prekinulo je upotrebu ispitivanog lijeka zbog neželjenih dejstva. Najčešća neželjena dejstva koja su dovodila do prekida liječenja bila su: mijalgija (0,3% rosuvastatin, 0,2% placebo), bol u abdomenu (0,03% rosuvastatin, 0,02% placebo) i osip (0,02% rosuvastatin, 0,03% placebo). Najčešća neželjena dejstva sa stopom većom ili jednakom kao kod placeba bila su infekcija urinarnog trakta (8,7% rosuvastatin, 8,6% placebo), nazofaringitis (7,6% rosuvastatin, 7,2% placebo), bol u leđima (7,6% rosuvastatin, 6,9% placebo) i mijalgija (7,6% rosuvastatin, 6,6% placebo).</w:t>
      </w:r>
    </w:p>
    <w:p w14:paraId="62F87648" w14:textId="77777777" w:rsidR="00095D7E" w:rsidRDefault="00095D7E">
      <w:pPr>
        <w:tabs>
          <w:tab w:val="clear" w:pos="567"/>
          <w:tab w:val="left" w:pos="540"/>
          <w:tab w:val="left" w:pos="569"/>
        </w:tabs>
        <w:rPr>
          <w:b/>
          <w:bCs/>
          <w:szCs w:val="22"/>
          <w:lang w:val="sr-Latn-ME"/>
        </w:rPr>
      </w:pPr>
    </w:p>
    <w:p w14:paraId="70DE8584" w14:textId="77777777" w:rsidR="00095D7E" w:rsidRDefault="008740DD">
      <w:pPr>
        <w:jc w:val="both"/>
        <w:rPr>
          <w:i/>
          <w:szCs w:val="22"/>
          <w:lang w:val="sr-Latn-ME"/>
        </w:rPr>
      </w:pPr>
      <w:r>
        <w:rPr>
          <w:i/>
          <w:szCs w:val="22"/>
          <w:lang w:val="sr-Latn-ME"/>
        </w:rPr>
        <w:t>Pedijatrijska populacija</w:t>
      </w:r>
    </w:p>
    <w:p w14:paraId="23B4FF3B" w14:textId="77777777" w:rsidR="00095D7E" w:rsidRDefault="008740DD">
      <w:pPr>
        <w:tabs>
          <w:tab w:val="clear" w:pos="567"/>
          <w:tab w:val="left" w:pos="540"/>
          <w:tab w:val="left" w:pos="569"/>
        </w:tabs>
        <w:rPr>
          <w:b/>
          <w:bCs/>
          <w:szCs w:val="22"/>
          <w:lang w:val="sr-Latn-ME"/>
        </w:rPr>
      </w:pPr>
      <w:r>
        <w:rPr>
          <w:szCs w:val="22"/>
          <w:lang w:val="sr-Latn-ME"/>
        </w:rPr>
        <w:t>Nema podataka o upotrebi lijeka Roxiper kod djece.</w:t>
      </w:r>
    </w:p>
    <w:p w14:paraId="71B05206" w14:textId="77777777" w:rsidR="00095D7E" w:rsidRDefault="00095D7E">
      <w:pPr>
        <w:tabs>
          <w:tab w:val="clear" w:pos="567"/>
          <w:tab w:val="left" w:pos="540"/>
          <w:tab w:val="left" w:pos="569"/>
        </w:tabs>
        <w:rPr>
          <w:b/>
          <w:bCs/>
          <w:szCs w:val="22"/>
          <w:lang w:val="sr-Latn-ME"/>
        </w:rPr>
      </w:pPr>
    </w:p>
    <w:p w14:paraId="144796FC" w14:textId="77777777" w:rsidR="00095D7E" w:rsidRDefault="008740DD">
      <w:pPr>
        <w:tabs>
          <w:tab w:val="clear" w:pos="567"/>
          <w:tab w:val="left" w:pos="540"/>
          <w:tab w:val="left" w:pos="569"/>
        </w:tabs>
        <w:rPr>
          <w:b/>
          <w:bCs/>
          <w:szCs w:val="22"/>
          <w:lang w:val="sr-Latn-ME"/>
        </w:rPr>
      </w:pPr>
      <w:r>
        <w:rPr>
          <w:b/>
          <w:bCs/>
          <w:szCs w:val="22"/>
          <w:lang w:val="sr-Latn-ME"/>
        </w:rPr>
        <w:t xml:space="preserve">5.2. </w:t>
      </w:r>
      <w:r>
        <w:rPr>
          <w:b/>
          <w:bCs/>
          <w:szCs w:val="22"/>
          <w:lang w:val="sr-Latn-ME"/>
        </w:rPr>
        <w:tab/>
        <w:t xml:space="preserve">Farmakokinetički podaci </w:t>
      </w:r>
    </w:p>
    <w:p w14:paraId="1977FD1E" w14:textId="77777777" w:rsidR="00095D7E" w:rsidRDefault="00095D7E">
      <w:pPr>
        <w:tabs>
          <w:tab w:val="clear" w:pos="567"/>
          <w:tab w:val="left" w:pos="540"/>
          <w:tab w:val="left" w:pos="569"/>
        </w:tabs>
        <w:rPr>
          <w:bCs/>
          <w:szCs w:val="22"/>
          <w:lang w:val="sr-Latn-ME"/>
        </w:rPr>
      </w:pPr>
    </w:p>
    <w:p w14:paraId="2B362AE3" w14:textId="77777777" w:rsidR="00095D7E" w:rsidRDefault="008740DD">
      <w:pPr>
        <w:widowControl w:val="0"/>
        <w:jc w:val="both"/>
        <w:rPr>
          <w:szCs w:val="22"/>
          <w:u w:val="single"/>
          <w:lang w:val="sr-Latn-ME"/>
        </w:rPr>
      </w:pPr>
      <w:r>
        <w:rPr>
          <w:szCs w:val="22"/>
          <w:u w:val="single"/>
          <w:lang w:val="sr-Latn-ME"/>
        </w:rPr>
        <w:t>U vezi sa perindoprilom</w:t>
      </w:r>
    </w:p>
    <w:p w14:paraId="581808C6" w14:textId="77777777" w:rsidR="00095D7E" w:rsidRDefault="00095D7E">
      <w:pPr>
        <w:widowControl w:val="0"/>
        <w:jc w:val="both"/>
        <w:rPr>
          <w:i/>
          <w:iCs/>
          <w:szCs w:val="22"/>
          <w:lang w:val="sr-Latn-ME"/>
        </w:rPr>
      </w:pPr>
    </w:p>
    <w:p w14:paraId="2D158A9E" w14:textId="77777777" w:rsidR="00095D7E" w:rsidRDefault="008740DD">
      <w:pPr>
        <w:widowControl w:val="0"/>
        <w:jc w:val="both"/>
        <w:rPr>
          <w:i/>
          <w:iCs/>
          <w:color w:val="00B050"/>
          <w:szCs w:val="22"/>
          <w:lang w:val="sr-Latn-ME"/>
        </w:rPr>
      </w:pPr>
      <w:r>
        <w:rPr>
          <w:i/>
          <w:szCs w:val="22"/>
          <w:lang w:val="sr-Latn-ME"/>
        </w:rPr>
        <w:t>Resorpcija i bioraspoloživost</w:t>
      </w:r>
    </w:p>
    <w:p w14:paraId="2E739E73" w14:textId="77777777" w:rsidR="00095D7E" w:rsidRDefault="008740DD">
      <w:pPr>
        <w:widowControl w:val="0"/>
        <w:jc w:val="both"/>
        <w:rPr>
          <w:szCs w:val="22"/>
          <w:lang w:val="sr-Latn-ME"/>
        </w:rPr>
      </w:pPr>
      <w:r>
        <w:rPr>
          <w:szCs w:val="22"/>
          <w:lang w:val="sr-Latn-ME"/>
        </w:rPr>
        <w:t>Poslije oralne primjene, perindopril se brzo resorbuje i dostiže maksimalnu koncentraciju u roku od 1 sat. Poluvrijeme eliminacije perindoprila u plazmi je 1 sat.</w:t>
      </w:r>
    </w:p>
    <w:p w14:paraId="24926D75" w14:textId="77777777" w:rsidR="00095D7E" w:rsidRDefault="008740DD">
      <w:pPr>
        <w:widowControl w:val="0"/>
        <w:jc w:val="both"/>
        <w:rPr>
          <w:bCs/>
          <w:iCs/>
          <w:strike/>
          <w:szCs w:val="22"/>
          <w:lang w:val="sr-Latn-ME"/>
        </w:rPr>
      </w:pPr>
      <w:r>
        <w:rPr>
          <w:szCs w:val="22"/>
          <w:lang w:val="sr-Latn-ME"/>
        </w:rPr>
        <w:t>Unos hrane smanjuje konverziju u perindoprilat, time i bioraspoloživost, stoga perindopril terc-butilamin treba primjenjivati oralno u obliku pojedinačne dnevne doze, ujutru prije obroka.</w:t>
      </w:r>
    </w:p>
    <w:p w14:paraId="207DE684" w14:textId="77777777" w:rsidR="00095D7E" w:rsidRDefault="00095D7E">
      <w:pPr>
        <w:widowControl w:val="0"/>
        <w:jc w:val="both"/>
        <w:rPr>
          <w:i/>
          <w:iCs/>
          <w:szCs w:val="22"/>
          <w:lang w:val="sr-Latn-ME"/>
        </w:rPr>
      </w:pPr>
    </w:p>
    <w:p w14:paraId="19011499" w14:textId="77777777" w:rsidR="00095D7E" w:rsidRDefault="008740DD">
      <w:pPr>
        <w:widowControl w:val="0"/>
        <w:jc w:val="both"/>
        <w:rPr>
          <w:i/>
          <w:iCs/>
          <w:szCs w:val="22"/>
          <w:lang w:val="sr-Latn-ME"/>
        </w:rPr>
      </w:pPr>
      <w:r>
        <w:rPr>
          <w:i/>
          <w:szCs w:val="22"/>
          <w:lang w:val="sr-Latn-ME"/>
        </w:rPr>
        <w:t>Distribucija</w:t>
      </w:r>
    </w:p>
    <w:p w14:paraId="597FDF5D" w14:textId="77777777" w:rsidR="00095D7E" w:rsidRDefault="008740DD">
      <w:pPr>
        <w:widowControl w:val="0"/>
        <w:jc w:val="both"/>
        <w:rPr>
          <w:szCs w:val="22"/>
          <w:lang w:val="sr-Latn-ME"/>
        </w:rPr>
      </w:pPr>
      <w:r>
        <w:rPr>
          <w:szCs w:val="22"/>
          <w:lang w:val="sr-Latn-ME"/>
        </w:rPr>
        <w:t>Volumen distribucije iznosi približno 0,2 L/kg za nevezani perindoprilat. Vezivanje perindoprilata za proteine plazme je 20%, uglavnom za angiotenzin konvertujući enzim, ali je to zavisno od doze.</w:t>
      </w:r>
    </w:p>
    <w:p w14:paraId="19A8CBF4" w14:textId="77777777" w:rsidR="00095D7E" w:rsidRDefault="00095D7E">
      <w:pPr>
        <w:widowControl w:val="0"/>
        <w:jc w:val="both"/>
        <w:rPr>
          <w:i/>
          <w:iCs/>
          <w:szCs w:val="22"/>
          <w:lang w:val="sr-Latn-ME"/>
        </w:rPr>
      </w:pPr>
    </w:p>
    <w:p w14:paraId="7BA508F5" w14:textId="77777777" w:rsidR="00095D7E" w:rsidRDefault="008740DD">
      <w:pPr>
        <w:widowControl w:val="0"/>
        <w:jc w:val="both"/>
        <w:rPr>
          <w:i/>
          <w:iCs/>
          <w:szCs w:val="22"/>
          <w:lang w:val="sr-Latn-ME"/>
        </w:rPr>
      </w:pPr>
      <w:r>
        <w:rPr>
          <w:i/>
          <w:szCs w:val="22"/>
          <w:lang w:val="sr-Latn-ME"/>
        </w:rPr>
        <w:t>Biotransformacija</w:t>
      </w:r>
    </w:p>
    <w:p w14:paraId="05559D7D" w14:textId="77777777" w:rsidR="00095D7E" w:rsidRDefault="008740DD">
      <w:pPr>
        <w:widowControl w:val="0"/>
        <w:jc w:val="both"/>
        <w:rPr>
          <w:szCs w:val="22"/>
          <w:lang w:val="sr-Latn-ME"/>
        </w:rPr>
      </w:pPr>
      <w:r>
        <w:rPr>
          <w:szCs w:val="22"/>
          <w:lang w:val="sr-Latn-ME"/>
        </w:rPr>
        <w:lastRenderedPageBreak/>
        <w:t>Perindopril je prolijek. Dvadeset sedam procenata primijenjene doze perindoprila dospije u krvotok u obliku aktivnog metabolita perindoprilata. Osim aktivnog perindoprilata, perindopril daje pet metabolita, koji su svi aktivni. Maksimalna koncentracija perindoprilata u plazmi se dostiže u roku od 3 do 4 sata.</w:t>
      </w:r>
    </w:p>
    <w:p w14:paraId="408768E7" w14:textId="77777777" w:rsidR="00095D7E" w:rsidRDefault="00095D7E">
      <w:pPr>
        <w:widowControl w:val="0"/>
        <w:jc w:val="both"/>
        <w:rPr>
          <w:i/>
          <w:iCs/>
          <w:szCs w:val="22"/>
          <w:lang w:val="sr-Latn-ME"/>
        </w:rPr>
      </w:pPr>
    </w:p>
    <w:p w14:paraId="25D02B01" w14:textId="77777777" w:rsidR="00095D7E" w:rsidRDefault="008740DD">
      <w:pPr>
        <w:widowControl w:val="0"/>
        <w:numPr>
          <w:ilvl w:val="12"/>
          <w:numId w:val="0"/>
        </w:numPr>
        <w:ind w:right="-2"/>
        <w:jc w:val="both"/>
        <w:rPr>
          <w:i/>
          <w:iCs/>
          <w:szCs w:val="22"/>
          <w:lang w:val="sr-Latn-ME"/>
        </w:rPr>
      </w:pPr>
      <w:r>
        <w:rPr>
          <w:i/>
          <w:szCs w:val="22"/>
          <w:lang w:val="sr-Latn-ME"/>
        </w:rPr>
        <w:t>Linearnost/nelinearnost</w:t>
      </w:r>
    </w:p>
    <w:p w14:paraId="3E0E8AF9" w14:textId="77777777" w:rsidR="00095D7E" w:rsidRDefault="008740DD">
      <w:pPr>
        <w:widowControl w:val="0"/>
        <w:jc w:val="both"/>
        <w:rPr>
          <w:szCs w:val="22"/>
          <w:lang w:val="sr-Latn-ME"/>
        </w:rPr>
      </w:pPr>
      <w:r>
        <w:rPr>
          <w:szCs w:val="22"/>
          <w:lang w:val="sr-Latn-ME"/>
        </w:rPr>
        <w:t>Pokazalo se da je odnos doze perindoprila i njegove izloženosti u plazmi linearan.</w:t>
      </w:r>
    </w:p>
    <w:p w14:paraId="4EF6427B" w14:textId="77777777" w:rsidR="00095D7E" w:rsidRDefault="00095D7E">
      <w:pPr>
        <w:widowControl w:val="0"/>
        <w:jc w:val="both"/>
        <w:rPr>
          <w:i/>
          <w:iCs/>
          <w:szCs w:val="22"/>
          <w:lang w:val="sr-Latn-ME"/>
        </w:rPr>
      </w:pPr>
    </w:p>
    <w:p w14:paraId="58614239" w14:textId="77777777" w:rsidR="00095D7E" w:rsidRDefault="008740DD">
      <w:pPr>
        <w:widowControl w:val="0"/>
        <w:jc w:val="both"/>
        <w:rPr>
          <w:i/>
          <w:iCs/>
          <w:szCs w:val="22"/>
          <w:lang w:val="sr-Latn-ME"/>
        </w:rPr>
      </w:pPr>
      <w:r>
        <w:rPr>
          <w:i/>
          <w:szCs w:val="22"/>
          <w:lang w:val="sr-Latn-ME"/>
        </w:rPr>
        <w:t>Izlučivanje</w:t>
      </w:r>
    </w:p>
    <w:p w14:paraId="263660DF" w14:textId="77777777" w:rsidR="00095D7E" w:rsidRDefault="008740DD">
      <w:pPr>
        <w:widowControl w:val="0"/>
        <w:jc w:val="both"/>
        <w:rPr>
          <w:szCs w:val="22"/>
          <w:lang w:val="sr-Latn-ME"/>
        </w:rPr>
      </w:pPr>
      <w:r>
        <w:rPr>
          <w:szCs w:val="22"/>
          <w:lang w:val="sr-Latn-ME"/>
        </w:rPr>
        <w:t>Perindoprilat se eliminiše urinom i terminalno poluvrijeme eliminacije nevezane frakcije iznosi približno 17 sati, dovodeći do stabilnog stanja u roku od 4 dana.</w:t>
      </w:r>
    </w:p>
    <w:p w14:paraId="0F2F0E87" w14:textId="77777777" w:rsidR="00095D7E" w:rsidRDefault="00095D7E">
      <w:pPr>
        <w:jc w:val="both"/>
        <w:rPr>
          <w:szCs w:val="22"/>
          <w:lang w:val="sr-Latn-ME"/>
        </w:rPr>
      </w:pPr>
    </w:p>
    <w:p w14:paraId="1B4CF769" w14:textId="77777777" w:rsidR="00095D7E" w:rsidRDefault="008740DD">
      <w:pPr>
        <w:widowControl w:val="0"/>
        <w:numPr>
          <w:ilvl w:val="12"/>
          <w:numId w:val="0"/>
        </w:numPr>
        <w:ind w:right="-2"/>
        <w:jc w:val="both"/>
        <w:rPr>
          <w:i/>
          <w:iCs/>
          <w:szCs w:val="22"/>
          <w:lang w:val="sr-Latn-ME"/>
        </w:rPr>
      </w:pPr>
      <w:r>
        <w:rPr>
          <w:i/>
          <w:szCs w:val="22"/>
          <w:lang w:val="sr-Latn-ME"/>
        </w:rPr>
        <w:t>Starije osobe</w:t>
      </w:r>
    </w:p>
    <w:p w14:paraId="72BC2A9E" w14:textId="77777777" w:rsidR="00095D7E" w:rsidRDefault="008740DD">
      <w:pPr>
        <w:widowControl w:val="0"/>
        <w:numPr>
          <w:ilvl w:val="12"/>
          <w:numId w:val="0"/>
        </w:numPr>
        <w:ind w:right="-2"/>
        <w:jc w:val="both"/>
        <w:rPr>
          <w:szCs w:val="22"/>
          <w:lang w:val="sr-Latn-ME"/>
        </w:rPr>
      </w:pPr>
      <w:r>
        <w:rPr>
          <w:szCs w:val="22"/>
          <w:lang w:val="sr-Latn-ME"/>
        </w:rPr>
        <w:t>Eliminacija perindoprilata je smanjena kod starijih pacijenata i kod pacijenata sa srčanom ili renalnom insuficijencijom.</w:t>
      </w:r>
    </w:p>
    <w:p w14:paraId="37BBE76F" w14:textId="77777777" w:rsidR="00095D7E" w:rsidRDefault="00095D7E">
      <w:pPr>
        <w:widowControl w:val="0"/>
        <w:numPr>
          <w:ilvl w:val="12"/>
          <w:numId w:val="0"/>
        </w:numPr>
        <w:ind w:right="-2"/>
        <w:jc w:val="both"/>
        <w:rPr>
          <w:szCs w:val="22"/>
          <w:lang w:val="sr-Latn-ME"/>
        </w:rPr>
      </w:pPr>
    </w:p>
    <w:p w14:paraId="3EAA66DD" w14:textId="77777777" w:rsidR="00095D7E" w:rsidRDefault="008740DD">
      <w:pPr>
        <w:widowControl w:val="0"/>
        <w:numPr>
          <w:ilvl w:val="12"/>
          <w:numId w:val="0"/>
        </w:numPr>
        <w:ind w:right="-2"/>
        <w:jc w:val="both"/>
        <w:rPr>
          <w:i/>
          <w:iCs/>
          <w:szCs w:val="22"/>
          <w:lang w:val="sr-Latn-ME"/>
        </w:rPr>
      </w:pPr>
      <w:r>
        <w:rPr>
          <w:i/>
          <w:szCs w:val="22"/>
          <w:lang w:val="sr-Latn-ME"/>
        </w:rPr>
        <w:t>Oštećenje bubrega</w:t>
      </w:r>
    </w:p>
    <w:p w14:paraId="2A390873" w14:textId="77777777" w:rsidR="00095D7E" w:rsidRDefault="008740DD">
      <w:pPr>
        <w:widowControl w:val="0"/>
        <w:jc w:val="both"/>
        <w:rPr>
          <w:szCs w:val="22"/>
          <w:lang w:val="sr-Latn-ME"/>
        </w:rPr>
      </w:pPr>
      <w:r>
        <w:rPr>
          <w:szCs w:val="22"/>
          <w:lang w:val="sr-Latn-ME"/>
        </w:rPr>
        <w:t>Poželjno je prilagođavanje doze kod renalne insuficijencije, u zavisnosti od stepena oštećenja (klirens kreatinina).</w:t>
      </w:r>
    </w:p>
    <w:p w14:paraId="6905E749" w14:textId="77777777" w:rsidR="00095D7E" w:rsidRDefault="008740DD">
      <w:pPr>
        <w:widowControl w:val="0"/>
        <w:jc w:val="both"/>
        <w:rPr>
          <w:szCs w:val="22"/>
          <w:lang w:val="sr-Latn-ME"/>
        </w:rPr>
      </w:pPr>
      <w:r>
        <w:rPr>
          <w:szCs w:val="22"/>
          <w:lang w:val="sr-Latn-ME"/>
        </w:rPr>
        <w:t>Klirens perindoprilata dijalizom je 70 mL/min.</w:t>
      </w:r>
    </w:p>
    <w:p w14:paraId="2286CE9D" w14:textId="77777777" w:rsidR="00095D7E" w:rsidRDefault="00095D7E">
      <w:pPr>
        <w:widowControl w:val="0"/>
        <w:numPr>
          <w:ilvl w:val="12"/>
          <w:numId w:val="0"/>
        </w:numPr>
        <w:ind w:right="-2"/>
        <w:rPr>
          <w:iCs/>
          <w:szCs w:val="22"/>
          <w:u w:val="single"/>
          <w:lang w:val="sr-Latn-ME"/>
        </w:rPr>
      </w:pPr>
    </w:p>
    <w:p w14:paraId="28B11083" w14:textId="77777777" w:rsidR="00095D7E" w:rsidRDefault="008740DD">
      <w:pPr>
        <w:widowControl w:val="0"/>
        <w:numPr>
          <w:ilvl w:val="12"/>
          <w:numId w:val="0"/>
        </w:numPr>
        <w:ind w:right="-2"/>
        <w:rPr>
          <w:i/>
          <w:szCs w:val="22"/>
          <w:lang w:val="sr-Latn-ME"/>
        </w:rPr>
      </w:pPr>
      <w:r>
        <w:rPr>
          <w:i/>
          <w:szCs w:val="22"/>
          <w:lang w:val="sr-Latn-ME"/>
        </w:rPr>
        <w:t>Ciroza</w:t>
      </w:r>
    </w:p>
    <w:p w14:paraId="2BD34343" w14:textId="77777777" w:rsidR="00095D7E" w:rsidRDefault="008740DD">
      <w:pPr>
        <w:widowControl w:val="0"/>
        <w:jc w:val="both"/>
        <w:rPr>
          <w:iCs/>
          <w:szCs w:val="22"/>
          <w:lang w:val="sr-Latn-ME"/>
        </w:rPr>
      </w:pPr>
      <w:r>
        <w:rPr>
          <w:szCs w:val="22"/>
          <w:lang w:val="sr-Latn-ME"/>
        </w:rPr>
        <w:t>Kinetika perindoprila je izmijenjena kod pacijenata sa cirozom jetre; kod njih je hepatični klirens osnovnog molekula smanjen za polovinu. Međutim, količina formiranog perindoprilata nije smanjena i zbog toga nije potrebno prilagođavanje doze (vidjeti djelove 4.2. i 4.4).</w:t>
      </w:r>
    </w:p>
    <w:p w14:paraId="62C83ABA" w14:textId="77777777" w:rsidR="00095D7E" w:rsidRDefault="00095D7E">
      <w:pPr>
        <w:widowControl w:val="0"/>
        <w:jc w:val="both"/>
        <w:rPr>
          <w:szCs w:val="22"/>
          <w:lang w:val="sr-Latn-ME"/>
        </w:rPr>
      </w:pPr>
    </w:p>
    <w:p w14:paraId="3681E629" w14:textId="77777777" w:rsidR="00095D7E" w:rsidRDefault="008740DD">
      <w:pPr>
        <w:widowControl w:val="0"/>
        <w:jc w:val="both"/>
        <w:rPr>
          <w:szCs w:val="22"/>
          <w:u w:val="single"/>
          <w:lang w:val="sr-Latn-ME"/>
        </w:rPr>
      </w:pPr>
      <w:r>
        <w:rPr>
          <w:szCs w:val="22"/>
          <w:u w:val="single"/>
          <w:lang w:val="sr-Latn-ME"/>
        </w:rPr>
        <w:t>U vezi sa indapamidom</w:t>
      </w:r>
    </w:p>
    <w:p w14:paraId="30677EA6" w14:textId="77777777" w:rsidR="00095D7E" w:rsidRDefault="00095D7E">
      <w:pPr>
        <w:jc w:val="both"/>
        <w:rPr>
          <w:szCs w:val="22"/>
          <w:lang w:val="sr-Latn-ME"/>
        </w:rPr>
      </w:pPr>
    </w:p>
    <w:p w14:paraId="0D727249" w14:textId="77777777" w:rsidR="00095D7E" w:rsidRDefault="008740DD">
      <w:pPr>
        <w:widowControl w:val="0"/>
        <w:jc w:val="both"/>
        <w:rPr>
          <w:i/>
          <w:iCs/>
          <w:szCs w:val="22"/>
          <w:lang w:val="sr-Latn-ME"/>
        </w:rPr>
      </w:pPr>
      <w:r>
        <w:rPr>
          <w:i/>
          <w:szCs w:val="22"/>
          <w:lang w:val="sr-Latn-ME"/>
        </w:rPr>
        <w:t>Resorpcija</w:t>
      </w:r>
    </w:p>
    <w:p w14:paraId="7A971509" w14:textId="77777777" w:rsidR="00095D7E" w:rsidRDefault="008740DD">
      <w:pPr>
        <w:widowControl w:val="0"/>
        <w:jc w:val="both"/>
        <w:rPr>
          <w:szCs w:val="22"/>
          <w:lang w:val="sr-Latn-ME"/>
        </w:rPr>
      </w:pPr>
      <w:r>
        <w:rPr>
          <w:szCs w:val="22"/>
          <w:lang w:val="sr-Latn-ME"/>
        </w:rPr>
        <w:t>Indapamid se brzo i u potpunosti resorbuje iz digestivnog trakta.</w:t>
      </w:r>
    </w:p>
    <w:p w14:paraId="110EF528" w14:textId="77777777" w:rsidR="00095D7E" w:rsidRDefault="008740DD">
      <w:pPr>
        <w:widowControl w:val="0"/>
        <w:tabs>
          <w:tab w:val="left" w:pos="-142"/>
          <w:tab w:val="left" w:pos="0"/>
        </w:tabs>
        <w:jc w:val="both"/>
        <w:rPr>
          <w:szCs w:val="22"/>
          <w:lang w:val="sr-Latn-ME"/>
        </w:rPr>
      </w:pPr>
      <w:r>
        <w:rPr>
          <w:szCs w:val="22"/>
          <w:lang w:val="sr-Latn-ME"/>
        </w:rPr>
        <w:t xml:space="preserve">Maksimalna koncentracija u plazmi se kod ljudi dostiže poslije približno sat vremena nakon oralne primjene ovog lijeka. </w:t>
      </w:r>
    </w:p>
    <w:p w14:paraId="05DFAED1" w14:textId="77777777" w:rsidR="00095D7E" w:rsidRDefault="00095D7E">
      <w:pPr>
        <w:widowControl w:val="0"/>
        <w:tabs>
          <w:tab w:val="left" w:pos="-142"/>
          <w:tab w:val="left" w:pos="0"/>
        </w:tabs>
        <w:jc w:val="both"/>
        <w:rPr>
          <w:szCs w:val="22"/>
          <w:lang w:val="sr-Latn-ME"/>
        </w:rPr>
      </w:pPr>
    </w:p>
    <w:p w14:paraId="71422CA3" w14:textId="77777777" w:rsidR="00095D7E" w:rsidRDefault="008740DD">
      <w:pPr>
        <w:widowControl w:val="0"/>
        <w:numPr>
          <w:ilvl w:val="12"/>
          <w:numId w:val="0"/>
        </w:numPr>
        <w:ind w:right="-2"/>
        <w:jc w:val="both"/>
        <w:rPr>
          <w:i/>
          <w:szCs w:val="22"/>
          <w:lang w:val="sr-Latn-ME"/>
        </w:rPr>
      </w:pPr>
      <w:r>
        <w:rPr>
          <w:i/>
          <w:szCs w:val="22"/>
          <w:lang w:val="sr-Latn-ME"/>
        </w:rPr>
        <w:t>Distribucija</w:t>
      </w:r>
    </w:p>
    <w:p w14:paraId="12B76992" w14:textId="77777777" w:rsidR="00095D7E" w:rsidRDefault="008740DD">
      <w:pPr>
        <w:widowControl w:val="0"/>
        <w:tabs>
          <w:tab w:val="left" w:pos="-142"/>
          <w:tab w:val="left" w:pos="0"/>
        </w:tabs>
        <w:jc w:val="both"/>
        <w:rPr>
          <w:szCs w:val="22"/>
          <w:lang w:val="sr-Latn-ME"/>
        </w:rPr>
      </w:pPr>
      <w:r>
        <w:rPr>
          <w:szCs w:val="22"/>
          <w:lang w:val="sr-Latn-ME"/>
        </w:rPr>
        <w:t>Vezivanje za proteine plazme je 79%.</w:t>
      </w:r>
    </w:p>
    <w:p w14:paraId="2159BF5D" w14:textId="77777777" w:rsidR="00095D7E" w:rsidRDefault="00095D7E">
      <w:pPr>
        <w:widowControl w:val="0"/>
        <w:rPr>
          <w:i/>
          <w:szCs w:val="22"/>
          <w:lang w:val="sr-Latn-ME"/>
        </w:rPr>
      </w:pPr>
    </w:p>
    <w:p w14:paraId="0B0F048B" w14:textId="77777777" w:rsidR="00095D7E" w:rsidRDefault="008740DD">
      <w:pPr>
        <w:widowControl w:val="0"/>
        <w:jc w:val="both"/>
        <w:rPr>
          <w:i/>
          <w:iCs/>
          <w:szCs w:val="22"/>
          <w:lang w:val="sr-Latn-ME"/>
        </w:rPr>
      </w:pPr>
      <w:r>
        <w:rPr>
          <w:i/>
          <w:szCs w:val="22"/>
          <w:lang w:val="sr-Latn-ME"/>
        </w:rPr>
        <w:t>Izlučivanje</w:t>
      </w:r>
    </w:p>
    <w:p w14:paraId="5A2DECFC" w14:textId="77777777" w:rsidR="00095D7E" w:rsidRDefault="008740DD">
      <w:pPr>
        <w:widowControl w:val="0"/>
        <w:tabs>
          <w:tab w:val="left" w:pos="0"/>
        </w:tabs>
        <w:jc w:val="both"/>
        <w:rPr>
          <w:szCs w:val="22"/>
          <w:lang w:val="sr-Latn-ME"/>
        </w:rPr>
      </w:pPr>
      <w:r>
        <w:rPr>
          <w:szCs w:val="22"/>
          <w:lang w:val="sr-Latn-ME"/>
        </w:rPr>
        <w:t>Poluvrijeme eliminacije je između 14 sati i 24 sata (prosječno 18 sati). Ponovljeno davanje ne dovodi do akumulacije lijeka. Eliminiše se uglavnom preko urina (70% od doze) i fecesa (22 %) u formi inaktivnog metabolita.</w:t>
      </w:r>
    </w:p>
    <w:p w14:paraId="2EE96AFF" w14:textId="77777777" w:rsidR="00095D7E" w:rsidRDefault="00095D7E">
      <w:pPr>
        <w:widowControl w:val="0"/>
        <w:numPr>
          <w:ilvl w:val="12"/>
          <w:numId w:val="0"/>
        </w:numPr>
        <w:ind w:right="-2"/>
        <w:jc w:val="both"/>
        <w:rPr>
          <w:iCs/>
          <w:szCs w:val="22"/>
          <w:u w:val="single"/>
          <w:lang w:val="sr-Latn-ME"/>
        </w:rPr>
      </w:pPr>
    </w:p>
    <w:p w14:paraId="4BBA7E3F" w14:textId="77777777" w:rsidR="00095D7E" w:rsidRDefault="008740DD">
      <w:pPr>
        <w:widowControl w:val="0"/>
        <w:numPr>
          <w:ilvl w:val="12"/>
          <w:numId w:val="0"/>
        </w:numPr>
        <w:ind w:right="-2"/>
        <w:jc w:val="both"/>
        <w:rPr>
          <w:i/>
          <w:iCs/>
          <w:szCs w:val="22"/>
          <w:lang w:val="sr-Latn-ME"/>
        </w:rPr>
      </w:pPr>
      <w:r>
        <w:rPr>
          <w:i/>
          <w:szCs w:val="22"/>
          <w:lang w:val="sr-Latn-ME"/>
        </w:rPr>
        <w:t>Oštećenje bubrega</w:t>
      </w:r>
    </w:p>
    <w:p w14:paraId="4C8A06E9" w14:textId="77777777" w:rsidR="00095D7E" w:rsidRDefault="008740DD">
      <w:pPr>
        <w:widowControl w:val="0"/>
        <w:jc w:val="both"/>
        <w:rPr>
          <w:szCs w:val="22"/>
          <w:lang w:val="sr-Latn-ME"/>
        </w:rPr>
      </w:pPr>
      <w:r>
        <w:rPr>
          <w:szCs w:val="22"/>
          <w:lang w:val="sr-Latn-ME"/>
        </w:rPr>
        <w:t>Farmakokinetika nije izmijenjena kod pacijenata sa renalnom insuficijencijom.</w:t>
      </w:r>
    </w:p>
    <w:p w14:paraId="6637F22F" w14:textId="77777777" w:rsidR="00095D7E" w:rsidRDefault="00095D7E">
      <w:pPr>
        <w:widowControl w:val="0"/>
        <w:jc w:val="both"/>
        <w:rPr>
          <w:szCs w:val="22"/>
          <w:lang w:val="sr-Latn-ME"/>
        </w:rPr>
      </w:pPr>
    </w:p>
    <w:p w14:paraId="0B52D13D" w14:textId="77777777" w:rsidR="00095D7E" w:rsidRDefault="008740DD">
      <w:pPr>
        <w:widowControl w:val="0"/>
        <w:jc w:val="both"/>
        <w:rPr>
          <w:szCs w:val="22"/>
          <w:u w:val="single"/>
          <w:lang w:val="sr-Latn-ME"/>
        </w:rPr>
      </w:pPr>
      <w:r>
        <w:rPr>
          <w:szCs w:val="22"/>
          <w:u w:val="single"/>
          <w:lang w:val="sr-Latn-ME"/>
        </w:rPr>
        <w:t>U vezi sa rosuvastatinom</w:t>
      </w:r>
    </w:p>
    <w:p w14:paraId="0331D4AD" w14:textId="77777777" w:rsidR="00095D7E" w:rsidRDefault="00095D7E">
      <w:pPr>
        <w:widowControl w:val="0"/>
        <w:jc w:val="both"/>
        <w:outlineLvl w:val="0"/>
        <w:rPr>
          <w:bCs/>
          <w:szCs w:val="22"/>
          <w:u w:val="single"/>
          <w:lang w:val="sr-Latn-ME"/>
        </w:rPr>
      </w:pPr>
    </w:p>
    <w:p w14:paraId="29B89736" w14:textId="77777777" w:rsidR="00095D7E" w:rsidRDefault="008740DD">
      <w:pPr>
        <w:widowControl w:val="0"/>
        <w:jc w:val="both"/>
        <w:rPr>
          <w:i/>
          <w:iCs/>
          <w:szCs w:val="22"/>
          <w:lang w:val="sr-Latn-ME"/>
        </w:rPr>
      </w:pPr>
      <w:r>
        <w:rPr>
          <w:i/>
          <w:szCs w:val="22"/>
          <w:lang w:val="sr-Latn-ME"/>
        </w:rPr>
        <w:t>Resorpcija</w:t>
      </w:r>
    </w:p>
    <w:p w14:paraId="298DCC76" w14:textId="77777777" w:rsidR="00095D7E" w:rsidRDefault="008740DD">
      <w:pPr>
        <w:widowControl w:val="0"/>
        <w:jc w:val="both"/>
        <w:rPr>
          <w:szCs w:val="22"/>
          <w:lang w:val="sr-Latn-ME"/>
        </w:rPr>
      </w:pPr>
      <w:r>
        <w:rPr>
          <w:szCs w:val="22"/>
          <w:lang w:val="sr-Latn-ME"/>
        </w:rPr>
        <w:t>Maksimalne koncentracije rosuvastatina u plazmi se dostižu približno 5 sati nakon oralne primjene. Apsolutna bioraspoloživost iznosi približno 20%.</w:t>
      </w:r>
    </w:p>
    <w:p w14:paraId="3FE98D2E" w14:textId="77777777" w:rsidR="00095D7E" w:rsidRDefault="00095D7E">
      <w:pPr>
        <w:widowControl w:val="0"/>
        <w:jc w:val="both"/>
        <w:rPr>
          <w:i/>
          <w:iCs/>
          <w:szCs w:val="22"/>
          <w:lang w:val="sr-Latn-ME"/>
        </w:rPr>
      </w:pPr>
    </w:p>
    <w:p w14:paraId="7DD9EE08" w14:textId="77777777" w:rsidR="00095D7E" w:rsidRDefault="008740DD">
      <w:pPr>
        <w:widowControl w:val="0"/>
        <w:jc w:val="both"/>
        <w:rPr>
          <w:i/>
          <w:iCs/>
          <w:szCs w:val="22"/>
          <w:lang w:val="sr-Latn-ME"/>
        </w:rPr>
      </w:pPr>
      <w:r>
        <w:rPr>
          <w:i/>
          <w:szCs w:val="22"/>
          <w:lang w:val="sr-Latn-ME"/>
        </w:rPr>
        <w:t>Distribucija</w:t>
      </w:r>
    </w:p>
    <w:p w14:paraId="2C8D9E52"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Rosuvastatin se ekstenzivno preuzima u jetri, koja je primarno mjesto sinteze holesterola i klirensa LDL-h. Volumen distribucije rosuvastatina je približno 134 L. Približno 90% rosuvastatina se vezuje za proteine plazme, uglavnom albumin.</w:t>
      </w:r>
    </w:p>
    <w:p w14:paraId="4FFF7B8A" w14:textId="77777777" w:rsidR="00095D7E" w:rsidRDefault="00095D7E">
      <w:pPr>
        <w:pStyle w:val="NormalWeb"/>
        <w:widowControl w:val="0"/>
        <w:spacing w:before="0" w:beforeAutospacing="0" w:after="0"/>
        <w:jc w:val="both"/>
        <w:rPr>
          <w:bCs/>
          <w:i/>
          <w:color w:val="auto"/>
          <w:sz w:val="22"/>
          <w:szCs w:val="22"/>
          <w:lang w:val="sr-Latn-ME"/>
        </w:rPr>
      </w:pPr>
    </w:p>
    <w:p w14:paraId="17334F7A" w14:textId="77777777" w:rsidR="00095D7E" w:rsidRDefault="008740DD">
      <w:pPr>
        <w:widowControl w:val="0"/>
        <w:jc w:val="both"/>
        <w:rPr>
          <w:i/>
          <w:iCs/>
          <w:szCs w:val="22"/>
          <w:lang w:val="sr-Latn-ME"/>
        </w:rPr>
      </w:pPr>
      <w:r>
        <w:rPr>
          <w:i/>
          <w:szCs w:val="22"/>
          <w:lang w:val="sr-Latn-ME"/>
        </w:rPr>
        <w:t>Biotransformacija</w:t>
      </w:r>
    </w:p>
    <w:p w14:paraId="267CB5D7"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lastRenderedPageBreak/>
        <w:t xml:space="preserve">Rosuvastatin podliježe ograničenom metabolizmu (približno 10%). Ispitivanja </w:t>
      </w:r>
      <w:r>
        <w:rPr>
          <w:rStyle w:val="CommentTextChar"/>
          <w:i/>
          <w:snapToGrid/>
          <w:color w:val="auto"/>
          <w:sz w:val="22"/>
          <w:szCs w:val="22"/>
          <w:lang w:val="sr-Latn-ME"/>
        </w:rPr>
        <w:t>in vitro</w:t>
      </w:r>
      <w:r>
        <w:rPr>
          <w:rStyle w:val="CommentTextChar"/>
          <w:snapToGrid/>
          <w:color w:val="auto"/>
          <w:sz w:val="22"/>
          <w:szCs w:val="22"/>
          <w:lang w:val="sr-Latn-ME"/>
        </w:rPr>
        <w:t xml:space="preserve"> metabolizma pomoću humanih hepatocita pokazala su da je rosuvastatin slab supstrat za metabolizam zasnovan na citohromu P450. CYP2C9 je bio glavni uključeni izoenzim, sa 2C19, 3A4 i 2D6 uključenim u manjoj mjeri. Osnovni identifikovani metaboliti bili su N-desmetil metaboliti i laktoni. N-desmetil metabolit je približno 50% manje aktivan nego rosuvastatin dok se laktonski oblik smatra klinički neaktivnim. Udio rosuvastatina u inhibitornoj aktivnosti HMG-CoA reduktaze u cirkulaciji veći je od 90%.</w:t>
      </w:r>
    </w:p>
    <w:p w14:paraId="1958CDA1" w14:textId="77777777" w:rsidR="00095D7E" w:rsidRDefault="00095D7E">
      <w:pPr>
        <w:pStyle w:val="NormalWeb"/>
        <w:widowControl w:val="0"/>
        <w:spacing w:before="0" w:beforeAutospacing="0" w:after="0"/>
        <w:rPr>
          <w:bCs/>
          <w:i/>
          <w:color w:val="auto"/>
          <w:sz w:val="22"/>
          <w:szCs w:val="22"/>
          <w:lang w:val="sr-Latn-ME"/>
        </w:rPr>
      </w:pPr>
    </w:p>
    <w:p w14:paraId="7ED548C4" w14:textId="77777777" w:rsidR="00095D7E" w:rsidRDefault="008740DD">
      <w:pPr>
        <w:widowControl w:val="0"/>
        <w:jc w:val="both"/>
        <w:rPr>
          <w:i/>
          <w:iCs/>
          <w:szCs w:val="22"/>
          <w:lang w:val="sr-Latn-ME"/>
        </w:rPr>
      </w:pPr>
      <w:r>
        <w:rPr>
          <w:i/>
          <w:szCs w:val="22"/>
          <w:lang w:val="sr-Latn-ME"/>
        </w:rPr>
        <w:t>Izlučivanje</w:t>
      </w:r>
    </w:p>
    <w:p w14:paraId="575578A5"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Približno 90% doze rosuvastatina se neizmijenjeno ekskretuje u fecesu (sastavljeno od apsorbovane i neapsorbovane aktivne supstance), a preostali dio se ekskretuje u urinu. Približno 5% se ekskretuje neizmijenjeno u urinu. Poluvrijeme eliminacije u plazmi je približno 20 sati. Poluvrijeme eliminacije se ne povećava sa većim dozama. Geometrijski srednji klirens u plazmi je približno 50 l/h (koeficijent varijacije 21,7%). Kao i u slučaju drugih inhibitora HMG-CoA reduktaze, hepatičko preuzimanje rosuvastatina uključuje membranski transporter OATP-C. Ovaj transporter je važan za hepatičku eliminaciju rosuvastatina.</w:t>
      </w:r>
    </w:p>
    <w:p w14:paraId="05022C16" w14:textId="77777777" w:rsidR="00095D7E" w:rsidRDefault="00095D7E">
      <w:pPr>
        <w:pStyle w:val="NormalWeb"/>
        <w:widowControl w:val="0"/>
        <w:spacing w:before="0" w:beforeAutospacing="0" w:after="0"/>
        <w:jc w:val="both"/>
        <w:rPr>
          <w:bCs/>
          <w:i/>
          <w:color w:val="auto"/>
          <w:sz w:val="22"/>
          <w:szCs w:val="22"/>
          <w:lang w:val="sr-Latn-ME"/>
        </w:rPr>
      </w:pPr>
    </w:p>
    <w:p w14:paraId="3F61E8D0" w14:textId="77777777" w:rsidR="00095D7E" w:rsidRDefault="008740DD">
      <w:pPr>
        <w:widowControl w:val="0"/>
        <w:numPr>
          <w:ilvl w:val="12"/>
          <w:numId w:val="0"/>
        </w:numPr>
        <w:ind w:right="-2"/>
        <w:jc w:val="both"/>
        <w:rPr>
          <w:i/>
          <w:iCs/>
          <w:szCs w:val="22"/>
          <w:lang w:val="sr-Latn-ME"/>
        </w:rPr>
      </w:pPr>
      <w:r>
        <w:rPr>
          <w:i/>
          <w:szCs w:val="22"/>
          <w:lang w:val="sr-Latn-ME"/>
        </w:rPr>
        <w:t>Linearnost</w:t>
      </w:r>
    </w:p>
    <w:p w14:paraId="2A2D3C78"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Sistemska izloženost rosuvastatinu povećava se srazmjerno sa dozom. Nema izmjena u farmakokinetičkim parametrima nakon višestrukih dnevnih doza.</w:t>
      </w:r>
    </w:p>
    <w:p w14:paraId="24759752" w14:textId="77777777" w:rsidR="00095D7E" w:rsidRDefault="00095D7E">
      <w:pPr>
        <w:widowControl w:val="0"/>
        <w:numPr>
          <w:ilvl w:val="12"/>
          <w:numId w:val="0"/>
        </w:numPr>
        <w:ind w:right="-2"/>
        <w:jc w:val="both"/>
        <w:rPr>
          <w:iCs/>
          <w:szCs w:val="22"/>
          <w:u w:val="single"/>
          <w:lang w:val="sr-Latn-ME"/>
        </w:rPr>
      </w:pPr>
    </w:p>
    <w:p w14:paraId="4E3AE274" w14:textId="77777777" w:rsidR="00095D7E" w:rsidRDefault="008740DD">
      <w:pPr>
        <w:pStyle w:val="NormalWeb"/>
        <w:widowControl w:val="0"/>
        <w:spacing w:before="0" w:beforeAutospacing="0" w:after="0"/>
        <w:jc w:val="both"/>
        <w:outlineLvl w:val="0"/>
        <w:rPr>
          <w:b/>
          <w:bCs/>
          <w:i/>
          <w:color w:val="auto"/>
          <w:sz w:val="22"/>
          <w:szCs w:val="22"/>
          <w:lang w:val="sr-Latn-ME"/>
        </w:rPr>
      </w:pPr>
      <w:r>
        <w:rPr>
          <w:rStyle w:val="CommentTextChar"/>
          <w:i/>
          <w:snapToGrid/>
          <w:color w:val="auto"/>
          <w:sz w:val="22"/>
          <w:szCs w:val="22"/>
          <w:lang w:val="sr-Latn-ME"/>
        </w:rPr>
        <w:t>Starost i pol</w:t>
      </w:r>
    </w:p>
    <w:p w14:paraId="440E68C9"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Nema klinički značajnih dejstava starosti ili pola na farmakokinetiku rosuvastatina kod odraslih. Farmakokinetika rosuvastatina kod djece i adolescenata sa heterozigotnom porodičnom hiperholesterolemijom bila je slična kao kod odraslih dobrovoljaca (vidjeti „Pedijatrijska populacija“ ispod) ili niža.</w:t>
      </w:r>
    </w:p>
    <w:p w14:paraId="77D6CF64" w14:textId="77777777" w:rsidR="00095D7E" w:rsidRDefault="00095D7E">
      <w:pPr>
        <w:pStyle w:val="NormalWeb"/>
        <w:widowControl w:val="0"/>
        <w:spacing w:before="0" w:beforeAutospacing="0" w:after="0"/>
        <w:jc w:val="both"/>
        <w:rPr>
          <w:b/>
          <w:bCs/>
          <w:color w:val="auto"/>
          <w:sz w:val="22"/>
          <w:szCs w:val="22"/>
          <w:lang w:val="sr-Latn-ME"/>
        </w:rPr>
      </w:pPr>
    </w:p>
    <w:p w14:paraId="06DF3082" w14:textId="77777777" w:rsidR="00095D7E" w:rsidRDefault="008740DD">
      <w:pPr>
        <w:pStyle w:val="NormalWeb"/>
        <w:widowControl w:val="0"/>
        <w:spacing w:before="0" w:beforeAutospacing="0" w:after="0"/>
        <w:jc w:val="both"/>
        <w:outlineLvl w:val="0"/>
        <w:rPr>
          <w:i/>
          <w:color w:val="auto"/>
          <w:sz w:val="22"/>
          <w:szCs w:val="22"/>
          <w:lang w:val="sr-Latn-ME"/>
        </w:rPr>
      </w:pPr>
      <w:r>
        <w:rPr>
          <w:rStyle w:val="CommentTextChar"/>
          <w:i/>
          <w:snapToGrid/>
          <w:color w:val="auto"/>
          <w:sz w:val="22"/>
          <w:szCs w:val="22"/>
          <w:lang w:val="sr-Latn-ME"/>
        </w:rPr>
        <w:t>Rasa</w:t>
      </w:r>
    </w:p>
    <w:p w14:paraId="3B54A466"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Farmakokinetička ispitivanja su pokazala povećanje od približno 2 puta srednjih vrijednosti PIK i C</w:t>
      </w:r>
      <w:r>
        <w:rPr>
          <w:rStyle w:val="CommentTextChar"/>
          <w:snapToGrid/>
          <w:color w:val="auto"/>
          <w:sz w:val="22"/>
          <w:szCs w:val="22"/>
          <w:vertAlign w:val="subscript"/>
          <w:lang w:val="sr-Latn-ME"/>
        </w:rPr>
        <w:t>max</w:t>
      </w:r>
      <w:r>
        <w:rPr>
          <w:rStyle w:val="CommentTextChar"/>
          <w:snapToGrid/>
          <w:color w:val="auto"/>
          <w:sz w:val="22"/>
          <w:szCs w:val="22"/>
          <w:lang w:val="sr-Latn-ME"/>
        </w:rPr>
        <w:t xml:space="preserve"> kod ispitanika azijskog porijekla (iz Japana, Kine, Filipina, Vijetnama i Koreje) u poređenju sa bijelom rasom; Kod Azijata indijskog porijekla javilo se povećanje od približno 1,3 puta veće od srednjih vrijednosti PIK i C</w:t>
      </w:r>
      <w:r>
        <w:rPr>
          <w:rStyle w:val="CommentTextChar"/>
          <w:snapToGrid/>
          <w:color w:val="auto"/>
          <w:sz w:val="22"/>
          <w:szCs w:val="22"/>
          <w:vertAlign w:val="subscript"/>
          <w:lang w:val="sr-Latn-ME"/>
        </w:rPr>
        <w:t>max</w:t>
      </w:r>
      <w:r>
        <w:rPr>
          <w:rStyle w:val="CommentTextChar"/>
          <w:snapToGrid/>
          <w:color w:val="auto"/>
          <w:sz w:val="22"/>
          <w:szCs w:val="22"/>
          <w:lang w:val="sr-Latn-ME"/>
        </w:rPr>
        <w:t>. Rezultati populacione farmakokinetičke analize nijesu pokazali klinički značajne razlike u farmakokinetici između bijele i crne rase.</w:t>
      </w:r>
    </w:p>
    <w:p w14:paraId="3933A73C" w14:textId="77777777" w:rsidR="00095D7E" w:rsidRDefault="00095D7E">
      <w:pPr>
        <w:widowControl w:val="0"/>
        <w:numPr>
          <w:ilvl w:val="12"/>
          <w:numId w:val="0"/>
        </w:numPr>
        <w:ind w:right="-2"/>
        <w:jc w:val="both"/>
        <w:rPr>
          <w:iCs/>
          <w:szCs w:val="22"/>
          <w:u w:val="single"/>
          <w:lang w:val="sr-Latn-ME"/>
        </w:rPr>
      </w:pPr>
    </w:p>
    <w:p w14:paraId="0DA37BE5" w14:textId="77777777" w:rsidR="00095D7E" w:rsidRDefault="008740DD">
      <w:pPr>
        <w:widowControl w:val="0"/>
        <w:numPr>
          <w:ilvl w:val="12"/>
          <w:numId w:val="0"/>
        </w:numPr>
        <w:ind w:right="-2"/>
        <w:jc w:val="both"/>
        <w:rPr>
          <w:i/>
          <w:iCs/>
          <w:szCs w:val="22"/>
          <w:lang w:val="sr-Latn-ME"/>
        </w:rPr>
      </w:pPr>
      <w:r>
        <w:rPr>
          <w:i/>
          <w:szCs w:val="22"/>
          <w:lang w:val="sr-Latn-ME"/>
        </w:rPr>
        <w:t>Oštećenje bubrega</w:t>
      </w:r>
    </w:p>
    <w:p w14:paraId="53D4C486" w14:textId="77777777" w:rsidR="00095D7E" w:rsidRDefault="008740DD">
      <w:pPr>
        <w:pStyle w:val="NormalWeb"/>
        <w:widowControl w:val="0"/>
        <w:spacing w:before="0" w:beforeAutospacing="0" w:after="0"/>
        <w:jc w:val="both"/>
        <w:rPr>
          <w:color w:val="auto"/>
          <w:sz w:val="22"/>
          <w:szCs w:val="22"/>
          <w:lang w:val="sr-Latn-ME"/>
        </w:rPr>
      </w:pPr>
      <w:r>
        <w:rPr>
          <w:rStyle w:val="CommentTextChar"/>
          <w:snapToGrid/>
          <w:color w:val="auto"/>
          <w:sz w:val="22"/>
          <w:szCs w:val="22"/>
          <w:lang w:val="sr-Latn-ME"/>
        </w:rPr>
        <w:t>U studiji sa ispitanicima sa različitim stupnjevima oštećenja bubrega, blago do umjereno oboljenje bubrega nije imalo uticaja na koncentraciju rosuvastatina ili N-desmetil metabolita u plazmi. Ispitanici sa teškim oboljenjem bubrega (klirens kreatinina &lt; 30 mL/min) imali su 3 puta veću koncentraciju u plazmi i 9 puta veću koncentraciju N-desmetil metabolita u poređenju sa zdravim dobrovoljcima. Stabilno stanje koncentracije rosuvastatina u plazmi kod ispitanika koji su na hemodijalizi bilo je približno 50% veće u poređenju sa zdravim dobrovoljcima.</w:t>
      </w:r>
    </w:p>
    <w:p w14:paraId="24843BB2" w14:textId="77777777" w:rsidR="00095D7E" w:rsidRDefault="00095D7E">
      <w:pPr>
        <w:widowControl w:val="0"/>
        <w:numPr>
          <w:ilvl w:val="12"/>
          <w:numId w:val="0"/>
        </w:numPr>
        <w:ind w:right="-2"/>
        <w:rPr>
          <w:iCs/>
          <w:szCs w:val="22"/>
          <w:u w:val="single"/>
          <w:lang w:val="sr-Latn-ME"/>
        </w:rPr>
      </w:pPr>
    </w:p>
    <w:p w14:paraId="7FF2EE88" w14:textId="77777777" w:rsidR="00095D7E" w:rsidRDefault="008740DD">
      <w:pPr>
        <w:widowControl w:val="0"/>
        <w:numPr>
          <w:ilvl w:val="12"/>
          <w:numId w:val="0"/>
        </w:numPr>
        <w:ind w:right="-2"/>
        <w:jc w:val="both"/>
        <w:rPr>
          <w:i/>
          <w:iCs/>
          <w:szCs w:val="22"/>
          <w:lang w:val="sr-Latn-ME"/>
        </w:rPr>
      </w:pPr>
      <w:r>
        <w:rPr>
          <w:i/>
          <w:szCs w:val="22"/>
          <w:lang w:val="sr-Latn-ME"/>
        </w:rPr>
        <w:t>Oštećenje jetre</w:t>
      </w:r>
    </w:p>
    <w:p w14:paraId="25B5D390" w14:textId="77777777" w:rsidR="00095D7E" w:rsidRDefault="008740DD">
      <w:pPr>
        <w:widowControl w:val="0"/>
        <w:autoSpaceDE w:val="0"/>
        <w:autoSpaceDN w:val="0"/>
        <w:adjustRightInd w:val="0"/>
        <w:jc w:val="both"/>
        <w:rPr>
          <w:szCs w:val="22"/>
          <w:lang w:val="sr-Latn-ME"/>
        </w:rPr>
      </w:pPr>
      <w:r>
        <w:rPr>
          <w:szCs w:val="22"/>
          <w:lang w:val="sr-Latn-ME"/>
        </w:rPr>
        <w:t>U studiji sa ispitanicima sa različitim stupnjevima oštećenja jetre nije bilo dokaza o povećanoj izloženosti rosuvastatinu kod ispitanika sa Child-Pugh skorom 7 ili nižim. Međutim, kod dva ispitanika sa Child-Pugh skorom 8 i 9 javila se povećana sistemska izloženost koja je bila najmanje 2 puta veća u poređenju sa ispitanicima sa nižim Child-Pugh skorom. Nema iskustava sa ispitanicima sa Child-Pugh skorom iznad 9.</w:t>
      </w:r>
    </w:p>
    <w:p w14:paraId="4B821467" w14:textId="77777777" w:rsidR="00095D7E" w:rsidRDefault="00095D7E">
      <w:pPr>
        <w:widowControl w:val="0"/>
        <w:numPr>
          <w:ilvl w:val="12"/>
          <w:numId w:val="0"/>
        </w:numPr>
        <w:ind w:right="-2"/>
        <w:jc w:val="both"/>
        <w:rPr>
          <w:iCs/>
          <w:szCs w:val="22"/>
          <w:u w:val="single"/>
          <w:lang w:val="sr-Latn-ME"/>
        </w:rPr>
      </w:pPr>
    </w:p>
    <w:p w14:paraId="58558C22" w14:textId="77777777" w:rsidR="00095D7E" w:rsidRDefault="008740DD">
      <w:pPr>
        <w:widowControl w:val="0"/>
        <w:numPr>
          <w:ilvl w:val="12"/>
          <w:numId w:val="0"/>
        </w:numPr>
        <w:ind w:right="-2"/>
        <w:jc w:val="both"/>
        <w:rPr>
          <w:i/>
          <w:iCs/>
          <w:szCs w:val="22"/>
          <w:lang w:val="sr-Latn-ME"/>
        </w:rPr>
      </w:pPr>
      <w:r>
        <w:rPr>
          <w:i/>
          <w:szCs w:val="22"/>
          <w:lang w:val="sr-Latn-ME"/>
        </w:rPr>
        <w:t>Genetski polimorfizam</w:t>
      </w:r>
    </w:p>
    <w:p w14:paraId="64EDD096" w14:textId="77777777" w:rsidR="00095D7E" w:rsidRDefault="008740DD">
      <w:pPr>
        <w:widowControl w:val="0"/>
        <w:numPr>
          <w:ilvl w:val="12"/>
          <w:numId w:val="0"/>
        </w:numPr>
        <w:ind w:right="-2"/>
        <w:jc w:val="both"/>
        <w:rPr>
          <w:iCs/>
          <w:szCs w:val="22"/>
          <w:lang w:val="sr-Latn-ME"/>
        </w:rPr>
      </w:pPr>
      <w:r>
        <w:rPr>
          <w:szCs w:val="22"/>
          <w:lang w:val="sr-Latn-ME"/>
        </w:rPr>
        <w:t>Dispozicija inhibitora HMG-CoA reduktaze, uključujući rosuvastatin, uključuje transportne proteine OATP1B1 i BCRP. Kod pacijenata sa SLCO1B1 (OATP1B1) i/ili ABCG2 (BCRP) genetskim polimorfizmom postoji rizik od povećane izloženosti rosuvastatinu. Pojedinačni polimorfizmi genotipa SLCO1B1 c.521CC i ABCG2 c.421AA povezani su sa većom izloženošću rosuvastatinu (PIK) u poređenju sa genotipovima SLCO1B1 c.521TT ili ABCG2 c.421CC. Ovi rezultati vezani za genotipove nijesu utvrđeni u kliničkoj praksi, ali za pacijente za koje se zna da imaju ove vrste polimorfizma preporučuju se niže dnevne doze rosuvastatina.</w:t>
      </w:r>
    </w:p>
    <w:p w14:paraId="1267FB56" w14:textId="77777777" w:rsidR="00095D7E" w:rsidRDefault="00095D7E">
      <w:pPr>
        <w:widowControl w:val="0"/>
        <w:numPr>
          <w:ilvl w:val="12"/>
          <w:numId w:val="0"/>
        </w:numPr>
        <w:ind w:right="-2"/>
        <w:jc w:val="both"/>
        <w:rPr>
          <w:iCs/>
          <w:szCs w:val="22"/>
          <w:u w:val="single"/>
          <w:lang w:val="sr-Latn-ME"/>
        </w:rPr>
      </w:pPr>
    </w:p>
    <w:p w14:paraId="3A21DAD9" w14:textId="77777777" w:rsidR="00095D7E" w:rsidRDefault="008740DD">
      <w:pPr>
        <w:widowControl w:val="0"/>
        <w:numPr>
          <w:ilvl w:val="12"/>
          <w:numId w:val="0"/>
        </w:numPr>
        <w:ind w:right="-2"/>
        <w:jc w:val="both"/>
        <w:rPr>
          <w:i/>
          <w:iCs/>
          <w:szCs w:val="22"/>
          <w:lang w:val="sr-Latn-ME"/>
        </w:rPr>
      </w:pPr>
      <w:r>
        <w:rPr>
          <w:i/>
          <w:szCs w:val="22"/>
          <w:lang w:val="sr-Latn-ME"/>
        </w:rPr>
        <w:t>Pedijatrijska populacija</w:t>
      </w:r>
    </w:p>
    <w:p w14:paraId="3FD5910C" w14:textId="77777777" w:rsidR="00095D7E" w:rsidRDefault="008740DD">
      <w:pPr>
        <w:widowControl w:val="0"/>
        <w:jc w:val="both"/>
        <w:rPr>
          <w:szCs w:val="22"/>
          <w:lang w:val="sr-Latn-ME"/>
        </w:rPr>
      </w:pPr>
      <w:r>
        <w:rPr>
          <w:szCs w:val="22"/>
          <w:lang w:val="sr-Latn-ME"/>
        </w:rPr>
        <w:t>Farmakokinetički parametri kod pedijatrijskih pacijenata sa heterozigotnom porodičnom hiperholesterolemijom starosti između 10 i 17 godina nijesu u potpunosti okarakterisani. Malo farmakokinetičko ispitivanje sa rosuvastatinom (davanim u obliku tableta) sa 18 pedijatrijskih pacijenata ukazuje na to da je izloženost pedijatrijskih pacijenata slična izloženosti kod odraslih pacijenata. Osim ovoga, rezultati ukazuju na to da se ne očekuje velika devijacija od proporcionalnosti doze.</w:t>
      </w:r>
    </w:p>
    <w:p w14:paraId="7F2A4782" w14:textId="77777777" w:rsidR="00095D7E" w:rsidRDefault="00095D7E">
      <w:pPr>
        <w:tabs>
          <w:tab w:val="clear" w:pos="567"/>
          <w:tab w:val="left" w:pos="540"/>
          <w:tab w:val="left" w:pos="569"/>
        </w:tabs>
        <w:rPr>
          <w:bCs/>
          <w:szCs w:val="22"/>
          <w:lang w:val="sr-Latn-ME"/>
        </w:rPr>
      </w:pPr>
    </w:p>
    <w:p w14:paraId="14063161" w14:textId="77777777" w:rsidR="00095D7E" w:rsidRDefault="008740DD">
      <w:pPr>
        <w:tabs>
          <w:tab w:val="clear" w:pos="567"/>
          <w:tab w:val="left" w:pos="540"/>
          <w:tab w:val="left" w:pos="569"/>
        </w:tabs>
        <w:jc w:val="both"/>
        <w:rPr>
          <w:b/>
          <w:bCs/>
          <w:szCs w:val="22"/>
          <w:lang w:val="sr-Latn-ME"/>
        </w:rPr>
      </w:pPr>
      <w:r>
        <w:rPr>
          <w:b/>
          <w:bCs/>
          <w:szCs w:val="22"/>
          <w:lang w:val="sr-Latn-ME"/>
        </w:rPr>
        <w:t xml:space="preserve">5.3. </w:t>
      </w:r>
      <w:r>
        <w:rPr>
          <w:b/>
          <w:bCs/>
          <w:szCs w:val="22"/>
          <w:lang w:val="sr-Latn-ME"/>
        </w:rPr>
        <w:tab/>
        <w:t xml:space="preserve">Pretklinički podaci o bezbjednosti </w:t>
      </w:r>
    </w:p>
    <w:p w14:paraId="4CA1001F" w14:textId="77777777" w:rsidR="00095D7E" w:rsidRDefault="00095D7E">
      <w:pPr>
        <w:tabs>
          <w:tab w:val="clear" w:pos="567"/>
          <w:tab w:val="left" w:pos="540"/>
          <w:tab w:val="left" w:pos="569"/>
        </w:tabs>
        <w:jc w:val="both"/>
        <w:rPr>
          <w:bCs/>
          <w:szCs w:val="22"/>
          <w:lang w:val="sr-Latn-ME"/>
        </w:rPr>
      </w:pPr>
    </w:p>
    <w:p w14:paraId="578E93B4" w14:textId="77777777" w:rsidR="00095D7E" w:rsidRDefault="008740DD">
      <w:pPr>
        <w:widowControl w:val="0"/>
        <w:tabs>
          <w:tab w:val="left" w:pos="-142"/>
          <w:tab w:val="left" w:pos="0"/>
        </w:tabs>
        <w:jc w:val="both"/>
        <w:rPr>
          <w:szCs w:val="22"/>
          <w:u w:val="single"/>
          <w:lang w:val="sr-Latn-ME"/>
        </w:rPr>
      </w:pPr>
      <w:r>
        <w:rPr>
          <w:szCs w:val="22"/>
          <w:u w:val="single"/>
          <w:lang w:val="sr-Latn-ME"/>
        </w:rPr>
        <w:t>U vezi sa perindoprilom/indapamidom</w:t>
      </w:r>
    </w:p>
    <w:p w14:paraId="13C5568E" w14:textId="77777777" w:rsidR="00095D7E" w:rsidRDefault="00095D7E">
      <w:pPr>
        <w:widowControl w:val="0"/>
        <w:tabs>
          <w:tab w:val="left" w:pos="-142"/>
          <w:tab w:val="left" w:pos="0"/>
        </w:tabs>
        <w:jc w:val="both"/>
        <w:rPr>
          <w:szCs w:val="22"/>
          <w:lang w:val="sr-Latn-ME"/>
        </w:rPr>
      </w:pPr>
    </w:p>
    <w:p w14:paraId="14964A39" w14:textId="77777777" w:rsidR="00095D7E" w:rsidRDefault="008740DD">
      <w:pPr>
        <w:widowControl w:val="0"/>
        <w:tabs>
          <w:tab w:val="left" w:pos="-142"/>
          <w:tab w:val="left" w:pos="0"/>
        </w:tabs>
        <w:jc w:val="both"/>
        <w:rPr>
          <w:szCs w:val="22"/>
          <w:lang w:val="sr-Latn-ME"/>
        </w:rPr>
      </w:pPr>
      <w:r>
        <w:rPr>
          <w:szCs w:val="22"/>
          <w:lang w:val="sr-Latn-ME"/>
        </w:rPr>
        <w:t>Kombinacija perindopril/indapamid ima blago povećanu toksičnost u odnosu na njene sastavne djelove. Djeluje da renalne manifestacije nijesu pojačane kod pacova. Međutim, kombinacija dovodi do gastrointestinalne toksičnosti kod pasa i djeluje da su toksična dejstva na majku povećana kod pacova (u poređenju sa perindoprilom).</w:t>
      </w:r>
    </w:p>
    <w:p w14:paraId="64AA2EDE" w14:textId="77777777" w:rsidR="00095D7E" w:rsidRDefault="008740DD">
      <w:pPr>
        <w:widowControl w:val="0"/>
        <w:tabs>
          <w:tab w:val="left" w:pos="-142"/>
          <w:tab w:val="left" w:pos="0"/>
        </w:tabs>
        <w:jc w:val="both"/>
        <w:rPr>
          <w:szCs w:val="22"/>
          <w:lang w:val="sr-Latn-ME"/>
        </w:rPr>
      </w:pPr>
      <w:r>
        <w:rPr>
          <w:szCs w:val="22"/>
          <w:lang w:val="sr-Latn-ME"/>
        </w:rPr>
        <w:t>I pored svega toga, ova neželjena dejstva se javljaju pri dozama koje se kreću u sasvim bezbjednim granicama u odnosu na terapijske doze.</w:t>
      </w:r>
    </w:p>
    <w:p w14:paraId="6FD4E365" w14:textId="77777777" w:rsidR="00095D7E" w:rsidRDefault="008740DD">
      <w:pPr>
        <w:widowControl w:val="0"/>
        <w:jc w:val="both"/>
        <w:rPr>
          <w:szCs w:val="22"/>
        </w:rPr>
      </w:pPr>
      <w:r>
        <w:rPr>
          <w:szCs w:val="22"/>
          <w:lang w:val="sr-Latn-ME"/>
        </w:rPr>
        <w:t>Pretklinička ispitivanja koja su odvojeno izvršena sa perindoprilom i indapamidom nijesu pokazala genotoksični, kancerogeni ili teratogeni potencijal.</w:t>
      </w:r>
    </w:p>
    <w:p w14:paraId="55249758" w14:textId="77777777" w:rsidR="00095D7E" w:rsidRDefault="008740DD">
      <w:pPr>
        <w:widowControl w:val="0"/>
        <w:jc w:val="both"/>
        <w:rPr>
          <w:szCs w:val="22"/>
          <w:lang w:val="sr-Latn-ME"/>
        </w:rPr>
      </w:pPr>
      <w:r>
        <w:rPr>
          <w:szCs w:val="22"/>
        </w:rPr>
        <w:t>Ispitivanja reproduktivne toksičnosti nisu pokazale embriotoksičnost ili teratogenost i plodnost nije bila narušena.</w:t>
      </w:r>
    </w:p>
    <w:p w14:paraId="77CEFC55" w14:textId="77777777" w:rsidR="00095D7E" w:rsidRDefault="00095D7E">
      <w:pPr>
        <w:widowControl w:val="0"/>
        <w:jc w:val="both"/>
        <w:rPr>
          <w:bCs/>
          <w:szCs w:val="22"/>
          <w:lang w:val="sr-Latn-ME"/>
        </w:rPr>
      </w:pPr>
    </w:p>
    <w:p w14:paraId="5AB34243" w14:textId="77777777" w:rsidR="00095D7E" w:rsidRDefault="00095D7E">
      <w:pPr>
        <w:widowControl w:val="0"/>
        <w:jc w:val="both"/>
        <w:rPr>
          <w:bCs/>
          <w:szCs w:val="22"/>
          <w:lang w:val="sr-Latn-ME"/>
        </w:rPr>
      </w:pPr>
    </w:p>
    <w:p w14:paraId="2A01E812" w14:textId="77777777" w:rsidR="00095D7E" w:rsidRDefault="008740DD">
      <w:pPr>
        <w:widowControl w:val="0"/>
        <w:jc w:val="both"/>
        <w:rPr>
          <w:szCs w:val="22"/>
          <w:u w:val="single"/>
          <w:lang w:val="sr-Latn-ME"/>
        </w:rPr>
      </w:pPr>
      <w:r>
        <w:rPr>
          <w:szCs w:val="22"/>
          <w:u w:val="single"/>
          <w:lang w:val="sr-Latn-ME"/>
        </w:rPr>
        <w:t>U vezi sa rosuvastatinom</w:t>
      </w:r>
    </w:p>
    <w:p w14:paraId="2630CB50" w14:textId="77777777" w:rsidR="00095D7E" w:rsidRDefault="00095D7E">
      <w:pPr>
        <w:widowControl w:val="0"/>
        <w:jc w:val="both"/>
        <w:rPr>
          <w:szCs w:val="22"/>
          <w:lang w:val="sr-Latn-ME"/>
        </w:rPr>
      </w:pPr>
    </w:p>
    <w:p w14:paraId="38F48E8F" w14:textId="77777777" w:rsidR="00095D7E" w:rsidRDefault="008740DD">
      <w:pPr>
        <w:widowControl w:val="0"/>
        <w:jc w:val="both"/>
        <w:rPr>
          <w:szCs w:val="22"/>
          <w:lang w:val="sr-Latn-ME"/>
        </w:rPr>
      </w:pPr>
      <w:r>
        <w:rPr>
          <w:szCs w:val="22"/>
          <w:lang w:val="sr-Latn-ME"/>
        </w:rPr>
        <w:t>Pretklinički podaci o rosuvastatinu ne ukazuju na posebnu opasnost po ljude na osnovu konvencionalnih studija o bezbjednosnom farmakološkom, genotoksičnom i kancerogenom potencijalu. Specifični testovi za dejstva na hERG nijesu sprovedeni. Neželjene reakcije koje nijesu primijećene u kliničkim ispitivanjima, ali su se javile kod životinja pri nivou izloženosti koji je sličan kliničkom nivou izloženosti bile su sljedeće – u ispitivanju toksičnosti ponovljenih doza: histopatološke promjene na jetri, vjerovatno usljed farmakološkog dejstva rosuvastatina, bile su primijećene kod miševa i pacova i u manjoj mjeri sa dejstvima na žučnu kesu kod pasa, ali ne i kod majmuna. Osim ovoga, testikularna toksičnost je primijećena kod majmuna i pasa pri većim dozama. Reproduktivna toksičnost je bila očigledna kod pacova, sa smanjenom veličinom i težinom legla i stopom preživljavanja mladunaca pri dozama koje su bile toksične za majku, kada je sistemska izloženost bila nekoliko puta veća od terapijskog nivoa izloženosti.</w:t>
      </w:r>
    </w:p>
    <w:p w14:paraId="190DDD44" w14:textId="77777777" w:rsidR="00095D7E" w:rsidRDefault="00095D7E">
      <w:pPr>
        <w:tabs>
          <w:tab w:val="clear" w:pos="567"/>
          <w:tab w:val="left" w:pos="540"/>
          <w:tab w:val="left" w:pos="569"/>
        </w:tabs>
        <w:rPr>
          <w:b/>
          <w:bCs/>
          <w:szCs w:val="22"/>
          <w:lang w:val="sr-Latn-ME"/>
        </w:rPr>
      </w:pPr>
    </w:p>
    <w:p w14:paraId="43EE40F6" w14:textId="77777777" w:rsidR="00095D7E" w:rsidRDefault="00095D7E">
      <w:pPr>
        <w:tabs>
          <w:tab w:val="clear" w:pos="567"/>
          <w:tab w:val="left" w:pos="540"/>
          <w:tab w:val="left" w:pos="569"/>
        </w:tabs>
        <w:rPr>
          <w:b/>
          <w:bCs/>
          <w:szCs w:val="22"/>
          <w:lang w:val="sr-Latn-ME"/>
        </w:rPr>
      </w:pPr>
    </w:p>
    <w:p w14:paraId="263EED3E" w14:textId="77777777" w:rsidR="00095D7E" w:rsidRDefault="008740DD">
      <w:pPr>
        <w:tabs>
          <w:tab w:val="clear" w:pos="567"/>
          <w:tab w:val="left" w:pos="540"/>
          <w:tab w:val="left" w:pos="569"/>
        </w:tabs>
        <w:rPr>
          <w:b/>
          <w:bCs/>
          <w:szCs w:val="22"/>
          <w:lang w:val="sr-Latn-ME"/>
        </w:rPr>
      </w:pPr>
      <w:r>
        <w:rPr>
          <w:b/>
          <w:bCs/>
          <w:szCs w:val="22"/>
          <w:lang w:val="sr-Latn-ME"/>
        </w:rPr>
        <w:t xml:space="preserve">6. </w:t>
      </w:r>
      <w:r>
        <w:rPr>
          <w:b/>
          <w:bCs/>
          <w:szCs w:val="22"/>
          <w:lang w:val="sr-Latn-ME"/>
        </w:rPr>
        <w:tab/>
        <w:t>FARMACEUTSKI PODACI</w:t>
      </w:r>
    </w:p>
    <w:p w14:paraId="57202F20" w14:textId="77777777" w:rsidR="00095D7E" w:rsidRDefault="00095D7E">
      <w:pPr>
        <w:tabs>
          <w:tab w:val="clear" w:pos="567"/>
          <w:tab w:val="left" w:pos="540"/>
          <w:tab w:val="left" w:pos="569"/>
        </w:tabs>
        <w:rPr>
          <w:bCs/>
          <w:szCs w:val="22"/>
          <w:lang w:val="sr-Latn-ME"/>
        </w:rPr>
      </w:pPr>
    </w:p>
    <w:p w14:paraId="08BCC308" w14:textId="77777777" w:rsidR="00095D7E" w:rsidRDefault="008740DD">
      <w:pPr>
        <w:tabs>
          <w:tab w:val="clear" w:pos="567"/>
          <w:tab w:val="left" w:pos="540"/>
          <w:tab w:val="left" w:pos="569"/>
        </w:tabs>
        <w:rPr>
          <w:b/>
          <w:bCs/>
          <w:szCs w:val="22"/>
          <w:lang w:val="sr-Latn-ME"/>
        </w:rPr>
      </w:pPr>
      <w:r>
        <w:rPr>
          <w:b/>
          <w:bCs/>
          <w:szCs w:val="22"/>
          <w:lang w:val="sr-Latn-ME"/>
        </w:rPr>
        <w:t xml:space="preserve">6.1. </w:t>
      </w:r>
      <w:r>
        <w:rPr>
          <w:b/>
          <w:bCs/>
          <w:szCs w:val="22"/>
          <w:lang w:val="sr-Latn-ME"/>
        </w:rPr>
        <w:tab/>
        <w:t>Lista pomoćnih supstanci (ekscipijenasa)</w:t>
      </w:r>
    </w:p>
    <w:p w14:paraId="4C92CCAB" w14:textId="77777777" w:rsidR="00095D7E" w:rsidRDefault="00095D7E">
      <w:pPr>
        <w:widowControl w:val="0"/>
        <w:outlineLvl w:val="0"/>
        <w:rPr>
          <w:noProof/>
          <w:szCs w:val="22"/>
          <w:u w:val="single"/>
          <w:lang w:val="sr-Latn-ME"/>
        </w:rPr>
      </w:pPr>
    </w:p>
    <w:p w14:paraId="36C28FE4" w14:textId="77777777" w:rsidR="00095D7E" w:rsidRDefault="008740DD">
      <w:pPr>
        <w:tabs>
          <w:tab w:val="left" w:pos="284"/>
        </w:tabs>
        <w:rPr>
          <w:i/>
          <w:szCs w:val="22"/>
          <w:lang w:val="sr-Latn-ME" w:eastAsia="sr-Latn-CS"/>
        </w:rPr>
      </w:pPr>
      <w:r>
        <w:rPr>
          <w:i/>
          <w:szCs w:val="22"/>
          <w:lang w:val="sr-Latn-ME" w:eastAsia="sr-Latn-CS"/>
        </w:rPr>
        <w:t>Pomoćne supstance u jezgru tablete:</w:t>
      </w:r>
    </w:p>
    <w:p w14:paraId="6116FA83" w14:textId="77777777" w:rsidR="00095D7E" w:rsidRDefault="008740DD">
      <w:pPr>
        <w:numPr>
          <w:ilvl w:val="0"/>
          <w:numId w:val="3"/>
        </w:numPr>
        <w:tabs>
          <w:tab w:val="clear" w:pos="567"/>
          <w:tab w:val="left" w:pos="284"/>
        </w:tabs>
        <w:spacing w:line="240" w:lineRule="auto"/>
        <w:jc w:val="both"/>
        <w:rPr>
          <w:szCs w:val="22"/>
          <w:lang w:val="sr-Latn-ME" w:eastAsia="sr-Latn-CS"/>
        </w:rPr>
      </w:pPr>
      <w:r>
        <w:rPr>
          <w:szCs w:val="22"/>
          <w:lang w:val="sr-Latn-ME" w:eastAsia="sr-Latn-CS"/>
        </w:rPr>
        <w:t xml:space="preserve">Celuloza, mikrokristalna </w:t>
      </w:r>
      <w:r>
        <w:rPr>
          <w:noProof/>
          <w:szCs w:val="22"/>
          <w:lang w:val="sr-Latn-ME"/>
        </w:rPr>
        <w:t>(tip 200, niske vlage)</w:t>
      </w:r>
      <w:r>
        <w:rPr>
          <w:szCs w:val="22"/>
          <w:lang w:val="sr-Latn-ME" w:eastAsia="sr-Latn-CS"/>
        </w:rPr>
        <w:t>;</w:t>
      </w:r>
    </w:p>
    <w:p w14:paraId="499567E1" w14:textId="77777777" w:rsidR="00095D7E" w:rsidRDefault="008740DD">
      <w:pPr>
        <w:numPr>
          <w:ilvl w:val="0"/>
          <w:numId w:val="3"/>
        </w:numPr>
        <w:tabs>
          <w:tab w:val="clear" w:pos="567"/>
          <w:tab w:val="left" w:pos="284"/>
        </w:tabs>
        <w:spacing w:line="240" w:lineRule="auto"/>
        <w:jc w:val="both"/>
        <w:rPr>
          <w:szCs w:val="22"/>
          <w:lang w:val="sr-Latn-ME" w:eastAsia="sr-Latn-CS"/>
        </w:rPr>
      </w:pPr>
      <w:r>
        <w:rPr>
          <w:szCs w:val="22"/>
          <w:lang w:val="sr-Latn-ME" w:eastAsia="sr-Latn-CS"/>
        </w:rPr>
        <w:t>Celuloza, mikrokristalna (tip 112);</w:t>
      </w:r>
    </w:p>
    <w:p w14:paraId="03BEF8FC" w14:textId="77777777" w:rsidR="00095D7E" w:rsidRDefault="008740DD">
      <w:pPr>
        <w:numPr>
          <w:ilvl w:val="0"/>
          <w:numId w:val="3"/>
        </w:numPr>
        <w:tabs>
          <w:tab w:val="clear" w:pos="567"/>
          <w:tab w:val="left" w:pos="284"/>
        </w:tabs>
        <w:spacing w:line="240" w:lineRule="auto"/>
        <w:jc w:val="both"/>
        <w:rPr>
          <w:szCs w:val="22"/>
          <w:lang w:val="sr-Latn-ME" w:eastAsia="sr-Latn-CS"/>
        </w:rPr>
      </w:pPr>
      <w:r>
        <w:rPr>
          <w:szCs w:val="22"/>
          <w:lang w:val="sr-Latn-ME" w:eastAsia="sr-Latn-CS"/>
        </w:rPr>
        <w:t>Krospovidon, tip A;</w:t>
      </w:r>
    </w:p>
    <w:p w14:paraId="506291A5" w14:textId="77777777" w:rsidR="00095D7E" w:rsidRDefault="008740DD">
      <w:pPr>
        <w:numPr>
          <w:ilvl w:val="0"/>
          <w:numId w:val="3"/>
        </w:numPr>
        <w:tabs>
          <w:tab w:val="clear" w:pos="567"/>
          <w:tab w:val="left" w:pos="284"/>
        </w:tabs>
        <w:spacing w:line="240" w:lineRule="auto"/>
        <w:jc w:val="both"/>
        <w:rPr>
          <w:szCs w:val="22"/>
          <w:lang w:val="sr-Latn-ME" w:eastAsia="sr-Latn-CS"/>
        </w:rPr>
      </w:pPr>
      <w:r>
        <w:rPr>
          <w:szCs w:val="22"/>
          <w:lang w:val="sr-Latn-ME" w:eastAsia="sr-Latn-CS"/>
        </w:rPr>
        <w:t>Silicijum dioksid, koloidni, bezvodni;</w:t>
      </w:r>
    </w:p>
    <w:p w14:paraId="707A4653" w14:textId="77777777" w:rsidR="00095D7E" w:rsidRDefault="008740DD">
      <w:pPr>
        <w:numPr>
          <w:ilvl w:val="0"/>
          <w:numId w:val="3"/>
        </w:numPr>
        <w:tabs>
          <w:tab w:val="clear" w:pos="567"/>
          <w:tab w:val="left" w:pos="284"/>
        </w:tabs>
        <w:spacing w:line="240" w:lineRule="auto"/>
        <w:jc w:val="both"/>
        <w:rPr>
          <w:szCs w:val="22"/>
          <w:lang w:val="sr-Latn-ME" w:eastAsia="sr-Latn-CS"/>
        </w:rPr>
      </w:pPr>
      <w:r>
        <w:rPr>
          <w:szCs w:val="22"/>
          <w:lang w:val="sr-Latn-ME" w:eastAsia="sr-Latn-CS"/>
        </w:rPr>
        <w:t xml:space="preserve">Magnezijum stearat </w:t>
      </w:r>
      <w:r>
        <w:rPr>
          <w:szCs w:val="22"/>
          <w:lang w:val="sr-Latn-ME"/>
        </w:rPr>
        <w:t>(E470b)</w:t>
      </w:r>
      <w:r>
        <w:rPr>
          <w:szCs w:val="22"/>
          <w:lang w:val="sr-Latn-ME" w:eastAsia="sr-Latn-CS"/>
        </w:rPr>
        <w:t>;</w:t>
      </w:r>
    </w:p>
    <w:p w14:paraId="1DE8C0C3" w14:textId="77777777" w:rsidR="00095D7E" w:rsidRDefault="00095D7E">
      <w:pPr>
        <w:tabs>
          <w:tab w:val="left" w:pos="284"/>
        </w:tabs>
        <w:rPr>
          <w:szCs w:val="22"/>
          <w:lang w:val="sr-Latn-ME" w:eastAsia="sr-Latn-CS"/>
        </w:rPr>
      </w:pPr>
    </w:p>
    <w:p w14:paraId="0537ADD1" w14:textId="77777777" w:rsidR="00095D7E" w:rsidRDefault="008740DD">
      <w:pPr>
        <w:tabs>
          <w:tab w:val="left" w:pos="284"/>
        </w:tabs>
        <w:jc w:val="both"/>
        <w:rPr>
          <w:i/>
          <w:szCs w:val="22"/>
          <w:lang w:val="sr-Latn-ME" w:eastAsia="sr-Latn-CS"/>
        </w:rPr>
      </w:pPr>
      <w:r>
        <w:rPr>
          <w:i/>
          <w:szCs w:val="22"/>
          <w:lang w:val="sr-Latn-ME" w:eastAsia="sr-Latn-CS"/>
        </w:rPr>
        <w:t>Pomoćne supstance u filmu tablete za jačine 10 mg + 4 mg + 1,25 mg, 20 mg + 4 mg + 1,25 mg i 20 mg + 8 mg + 2,5 mg, film tablete:</w:t>
      </w:r>
    </w:p>
    <w:p w14:paraId="4413EE83" w14:textId="77777777" w:rsidR="00095D7E" w:rsidRDefault="008740DD">
      <w:pPr>
        <w:numPr>
          <w:ilvl w:val="0"/>
          <w:numId w:val="4"/>
        </w:numPr>
        <w:tabs>
          <w:tab w:val="clear" w:pos="567"/>
          <w:tab w:val="left" w:pos="284"/>
        </w:tabs>
        <w:spacing w:line="240" w:lineRule="auto"/>
        <w:jc w:val="both"/>
        <w:rPr>
          <w:szCs w:val="22"/>
          <w:lang w:val="sr-Latn-ME" w:eastAsia="sr-Latn-CS"/>
        </w:rPr>
      </w:pPr>
      <w:r>
        <w:rPr>
          <w:szCs w:val="22"/>
          <w:lang w:val="sr-Latn-ME" w:eastAsia="sr-Latn-CS"/>
        </w:rPr>
        <w:t>Polivinil alkohol;</w:t>
      </w:r>
    </w:p>
    <w:p w14:paraId="4BB1EB49" w14:textId="77777777" w:rsidR="00095D7E" w:rsidRDefault="008740DD">
      <w:pPr>
        <w:numPr>
          <w:ilvl w:val="0"/>
          <w:numId w:val="4"/>
        </w:numPr>
        <w:tabs>
          <w:tab w:val="clear" w:pos="567"/>
          <w:tab w:val="left" w:pos="284"/>
        </w:tabs>
        <w:spacing w:line="240" w:lineRule="auto"/>
        <w:jc w:val="both"/>
        <w:rPr>
          <w:szCs w:val="22"/>
          <w:lang w:val="sr-Latn-ME" w:eastAsia="sr-Latn-CS"/>
        </w:rPr>
      </w:pPr>
      <w:r>
        <w:rPr>
          <w:szCs w:val="22"/>
          <w:lang w:val="sr-Latn-ME" w:eastAsia="sr-Latn-CS"/>
        </w:rPr>
        <w:t>Makrogol 3350;</w:t>
      </w:r>
    </w:p>
    <w:p w14:paraId="039C253E" w14:textId="77777777" w:rsidR="00095D7E" w:rsidRDefault="008740DD">
      <w:pPr>
        <w:numPr>
          <w:ilvl w:val="0"/>
          <w:numId w:val="4"/>
        </w:numPr>
        <w:tabs>
          <w:tab w:val="clear" w:pos="567"/>
          <w:tab w:val="left" w:pos="284"/>
        </w:tabs>
        <w:spacing w:line="240" w:lineRule="auto"/>
        <w:jc w:val="both"/>
        <w:rPr>
          <w:szCs w:val="22"/>
          <w:lang w:val="sr-Latn-ME" w:eastAsia="sr-Latn-CS"/>
        </w:rPr>
      </w:pPr>
      <w:r>
        <w:rPr>
          <w:szCs w:val="22"/>
          <w:lang w:val="sr-Latn-ME" w:eastAsia="sr-Latn-CS"/>
        </w:rPr>
        <w:t>Titan dioksid (E171);</w:t>
      </w:r>
    </w:p>
    <w:p w14:paraId="184D6736" w14:textId="77777777" w:rsidR="00095D7E" w:rsidRDefault="008740DD">
      <w:pPr>
        <w:numPr>
          <w:ilvl w:val="0"/>
          <w:numId w:val="4"/>
        </w:numPr>
        <w:tabs>
          <w:tab w:val="clear" w:pos="567"/>
          <w:tab w:val="left" w:pos="284"/>
        </w:tabs>
        <w:spacing w:line="240" w:lineRule="auto"/>
        <w:jc w:val="both"/>
        <w:rPr>
          <w:szCs w:val="22"/>
          <w:lang w:val="sr-Latn-ME" w:eastAsia="sr-Latn-CS"/>
        </w:rPr>
      </w:pPr>
      <w:r>
        <w:rPr>
          <w:szCs w:val="22"/>
          <w:lang w:val="sr-Latn-ME" w:eastAsia="sr-Latn-CS"/>
        </w:rPr>
        <w:t>Talk;</w:t>
      </w:r>
    </w:p>
    <w:p w14:paraId="6C7D321F" w14:textId="77777777" w:rsidR="00095D7E" w:rsidRDefault="008740DD">
      <w:pPr>
        <w:numPr>
          <w:ilvl w:val="0"/>
          <w:numId w:val="4"/>
        </w:numPr>
        <w:tabs>
          <w:tab w:val="clear" w:pos="567"/>
          <w:tab w:val="left" w:pos="284"/>
        </w:tabs>
        <w:spacing w:line="240" w:lineRule="auto"/>
        <w:jc w:val="both"/>
        <w:rPr>
          <w:szCs w:val="22"/>
          <w:lang w:val="sr-Latn-ME" w:eastAsia="sr-Latn-CS"/>
        </w:rPr>
      </w:pPr>
      <w:r>
        <w:rPr>
          <w:szCs w:val="22"/>
          <w:lang w:val="sr-Latn-ME" w:eastAsia="sr-Latn-CS"/>
        </w:rPr>
        <w:lastRenderedPageBreak/>
        <w:t>Gvožđe (III) oksid, crveni (E172);</w:t>
      </w:r>
    </w:p>
    <w:p w14:paraId="19F8AF3F" w14:textId="77777777" w:rsidR="00095D7E" w:rsidRDefault="008740DD">
      <w:pPr>
        <w:numPr>
          <w:ilvl w:val="0"/>
          <w:numId w:val="4"/>
        </w:numPr>
        <w:tabs>
          <w:tab w:val="clear" w:pos="567"/>
          <w:tab w:val="left" w:pos="284"/>
        </w:tabs>
        <w:spacing w:line="240" w:lineRule="auto"/>
        <w:jc w:val="both"/>
        <w:rPr>
          <w:szCs w:val="22"/>
          <w:lang w:val="sr-Latn-ME" w:eastAsia="sr-Latn-CS"/>
        </w:rPr>
      </w:pPr>
      <w:r>
        <w:rPr>
          <w:szCs w:val="22"/>
          <w:lang w:val="sr-Latn-ME" w:eastAsia="sr-Latn-CS"/>
        </w:rPr>
        <w:t>Gvožđe (III) oksid, crni (E172);</w:t>
      </w:r>
    </w:p>
    <w:p w14:paraId="7467D196" w14:textId="77777777" w:rsidR="00095D7E" w:rsidRDefault="008740DD">
      <w:pPr>
        <w:numPr>
          <w:ilvl w:val="0"/>
          <w:numId w:val="4"/>
        </w:numPr>
        <w:tabs>
          <w:tab w:val="clear" w:pos="567"/>
          <w:tab w:val="left" w:pos="284"/>
        </w:tabs>
        <w:spacing w:line="240" w:lineRule="auto"/>
        <w:jc w:val="both"/>
        <w:rPr>
          <w:szCs w:val="22"/>
          <w:lang w:val="sr-Latn-ME" w:eastAsia="sr-Latn-CS"/>
        </w:rPr>
      </w:pPr>
      <w:r>
        <w:rPr>
          <w:szCs w:val="22"/>
          <w:lang w:val="sr-Latn-ME" w:eastAsia="sr-Latn-CS"/>
        </w:rPr>
        <w:t>Gvožđe (III) oksid, žuti (E172);</w:t>
      </w:r>
    </w:p>
    <w:p w14:paraId="4DE04F31" w14:textId="77777777" w:rsidR="00095D7E" w:rsidRDefault="00095D7E">
      <w:pPr>
        <w:jc w:val="both"/>
        <w:rPr>
          <w:szCs w:val="22"/>
          <w:lang w:val="sr-Latn-ME" w:eastAsia="sr-Latn-CS"/>
        </w:rPr>
      </w:pPr>
    </w:p>
    <w:p w14:paraId="314AF3A0" w14:textId="77777777" w:rsidR="00095D7E" w:rsidRDefault="008740DD">
      <w:pPr>
        <w:jc w:val="both"/>
        <w:rPr>
          <w:i/>
          <w:szCs w:val="22"/>
          <w:lang w:val="sr-Latn-ME" w:eastAsia="sr-Latn-CS"/>
        </w:rPr>
      </w:pPr>
      <w:r>
        <w:rPr>
          <w:i/>
          <w:szCs w:val="22"/>
          <w:lang w:val="sr-Latn-ME" w:eastAsia="sr-Latn-CS"/>
        </w:rPr>
        <w:t>Pomoćne supstance u filmu tablete za jačinu 10 mg + 8 mg + 2,5 mg, film tablete:</w:t>
      </w:r>
    </w:p>
    <w:p w14:paraId="23711F63" w14:textId="77777777" w:rsidR="00095D7E" w:rsidRDefault="008740DD">
      <w:pPr>
        <w:numPr>
          <w:ilvl w:val="0"/>
          <w:numId w:val="5"/>
        </w:numPr>
        <w:tabs>
          <w:tab w:val="clear" w:pos="567"/>
          <w:tab w:val="left" w:pos="284"/>
        </w:tabs>
        <w:spacing w:line="240" w:lineRule="auto"/>
        <w:jc w:val="both"/>
        <w:rPr>
          <w:szCs w:val="22"/>
          <w:lang w:val="sr-Latn-ME" w:eastAsia="sr-Latn-CS"/>
        </w:rPr>
      </w:pPr>
      <w:r>
        <w:rPr>
          <w:szCs w:val="22"/>
          <w:lang w:val="sr-Latn-ME" w:eastAsia="sr-Latn-CS"/>
        </w:rPr>
        <w:t>Polivinil alkohol;</w:t>
      </w:r>
    </w:p>
    <w:p w14:paraId="45CDDFC6" w14:textId="77777777" w:rsidR="00095D7E" w:rsidRDefault="008740DD">
      <w:pPr>
        <w:numPr>
          <w:ilvl w:val="0"/>
          <w:numId w:val="5"/>
        </w:numPr>
        <w:tabs>
          <w:tab w:val="clear" w:pos="567"/>
          <w:tab w:val="left" w:pos="284"/>
        </w:tabs>
        <w:spacing w:line="240" w:lineRule="auto"/>
        <w:jc w:val="both"/>
        <w:rPr>
          <w:szCs w:val="22"/>
          <w:lang w:val="sr-Latn-ME" w:eastAsia="sr-Latn-CS"/>
        </w:rPr>
      </w:pPr>
      <w:r>
        <w:rPr>
          <w:szCs w:val="22"/>
          <w:lang w:val="sr-Latn-ME" w:eastAsia="sr-Latn-CS"/>
        </w:rPr>
        <w:t>Titan dioksid (E171);</w:t>
      </w:r>
    </w:p>
    <w:p w14:paraId="060E7B5C" w14:textId="77777777" w:rsidR="00095D7E" w:rsidRDefault="008740DD">
      <w:pPr>
        <w:numPr>
          <w:ilvl w:val="0"/>
          <w:numId w:val="5"/>
        </w:numPr>
        <w:tabs>
          <w:tab w:val="clear" w:pos="567"/>
          <w:tab w:val="left" w:pos="284"/>
        </w:tabs>
        <w:spacing w:line="240" w:lineRule="auto"/>
        <w:jc w:val="both"/>
        <w:rPr>
          <w:szCs w:val="22"/>
          <w:lang w:val="sr-Latn-ME" w:eastAsia="sr-Latn-CS"/>
        </w:rPr>
      </w:pPr>
      <w:r>
        <w:rPr>
          <w:szCs w:val="22"/>
          <w:lang w:val="sr-Latn-ME" w:eastAsia="sr-Latn-CS"/>
        </w:rPr>
        <w:t>Makrogol 3350;</w:t>
      </w:r>
    </w:p>
    <w:p w14:paraId="749F3662" w14:textId="77777777" w:rsidR="00095D7E" w:rsidRDefault="008740DD">
      <w:pPr>
        <w:numPr>
          <w:ilvl w:val="0"/>
          <w:numId w:val="5"/>
        </w:numPr>
        <w:tabs>
          <w:tab w:val="clear" w:pos="567"/>
          <w:tab w:val="left" w:pos="284"/>
        </w:tabs>
        <w:spacing w:line="240" w:lineRule="auto"/>
        <w:jc w:val="both"/>
        <w:rPr>
          <w:szCs w:val="22"/>
          <w:lang w:val="sr-Latn-ME" w:eastAsia="sr-Latn-CS"/>
        </w:rPr>
      </w:pPr>
      <w:r>
        <w:rPr>
          <w:szCs w:val="22"/>
          <w:lang w:val="sr-Latn-ME" w:eastAsia="sr-Latn-CS"/>
        </w:rPr>
        <w:t>Talk;</w:t>
      </w:r>
    </w:p>
    <w:p w14:paraId="1AF65620" w14:textId="77777777" w:rsidR="00095D7E" w:rsidRDefault="008740DD">
      <w:pPr>
        <w:numPr>
          <w:ilvl w:val="0"/>
          <w:numId w:val="5"/>
        </w:numPr>
        <w:tabs>
          <w:tab w:val="clear" w:pos="567"/>
          <w:tab w:val="left" w:pos="284"/>
        </w:tabs>
        <w:spacing w:line="240" w:lineRule="auto"/>
        <w:jc w:val="both"/>
        <w:rPr>
          <w:szCs w:val="22"/>
          <w:lang w:val="sr-Latn-ME" w:eastAsia="sr-Latn-CS"/>
        </w:rPr>
      </w:pPr>
      <w:r>
        <w:rPr>
          <w:szCs w:val="22"/>
          <w:lang w:val="sr-Latn-ME" w:eastAsia="sr-Latn-CS"/>
        </w:rPr>
        <w:t>Gvožđe (III) oksid, crveni (E172).</w:t>
      </w:r>
    </w:p>
    <w:p w14:paraId="7752BB4D" w14:textId="77777777" w:rsidR="00095D7E" w:rsidRDefault="00095D7E">
      <w:pPr>
        <w:tabs>
          <w:tab w:val="clear" w:pos="567"/>
          <w:tab w:val="left" w:pos="540"/>
          <w:tab w:val="left" w:pos="569"/>
        </w:tabs>
        <w:rPr>
          <w:bCs/>
          <w:szCs w:val="22"/>
          <w:lang w:val="sr-Latn-ME"/>
        </w:rPr>
      </w:pPr>
    </w:p>
    <w:p w14:paraId="3BE86339" w14:textId="77777777" w:rsidR="00095D7E" w:rsidRDefault="008740DD">
      <w:pPr>
        <w:tabs>
          <w:tab w:val="clear" w:pos="567"/>
          <w:tab w:val="left" w:pos="540"/>
          <w:tab w:val="left" w:pos="569"/>
        </w:tabs>
        <w:rPr>
          <w:b/>
          <w:bCs/>
          <w:szCs w:val="22"/>
          <w:lang w:val="sr-Latn-ME"/>
        </w:rPr>
      </w:pPr>
      <w:r>
        <w:rPr>
          <w:b/>
          <w:bCs/>
          <w:szCs w:val="22"/>
          <w:lang w:val="sr-Latn-ME"/>
        </w:rPr>
        <w:t xml:space="preserve">6.2. </w:t>
      </w:r>
      <w:r>
        <w:rPr>
          <w:b/>
          <w:bCs/>
          <w:szCs w:val="22"/>
          <w:lang w:val="sr-Latn-ME"/>
        </w:rPr>
        <w:tab/>
        <w:t>Inkompatibilnosti</w:t>
      </w:r>
    </w:p>
    <w:p w14:paraId="5D334B0F" w14:textId="77777777" w:rsidR="00095D7E" w:rsidRDefault="00095D7E">
      <w:pPr>
        <w:tabs>
          <w:tab w:val="clear" w:pos="567"/>
          <w:tab w:val="left" w:pos="540"/>
          <w:tab w:val="left" w:pos="569"/>
        </w:tabs>
        <w:rPr>
          <w:bCs/>
          <w:szCs w:val="22"/>
          <w:lang w:val="sr-Latn-ME"/>
        </w:rPr>
      </w:pPr>
    </w:p>
    <w:p w14:paraId="13D377FC" w14:textId="77777777" w:rsidR="00095D7E" w:rsidRDefault="008740DD">
      <w:pPr>
        <w:tabs>
          <w:tab w:val="left" w:pos="284"/>
        </w:tabs>
        <w:rPr>
          <w:szCs w:val="22"/>
          <w:lang w:val="sr-Latn-ME" w:eastAsia="sr-Latn-CS"/>
        </w:rPr>
      </w:pPr>
      <w:r>
        <w:rPr>
          <w:szCs w:val="22"/>
          <w:lang w:val="sr-Latn-ME" w:eastAsia="sr-Latn-CS"/>
        </w:rPr>
        <w:t>Inkompatibilnosti nisu poznate.</w:t>
      </w:r>
    </w:p>
    <w:p w14:paraId="32AEC9DA" w14:textId="77777777" w:rsidR="00095D7E" w:rsidRDefault="00095D7E">
      <w:pPr>
        <w:tabs>
          <w:tab w:val="clear" w:pos="567"/>
          <w:tab w:val="left" w:pos="540"/>
          <w:tab w:val="left" w:pos="569"/>
        </w:tabs>
        <w:rPr>
          <w:bCs/>
          <w:szCs w:val="22"/>
          <w:lang w:val="sr-Latn-ME"/>
        </w:rPr>
      </w:pPr>
    </w:p>
    <w:p w14:paraId="768278B9" w14:textId="77777777" w:rsidR="00095D7E" w:rsidRDefault="008740DD">
      <w:pPr>
        <w:tabs>
          <w:tab w:val="clear" w:pos="567"/>
          <w:tab w:val="left" w:pos="540"/>
          <w:tab w:val="left" w:pos="569"/>
        </w:tabs>
        <w:rPr>
          <w:b/>
          <w:bCs/>
          <w:szCs w:val="22"/>
          <w:lang w:val="sr-Latn-ME"/>
        </w:rPr>
      </w:pPr>
      <w:r>
        <w:rPr>
          <w:b/>
          <w:bCs/>
          <w:szCs w:val="22"/>
          <w:lang w:val="sr-Latn-ME"/>
        </w:rPr>
        <w:t xml:space="preserve">6.3. </w:t>
      </w:r>
      <w:r>
        <w:rPr>
          <w:b/>
          <w:bCs/>
          <w:szCs w:val="22"/>
          <w:lang w:val="sr-Latn-ME"/>
        </w:rPr>
        <w:tab/>
        <w:t>Rok upotrebe</w:t>
      </w:r>
    </w:p>
    <w:p w14:paraId="065E4AD2" w14:textId="77777777" w:rsidR="00095D7E" w:rsidRDefault="00095D7E">
      <w:pPr>
        <w:tabs>
          <w:tab w:val="clear" w:pos="567"/>
          <w:tab w:val="left" w:pos="540"/>
          <w:tab w:val="left" w:pos="569"/>
        </w:tabs>
        <w:rPr>
          <w:bCs/>
          <w:szCs w:val="22"/>
          <w:lang w:val="sr-Latn-ME"/>
        </w:rPr>
      </w:pPr>
    </w:p>
    <w:p w14:paraId="6A690645" w14:textId="77777777" w:rsidR="00095D7E" w:rsidRDefault="008740DD">
      <w:pPr>
        <w:tabs>
          <w:tab w:val="left" w:pos="284"/>
        </w:tabs>
        <w:rPr>
          <w:szCs w:val="22"/>
          <w:lang w:val="sr-Latn-ME" w:eastAsia="sr-Latn-CS"/>
        </w:rPr>
      </w:pPr>
      <w:r>
        <w:rPr>
          <w:szCs w:val="22"/>
          <w:lang w:val="sr-Latn-ME" w:eastAsia="sr-Latn-CS"/>
        </w:rPr>
        <w:t>3 godine</w:t>
      </w:r>
    </w:p>
    <w:p w14:paraId="5A2276CE" w14:textId="77777777" w:rsidR="00095D7E" w:rsidRDefault="00095D7E">
      <w:pPr>
        <w:tabs>
          <w:tab w:val="clear" w:pos="567"/>
          <w:tab w:val="left" w:pos="540"/>
          <w:tab w:val="left" w:pos="569"/>
        </w:tabs>
        <w:rPr>
          <w:bCs/>
          <w:szCs w:val="22"/>
          <w:lang w:val="sr-Latn-ME"/>
        </w:rPr>
      </w:pPr>
    </w:p>
    <w:p w14:paraId="7734B2B2" w14:textId="77777777" w:rsidR="00095D7E" w:rsidRDefault="008740DD">
      <w:pPr>
        <w:tabs>
          <w:tab w:val="clear" w:pos="567"/>
          <w:tab w:val="left" w:pos="540"/>
          <w:tab w:val="left" w:pos="569"/>
        </w:tabs>
        <w:rPr>
          <w:b/>
          <w:bCs/>
          <w:szCs w:val="22"/>
          <w:lang w:val="sr-Latn-ME"/>
        </w:rPr>
      </w:pPr>
      <w:r>
        <w:rPr>
          <w:b/>
          <w:bCs/>
          <w:szCs w:val="22"/>
          <w:lang w:val="sr-Latn-ME"/>
        </w:rPr>
        <w:t xml:space="preserve">6.4. </w:t>
      </w:r>
      <w:r>
        <w:rPr>
          <w:b/>
          <w:bCs/>
          <w:szCs w:val="22"/>
          <w:lang w:val="sr-Latn-ME"/>
        </w:rPr>
        <w:tab/>
        <w:t>Posebne mjere upozorenja pri čuvanju lijeka</w:t>
      </w:r>
    </w:p>
    <w:p w14:paraId="3BB84C27" w14:textId="77777777" w:rsidR="00095D7E" w:rsidRDefault="00095D7E">
      <w:pPr>
        <w:tabs>
          <w:tab w:val="clear" w:pos="567"/>
          <w:tab w:val="left" w:pos="540"/>
          <w:tab w:val="left" w:pos="569"/>
        </w:tabs>
        <w:rPr>
          <w:bCs/>
          <w:szCs w:val="22"/>
          <w:lang w:val="sr-Latn-ME"/>
        </w:rPr>
      </w:pPr>
    </w:p>
    <w:p w14:paraId="284E46D1" w14:textId="77777777" w:rsidR="00095D7E" w:rsidRDefault="008740DD">
      <w:pPr>
        <w:tabs>
          <w:tab w:val="left" w:pos="284"/>
        </w:tabs>
        <w:jc w:val="both"/>
        <w:rPr>
          <w:szCs w:val="22"/>
          <w:lang w:val="sr-Latn-ME" w:eastAsia="sr-Latn-CS"/>
        </w:rPr>
      </w:pPr>
      <w:r>
        <w:rPr>
          <w:szCs w:val="22"/>
          <w:lang w:val="sr-Latn-ME" w:eastAsia="sr-Latn-CS"/>
        </w:rPr>
        <w:t>Lijek čuvajte u originalnom pakovanju zaštićeno od svjetlosti. Ovaj lijek ne zahtijeva posebne temperaturne uslove čuvanja.</w:t>
      </w:r>
    </w:p>
    <w:p w14:paraId="5DFF80D0" w14:textId="77777777" w:rsidR="00095D7E" w:rsidRDefault="00095D7E">
      <w:pPr>
        <w:tabs>
          <w:tab w:val="left" w:pos="284"/>
        </w:tabs>
        <w:jc w:val="both"/>
        <w:rPr>
          <w:szCs w:val="22"/>
          <w:lang w:val="sr-Latn-ME" w:eastAsia="sr-Latn-CS"/>
        </w:rPr>
      </w:pPr>
    </w:p>
    <w:p w14:paraId="2DFD90F1" w14:textId="77777777" w:rsidR="00095D7E" w:rsidRDefault="008740DD">
      <w:pPr>
        <w:tabs>
          <w:tab w:val="clear" w:pos="567"/>
          <w:tab w:val="left" w:pos="540"/>
          <w:tab w:val="left" w:pos="569"/>
        </w:tabs>
        <w:jc w:val="both"/>
        <w:rPr>
          <w:b/>
          <w:bCs/>
          <w:szCs w:val="22"/>
          <w:lang w:val="sr-Latn-ME"/>
        </w:rPr>
      </w:pPr>
      <w:r>
        <w:rPr>
          <w:b/>
          <w:bCs/>
          <w:szCs w:val="22"/>
          <w:lang w:val="sr-Latn-ME"/>
        </w:rPr>
        <w:t xml:space="preserve">6.5. </w:t>
      </w:r>
      <w:r>
        <w:rPr>
          <w:b/>
          <w:bCs/>
          <w:szCs w:val="22"/>
          <w:lang w:val="sr-Latn-ME"/>
        </w:rPr>
        <w:tab/>
        <w:t xml:space="preserve">Vrsta i sadržaj pakovanja </w:t>
      </w:r>
    </w:p>
    <w:p w14:paraId="73AE3E2C" w14:textId="77777777" w:rsidR="00095D7E" w:rsidRDefault="00095D7E">
      <w:pPr>
        <w:tabs>
          <w:tab w:val="clear" w:pos="567"/>
          <w:tab w:val="left" w:pos="540"/>
          <w:tab w:val="left" w:pos="569"/>
        </w:tabs>
        <w:jc w:val="both"/>
        <w:rPr>
          <w:bCs/>
          <w:szCs w:val="22"/>
          <w:lang w:val="sr-Latn-ME"/>
        </w:rPr>
      </w:pPr>
    </w:p>
    <w:p w14:paraId="7E9408E7" w14:textId="77777777" w:rsidR="00095D7E" w:rsidRDefault="008740DD">
      <w:pPr>
        <w:tabs>
          <w:tab w:val="left" w:pos="284"/>
        </w:tabs>
        <w:jc w:val="both"/>
        <w:rPr>
          <w:szCs w:val="22"/>
          <w:lang w:val="sr-Latn-ME" w:eastAsia="sr-Latn-CS"/>
        </w:rPr>
      </w:pPr>
      <w:r>
        <w:rPr>
          <w:szCs w:val="22"/>
          <w:lang w:val="sr-Latn-ME" w:eastAsia="sr-Latn-CS"/>
        </w:rPr>
        <w:t>Unutrašnje pakovanje lijeka je blister (OPA/Al/PVC//Al) sa 10 film tableta.</w:t>
      </w:r>
    </w:p>
    <w:p w14:paraId="10268DEB" w14:textId="77777777" w:rsidR="00095D7E" w:rsidRDefault="008740DD">
      <w:pPr>
        <w:tabs>
          <w:tab w:val="left" w:pos="284"/>
        </w:tabs>
        <w:jc w:val="both"/>
        <w:rPr>
          <w:szCs w:val="22"/>
          <w:lang w:val="sr-Latn-ME" w:eastAsia="sr-Latn-CS"/>
        </w:rPr>
      </w:pPr>
      <w:r>
        <w:rPr>
          <w:szCs w:val="22"/>
          <w:lang w:val="sr-Latn-ME" w:eastAsia="sr-Latn-CS"/>
        </w:rPr>
        <w:t>Spoljašnje pakovanje lijeka je složiva kartonska kutija sa 3 blistera od po 10 film tableta (ukupno 30 film tableta)  i Uputstvom za lijek.</w:t>
      </w:r>
    </w:p>
    <w:p w14:paraId="321F178F" w14:textId="77777777" w:rsidR="00095D7E" w:rsidRDefault="00095D7E">
      <w:pPr>
        <w:tabs>
          <w:tab w:val="clear" w:pos="567"/>
          <w:tab w:val="left" w:pos="540"/>
          <w:tab w:val="left" w:pos="569"/>
        </w:tabs>
        <w:jc w:val="both"/>
        <w:rPr>
          <w:bCs/>
          <w:szCs w:val="22"/>
          <w:lang w:val="sr-Latn-ME"/>
        </w:rPr>
      </w:pPr>
    </w:p>
    <w:p w14:paraId="6DD7A2B6" w14:textId="77777777" w:rsidR="00095D7E" w:rsidRDefault="008740DD">
      <w:pPr>
        <w:tabs>
          <w:tab w:val="clear" w:pos="567"/>
          <w:tab w:val="left" w:pos="540"/>
          <w:tab w:val="left" w:pos="569"/>
        </w:tabs>
        <w:jc w:val="both"/>
        <w:rPr>
          <w:b/>
          <w:bCs/>
          <w:szCs w:val="22"/>
          <w:lang w:val="sr-Latn-ME"/>
        </w:rPr>
      </w:pPr>
      <w:r>
        <w:rPr>
          <w:b/>
          <w:bCs/>
          <w:szCs w:val="22"/>
          <w:lang w:val="sr-Latn-ME"/>
        </w:rPr>
        <w:t xml:space="preserve">6.6. </w:t>
      </w:r>
      <w:r>
        <w:rPr>
          <w:b/>
          <w:bCs/>
          <w:szCs w:val="22"/>
          <w:lang w:val="sr-Latn-ME"/>
        </w:rPr>
        <w:tab/>
      </w:r>
      <w:r>
        <w:rPr>
          <w:b/>
          <w:bCs/>
          <w:color w:val="000000"/>
          <w:szCs w:val="22"/>
          <w:lang w:val="sr-Latn-ME"/>
        </w:rPr>
        <w:t>Posebne mjere opreza pri odlaganju materijala koji treba odbaciti nakon primjene lijeka</w:t>
      </w:r>
      <w:r>
        <w:rPr>
          <w:b/>
          <w:bCs/>
          <w:szCs w:val="22"/>
          <w:lang w:val="sr-Latn-ME"/>
        </w:rPr>
        <w:t xml:space="preserve"> (i druga uputsva za rukovanje lijekom) </w:t>
      </w:r>
    </w:p>
    <w:p w14:paraId="048A1130" w14:textId="77777777" w:rsidR="00095D7E" w:rsidRDefault="00095D7E">
      <w:pPr>
        <w:widowControl w:val="0"/>
        <w:jc w:val="both"/>
        <w:rPr>
          <w:noProof/>
          <w:szCs w:val="22"/>
          <w:lang w:val="sr-Latn-ME"/>
        </w:rPr>
      </w:pPr>
    </w:p>
    <w:p w14:paraId="3FC215A9" w14:textId="77777777" w:rsidR="00095D7E" w:rsidRDefault="008740DD">
      <w:pPr>
        <w:jc w:val="both"/>
        <w:rPr>
          <w:szCs w:val="22"/>
          <w:lang w:val="sr-Latn-ME" w:eastAsia="hr-HR"/>
        </w:rPr>
      </w:pPr>
      <w:r>
        <w:rPr>
          <w:szCs w:val="22"/>
          <w:lang w:val="sr-Latn-ME" w:eastAsia="hr-HR"/>
        </w:rPr>
        <w:t>Neupotrijebljeni lijek se uništava u skladu sa važećim propisima.</w:t>
      </w:r>
    </w:p>
    <w:p w14:paraId="13C5C937" w14:textId="77777777" w:rsidR="00095D7E" w:rsidRDefault="00095D7E">
      <w:pPr>
        <w:rPr>
          <w:b/>
          <w:bCs/>
          <w:szCs w:val="22"/>
          <w:lang w:val="sr-Latn-ME" w:eastAsia="hr-HR"/>
        </w:rPr>
      </w:pPr>
    </w:p>
    <w:p w14:paraId="25C50E23" w14:textId="77777777" w:rsidR="00095D7E" w:rsidRDefault="00095D7E">
      <w:pPr>
        <w:tabs>
          <w:tab w:val="clear" w:pos="567"/>
          <w:tab w:val="left" w:pos="540"/>
          <w:tab w:val="left" w:pos="569"/>
        </w:tabs>
        <w:rPr>
          <w:bCs/>
          <w:szCs w:val="22"/>
          <w:lang w:val="sr-Latn-ME"/>
        </w:rPr>
      </w:pPr>
    </w:p>
    <w:p w14:paraId="13BC0F50" w14:textId="77777777" w:rsidR="00095D7E" w:rsidRDefault="008740DD">
      <w:pPr>
        <w:tabs>
          <w:tab w:val="clear" w:pos="567"/>
          <w:tab w:val="left" w:pos="540"/>
          <w:tab w:val="left" w:pos="569"/>
        </w:tabs>
        <w:rPr>
          <w:b/>
          <w:bCs/>
          <w:szCs w:val="22"/>
          <w:lang w:val="sr-Latn-ME"/>
        </w:rPr>
      </w:pPr>
      <w:r>
        <w:rPr>
          <w:b/>
          <w:bCs/>
          <w:szCs w:val="22"/>
          <w:lang w:val="sr-Latn-ME"/>
        </w:rPr>
        <w:t xml:space="preserve">7. </w:t>
      </w:r>
      <w:r>
        <w:rPr>
          <w:b/>
          <w:bCs/>
          <w:szCs w:val="22"/>
          <w:lang w:val="sr-Latn-ME"/>
        </w:rPr>
        <w:tab/>
        <w:t xml:space="preserve">NOSILAC DOZVOLE </w:t>
      </w:r>
    </w:p>
    <w:p w14:paraId="30A42530" w14:textId="77777777" w:rsidR="00095D7E" w:rsidRDefault="00095D7E">
      <w:pPr>
        <w:tabs>
          <w:tab w:val="clear" w:pos="567"/>
          <w:tab w:val="left" w:pos="540"/>
          <w:tab w:val="left" w:pos="569"/>
        </w:tabs>
        <w:rPr>
          <w:bCs/>
          <w:szCs w:val="22"/>
          <w:lang w:val="sr-Latn-ME"/>
        </w:rPr>
      </w:pPr>
    </w:p>
    <w:p w14:paraId="243373F6" w14:textId="77777777" w:rsidR="00095D7E" w:rsidRDefault="008740DD">
      <w:pPr>
        <w:autoSpaceDE w:val="0"/>
        <w:autoSpaceDN w:val="0"/>
        <w:adjustRightInd w:val="0"/>
        <w:jc w:val="both"/>
        <w:rPr>
          <w:szCs w:val="22"/>
          <w:lang w:val="sr-Latn-ME" w:eastAsia="sr-Latn-ME"/>
        </w:rPr>
      </w:pPr>
      <w:r>
        <w:rPr>
          <w:szCs w:val="22"/>
          <w:lang w:val="sr-Latn-ME" w:eastAsia="sr-Latn-ME"/>
        </w:rPr>
        <w:t>D.S.D. "KRKA, d.d., Novo mesto" - predstavništvo Podgorica</w:t>
      </w:r>
    </w:p>
    <w:p w14:paraId="64F46FD1" w14:textId="77777777" w:rsidR="00095D7E" w:rsidRDefault="008740DD">
      <w:pPr>
        <w:tabs>
          <w:tab w:val="clear" w:pos="567"/>
          <w:tab w:val="left" w:pos="540"/>
          <w:tab w:val="left" w:pos="569"/>
        </w:tabs>
        <w:rPr>
          <w:szCs w:val="22"/>
          <w:lang w:val="sr-Latn-ME" w:eastAsia="sr-Latn-ME"/>
        </w:rPr>
      </w:pPr>
      <w:r>
        <w:rPr>
          <w:szCs w:val="22"/>
          <w:lang w:val="sr-Latn-ME" w:eastAsia="sr-Latn-ME"/>
        </w:rPr>
        <w:t>Svetlane Kane Radević br. 3, 81000 Podgorica, Crna Gora</w:t>
      </w:r>
    </w:p>
    <w:p w14:paraId="1072A1C2" w14:textId="77777777" w:rsidR="00095D7E" w:rsidRDefault="00095D7E">
      <w:pPr>
        <w:tabs>
          <w:tab w:val="clear" w:pos="567"/>
          <w:tab w:val="left" w:pos="540"/>
          <w:tab w:val="left" w:pos="569"/>
        </w:tabs>
        <w:rPr>
          <w:bCs/>
          <w:szCs w:val="22"/>
          <w:lang w:val="sr-Latn-ME"/>
        </w:rPr>
      </w:pPr>
    </w:p>
    <w:p w14:paraId="18B45A7C" w14:textId="77777777" w:rsidR="00095D7E" w:rsidRDefault="00095D7E">
      <w:pPr>
        <w:tabs>
          <w:tab w:val="clear" w:pos="567"/>
          <w:tab w:val="left" w:pos="540"/>
          <w:tab w:val="left" w:pos="569"/>
        </w:tabs>
        <w:rPr>
          <w:b/>
          <w:bCs/>
          <w:szCs w:val="22"/>
          <w:lang w:val="sr-Latn-ME"/>
        </w:rPr>
      </w:pPr>
    </w:p>
    <w:p w14:paraId="59FFF3B4" w14:textId="77777777" w:rsidR="00095D7E" w:rsidRDefault="008740DD">
      <w:pPr>
        <w:tabs>
          <w:tab w:val="clear" w:pos="567"/>
          <w:tab w:val="left" w:pos="540"/>
          <w:tab w:val="left" w:pos="569"/>
        </w:tabs>
        <w:rPr>
          <w:b/>
          <w:bCs/>
          <w:szCs w:val="22"/>
          <w:lang w:val="sr-Latn-ME"/>
        </w:rPr>
      </w:pPr>
      <w:r>
        <w:rPr>
          <w:b/>
          <w:bCs/>
          <w:szCs w:val="22"/>
          <w:lang w:val="sr-Latn-ME"/>
        </w:rPr>
        <w:t xml:space="preserve">8. </w:t>
      </w:r>
      <w:r>
        <w:rPr>
          <w:b/>
          <w:bCs/>
          <w:szCs w:val="22"/>
          <w:lang w:val="sr-Latn-ME"/>
        </w:rPr>
        <w:tab/>
        <w:t>BROJ DOZVOLE ZA STAVLJANJE LIJEKA U PROMET</w:t>
      </w:r>
    </w:p>
    <w:p w14:paraId="4B35241F" w14:textId="77777777" w:rsidR="00095D7E" w:rsidRDefault="00095D7E">
      <w:pPr>
        <w:tabs>
          <w:tab w:val="clear" w:pos="567"/>
          <w:tab w:val="left" w:pos="540"/>
          <w:tab w:val="left" w:pos="569"/>
        </w:tabs>
        <w:rPr>
          <w:bCs/>
          <w:szCs w:val="22"/>
          <w:lang w:val="sr-Latn-ME"/>
        </w:rPr>
      </w:pPr>
    </w:p>
    <w:p w14:paraId="50B78A09" w14:textId="77777777" w:rsidR="00095D7E" w:rsidRDefault="008740DD">
      <w:pPr>
        <w:tabs>
          <w:tab w:val="clear" w:pos="567"/>
          <w:tab w:val="left" w:pos="540"/>
          <w:tab w:val="left" w:pos="569"/>
        </w:tabs>
        <w:rPr>
          <w:bCs/>
          <w:szCs w:val="22"/>
          <w:lang w:val="sr-Latn-ME"/>
        </w:rPr>
      </w:pPr>
      <w:r>
        <w:rPr>
          <w:bCs/>
          <w:szCs w:val="22"/>
          <w:lang w:val="sr-Latn-ME"/>
        </w:rPr>
        <w:t>Roxiper, film tableta, 10 mg + 4 mg + 1,25 mg, blister, 30 (3x10) film tableta:</w:t>
      </w:r>
      <w:r>
        <w:rPr>
          <w:szCs w:val="22"/>
          <w:lang w:eastAsia="sr-Latn-ME"/>
        </w:rPr>
        <w:t xml:space="preserve"> </w:t>
      </w:r>
      <w:r>
        <w:rPr>
          <w:bCs/>
          <w:szCs w:val="22"/>
        </w:rPr>
        <w:t>2030/21/270 - 4083</w:t>
      </w:r>
    </w:p>
    <w:p w14:paraId="2C374DC4" w14:textId="77777777" w:rsidR="00095D7E" w:rsidRDefault="008740DD">
      <w:pPr>
        <w:tabs>
          <w:tab w:val="clear" w:pos="567"/>
          <w:tab w:val="left" w:pos="540"/>
          <w:tab w:val="left" w:pos="569"/>
        </w:tabs>
        <w:rPr>
          <w:bCs/>
          <w:szCs w:val="22"/>
          <w:lang w:val="sr-Latn-ME"/>
        </w:rPr>
      </w:pPr>
      <w:r>
        <w:rPr>
          <w:bCs/>
          <w:szCs w:val="22"/>
          <w:lang w:val="sr-Latn-ME"/>
        </w:rPr>
        <w:t>Roxiper, film tableta, 20 mg + 4 mg + 1,25 mg, blister, 30 (3x10) film tableta:</w:t>
      </w:r>
      <w:r>
        <w:rPr>
          <w:szCs w:val="22"/>
          <w:lang w:eastAsia="sr-Latn-ME"/>
        </w:rPr>
        <w:t xml:space="preserve"> </w:t>
      </w:r>
      <w:r>
        <w:rPr>
          <w:bCs/>
          <w:szCs w:val="22"/>
        </w:rPr>
        <w:t>2030/21/271 - 4082</w:t>
      </w:r>
    </w:p>
    <w:p w14:paraId="60AF3184" w14:textId="77777777" w:rsidR="00095D7E" w:rsidRDefault="008740DD">
      <w:pPr>
        <w:tabs>
          <w:tab w:val="clear" w:pos="567"/>
          <w:tab w:val="left" w:pos="540"/>
          <w:tab w:val="left" w:pos="569"/>
        </w:tabs>
        <w:rPr>
          <w:bCs/>
          <w:szCs w:val="22"/>
          <w:lang w:val="sr-Latn-ME"/>
        </w:rPr>
      </w:pPr>
      <w:r>
        <w:rPr>
          <w:bCs/>
          <w:szCs w:val="22"/>
          <w:lang w:val="sr-Latn-ME"/>
        </w:rPr>
        <w:t>Roxiper, film tableta, 10 mg + 8 mg + 2,5 mg, blister, 30 (3x10) film tableta:</w:t>
      </w:r>
      <w:r>
        <w:rPr>
          <w:szCs w:val="22"/>
        </w:rPr>
        <w:t xml:space="preserve"> </w:t>
      </w:r>
      <w:r>
        <w:rPr>
          <w:bCs/>
          <w:szCs w:val="22"/>
          <w:lang w:val="sr-Latn-ME"/>
        </w:rPr>
        <w:t>2030/21/272 - 4085</w:t>
      </w:r>
    </w:p>
    <w:p w14:paraId="3C0B8293" w14:textId="77777777" w:rsidR="00095D7E" w:rsidRDefault="008740DD">
      <w:pPr>
        <w:tabs>
          <w:tab w:val="clear" w:pos="567"/>
          <w:tab w:val="left" w:pos="540"/>
          <w:tab w:val="left" w:pos="569"/>
        </w:tabs>
        <w:rPr>
          <w:bCs/>
          <w:szCs w:val="22"/>
          <w:lang w:val="sr-Latn-ME"/>
        </w:rPr>
      </w:pPr>
      <w:r>
        <w:rPr>
          <w:bCs/>
          <w:szCs w:val="22"/>
          <w:lang w:val="sr-Latn-ME"/>
        </w:rPr>
        <w:t>Roxiper, film tableta, 20 mg + 8 mg + 2,5 mg, blister, 30 (3x10) film tableta:</w:t>
      </w:r>
      <w:r>
        <w:rPr>
          <w:szCs w:val="22"/>
        </w:rPr>
        <w:t xml:space="preserve"> </w:t>
      </w:r>
      <w:r>
        <w:rPr>
          <w:bCs/>
          <w:szCs w:val="22"/>
          <w:lang w:val="sr-Latn-ME"/>
        </w:rPr>
        <w:t>2030/21/273 - 4084</w:t>
      </w:r>
    </w:p>
    <w:p w14:paraId="209D1147" w14:textId="77777777" w:rsidR="00095D7E" w:rsidRDefault="00095D7E">
      <w:pPr>
        <w:tabs>
          <w:tab w:val="clear" w:pos="567"/>
          <w:tab w:val="left" w:pos="540"/>
          <w:tab w:val="left" w:pos="569"/>
        </w:tabs>
        <w:rPr>
          <w:bCs/>
          <w:szCs w:val="22"/>
          <w:lang w:val="sr-Latn-ME"/>
        </w:rPr>
      </w:pPr>
    </w:p>
    <w:p w14:paraId="44AC9C65" w14:textId="77777777" w:rsidR="00095D7E" w:rsidRDefault="00095D7E">
      <w:pPr>
        <w:tabs>
          <w:tab w:val="clear" w:pos="567"/>
          <w:tab w:val="left" w:pos="540"/>
          <w:tab w:val="left" w:pos="569"/>
        </w:tabs>
        <w:rPr>
          <w:bCs/>
          <w:szCs w:val="22"/>
          <w:lang w:val="sr-Latn-ME"/>
        </w:rPr>
      </w:pPr>
    </w:p>
    <w:p w14:paraId="2CF8B319" w14:textId="77777777" w:rsidR="00095D7E" w:rsidRDefault="008740DD">
      <w:pPr>
        <w:tabs>
          <w:tab w:val="clear" w:pos="567"/>
          <w:tab w:val="left" w:pos="540"/>
          <w:tab w:val="left" w:pos="569"/>
        </w:tabs>
        <w:rPr>
          <w:b/>
          <w:bCs/>
          <w:szCs w:val="22"/>
          <w:lang w:val="sr-Latn-ME"/>
        </w:rPr>
      </w:pPr>
      <w:r>
        <w:rPr>
          <w:b/>
          <w:bCs/>
          <w:szCs w:val="22"/>
          <w:lang w:val="sr-Latn-ME"/>
        </w:rPr>
        <w:t xml:space="preserve">9. </w:t>
      </w:r>
      <w:r>
        <w:rPr>
          <w:b/>
          <w:bCs/>
          <w:szCs w:val="22"/>
          <w:lang w:val="sr-Latn-ME"/>
        </w:rPr>
        <w:tab/>
        <w:t>DATUM PRVE DOZVOLE/OBNOVE DOZVOLE ZA STAVLJANJE LIJEKA U PROMET</w:t>
      </w:r>
    </w:p>
    <w:p w14:paraId="5BFB88D7" w14:textId="77777777" w:rsidR="00095D7E" w:rsidRDefault="00095D7E">
      <w:pPr>
        <w:tabs>
          <w:tab w:val="clear" w:pos="567"/>
          <w:tab w:val="left" w:pos="540"/>
          <w:tab w:val="left" w:pos="569"/>
        </w:tabs>
        <w:rPr>
          <w:bCs/>
          <w:szCs w:val="22"/>
          <w:lang w:val="sr-Latn-ME"/>
        </w:rPr>
      </w:pPr>
    </w:p>
    <w:p w14:paraId="5BBD9A3D" w14:textId="77777777" w:rsidR="00095D7E" w:rsidRDefault="008740DD">
      <w:pPr>
        <w:tabs>
          <w:tab w:val="clear" w:pos="567"/>
          <w:tab w:val="left" w:pos="540"/>
          <w:tab w:val="left" w:pos="569"/>
        </w:tabs>
        <w:rPr>
          <w:bCs/>
          <w:szCs w:val="22"/>
          <w:lang w:val="sr-Latn-ME"/>
        </w:rPr>
      </w:pPr>
      <w:r>
        <w:rPr>
          <w:bCs/>
          <w:szCs w:val="22"/>
          <w:lang w:val="sr-Latn-ME"/>
        </w:rPr>
        <w:t>Roxiper, film tableta, 10 mg + 4 mg + 1,25 mg, blister, 30 (3x10) film tableta:</w:t>
      </w:r>
      <w:r>
        <w:rPr>
          <w:szCs w:val="22"/>
        </w:rPr>
        <w:t xml:space="preserve"> </w:t>
      </w:r>
      <w:r>
        <w:rPr>
          <w:bCs/>
          <w:szCs w:val="22"/>
          <w:lang w:val="sr-Latn-ME"/>
        </w:rPr>
        <w:t>02.03.2021. godine</w:t>
      </w:r>
    </w:p>
    <w:p w14:paraId="13D2F2D9" w14:textId="77777777" w:rsidR="00095D7E" w:rsidRDefault="008740DD">
      <w:pPr>
        <w:tabs>
          <w:tab w:val="clear" w:pos="567"/>
          <w:tab w:val="left" w:pos="540"/>
          <w:tab w:val="left" w:pos="569"/>
        </w:tabs>
        <w:rPr>
          <w:bCs/>
          <w:szCs w:val="22"/>
          <w:lang w:val="sr-Latn-ME"/>
        </w:rPr>
      </w:pPr>
      <w:r>
        <w:rPr>
          <w:bCs/>
          <w:szCs w:val="22"/>
          <w:lang w:val="sr-Latn-ME"/>
        </w:rPr>
        <w:t>Roxiper, film tableta, 20 mg + 4 mg + 1,25 mg, blister, 30 (3x10) film tableta:</w:t>
      </w:r>
      <w:r>
        <w:rPr>
          <w:szCs w:val="22"/>
        </w:rPr>
        <w:t xml:space="preserve"> </w:t>
      </w:r>
      <w:r>
        <w:rPr>
          <w:bCs/>
          <w:szCs w:val="22"/>
          <w:lang w:val="sr-Latn-ME"/>
        </w:rPr>
        <w:t>02.03.2021. godine</w:t>
      </w:r>
    </w:p>
    <w:p w14:paraId="1EBB3CC3" w14:textId="77777777" w:rsidR="00095D7E" w:rsidRDefault="008740DD">
      <w:pPr>
        <w:tabs>
          <w:tab w:val="clear" w:pos="567"/>
          <w:tab w:val="left" w:pos="540"/>
          <w:tab w:val="left" w:pos="569"/>
        </w:tabs>
        <w:rPr>
          <w:bCs/>
          <w:szCs w:val="22"/>
          <w:lang w:val="sr-Latn-ME"/>
        </w:rPr>
      </w:pPr>
      <w:r>
        <w:rPr>
          <w:bCs/>
          <w:szCs w:val="22"/>
          <w:lang w:val="sr-Latn-ME"/>
        </w:rPr>
        <w:t>Roxiper, film tableta, 10 mg + 8 mg + 2,5 mg, blister, 30 (3x10) film tableta:</w:t>
      </w:r>
      <w:r>
        <w:rPr>
          <w:szCs w:val="22"/>
        </w:rPr>
        <w:t xml:space="preserve"> </w:t>
      </w:r>
      <w:r>
        <w:rPr>
          <w:bCs/>
          <w:szCs w:val="22"/>
          <w:lang w:val="sr-Latn-ME"/>
        </w:rPr>
        <w:t>02.03.2021. godine</w:t>
      </w:r>
    </w:p>
    <w:p w14:paraId="1016B4B9" w14:textId="77777777" w:rsidR="00095D7E" w:rsidRDefault="008740DD">
      <w:pPr>
        <w:tabs>
          <w:tab w:val="clear" w:pos="567"/>
          <w:tab w:val="left" w:pos="540"/>
          <w:tab w:val="left" w:pos="569"/>
        </w:tabs>
        <w:rPr>
          <w:bCs/>
          <w:szCs w:val="22"/>
          <w:lang w:val="sr-Latn-ME"/>
        </w:rPr>
      </w:pPr>
      <w:r>
        <w:rPr>
          <w:bCs/>
          <w:szCs w:val="22"/>
          <w:lang w:val="sr-Latn-ME"/>
        </w:rPr>
        <w:lastRenderedPageBreak/>
        <w:t>Roxiper, film tableta, 20 mg + 8 mg + 2,5 mg, blister, 30 (3x10) film tableta:</w:t>
      </w:r>
      <w:r>
        <w:rPr>
          <w:szCs w:val="22"/>
        </w:rPr>
        <w:t xml:space="preserve"> </w:t>
      </w:r>
      <w:r>
        <w:rPr>
          <w:bCs/>
          <w:szCs w:val="22"/>
          <w:lang w:val="sr-Latn-ME"/>
        </w:rPr>
        <w:t>02.03.2021. godine</w:t>
      </w:r>
    </w:p>
    <w:p w14:paraId="521FD34E" w14:textId="77777777" w:rsidR="00095D7E" w:rsidRDefault="00095D7E">
      <w:pPr>
        <w:tabs>
          <w:tab w:val="clear" w:pos="567"/>
          <w:tab w:val="left" w:pos="540"/>
          <w:tab w:val="left" w:pos="569"/>
        </w:tabs>
        <w:rPr>
          <w:bCs/>
          <w:szCs w:val="22"/>
          <w:lang w:val="sr-Latn-ME"/>
        </w:rPr>
      </w:pPr>
    </w:p>
    <w:p w14:paraId="29FA36B9" w14:textId="77777777" w:rsidR="00095D7E" w:rsidRDefault="00095D7E">
      <w:pPr>
        <w:tabs>
          <w:tab w:val="clear" w:pos="567"/>
          <w:tab w:val="left" w:pos="540"/>
          <w:tab w:val="left" w:pos="569"/>
        </w:tabs>
        <w:rPr>
          <w:bCs/>
          <w:szCs w:val="22"/>
          <w:lang w:val="sr-Latn-ME"/>
        </w:rPr>
      </w:pPr>
    </w:p>
    <w:p w14:paraId="7F121372" w14:textId="77777777" w:rsidR="00095D7E" w:rsidRDefault="008740DD">
      <w:pPr>
        <w:tabs>
          <w:tab w:val="clear" w:pos="567"/>
          <w:tab w:val="left" w:pos="540"/>
          <w:tab w:val="left" w:pos="569"/>
        </w:tabs>
        <w:ind w:left="540" w:hanging="540"/>
        <w:rPr>
          <w:bCs/>
          <w:szCs w:val="22"/>
          <w:lang w:val="sr-Latn-ME"/>
        </w:rPr>
      </w:pPr>
      <w:r>
        <w:rPr>
          <w:b/>
          <w:bCs/>
          <w:szCs w:val="22"/>
          <w:lang w:val="sr-Latn-ME"/>
        </w:rPr>
        <w:t xml:space="preserve">10. </w:t>
      </w:r>
      <w:r>
        <w:rPr>
          <w:b/>
          <w:bCs/>
          <w:szCs w:val="22"/>
          <w:lang w:val="sr-Latn-ME"/>
        </w:rPr>
        <w:tab/>
        <w:t xml:space="preserve">DATUM REVIZIJE TEKSTA </w:t>
      </w:r>
    </w:p>
    <w:p w14:paraId="7380FE1D" w14:textId="77777777" w:rsidR="00095D7E" w:rsidRDefault="00095D7E">
      <w:pPr>
        <w:tabs>
          <w:tab w:val="clear" w:pos="567"/>
          <w:tab w:val="left" w:pos="540"/>
          <w:tab w:val="left" w:pos="569"/>
        </w:tabs>
        <w:rPr>
          <w:bCs/>
          <w:szCs w:val="22"/>
          <w:lang w:val="sr-Latn-ME"/>
        </w:rPr>
      </w:pPr>
    </w:p>
    <w:p w14:paraId="36A1888F" w14:textId="5966B83C" w:rsidR="00095D7E" w:rsidRDefault="00F105BE">
      <w:pPr>
        <w:rPr>
          <w:szCs w:val="22"/>
          <w:lang w:val="sr-Latn-ME"/>
        </w:rPr>
      </w:pPr>
      <w:r>
        <w:rPr>
          <w:szCs w:val="22"/>
          <w:lang w:val="sr-Latn-ME"/>
        </w:rPr>
        <w:t>Novembar, 2024. godine</w:t>
      </w:r>
      <w:bookmarkStart w:id="1" w:name="_GoBack"/>
      <w:bookmarkEnd w:id="1"/>
    </w:p>
    <w:p w14:paraId="6E00B0AF" w14:textId="77777777" w:rsidR="00095D7E" w:rsidRDefault="00095D7E">
      <w:pPr>
        <w:rPr>
          <w:szCs w:val="22"/>
        </w:rPr>
      </w:pPr>
    </w:p>
    <w:sectPr w:rsidR="00095D7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04CFB" w14:textId="77777777" w:rsidR="00D05007" w:rsidRDefault="00D05007">
      <w:pPr>
        <w:spacing w:line="240" w:lineRule="auto"/>
      </w:pPr>
      <w:r>
        <w:separator/>
      </w:r>
    </w:p>
  </w:endnote>
  <w:endnote w:type="continuationSeparator" w:id="0">
    <w:p w14:paraId="5D8DEC81" w14:textId="77777777" w:rsidR="00D05007" w:rsidRDefault="00D050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C25CA" w14:textId="77777777" w:rsidR="00DC1672" w:rsidRDefault="00DC16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D7669" w14:textId="4F7B3985" w:rsidR="00DC1672" w:rsidRDefault="00DC167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105BE">
      <w:rPr>
        <w:rStyle w:val="PageNumber"/>
        <w:rFonts w:cs="Arial"/>
      </w:rPr>
      <w:t>36</w:t>
    </w:r>
    <w:r>
      <w:rPr>
        <w:rStyle w:val="PageNumber"/>
        <w:rFonts w:cs="Arial"/>
      </w:rPr>
      <w:fldChar w:fldCharType="end"/>
    </w:r>
    <w:r>
      <w:rPr>
        <w:rStyle w:val="PageNumber"/>
        <w:rFonts w:cs="Arial"/>
      </w:rPr>
      <w:t>/36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3450D" w14:textId="77777777" w:rsidR="00DC1672" w:rsidRDefault="00DC1672">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E2155" w14:textId="77777777" w:rsidR="00D05007" w:rsidRDefault="00D05007">
      <w:pPr>
        <w:spacing w:line="240" w:lineRule="auto"/>
      </w:pPr>
      <w:r>
        <w:separator/>
      </w:r>
    </w:p>
  </w:footnote>
  <w:footnote w:type="continuationSeparator" w:id="0">
    <w:p w14:paraId="747B5660" w14:textId="77777777" w:rsidR="00D05007" w:rsidRDefault="00D050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1AB3" w14:textId="77777777" w:rsidR="00DC1672" w:rsidRDefault="00DC16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B1F7F" w14:textId="77777777" w:rsidR="00DC1672" w:rsidRDefault="00DC167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FC2D0" w14:textId="77777777" w:rsidR="00DC1672" w:rsidRDefault="00DC16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522432"/>
    <w:multiLevelType w:val="hybridMultilevel"/>
    <w:tmpl w:val="A7748990"/>
    <w:lvl w:ilvl="0" w:tplc="FFFFFFFF">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401215"/>
    <w:multiLevelType w:val="hybridMultilevel"/>
    <w:tmpl w:val="C2F85D72"/>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32F56"/>
    <w:multiLevelType w:val="hybridMultilevel"/>
    <w:tmpl w:val="C9B0EAC2"/>
    <w:lvl w:ilvl="0" w:tplc="FFFFFFFF">
      <w:start w:val="4"/>
      <w:numFmt w:val="bullet"/>
      <w:lvlText w:val="-"/>
      <w:lvlJc w:val="left"/>
      <w:pPr>
        <w:tabs>
          <w:tab w:val="num" w:pos="1080"/>
        </w:tabs>
        <w:ind w:left="1080" w:hanging="72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CF33482"/>
    <w:multiLevelType w:val="hybridMultilevel"/>
    <w:tmpl w:val="2514CF12"/>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56817"/>
    <w:multiLevelType w:val="hybridMultilevel"/>
    <w:tmpl w:val="0ABC34C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C00E5D"/>
    <w:multiLevelType w:val="hybridMultilevel"/>
    <w:tmpl w:val="2D46389E"/>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D02178"/>
    <w:multiLevelType w:val="hybridMultilevel"/>
    <w:tmpl w:val="12CC6CEA"/>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CD32BE"/>
    <w:multiLevelType w:val="hybridMultilevel"/>
    <w:tmpl w:val="321CBBD4"/>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A0780"/>
    <w:multiLevelType w:val="hybridMultilevel"/>
    <w:tmpl w:val="415CC216"/>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A74970"/>
    <w:multiLevelType w:val="hybridMultilevel"/>
    <w:tmpl w:val="79CE56B0"/>
    <w:lvl w:ilvl="0" w:tplc="FFFFFFFF">
      <w:start w:val="1"/>
      <w:numFmt w:val="bullet"/>
      <w:lvlText w:val="-"/>
      <w:lvlJc w:val="left"/>
      <w:pPr>
        <w:tabs>
          <w:tab w:val="num" w:pos="567"/>
        </w:tabs>
        <w:ind w:left="567" w:hanging="567"/>
      </w:pPr>
      <w:rPr>
        <w:rFonts w:hint="default"/>
      </w:rPr>
    </w:lvl>
    <w:lvl w:ilvl="1" w:tplc="FFFFFFFF">
      <w:start w:val="1"/>
      <w:numFmt w:val="bullet"/>
      <w:lvlText w:val="-"/>
      <w:lvlJc w:val="left"/>
      <w:pPr>
        <w:tabs>
          <w:tab w:val="num" w:pos="1647"/>
        </w:tabs>
        <w:ind w:left="1647" w:hanging="567"/>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E22C03"/>
    <w:multiLevelType w:val="hybridMultilevel"/>
    <w:tmpl w:val="8F646D22"/>
    <w:lvl w:ilvl="0" w:tplc="7BA02E2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525C5487"/>
    <w:multiLevelType w:val="hybridMultilevel"/>
    <w:tmpl w:val="E7C8A44A"/>
    <w:lvl w:ilvl="0" w:tplc="D4509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B04F86"/>
    <w:multiLevelType w:val="hybridMultilevel"/>
    <w:tmpl w:val="218200AE"/>
    <w:lvl w:ilvl="0" w:tplc="FFFFFFFF">
      <w:start w:val="1"/>
      <w:numFmt w:val="bullet"/>
      <w:lvlText w:val="-"/>
      <w:lvlJc w:val="left"/>
      <w:pPr>
        <w:tabs>
          <w:tab w:val="num" w:pos="567"/>
        </w:tabs>
        <w:ind w:left="567" w:hanging="567"/>
      </w:pPr>
      <w:rPr>
        <w:rFonts w:hint="default"/>
      </w:rPr>
    </w:lvl>
    <w:lvl w:ilvl="1" w:tplc="FFFFFFFF">
      <w:start w:val="1"/>
      <w:numFmt w:val="bullet"/>
      <w:lvlText w:val="-"/>
      <w:lvlJc w:val="left"/>
      <w:pPr>
        <w:tabs>
          <w:tab w:val="num" w:pos="1647"/>
        </w:tabs>
        <w:ind w:left="1647" w:hanging="567"/>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9A76DC"/>
    <w:multiLevelType w:val="hybridMultilevel"/>
    <w:tmpl w:val="1116BF42"/>
    <w:lvl w:ilvl="0" w:tplc="FFFFFFFF">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D07051A"/>
    <w:multiLevelType w:val="hybridMultilevel"/>
    <w:tmpl w:val="D70ECEB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12"/>
  </w:num>
  <w:num w:numId="6">
    <w:abstractNumId w:val="6"/>
  </w:num>
  <w:num w:numId="7">
    <w:abstractNumId w:val="9"/>
  </w:num>
  <w:num w:numId="8">
    <w:abstractNumId w:val="7"/>
  </w:num>
  <w:num w:numId="9">
    <w:abstractNumId w:val="14"/>
  </w:num>
  <w:num w:numId="10">
    <w:abstractNumId w:val="15"/>
  </w:num>
  <w:num w:numId="11">
    <w:abstractNumId w:val="3"/>
  </w:num>
  <w:num w:numId="12">
    <w:abstractNumId w:val="5"/>
  </w:num>
  <w:num w:numId="13">
    <w:abstractNumId w:val="13"/>
  </w:num>
  <w:num w:numId="14">
    <w:abstractNumId w:val="10"/>
  </w:num>
  <w:num w:numId="15">
    <w:abstractNumId w:val="8"/>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095D7E"/>
    <w:rsid w:val="000162D0"/>
    <w:rsid w:val="00085424"/>
    <w:rsid w:val="00095D7E"/>
    <w:rsid w:val="000E2BD8"/>
    <w:rsid w:val="00172805"/>
    <w:rsid w:val="001D0D59"/>
    <w:rsid w:val="002D626F"/>
    <w:rsid w:val="004222FE"/>
    <w:rsid w:val="00534E0C"/>
    <w:rsid w:val="0062334D"/>
    <w:rsid w:val="006676E5"/>
    <w:rsid w:val="00673D20"/>
    <w:rsid w:val="0068465E"/>
    <w:rsid w:val="006A64EA"/>
    <w:rsid w:val="0073154E"/>
    <w:rsid w:val="00771AC0"/>
    <w:rsid w:val="007E1DE8"/>
    <w:rsid w:val="007E682F"/>
    <w:rsid w:val="008307D5"/>
    <w:rsid w:val="008740DD"/>
    <w:rsid w:val="00886A9C"/>
    <w:rsid w:val="009A331C"/>
    <w:rsid w:val="00AE6074"/>
    <w:rsid w:val="00B25B68"/>
    <w:rsid w:val="00B76CFC"/>
    <w:rsid w:val="00C556D3"/>
    <w:rsid w:val="00D05007"/>
    <w:rsid w:val="00DC1672"/>
    <w:rsid w:val="00E10969"/>
    <w:rsid w:val="00E42576"/>
    <w:rsid w:val="00E81A97"/>
    <w:rsid w:val="00F105BE"/>
    <w:rsid w:val="00F8619C"/>
    <w:rsid w:val="00F9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F44FA"/>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pPr>
      <w:keepNext/>
      <w:keepLines/>
      <w:tabs>
        <w:tab w:val="clear" w:pos="567"/>
      </w:tabs>
      <w:spacing w:before="240" w:line="240" w:lineRule="auto"/>
      <w:outlineLvl w:val="0"/>
    </w:pPr>
    <w:rPr>
      <w:rFonts w:ascii="Calibri Light" w:hAnsi="Calibri Light"/>
      <w:color w:val="2E74B5"/>
      <w:sz w:val="32"/>
      <w:szCs w:val="32"/>
      <w:lang w:val="en-US"/>
    </w:rPr>
  </w:style>
  <w:style w:type="paragraph" w:styleId="Heading2">
    <w:name w:val="heading 2"/>
    <w:basedOn w:val="Normal"/>
    <w:next w:val="Normal"/>
    <w:link w:val="Heading2Char"/>
    <w:qFormat/>
    <w:pPr>
      <w:keepNext/>
      <w:tabs>
        <w:tab w:val="clear" w:pos="567"/>
        <w:tab w:val="left" w:pos="284"/>
      </w:tabs>
      <w:spacing w:line="240" w:lineRule="auto"/>
      <w:jc w:val="center"/>
      <w:outlineLvl w:val="1"/>
    </w:pPr>
    <w:rPr>
      <w:rFonts w:ascii="Arial" w:hAnsi="Arial" w:cs="Arial"/>
      <w:i/>
      <w:iCs/>
      <w:color w:val="999999"/>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eastAsia="Times New Roman"/>
      <w:sz w:val="22"/>
      <w:lang w:eastAsia="en-US"/>
    </w:rPr>
  </w:style>
  <w:style w:type="character" w:customStyle="1" w:styleId="Heading1Char">
    <w:name w:val="Heading 1 Char"/>
    <w:link w:val="Heading1"/>
    <w:rPr>
      <w:rFonts w:ascii="Calibri Light" w:eastAsia="Times New Roman" w:hAnsi="Calibri Light"/>
      <w:color w:val="2E74B5"/>
      <w:sz w:val="32"/>
      <w:szCs w:val="32"/>
      <w:lang w:val="en-US" w:eastAsia="en-US"/>
    </w:rPr>
  </w:style>
  <w:style w:type="character" w:customStyle="1" w:styleId="Heading2Char">
    <w:name w:val="Heading 2 Char"/>
    <w:link w:val="Heading2"/>
    <w:rPr>
      <w:rFonts w:ascii="Arial" w:eastAsia="Times New Roman" w:hAnsi="Arial" w:cs="Arial"/>
      <w:i/>
      <w:iCs/>
      <w:color w:val="999999"/>
      <w:sz w:val="18"/>
      <w:szCs w:val="24"/>
      <w:lang w:val="en-US" w:eastAsia="en-US"/>
    </w:rPr>
  </w:style>
  <w:style w:type="character" w:customStyle="1" w:styleId="HeaderChar">
    <w:name w:val="Header Char"/>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numbering" w:styleId="111111">
    <w:name w:val="Outline List 2"/>
    <w:basedOn w:val="NoList"/>
    <w:pPr>
      <w:numPr>
        <w:numId w:val="1"/>
      </w:numPr>
    </w:pPr>
  </w:style>
  <w:style w:type="character" w:customStyle="1" w:styleId="BalloonTextChar">
    <w:name w:val="Balloon Text Char"/>
    <w:link w:val="BalloonText"/>
    <w:semiHidden/>
    <w:rPr>
      <w:rFonts w:ascii="Tahoma" w:eastAsia="Times New Roman" w:hAnsi="Tahoma" w:cs="Tahoma"/>
      <w:sz w:val="16"/>
      <w:szCs w:val="16"/>
      <w:lang w:eastAsia="en-US"/>
    </w:rPr>
  </w:style>
  <w:style w:type="paragraph" w:styleId="NoSpacing">
    <w:name w:val="No Spacing"/>
    <w:uiPriority w:val="1"/>
    <w:qFormat/>
    <w:rPr>
      <w:rFonts w:eastAsia="Times New Roman"/>
      <w:sz w:val="24"/>
      <w:szCs w:val="24"/>
      <w:lang w:val="en-US" w:eastAsia="en-US"/>
    </w:rPr>
  </w:style>
  <w:style w:type="paragraph" w:customStyle="1" w:styleId="Default">
    <w:name w:val="Default"/>
    <w:pPr>
      <w:autoSpaceDE w:val="0"/>
      <w:autoSpaceDN w:val="0"/>
      <w:adjustRightInd w:val="0"/>
    </w:pPr>
    <w:rPr>
      <w:rFonts w:eastAsia="Times New Roman"/>
      <w:snapToGrid w:val="0"/>
      <w:color w:val="000000"/>
      <w:sz w:val="24"/>
      <w:szCs w:val="24"/>
      <w:lang w:val="sr-Latn-CS" w:eastAsia="sr-Latn-CS"/>
    </w:rPr>
  </w:style>
  <w:style w:type="paragraph" w:styleId="BodyText3">
    <w:name w:val="Body Text 3"/>
    <w:basedOn w:val="Normal"/>
    <w:link w:val="BodyText3Char"/>
    <w:pPr>
      <w:tabs>
        <w:tab w:val="clear" w:pos="567"/>
      </w:tabs>
      <w:spacing w:after="120" w:line="240" w:lineRule="auto"/>
    </w:pPr>
    <w:rPr>
      <w:sz w:val="16"/>
      <w:szCs w:val="16"/>
      <w:lang w:val="en-US"/>
    </w:rPr>
  </w:style>
  <w:style w:type="character" w:customStyle="1" w:styleId="BodyText3Char">
    <w:name w:val="Body Text 3 Char"/>
    <w:link w:val="BodyText3"/>
    <w:rPr>
      <w:rFonts w:eastAsia="Times New Roman"/>
      <w:sz w:val="16"/>
      <w:szCs w:val="16"/>
      <w:lang w:val="en-US" w:eastAsia="en-US"/>
    </w:rPr>
  </w:style>
  <w:style w:type="paragraph" w:customStyle="1" w:styleId="a">
    <w:name w:val="("/>
    <w:pPr>
      <w:tabs>
        <w:tab w:val="center" w:pos="4819"/>
        <w:tab w:val="right" w:pos="9071"/>
      </w:tabs>
    </w:pPr>
    <w:rPr>
      <w:rFonts w:eastAsia="Times New Roman"/>
      <w:lang w:val="sr-Latn-CS" w:eastAsia="sr-Latn-CS"/>
    </w:rPr>
  </w:style>
  <w:style w:type="paragraph" w:customStyle="1" w:styleId="A-TableText">
    <w:name w:val="A-Table Text"/>
    <w:uiPriority w:val="99"/>
    <w:pPr>
      <w:spacing w:before="60" w:after="60"/>
    </w:pPr>
    <w:rPr>
      <w:rFonts w:eastAsia="Times New Roman"/>
      <w:sz w:val="22"/>
      <w:szCs w:val="22"/>
      <w:lang w:val="sr-Latn-CS" w:eastAsia="sr-Latn-CS"/>
    </w:rPr>
  </w:style>
  <w:style w:type="paragraph" w:customStyle="1" w:styleId="A-TableTitle">
    <w:name w:val="A-Table Title"/>
    <w:next w:val="Normal"/>
    <w:uiPriority w:val="99"/>
    <w:pPr>
      <w:keepNext/>
      <w:tabs>
        <w:tab w:val="left" w:pos="1800"/>
      </w:tabs>
      <w:spacing w:after="120" w:line="280" w:lineRule="atLeast"/>
      <w:ind w:left="1800" w:hanging="1800"/>
    </w:pPr>
    <w:rPr>
      <w:rFonts w:eastAsia="Times New Roman"/>
      <w:b/>
      <w:bCs/>
      <w:sz w:val="24"/>
      <w:szCs w:val="24"/>
      <w:lang w:val="sr-Latn-CS" w:eastAsia="sr-Latn-CS"/>
    </w:rPr>
  </w:style>
  <w:style w:type="paragraph" w:customStyle="1" w:styleId="A-TableHeader">
    <w:name w:val="A-Table Header"/>
    <w:next w:val="A-TableText"/>
    <w:uiPriority w:val="99"/>
    <w:pPr>
      <w:keepNext/>
      <w:spacing w:before="60" w:after="60"/>
    </w:pPr>
    <w:rPr>
      <w:rFonts w:eastAsia="Times New Roman"/>
      <w:b/>
      <w:bCs/>
      <w:sz w:val="22"/>
      <w:szCs w:val="22"/>
      <w:lang w:val="sr-Latn-CS" w:eastAsia="sr-Latn-CS"/>
    </w:rPr>
  </w:style>
  <w:style w:type="paragraph" w:styleId="NormalWeb">
    <w:name w:val="Normal (Web)"/>
    <w:basedOn w:val="Normal"/>
    <w:uiPriority w:val="99"/>
    <w:pPr>
      <w:tabs>
        <w:tab w:val="clear" w:pos="567"/>
      </w:tabs>
      <w:spacing w:before="100" w:beforeAutospacing="1" w:after="58" w:line="240" w:lineRule="auto"/>
    </w:pPr>
    <w:rPr>
      <w:snapToGrid w:val="0"/>
      <w:color w:val="000000"/>
      <w:sz w:val="24"/>
      <w:szCs w:val="24"/>
      <w:lang w:val="sr-Latn-CS" w:eastAsia="sr-Latn-CS"/>
    </w:rPr>
  </w:style>
  <w:style w:type="paragraph" w:styleId="HTMLPreformatted">
    <w:name w:val="HTML Preformatted"/>
    <w:basedOn w:val="Normal"/>
    <w:link w:val="HTMLPreformattedChar"/>
    <w:uiPriority w:val="99"/>
    <w:unhideWhenUse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sr-Latn-RS" w:eastAsia="sr-Latn-RS"/>
    </w:rPr>
  </w:style>
  <w:style w:type="character" w:customStyle="1" w:styleId="HTMLPreformattedChar">
    <w:name w:val="HTML Preformatted Char"/>
    <w:link w:val="HTMLPreformatted"/>
    <w:uiPriority w:val="99"/>
    <w:rPr>
      <w:rFonts w:ascii="Courier New" w:eastAsia="Times New Roman" w:hAnsi="Courier New" w:cs="Courier New"/>
      <w:lang w:val="sr-Latn-RS" w:eastAsia="sr-Latn-RS"/>
    </w:rPr>
  </w:style>
  <w:style w:type="paragraph" w:styleId="ListParagraph">
    <w:name w:val="List Paragraph"/>
    <w:basedOn w:val="Normal"/>
    <w:uiPriority w:val="34"/>
    <w:qFormat/>
    <w:pPr>
      <w:tabs>
        <w:tab w:val="clear" w:pos="567"/>
      </w:tabs>
      <w:spacing w:line="240" w:lineRule="auto"/>
      <w:ind w:left="720"/>
      <w:contextualSpacing/>
    </w:pPr>
    <w:rPr>
      <w:sz w:val="24"/>
      <w:szCs w:val="24"/>
      <w:lang w:val="en-US"/>
    </w:rPr>
  </w:style>
  <w:style w:type="character" w:styleId="FollowedHyperlink">
    <w:name w:val="FollowedHyperlink"/>
    <w:uiPriority w:val="99"/>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11265">
      <w:bodyDiv w:val="1"/>
      <w:marLeft w:val="0"/>
      <w:marRight w:val="0"/>
      <w:marTop w:val="0"/>
      <w:marBottom w:val="0"/>
      <w:divBdr>
        <w:top w:val="none" w:sz="0" w:space="0" w:color="auto"/>
        <w:left w:val="none" w:sz="0" w:space="0" w:color="auto"/>
        <w:bottom w:val="none" w:sz="0" w:space="0" w:color="auto"/>
        <w:right w:val="none" w:sz="0" w:space="0" w:color="auto"/>
      </w:divBdr>
    </w:div>
    <w:div w:id="693194498">
      <w:bodyDiv w:val="1"/>
      <w:marLeft w:val="0"/>
      <w:marRight w:val="0"/>
      <w:marTop w:val="0"/>
      <w:marBottom w:val="0"/>
      <w:divBdr>
        <w:top w:val="none" w:sz="0" w:space="0" w:color="auto"/>
        <w:left w:val="none" w:sz="0" w:space="0" w:color="auto"/>
        <w:bottom w:val="none" w:sz="0" w:space="0" w:color="auto"/>
        <w:right w:val="none" w:sz="0" w:space="0" w:color="auto"/>
      </w:divBdr>
    </w:div>
    <w:div w:id="1128203479">
      <w:bodyDiv w:val="1"/>
      <w:marLeft w:val="0"/>
      <w:marRight w:val="0"/>
      <w:marTop w:val="0"/>
      <w:marBottom w:val="0"/>
      <w:divBdr>
        <w:top w:val="none" w:sz="0" w:space="0" w:color="auto"/>
        <w:left w:val="none" w:sz="0" w:space="0" w:color="auto"/>
        <w:bottom w:val="none" w:sz="0" w:space="0" w:color="auto"/>
        <w:right w:val="none" w:sz="0" w:space="0" w:color="auto"/>
      </w:divBdr>
    </w:div>
    <w:div w:id="213104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16006</Words>
  <Characters>91235</Characters>
  <Application>Microsoft Office Word</Application>
  <DocSecurity>0</DocSecurity>
  <Lines>760</Lines>
  <Paragraphs>214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Aleksandra Ljumović</cp:lastModifiedBy>
  <cp:revision>2</cp:revision>
  <dcterms:created xsi:type="dcterms:W3CDTF">2024-11-26T11:27:00Z</dcterms:created>
  <dcterms:modified xsi:type="dcterms:W3CDTF">2024-11-26T11:27:00Z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