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A63" w:rsidRDefault="001B0A63" w:rsidP="00166FF2">
      <w:pPr>
        <w:widowControl w:val="0"/>
        <w:spacing w:line="240" w:lineRule="auto"/>
        <w:ind w:left="567"/>
        <w:jc w:val="center"/>
        <w:rPr>
          <w:b/>
          <w:szCs w:val="22"/>
          <w:lang w:val="sr-Latn-RS"/>
        </w:rPr>
      </w:pPr>
      <w:r>
        <w:rPr>
          <w:b/>
          <w:bCs/>
          <w:iCs/>
          <w:szCs w:val="22"/>
          <w:u w:val="single"/>
          <w:lang w:val="sr-Latn-RS"/>
        </w:rPr>
        <w:t>SAŽETAK KARAKTERISTIKA LIJEKA</w:t>
      </w:r>
    </w:p>
    <w:p w:rsidR="001B0A63" w:rsidRDefault="001B0A63" w:rsidP="00166FF2">
      <w:pPr>
        <w:widowControl w:val="0"/>
        <w:spacing w:line="240" w:lineRule="auto"/>
        <w:ind w:left="567"/>
        <w:jc w:val="both"/>
        <w:rPr>
          <w:b/>
          <w:szCs w:val="22"/>
          <w:lang w:val="sr-Latn-RS"/>
        </w:rPr>
      </w:pPr>
    </w:p>
    <w:p w:rsidR="001B0A63" w:rsidRDefault="001B0A63" w:rsidP="00166FF2">
      <w:pPr>
        <w:widowControl w:val="0"/>
        <w:spacing w:line="240" w:lineRule="auto"/>
        <w:ind w:left="567"/>
        <w:jc w:val="both"/>
        <w:rPr>
          <w:b/>
          <w:szCs w:val="22"/>
          <w:lang w:val="sr-Latn-RS"/>
        </w:rPr>
      </w:pPr>
    </w:p>
    <w:p w:rsidR="00582F55" w:rsidRDefault="001B0A63" w:rsidP="00166FF2">
      <w:pPr>
        <w:widowControl w:val="0"/>
        <w:numPr>
          <w:ilvl w:val="0"/>
          <w:numId w:val="27"/>
        </w:numPr>
        <w:spacing w:line="240" w:lineRule="auto"/>
        <w:ind w:left="567"/>
        <w:jc w:val="both"/>
        <w:rPr>
          <w:b/>
          <w:szCs w:val="22"/>
          <w:lang w:val="sr-Latn-RS"/>
        </w:rPr>
      </w:pPr>
      <w:r>
        <w:rPr>
          <w:b/>
          <w:szCs w:val="22"/>
          <w:lang w:val="sr-Latn-RS"/>
        </w:rPr>
        <w:t>NAZIV LIJEKA</w:t>
      </w:r>
    </w:p>
    <w:p w:rsidR="00582F55" w:rsidRDefault="00582F55" w:rsidP="00166FF2">
      <w:pPr>
        <w:widowControl w:val="0"/>
        <w:spacing w:line="240" w:lineRule="auto"/>
        <w:ind w:left="930"/>
        <w:jc w:val="both"/>
        <w:rPr>
          <w:b/>
          <w:szCs w:val="22"/>
          <w:lang w:val="sr-Latn-RS"/>
        </w:rPr>
      </w:pPr>
    </w:p>
    <w:p w:rsidR="00582F55" w:rsidRDefault="001B0A63" w:rsidP="00166FF2">
      <w:pPr>
        <w:widowControl w:val="0"/>
        <w:spacing w:line="240" w:lineRule="auto"/>
        <w:outlineLvl w:val="0"/>
        <w:rPr>
          <w:szCs w:val="22"/>
          <w:lang w:val="sr-Latn-RS" w:eastAsia="hr-HR"/>
        </w:rPr>
      </w:pPr>
      <w:r>
        <w:rPr>
          <w:szCs w:val="22"/>
          <w:lang w:val="sr-Latn-RS" w:eastAsia="hr-HR"/>
        </w:rPr>
        <w:t>Roswera, 5 mg, film tableta</w:t>
      </w:r>
    </w:p>
    <w:p w:rsidR="00582F55" w:rsidRDefault="001B0A63" w:rsidP="00166FF2">
      <w:pPr>
        <w:widowControl w:val="0"/>
        <w:spacing w:line="240" w:lineRule="auto"/>
        <w:outlineLvl w:val="0"/>
        <w:rPr>
          <w:szCs w:val="22"/>
          <w:lang w:val="sr-Latn-RS" w:eastAsia="hr-HR"/>
        </w:rPr>
      </w:pPr>
      <w:r>
        <w:rPr>
          <w:szCs w:val="22"/>
          <w:lang w:val="sr-Latn-RS" w:eastAsia="hr-HR"/>
        </w:rPr>
        <w:t xml:space="preserve">Roswera, 10 mg, film tableta </w:t>
      </w:r>
    </w:p>
    <w:p w:rsidR="00582F55" w:rsidRDefault="001B0A63" w:rsidP="00166FF2">
      <w:pPr>
        <w:widowControl w:val="0"/>
        <w:spacing w:line="240" w:lineRule="auto"/>
        <w:outlineLvl w:val="0"/>
        <w:rPr>
          <w:szCs w:val="22"/>
          <w:lang w:val="sr-Latn-RS" w:eastAsia="hr-HR"/>
        </w:rPr>
      </w:pPr>
      <w:r>
        <w:rPr>
          <w:szCs w:val="22"/>
          <w:lang w:val="sr-Latn-RS" w:eastAsia="hr-HR"/>
        </w:rPr>
        <w:t>Roswera, 20 mg, film tableta</w:t>
      </w:r>
    </w:p>
    <w:p w:rsidR="00582F55" w:rsidRDefault="001B0A63" w:rsidP="00166FF2">
      <w:pPr>
        <w:widowControl w:val="0"/>
        <w:spacing w:line="240" w:lineRule="auto"/>
        <w:outlineLvl w:val="0"/>
        <w:rPr>
          <w:szCs w:val="22"/>
          <w:lang w:val="sr-Latn-RS" w:eastAsia="hr-HR"/>
        </w:rPr>
      </w:pPr>
      <w:r>
        <w:rPr>
          <w:szCs w:val="22"/>
          <w:lang w:val="sr-Latn-RS" w:eastAsia="hr-HR"/>
        </w:rPr>
        <w:t>Roswera, 40 mg, film tableta</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lang w:val="sr-Latn-RS"/>
        </w:rPr>
      </w:pPr>
      <w:r>
        <w:rPr>
          <w:szCs w:val="22"/>
          <w:lang w:val="sr-Latn-RS"/>
        </w:rPr>
        <w:t xml:space="preserve">INN: </w:t>
      </w:r>
      <w:r>
        <w:rPr>
          <w:szCs w:val="22"/>
          <w:lang w:val="sr-Latn-RS" w:eastAsia="hr-HR"/>
        </w:rPr>
        <w:t>rosuvastatin</w:t>
      </w:r>
    </w:p>
    <w:p w:rsidR="00582F55" w:rsidRDefault="00582F55" w:rsidP="00166FF2">
      <w:pPr>
        <w:widowControl w:val="0"/>
        <w:spacing w:line="240" w:lineRule="auto"/>
        <w:jc w:val="both"/>
        <w:rPr>
          <w:szCs w:val="22"/>
          <w:lang w:val="sr-Latn-RS"/>
        </w:rPr>
      </w:pP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lang w:val="sr-Latn-RS"/>
        </w:rPr>
      </w:pPr>
      <w:r>
        <w:rPr>
          <w:b/>
          <w:szCs w:val="22"/>
          <w:lang w:val="sr-Latn-RS"/>
        </w:rPr>
        <w:t>2.</w:t>
      </w:r>
      <w:r>
        <w:rPr>
          <w:b/>
          <w:szCs w:val="22"/>
          <w:lang w:val="sr-Latn-RS"/>
        </w:rPr>
        <w:tab/>
        <w:t>KVALITATIVNI I KVANTITATIVNI SASTAV</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Svaka film tableta sadrži 5 mg rosuvastatina u obliku rosuvastatin kalcijuma.</w:t>
      </w:r>
    </w:p>
    <w:p w:rsidR="00582F55" w:rsidRDefault="001B0A63" w:rsidP="00166FF2">
      <w:pPr>
        <w:widowControl w:val="0"/>
        <w:spacing w:line="240" w:lineRule="auto"/>
        <w:jc w:val="both"/>
        <w:rPr>
          <w:szCs w:val="22"/>
          <w:lang w:val="sr-Latn-RS" w:eastAsia="hr-HR"/>
        </w:rPr>
      </w:pPr>
      <w:r>
        <w:rPr>
          <w:szCs w:val="22"/>
          <w:lang w:val="sr-Latn-RS" w:eastAsia="hr-HR"/>
        </w:rPr>
        <w:t>Svaka film tableta sadrži 10 mg rosuvastatina u obliku rosuvastatin kalcijuma.</w:t>
      </w:r>
    </w:p>
    <w:p w:rsidR="00582F55" w:rsidRDefault="001B0A63" w:rsidP="00166FF2">
      <w:pPr>
        <w:widowControl w:val="0"/>
        <w:spacing w:line="240" w:lineRule="auto"/>
        <w:jc w:val="both"/>
        <w:rPr>
          <w:szCs w:val="22"/>
          <w:lang w:val="sr-Latn-RS" w:eastAsia="hr-HR"/>
        </w:rPr>
      </w:pPr>
      <w:r>
        <w:rPr>
          <w:szCs w:val="22"/>
          <w:lang w:val="sr-Latn-RS" w:eastAsia="hr-HR"/>
        </w:rPr>
        <w:t>Svaka film tableta sadrži 20 mg rosuvastatina u obliku rosuvastatin kalcijuma.</w:t>
      </w:r>
    </w:p>
    <w:p w:rsidR="00582F55" w:rsidRDefault="001B0A63" w:rsidP="00166FF2">
      <w:pPr>
        <w:widowControl w:val="0"/>
        <w:spacing w:line="240" w:lineRule="auto"/>
        <w:jc w:val="both"/>
        <w:rPr>
          <w:szCs w:val="22"/>
          <w:lang w:val="sr-Latn-RS" w:eastAsia="hr-HR"/>
        </w:rPr>
      </w:pPr>
      <w:r>
        <w:rPr>
          <w:szCs w:val="22"/>
          <w:lang w:val="sr-Latn-RS" w:eastAsia="hr-HR"/>
        </w:rPr>
        <w:t>Svaka film tableta sadrži 40 mg rosuvastatina u obliku rosuvastatin kalcijuma.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Pomoćne supstance:</w:t>
      </w:r>
    </w:p>
    <w:p w:rsidR="00582F55" w:rsidRDefault="001B0A63" w:rsidP="00166FF2">
      <w:pPr>
        <w:widowControl w:val="0"/>
        <w:spacing w:line="240" w:lineRule="auto"/>
        <w:jc w:val="both"/>
        <w:rPr>
          <w:szCs w:val="22"/>
          <w:lang w:val="sr-Latn-RS" w:eastAsia="hr-HR"/>
        </w:rPr>
      </w:pPr>
      <w:r>
        <w:rPr>
          <w:szCs w:val="22"/>
          <w:lang w:val="sr-Latn-RS" w:eastAsia="hr-HR"/>
        </w:rPr>
        <w:t>Svaka 5 mg film tableta sadrži 40 mg laktoze.</w:t>
      </w:r>
    </w:p>
    <w:p w:rsidR="00582F55" w:rsidRDefault="001B0A63" w:rsidP="00166FF2">
      <w:pPr>
        <w:widowControl w:val="0"/>
        <w:spacing w:line="240" w:lineRule="auto"/>
        <w:jc w:val="both"/>
        <w:rPr>
          <w:szCs w:val="22"/>
          <w:lang w:val="sr-Latn-RS" w:eastAsia="hr-HR"/>
        </w:rPr>
      </w:pPr>
      <w:r>
        <w:rPr>
          <w:szCs w:val="22"/>
          <w:lang w:val="sr-Latn-RS" w:eastAsia="hr-HR"/>
        </w:rPr>
        <w:t>Svaka 10 mg film tableta sadrži 40 mg laktoze.</w:t>
      </w:r>
    </w:p>
    <w:p w:rsidR="00582F55" w:rsidRDefault="001B0A63" w:rsidP="00166FF2">
      <w:pPr>
        <w:widowControl w:val="0"/>
        <w:spacing w:line="240" w:lineRule="auto"/>
        <w:jc w:val="both"/>
        <w:rPr>
          <w:szCs w:val="22"/>
          <w:lang w:val="sr-Latn-RS" w:eastAsia="hr-HR"/>
        </w:rPr>
      </w:pPr>
      <w:r>
        <w:rPr>
          <w:szCs w:val="22"/>
          <w:lang w:val="sr-Latn-RS" w:eastAsia="hr-HR"/>
        </w:rPr>
        <w:t>Svaka 20 mg film tableta sadrži 80 mg laktoze.</w:t>
      </w:r>
    </w:p>
    <w:p w:rsidR="00582F55" w:rsidRDefault="001B0A63" w:rsidP="00166FF2">
      <w:pPr>
        <w:widowControl w:val="0"/>
        <w:spacing w:line="240" w:lineRule="auto"/>
        <w:jc w:val="both"/>
        <w:rPr>
          <w:szCs w:val="22"/>
          <w:lang w:val="sr-Latn-RS" w:eastAsia="hr-HR"/>
        </w:rPr>
      </w:pPr>
      <w:r>
        <w:rPr>
          <w:szCs w:val="22"/>
          <w:lang w:val="sr-Latn-RS" w:eastAsia="hr-HR"/>
        </w:rPr>
        <w:t>Svaka 40 mg film tableta sadrži 160 mg laktoze.</w:t>
      </w:r>
    </w:p>
    <w:p w:rsidR="00582F55" w:rsidRDefault="00582F55" w:rsidP="00166FF2">
      <w:pPr>
        <w:widowControl w:val="0"/>
        <w:spacing w:line="240" w:lineRule="auto"/>
        <w:jc w:val="both"/>
        <w:rPr>
          <w:szCs w:val="22"/>
          <w:lang w:val="sr-Latn-RS"/>
        </w:rPr>
      </w:pPr>
    </w:p>
    <w:p w:rsidR="00582F55" w:rsidRDefault="001B0A63" w:rsidP="00166FF2">
      <w:pPr>
        <w:widowControl w:val="0"/>
        <w:autoSpaceDE w:val="0"/>
        <w:autoSpaceDN w:val="0"/>
        <w:adjustRightInd w:val="0"/>
        <w:spacing w:line="240" w:lineRule="auto"/>
        <w:jc w:val="both"/>
        <w:rPr>
          <w:szCs w:val="22"/>
          <w:lang w:val="sr-Latn-RS"/>
        </w:rPr>
      </w:pPr>
      <w:r>
        <w:rPr>
          <w:szCs w:val="22"/>
          <w:lang w:val="sr-Latn-RS"/>
        </w:rPr>
        <w:t>Za spisak svih ekscipijenasa, pogledati dio 6.1.</w:t>
      </w:r>
    </w:p>
    <w:p w:rsidR="00582F55" w:rsidRDefault="00582F55" w:rsidP="00166FF2">
      <w:pPr>
        <w:widowControl w:val="0"/>
        <w:spacing w:line="240" w:lineRule="auto"/>
        <w:jc w:val="both"/>
        <w:rPr>
          <w:szCs w:val="22"/>
          <w:lang w:val="sr-Latn-RS"/>
        </w:rPr>
      </w:pP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b/>
          <w:caps/>
          <w:szCs w:val="22"/>
          <w:lang w:val="sr-Latn-RS"/>
        </w:rPr>
      </w:pPr>
      <w:r>
        <w:rPr>
          <w:b/>
          <w:szCs w:val="22"/>
          <w:lang w:val="sr-Latn-RS"/>
        </w:rPr>
        <w:t>3.</w:t>
      </w:r>
      <w:r>
        <w:rPr>
          <w:b/>
          <w:szCs w:val="22"/>
          <w:lang w:val="sr-Latn-RS"/>
        </w:rPr>
        <w:tab/>
        <w:t>FARMACEUTSKI OBLIK</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Film tableta.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5 mg film tableta</w:t>
      </w:r>
    </w:p>
    <w:p w:rsidR="00582F55" w:rsidRDefault="001B0A63" w:rsidP="00166FF2">
      <w:pPr>
        <w:widowControl w:val="0"/>
        <w:spacing w:line="240" w:lineRule="auto"/>
        <w:jc w:val="both"/>
        <w:rPr>
          <w:szCs w:val="22"/>
          <w:lang w:val="sr-Latn-RS" w:eastAsia="hr-HR"/>
        </w:rPr>
      </w:pPr>
      <w:r>
        <w:rPr>
          <w:szCs w:val="22"/>
          <w:lang w:val="sr-Latn-RS" w:eastAsia="hr-HR"/>
        </w:rPr>
        <w:t>Bijele, okrugle (prečnika 7 mm), blago bikonveksne, film tablete sa zaobljenim ivicama i oznakom 5 na jednoj strani.</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10 mg film tableta</w:t>
      </w:r>
    </w:p>
    <w:p w:rsidR="00582F55" w:rsidRDefault="001B0A63" w:rsidP="00166FF2">
      <w:pPr>
        <w:widowControl w:val="0"/>
        <w:spacing w:line="240" w:lineRule="auto"/>
        <w:jc w:val="both"/>
        <w:rPr>
          <w:szCs w:val="22"/>
          <w:lang w:val="sr-Latn-RS" w:eastAsia="hr-HR"/>
        </w:rPr>
      </w:pPr>
      <w:r>
        <w:rPr>
          <w:szCs w:val="22"/>
          <w:lang w:val="sr-Latn-RS" w:eastAsia="hr-HR"/>
        </w:rPr>
        <w:t>Bijele, okrugle (prečnika 7,5 mm), blago bikonveksne, film tablete sa zaobljenim ivicama i oznakom 10 na jednoj strani.</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20 mg film tableta</w:t>
      </w:r>
    </w:p>
    <w:p w:rsidR="00582F55" w:rsidRDefault="001B0A63" w:rsidP="00166FF2">
      <w:pPr>
        <w:widowControl w:val="0"/>
        <w:spacing w:line="240" w:lineRule="auto"/>
        <w:jc w:val="both"/>
        <w:rPr>
          <w:szCs w:val="22"/>
          <w:lang w:val="sr-Latn-RS" w:eastAsia="hr-HR"/>
        </w:rPr>
      </w:pPr>
      <w:r>
        <w:rPr>
          <w:szCs w:val="22"/>
          <w:lang w:val="sr-Latn-RS" w:eastAsia="hr-HR"/>
        </w:rPr>
        <w:t>Bijele, okrugle (prečnika 10 mm), film tablete sa zaobljenim ivicama.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40 mg film tableta</w:t>
      </w:r>
    </w:p>
    <w:p w:rsidR="00582F55" w:rsidRDefault="001B0A63" w:rsidP="00166FF2">
      <w:pPr>
        <w:widowControl w:val="0"/>
        <w:spacing w:line="240" w:lineRule="auto"/>
        <w:jc w:val="both"/>
        <w:rPr>
          <w:szCs w:val="22"/>
          <w:lang w:val="sr-Latn-RS" w:eastAsia="hr-HR"/>
        </w:rPr>
      </w:pPr>
      <w:r>
        <w:rPr>
          <w:szCs w:val="22"/>
          <w:lang w:val="sr-Latn-RS" w:eastAsia="hr-HR"/>
        </w:rPr>
        <w:t>Bijele, okrugle, film tablete u obliku kapsule (16 mm x 8,5 mm).</w:t>
      </w:r>
    </w:p>
    <w:p w:rsidR="00582F55" w:rsidRDefault="00582F55" w:rsidP="00166FF2">
      <w:pPr>
        <w:widowControl w:val="0"/>
        <w:spacing w:line="240" w:lineRule="auto"/>
        <w:ind w:left="567" w:hanging="567"/>
        <w:jc w:val="both"/>
        <w:rPr>
          <w:b/>
          <w:caps/>
          <w:szCs w:val="22"/>
          <w:lang w:val="sr-Latn-RS"/>
        </w:rPr>
      </w:pPr>
    </w:p>
    <w:p w:rsidR="00582F55" w:rsidRDefault="00582F55" w:rsidP="00166FF2">
      <w:pPr>
        <w:widowControl w:val="0"/>
        <w:spacing w:line="240" w:lineRule="auto"/>
        <w:ind w:left="567" w:hanging="567"/>
        <w:jc w:val="both"/>
        <w:rPr>
          <w:b/>
          <w:caps/>
          <w:szCs w:val="22"/>
          <w:lang w:val="sr-Latn-RS"/>
        </w:rPr>
      </w:pPr>
    </w:p>
    <w:p w:rsidR="00582F55" w:rsidRDefault="001B0A63" w:rsidP="00166FF2">
      <w:pPr>
        <w:widowControl w:val="0"/>
        <w:spacing w:line="240" w:lineRule="auto"/>
        <w:ind w:left="567" w:hanging="567"/>
        <w:jc w:val="both"/>
        <w:rPr>
          <w:caps/>
          <w:szCs w:val="22"/>
          <w:lang w:val="sr-Latn-RS"/>
        </w:rPr>
      </w:pPr>
      <w:r>
        <w:rPr>
          <w:b/>
          <w:caps/>
          <w:szCs w:val="22"/>
          <w:lang w:val="sr-Latn-RS"/>
        </w:rPr>
        <w:t>4.</w:t>
      </w:r>
      <w:r>
        <w:rPr>
          <w:b/>
          <w:caps/>
          <w:szCs w:val="22"/>
          <w:lang w:val="sr-Latn-RS"/>
        </w:rPr>
        <w:tab/>
        <w:t>KLINIČKI PODACI</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ind w:left="567" w:hanging="567"/>
        <w:jc w:val="both"/>
        <w:outlineLvl w:val="0"/>
        <w:rPr>
          <w:b/>
          <w:szCs w:val="22"/>
          <w:lang w:val="sr-Latn-RS"/>
        </w:rPr>
      </w:pPr>
      <w:r>
        <w:rPr>
          <w:b/>
          <w:szCs w:val="22"/>
          <w:lang w:val="sr-Latn-RS"/>
        </w:rPr>
        <w:t>4.1</w:t>
      </w:r>
      <w:r>
        <w:rPr>
          <w:b/>
          <w:szCs w:val="22"/>
          <w:lang w:val="sr-Latn-RS"/>
        </w:rPr>
        <w:tab/>
        <w:t>Terapijske indikacije</w:t>
      </w:r>
    </w:p>
    <w:p w:rsidR="00582F55" w:rsidRDefault="00582F55" w:rsidP="00166FF2">
      <w:pPr>
        <w:widowControl w:val="0"/>
        <w:spacing w:line="240" w:lineRule="auto"/>
        <w:ind w:left="567" w:hanging="567"/>
        <w:jc w:val="both"/>
        <w:outlineLvl w:val="0"/>
        <w:rPr>
          <w:b/>
          <w:szCs w:val="22"/>
          <w:lang w:val="sr-Latn-RS"/>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t>Liječenje hiperholesterolemije</w:t>
      </w:r>
    </w:p>
    <w:p w:rsidR="00582F55" w:rsidRDefault="00582F55" w:rsidP="00166FF2">
      <w:pPr>
        <w:widowControl w:val="0"/>
        <w:spacing w:line="240" w:lineRule="auto"/>
        <w:ind w:left="360"/>
        <w:jc w:val="both"/>
        <w:rPr>
          <w:szCs w:val="22"/>
          <w:lang w:val="sr-Latn-RS" w:eastAsia="hr-HR"/>
        </w:rPr>
      </w:pPr>
    </w:p>
    <w:p w:rsidR="00582F55" w:rsidRDefault="001B0A63" w:rsidP="00166FF2">
      <w:pPr>
        <w:widowControl w:val="0"/>
        <w:spacing w:line="240" w:lineRule="auto"/>
        <w:jc w:val="both"/>
        <w:outlineLvl w:val="1"/>
        <w:rPr>
          <w:szCs w:val="22"/>
          <w:lang w:val="sr-Latn-RS" w:eastAsia="hr-HR"/>
        </w:rPr>
      </w:pPr>
      <w:r>
        <w:rPr>
          <w:szCs w:val="22"/>
          <w:lang w:val="sr-Latn-RS" w:eastAsia="hr-HR"/>
        </w:rPr>
        <w:t xml:space="preserve">Kod odraslih, adolescenata i djece uzrasta 6 godina i starije sa primarnom hiperholesterolemijom (tipa IIa, uključujući heterozigotnu porodičnu hiperholesterolemiju) ili sa miješovitom dislipidemijom (tipa IIb), dodatno uz dijetu, kad je odgovor na nju i na druge nefarmakološke načine liječenja (npr. fizička </w:t>
      </w:r>
      <w:r>
        <w:rPr>
          <w:szCs w:val="22"/>
          <w:lang w:val="sr-Latn-RS" w:eastAsia="hr-HR"/>
        </w:rPr>
        <w:lastRenderedPageBreak/>
        <w:t>aktivnost, smanjenje tjelesne mase) neadekvatan.</w:t>
      </w:r>
    </w:p>
    <w:p w:rsidR="00582F55" w:rsidRDefault="00582F55" w:rsidP="00166FF2">
      <w:pPr>
        <w:widowControl w:val="0"/>
        <w:spacing w:line="240" w:lineRule="auto"/>
        <w:jc w:val="both"/>
        <w:outlineLvl w:val="1"/>
        <w:rPr>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szCs w:val="22"/>
          <w:lang w:val="sr-Latn-RS" w:eastAsia="hr-HR"/>
        </w:rPr>
        <w:t>Kod odraslih, adolescenata i djece starije od 6 godina sa homozigotnom porodičnom hiperholesterolemijom, dodatno uz dijetu i druge postupke za snižavanje nivoa lipida (npr. LDL-afereza) ili u slučaju kada takva terapija nije odgovarajuća.</w:t>
      </w:r>
    </w:p>
    <w:p w:rsidR="00582F55" w:rsidRDefault="00582F55" w:rsidP="00166FF2">
      <w:pPr>
        <w:widowControl w:val="0"/>
        <w:spacing w:line="240" w:lineRule="auto"/>
        <w:jc w:val="both"/>
        <w:outlineLvl w:val="1"/>
        <w:rPr>
          <w:b/>
          <w:bCs/>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t>Prevencija kardiovaskularnih događaja</w:t>
      </w:r>
    </w:p>
    <w:p w:rsidR="00582F55" w:rsidRDefault="00582F55" w:rsidP="00166FF2">
      <w:pPr>
        <w:widowControl w:val="0"/>
        <w:spacing w:line="240" w:lineRule="auto"/>
        <w:jc w:val="both"/>
        <w:rPr>
          <w:b/>
          <w:bCs/>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Prevencija ozbiljnih kardiovaskularnih događaja kod pacijenata za koje je ocijenjeno da imaju visok rizik za razvoj prvog kardiovaskularnog događaja (vidjeti dio 5.1), kao dodatak korekciji drugih faktora rizika.</w:t>
      </w:r>
    </w:p>
    <w:p w:rsidR="00582F55" w:rsidRDefault="00582F55" w:rsidP="00166FF2">
      <w:pPr>
        <w:widowControl w:val="0"/>
        <w:spacing w:line="240" w:lineRule="auto"/>
        <w:jc w:val="both"/>
        <w:rPr>
          <w:szCs w:val="22"/>
          <w:lang w:val="sr-Latn-RS"/>
        </w:rPr>
      </w:pPr>
    </w:p>
    <w:p w:rsidR="00582F55" w:rsidRDefault="001B0A63" w:rsidP="00166FF2">
      <w:pPr>
        <w:widowControl w:val="0"/>
        <w:numPr>
          <w:ilvl w:val="1"/>
          <w:numId w:val="13"/>
        </w:numPr>
        <w:tabs>
          <w:tab w:val="clear" w:pos="570"/>
          <w:tab w:val="left" w:pos="567"/>
          <w:tab w:val="num" w:pos="712"/>
        </w:tabs>
        <w:spacing w:line="240" w:lineRule="auto"/>
        <w:ind w:left="712" w:hanging="712"/>
        <w:jc w:val="both"/>
        <w:outlineLvl w:val="0"/>
        <w:rPr>
          <w:b/>
          <w:szCs w:val="22"/>
          <w:lang w:val="sr-Latn-RS"/>
        </w:rPr>
      </w:pPr>
      <w:r>
        <w:rPr>
          <w:b/>
          <w:szCs w:val="22"/>
          <w:lang w:val="sr-Latn-RS"/>
        </w:rPr>
        <w:t>Doziranje i način primjene</w:t>
      </w:r>
    </w:p>
    <w:p w:rsidR="001B0A63" w:rsidRDefault="001B0A63" w:rsidP="00166FF2">
      <w:pPr>
        <w:widowControl w:val="0"/>
        <w:tabs>
          <w:tab w:val="clear" w:pos="567"/>
        </w:tabs>
        <w:spacing w:line="240" w:lineRule="auto"/>
        <w:ind w:left="712"/>
        <w:jc w:val="both"/>
        <w:outlineLvl w:val="0"/>
        <w:rPr>
          <w:b/>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Prije početka liječenja pacijentu treba propisati dijetu za smanjenje nivoa holesterola koja se nastavlja i tokom terapije. Doziranje je individualno, prema cilju terapije i odgovoru pacijenta, u skladu sa aktuelnim opšteprihvaćenim smjernicama.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Način primjene</w:t>
      </w:r>
    </w:p>
    <w:p w:rsidR="00582F55" w:rsidRDefault="001B0A63" w:rsidP="00166FF2">
      <w:pPr>
        <w:widowControl w:val="0"/>
        <w:spacing w:line="240" w:lineRule="auto"/>
        <w:jc w:val="both"/>
        <w:rPr>
          <w:szCs w:val="22"/>
          <w:lang w:val="sr-Latn-RS" w:eastAsia="hr-HR"/>
        </w:rPr>
      </w:pPr>
      <w:r>
        <w:rPr>
          <w:szCs w:val="22"/>
          <w:lang w:val="sr-Latn-RS" w:eastAsia="hr-HR"/>
        </w:rPr>
        <w:t>Bolesnici mogu uzimati lijek Roswera u bilo koje vrijeme dana, nezavisno od obroka.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Doziranje</w:t>
      </w:r>
    </w:p>
    <w:p w:rsidR="00582F55" w:rsidRDefault="00582F55" w:rsidP="00166FF2">
      <w:pPr>
        <w:widowControl w:val="0"/>
        <w:spacing w:line="240" w:lineRule="auto"/>
        <w:jc w:val="both"/>
        <w:rPr>
          <w:szCs w:val="22"/>
          <w:u w:val="single"/>
          <w:lang w:val="sr-Latn-RS" w:eastAsia="hr-HR"/>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t>Liječenje hiperholesterolemije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Preporučena početna doza rosuvastatina je 5 mg ili 10 mg oralno, jednom dnevno za pacijente koji nijesu uzimali statine i pacijente koji su ranije uzimali neki od drugih inhibitora HMG-CoA reduktaze. U određivanju početne doze kod pacijenta treba uzeti u obzir nivo holesterola i buduće kardiovaskularne rizike, kao i moguća neželjena dejstva (pogledajte dolje). Ukoliko je potrebno prilagođavanje sljedećoj dozi se može izvršiti nakon četiri nedjelje liječenja (vidjeti dio 5.1). Uzmajući u obzir povećani broj prijava neželjenih dejstava pri dozi od 40 mg u odnosu na niže doze (vidjeti dio 4.8), povećanje doze do maksimalnih 40 mg treba razmotriti samo kod pacijenata sa teškom hiperholesterolemijom sa velikim rizikom za razvoj kardiovaskularnih bolesti (naročito kod onih sa porodičnom hiperholesterolemijom) i kod kojih doza od 20 mg ne daje očekivane rezultate i koji će se rutinski pratiti (vidjeti dio 4.4). Kod uvođenja doze od 40 mg preporučuje se nadzor specijaliste.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t>Prevencija kardiovaskularnih događaja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U studiji u kojoj je ispitivano smanjenje rizika za kardiovaskularne događaje korišćena je doza od 20 mg na dan (vidjeti dio 5.1).</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t>Pedijatrijska populacija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Lijek se u pedijatriji primjenjuje samo pod nadzorom ljekara specijaliste.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Djeca i adolescenti uzrasta od 6 do 17 godina (Tanner stadijum &lt;II-V)</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i/>
          <w:szCs w:val="22"/>
          <w:u w:val="single"/>
          <w:lang w:val="sr-Latn-RS" w:eastAsia="hr-HR"/>
        </w:rPr>
      </w:pPr>
      <w:r>
        <w:rPr>
          <w:i/>
          <w:szCs w:val="22"/>
          <w:u w:val="single"/>
          <w:lang w:val="sr-Latn-RS" w:eastAsia="hr-HR"/>
        </w:rPr>
        <w:t>Heterozigotna porodična hiperholesterolemija</w:t>
      </w:r>
    </w:p>
    <w:p w:rsidR="00582F55" w:rsidRDefault="00582F55" w:rsidP="00166FF2">
      <w:pPr>
        <w:widowControl w:val="0"/>
        <w:spacing w:line="240" w:lineRule="auto"/>
        <w:jc w:val="both"/>
        <w:rPr>
          <w:i/>
          <w:szCs w:val="22"/>
          <w:highlight w:val="yellow"/>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 xml:space="preserve">Kod djece i adolescenata sa heterozigotnom porodičnom hiperholesterolemijom uobičajena početna doza je 5 mg na dan. </w:t>
      </w:r>
    </w:p>
    <w:p w:rsidR="00582F55" w:rsidRDefault="00582F55" w:rsidP="00166FF2">
      <w:pPr>
        <w:widowControl w:val="0"/>
        <w:spacing w:line="240" w:lineRule="auto"/>
        <w:jc w:val="both"/>
        <w:rPr>
          <w:szCs w:val="22"/>
          <w:highlight w:val="yellow"/>
          <w:lang w:val="sr-Latn-RS" w:eastAsia="hr-HR"/>
        </w:rPr>
      </w:pPr>
    </w:p>
    <w:p w:rsidR="00582F55" w:rsidRDefault="001B0A63" w:rsidP="00166FF2">
      <w:pPr>
        <w:widowControl w:val="0"/>
        <w:numPr>
          <w:ilvl w:val="0"/>
          <w:numId w:val="28"/>
        </w:numPr>
        <w:tabs>
          <w:tab w:val="clear" w:pos="567"/>
        </w:tabs>
        <w:spacing w:line="240" w:lineRule="auto"/>
        <w:jc w:val="both"/>
        <w:rPr>
          <w:szCs w:val="22"/>
          <w:lang w:val="sr-Latn-RS"/>
        </w:rPr>
      </w:pPr>
      <w:r>
        <w:rPr>
          <w:szCs w:val="22"/>
          <w:lang w:val="sr-Latn-RS"/>
        </w:rPr>
        <w:t>Kod djece od 6 do 9 godina starosti sa heterozigotnom porodičnom hiperholesterolemijom uobičajeni raspon doze je od 5-10 mg oralno jednom dnevno. Bezbjednost i efikasnost doza većih od 10 mg nijesu ispitivane kod ove populacije.</w:t>
      </w:r>
    </w:p>
    <w:p w:rsidR="00582F55" w:rsidRDefault="001B0A63" w:rsidP="00166FF2">
      <w:pPr>
        <w:widowControl w:val="0"/>
        <w:numPr>
          <w:ilvl w:val="0"/>
          <w:numId w:val="28"/>
        </w:numPr>
        <w:tabs>
          <w:tab w:val="clear" w:pos="567"/>
        </w:tabs>
        <w:spacing w:line="240" w:lineRule="auto"/>
        <w:jc w:val="both"/>
        <w:rPr>
          <w:szCs w:val="22"/>
          <w:lang w:val="sr-Latn-RS"/>
        </w:rPr>
      </w:pPr>
      <w:r>
        <w:rPr>
          <w:szCs w:val="22"/>
          <w:lang w:val="sr-Latn-RS"/>
        </w:rPr>
        <w:t xml:space="preserve">Kod djece od 10 do 17 godina starosti sa heterozigotnom porodičnom hiperholesterolemijom uobičajeni raspon doze je od 5-20 mg oralno jednom dnevno. Bezbjednost i efikasnost doza </w:t>
      </w:r>
      <w:r>
        <w:rPr>
          <w:szCs w:val="22"/>
          <w:lang w:val="sr-Latn-RS"/>
        </w:rPr>
        <w:lastRenderedPageBreak/>
        <w:t>većih od 20 mg nisu ispitivane kod ove populacije.</w:t>
      </w:r>
    </w:p>
    <w:p w:rsidR="00582F55" w:rsidRDefault="00582F55" w:rsidP="00166FF2">
      <w:pPr>
        <w:widowControl w:val="0"/>
        <w:spacing w:line="240" w:lineRule="auto"/>
        <w:jc w:val="both"/>
        <w:rPr>
          <w:szCs w:val="22"/>
          <w:highlight w:val="yellow"/>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Prilagođavanje je kod pedijatrijskih pacijenata potrebno izvršiti u skladu sa odgovorom pojedinca, prema smjernicama za pedijatrijsko liječenje (vidjeti dio 4.4). Prije početka liječenja rosuvastatinom, djeci i adolescentima treba propisati standardnu dijetu za snižavanje holesterola, koju moraju nastaviti i tokom liječenja rosuvastatinom.</w:t>
      </w:r>
    </w:p>
    <w:p w:rsidR="00582F55" w:rsidRDefault="00582F55" w:rsidP="00166FF2">
      <w:pPr>
        <w:widowControl w:val="0"/>
        <w:spacing w:line="240" w:lineRule="auto"/>
        <w:jc w:val="both"/>
        <w:rPr>
          <w:szCs w:val="22"/>
          <w:highlight w:val="yellow"/>
          <w:lang w:val="sr-Latn-RS" w:eastAsia="hr-HR"/>
        </w:rPr>
      </w:pPr>
    </w:p>
    <w:p w:rsidR="00582F55" w:rsidRDefault="001B0A63" w:rsidP="00166FF2">
      <w:pPr>
        <w:widowControl w:val="0"/>
        <w:spacing w:line="240" w:lineRule="auto"/>
        <w:jc w:val="both"/>
        <w:rPr>
          <w:i/>
          <w:szCs w:val="22"/>
          <w:lang w:val="sr-Latn-RS" w:eastAsia="hr-HR"/>
        </w:rPr>
      </w:pPr>
      <w:r>
        <w:rPr>
          <w:i/>
          <w:szCs w:val="22"/>
          <w:lang w:val="sr-Latn-RS" w:eastAsia="hr-HR"/>
        </w:rPr>
        <w:t>Homozigotna porodična hiperholesterolemija</w:t>
      </w:r>
    </w:p>
    <w:p w:rsidR="00582F55" w:rsidRDefault="00582F55" w:rsidP="00166FF2">
      <w:pPr>
        <w:widowControl w:val="0"/>
        <w:spacing w:line="240" w:lineRule="auto"/>
        <w:jc w:val="both"/>
        <w:rPr>
          <w:szCs w:val="22"/>
          <w:highlight w:val="yellow"/>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Kod djece uzrasta od 6 do 17 godina sa homozigotnom porodičnom hiperholesterolemijom preporučena maksimalna doza je 20 mg jednom dnevno.</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Preporučuje se primjena početne doze od 5-10 mg jednom dnevno u zavisnosti od uzrasta, tjelesne mase i prethodne primjene statina. Prilagođavanje maksimalno dozi od 20 mg jednom dnevno je potrebno izvršiti u skladu sa individualnim odgovoru i podnošljivosti kod pedijatrijskih pacijenata, prema smjernicama za pedijatrijsko liječenje (vidjeti dio 4.4). Prije početka liječenja rosuvastatinom, djeci i adolescentima treba propisati standardnu dijetu za snižavanje holesterola, koju moraju nastaviti i tokom liječenja rosuvastatinom.</w:t>
      </w:r>
    </w:p>
    <w:p w:rsidR="00582F55" w:rsidRDefault="00582F55" w:rsidP="00166FF2">
      <w:pPr>
        <w:widowControl w:val="0"/>
        <w:spacing w:line="240" w:lineRule="auto"/>
        <w:jc w:val="both"/>
        <w:rPr>
          <w:szCs w:val="22"/>
          <w:highlight w:val="yellow"/>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Postoje ograničeni podaci o primjeni doza iznad 20 mg u ovoj populaciji.</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Tablete od 40 mg nijesu prikladne za primjenu kod pedijatrijskih pacijenata.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Djeca mlađa od 6 godina</w:t>
      </w:r>
    </w:p>
    <w:p w:rsidR="00582F55" w:rsidRDefault="00582F55" w:rsidP="00166FF2">
      <w:pPr>
        <w:widowControl w:val="0"/>
        <w:spacing w:line="240" w:lineRule="auto"/>
        <w:jc w:val="both"/>
        <w:rPr>
          <w:szCs w:val="22"/>
          <w:highlight w:val="yellow"/>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Bezbjednost i efikasnost primjene kod djece mlađe od 6 godina nijesu ispitivane. Stoga se primjena rosuvastatina ne preporučuje kod djece mlađe od 6 godina.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t>Primjena kod starijih pacijenata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Preporučena početna doza za pacijente koji su stariji od 70 godina je 5 mg (vijdeti dio 4.4). Nije potrebno prilagođavanje doze u odnosu na godine.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rStyle w:val="Emphasis"/>
          <w:szCs w:val="22"/>
          <w:lang w:val="sr-Latn-RS"/>
        </w:rPr>
        <w:t>Pacijenti sa bubrežnom insuficijencijom</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Doze nije potrebno prilagođavati pacijentima sa blagim do umjerenim oštećenjem bubrega. Preporučena početna doza za pacijente sa umjerenim oštećenjem bubrega (klirens kreatinina manji od 60 ml/min) je 5 mg. Primjena doze od 40 mg kod pacijenata sa umjerenim oštećenjem bubrega je kontraindikovana. Kod pacijenata sa teškim oštećenjem bubrega primjena lijeka Roswera je kontraindikovana bez obzira na veličinu doze (vijdeti djelove 4.3 i 5.2).</w:t>
      </w:r>
    </w:p>
    <w:p w:rsidR="00582F55" w:rsidRDefault="00582F55" w:rsidP="00166FF2">
      <w:pPr>
        <w:widowControl w:val="0"/>
        <w:spacing w:line="240" w:lineRule="auto"/>
        <w:rPr>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rStyle w:val="Emphasis"/>
          <w:szCs w:val="22"/>
          <w:lang w:val="sr-Latn-RS"/>
        </w:rPr>
        <w:t>Doziranje kod pacijenata sa oslabljenom funkcijom jetre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 xml:space="preserve">Kod pacijenata sa ocjenom 7 prema Child-Pughovoj ljestvici sistemska izloženost rosuvastatinu nije bila povećana. Kod pacijenata sa ocjenom 8 ili 9 prema Child-Pughovoj ljestvici sistemska izloženost </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je bila povećana (vidjeti dio 5.2). Zbog toga je kod ovih pacijenata potrebno uraditi procjenu funkcije bubrega (pogledajte poglavlje 4.4). Nema iskustava u liječenju pacijenata sa ocjenom iznad 9 prema Child-Pughovoj ljestvici. Lijek Roswera kontraindikovan je kod pacijenata sa aktivnim oboljenjem jetre (vidjeti dio 4.3).</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1"/>
        <w:rPr>
          <w:rStyle w:val="Emphasis"/>
          <w:szCs w:val="22"/>
          <w:lang w:val="sr-Latn-RS"/>
        </w:rPr>
      </w:pPr>
      <w:r>
        <w:rPr>
          <w:rStyle w:val="Emphasis"/>
          <w:szCs w:val="22"/>
          <w:lang w:val="sr-Latn-RS"/>
        </w:rPr>
        <w:t>Rasa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Sistemska izloženost je bila veća kod Azijata (pogledajte djelove 4.4 i 5.2). Kod tih pacijenata preporučena početna doza je 5 mg, a kontraindikovana je primjena rosuvastatina u dozi od 40 mg (vidjeti djelove 4.3 i 5.2).</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lastRenderedPageBreak/>
        <w:t>Genetski polimorfizam</w:t>
      </w:r>
    </w:p>
    <w:p w:rsidR="00582F55" w:rsidRDefault="001B0A63" w:rsidP="00166FF2">
      <w:pPr>
        <w:widowControl w:val="0"/>
        <w:spacing w:line="240" w:lineRule="auto"/>
        <w:jc w:val="both"/>
        <w:outlineLvl w:val="1"/>
        <w:rPr>
          <w:bCs/>
          <w:szCs w:val="22"/>
          <w:lang w:val="sr-Latn-RS" w:eastAsia="hr-HR"/>
        </w:rPr>
      </w:pPr>
      <w:r>
        <w:rPr>
          <w:szCs w:val="22"/>
          <w:lang w:val="sr-Latn-RS"/>
        </w:rPr>
        <w:t>Pojedini tipovi genetskog polimorfizma mogu dovesti do povećane raspoloživosti rosuvastatina (vidjeti dio 5.2). Za pacijente za koje se zna da imaju takve specifične tipove polimorfizma, preporučuje se niža dnevna doza rosuvastatina.</w:t>
      </w:r>
    </w:p>
    <w:p w:rsidR="00582F55" w:rsidRDefault="00582F55" w:rsidP="00166FF2">
      <w:pPr>
        <w:widowControl w:val="0"/>
        <w:spacing w:line="240" w:lineRule="auto"/>
        <w:jc w:val="both"/>
        <w:outlineLvl w:val="1"/>
        <w:rPr>
          <w:b/>
          <w:bCs/>
          <w:szCs w:val="22"/>
          <w:lang w:val="sr-Latn-RS" w:eastAsia="hr-HR"/>
        </w:rPr>
      </w:pPr>
    </w:p>
    <w:p w:rsidR="00582F55" w:rsidRDefault="001B0A63" w:rsidP="00166FF2">
      <w:pPr>
        <w:widowControl w:val="0"/>
        <w:spacing w:line="240" w:lineRule="auto"/>
        <w:jc w:val="both"/>
        <w:outlineLvl w:val="1"/>
        <w:rPr>
          <w:rStyle w:val="Emphasis"/>
          <w:szCs w:val="22"/>
          <w:lang w:val="sr-Latn-RS"/>
        </w:rPr>
      </w:pPr>
      <w:r>
        <w:rPr>
          <w:rStyle w:val="Emphasis"/>
          <w:szCs w:val="22"/>
          <w:lang w:val="sr-Latn-RS"/>
        </w:rPr>
        <w:t>Doziranje kod pacijenata sa predisponirajućim faktorima za razvoj miopatije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Preporučena početna doza za pacijente sa predispozicijskim faktorima za miopatiju je 5 mg (vidjeti dio 4.4).</w:t>
      </w:r>
    </w:p>
    <w:p w:rsidR="00582F55" w:rsidRDefault="001B0A63" w:rsidP="00166FF2">
      <w:pPr>
        <w:widowControl w:val="0"/>
        <w:spacing w:line="240" w:lineRule="auto"/>
        <w:jc w:val="both"/>
        <w:rPr>
          <w:szCs w:val="22"/>
          <w:lang w:val="sr-Latn-RS" w:eastAsia="hr-HR"/>
        </w:rPr>
      </w:pPr>
      <w:r>
        <w:rPr>
          <w:szCs w:val="22"/>
          <w:lang w:val="sr-Latn-RS" w:eastAsia="hr-HR"/>
        </w:rPr>
        <w:t>Doza od 40 mg je kod nekih od tih pacijenta kontraindikovana (vidjeti dio 4.3).</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b/>
          <w:szCs w:val="22"/>
          <w:lang w:val="sr-Latn-RS" w:eastAsia="hr-HR"/>
        </w:rPr>
      </w:pPr>
      <w:r>
        <w:rPr>
          <w:b/>
          <w:szCs w:val="22"/>
          <w:lang w:val="sr-Latn-RS" w:eastAsia="hr-HR"/>
        </w:rPr>
        <w:t>Istovremena terapija</w:t>
      </w:r>
    </w:p>
    <w:p w:rsidR="00582F55" w:rsidRDefault="001B0A63" w:rsidP="00166FF2">
      <w:pPr>
        <w:widowControl w:val="0"/>
        <w:spacing w:line="240" w:lineRule="auto"/>
        <w:jc w:val="both"/>
        <w:rPr>
          <w:szCs w:val="22"/>
          <w:lang w:val="sr-Latn-RS" w:eastAsia="hr-HR"/>
        </w:rPr>
      </w:pPr>
      <w:r>
        <w:rPr>
          <w:szCs w:val="22"/>
          <w:lang w:val="sr-Latn-RS" w:eastAsia="hr-HR"/>
        </w:rPr>
        <w:t xml:space="preserve">Rosuvastatin je supstrat različitih transportnih proteina (npr. OATP1B1 i BCRP). Rizik od miopatije (uključujući rabdomiolizu) je povećan kada se rosuvastatin primjenjuje istovremeno sa </w:t>
      </w:r>
      <w:r>
        <w:rPr>
          <w:szCs w:val="22"/>
          <w:lang w:val="sr-Latn-RS"/>
        </w:rPr>
        <w:t>nekim ljekovima koji mogu povećati koncentraciju rosuvastatina u plazmi, što nastaje kao posljedica interakcija sa ovim transportnim proteinima (npr. ciklosporin i neki inhibitori proteaza uključujući kombinaciju ritonavira sa atazanavirom, lopinavirom i/ili tipranavirom; vidjeti djelove 4.4 i 4.5). Kad god je moguće, alternativne ljekove treba uzeti u obzir i, ako je potrebno, razmotriti privremen prekid terapije rosuvastatinom. U situacijama gdje je istovremena primjena ovih ljekova sa rosuvastatinom neophodna, potrebno je pažljivo razmotriti odnos korist/rizik istovremene primjene terapije kao i prilagoditi dozu rosuvastatina (vidjeti dio 4.5).</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lang w:val="sr-Latn-RS"/>
        </w:rPr>
      </w:pPr>
      <w:r>
        <w:rPr>
          <w:b/>
          <w:szCs w:val="22"/>
          <w:lang w:val="sr-Latn-RS"/>
        </w:rPr>
        <w:t>4.3</w:t>
      </w:r>
      <w:r>
        <w:rPr>
          <w:b/>
          <w:szCs w:val="22"/>
          <w:lang w:val="sr-Latn-RS"/>
        </w:rPr>
        <w:tab/>
        <w:t>Kontraindikacije</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Lijek Roswera je kontraindikovan:</w:t>
      </w:r>
    </w:p>
    <w:p w:rsidR="00582F55" w:rsidRDefault="001B0A63" w:rsidP="00166FF2">
      <w:pPr>
        <w:widowControl w:val="0"/>
        <w:numPr>
          <w:ilvl w:val="0"/>
          <w:numId w:val="29"/>
        </w:numPr>
        <w:tabs>
          <w:tab w:val="clear" w:pos="567"/>
          <w:tab w:val="clear" w:pos="720"/>
        </w:tabs>
        <w:spacing w:line="240" w:lineRule="auto"/>
        <w:jc w:val="both"/>
        <w:rPr>
          <w:szCs w:val="22"/>
          <w:lang w:val="sr-Latn-RS" w:eastAsia="hr-HR"/>
        </w:rPr>
      </w:pPr>
      <w:r>
        <w:rPr>
          <w:szCs w:val="22"/>
          <w:lang w:val="sr-Latn-RS" w:eastAsia="hr-HR"/>
        </w:rPr>
        <w:t>kod pacijenata koji su preosjetljivi na rosuvastatin ili na neku pomoćnu supstancu lijeka navedenu u dijelu 6.1,</w:t>
      </w:r>
    </w:p>
    <w:p w:rsidR="00582F55" w:rsidRDefault="001B0A63" w:rsidP="00166FF2">
      <w:pPr>
        <w:widowControl w:val="0"/>
        <w:numPr>
          <w:ilvl w:val="0"/>
          <w:numId w:val="29"/>
        </w:numPr>
        <w:tabs>
          <w:tab w:val="clear" w:pos="567"/>
          <w:tab w:val="clear" w:pos="720"/>
        </w:tabs>
        <w:spacing w:line="240" w:lineRule="auto"/>
        <w:jc w:val="both"/>
        <w:rPr>
          <w:szCs w:val="22"/>
          <w:lang w:val="sr-Latn-RS" w:eastAsia="hr-HR"/>
        </w:rPr>
      </w:pPr>
      <w:r>
        <w:rPr>
          <w:szCs w:val="22"/>
          <w:lang w:val="sr-Latn-RS" w:eastAsia="hr-HR"/>
        </w:rPr>
        <w:t>kod pacijenata sa aktivnim oboljenjem jetre, takođe nerazjašnjenim upornim povećanjem transaminaza u serumu ili povećanjem vrijednosti transaminaza u serumu iznad trostruke gornje granice normalnih vrijednosti,</w:t>
      </w:r>
    </w:p>
    <w:p w:rsidR="00582F55" w:rsidRDefault="001B0A63" w:rsidP="00166FF2">
      <w:pPr>
        <w:widowControl w:val="0"/>
        <w:numPr>
          <w:ilvl w:val="0"/>
          <w:numId w:val="29"/>
        </w:numPr>
        <w:tabs>
          <w:tab w:val="clear" w:pos="567"/>
          <w:tab w:val="clear" w:pos="720"/>
        </w:tabs>
        <w:spacing w:line="240" w:lineRule="auto"/>
        <w:jc w:val="both"/>
        <w:rPr>
          <w:szCs w:val="22"/>
          <w:lang w:val="sr-Latn-RS" w:eastAsia="hr-HR"/>
        </w:rPr>
      </w:pPr>
      <w:r>
        <w:rPr>
          <w:szCs w:val="22"/>
          <w:lang w:val="sr-Latn-RS" w:eastAsia="hr-HR"/>
        </w:rPr>
        <w:t>kod pacijenata sa teškim oštećenjem bubrega (klirens kreatinina manji od 30 ml/min odnosno 0,5 ml/s),</w:t>
      </w:r>
    </w:p>
    <w:p w:rsidR="00582F55" w:rsidRDefault="001B0A63" w:rsidP="00166FF2">
      <w:pPr>
        <w:widowControl w:val="0"/>
        <w:numPr>
          <w:ilvl w:val="0"/>
          <w:numId w:val="29"/>
        </w:numPr>
        <w:tabs>
          <w:tab w:val="clear" w:pos="567"/>
          <w:tab w:val="clear" w:pos="720"/>
        </w:tabs>
        <w:spacing w:line="240" w:lineRule="auto"/>
        <w:jc w:val="both"/>
        <w:rPr>
          <w:szCs w:val="22"/>
          <w:lang w:val="sr-Latn-RS" w:eastAsia="hr-HR"/>
        </w:rPr>
      </w:pPr>
      <w:r>
        <w:rPr>
          <w:szCs w:val="22"/>
          <w:lang w:val="sr-Latn-RS" w:eastAsia="hr-HR"/>
        </w:rPr>
        <w:t>kod pacijenata sa miopatijom,</w:t>
      </w:r>
    </w:p>
    <w:p w:rsidR="00582F55" w:rsidRDefault="001B0A63" w:rsidP="00166FF2">
      <w:pPr>
        <w:widowControl w:val="0"/>
        <w:numPr>
          <w:ilvl w:val="0"/>
          <w:numId w:val="29"/>
        </w:numPr>
        <w:tabs>
          <w:tab w:val="clear" w:pos="567"/>
          <w:tab w:val="clear" w:pos="720"/>
        </w:tabs>
        <w:spacing w:line="240" w:lineRule="auto"/>
        <w:jc w:val="both"/>
        <w:rPr>
          <w:szCs w:val="22"/>
          <w:lang w:val="sr-Latn-RS" w:eastAsia="hr-HR"/>
        </w:rPr>
      </w:pPr>
      <w:r>
        <w:rPr>
          <w:szCs w:val="22"/>
          <w:lang w:val="sr-Latn-RS" w:eastAsia="hr-HR"/>
        </w:rPr>
        <w:t>kod pacijenata koji istovremeno uzimaju kombinaciju sofosbuvir/velpatasvir/voksilaprevir (vidjeti dio 4.5.),</w:t>
      </w:r>
    </w:p>
    <w:p w:rsidR="00582F55" w:rsidRDefault="001B0A63" w:rsidP="00166FF2">
      <w:pPr>
        <w:widowControl w:val="0"/>
        <w:numPr>
          <w:ilvl w:val="0"/>
          <w:numId w:val="29"/>
        </w:numPr>
        <w:tabs>
          <w:tab w:val="clear" w:pos="567"/>
          <w:tab w:val="clear" w:pos="720"/>
        </w:tabs>
        <w:spacing w:line="240" w:lineRule="auto"/>
        <w:jc w:val="both"/>
        <w:rPr>
          <w:szCs w:val="22"/>
          <w:lang w:val="sr-Latn-RS" w:eastAsia="hr-HR"/>
        </w:rPr>
      </w:pPr>
      <w:r>
        <w:rPr>
          <w:szCs w:val="22"/>
          <w:lang w:val="sr-Latn-RS" w:eastAsia="hr-HR"/>
        </w:rPr>
        <w:t>kod pacijenata koji istovremeno primaju ciklosporin,</w:t>
      </w:r>
    </w:p>
    <w:p w:rsidR="00582F55" w:rsidRDefault="001B0A63" w:rsidP="00166FF2">
      <w:pPr>
        <w:widowControl w:val="0"/>
        <w:numPr>
          <w:ilvl w:val="0"/>
          <w:numId w:val="29"/>
        </w:numPr>
        <w:tabs>
          <w:tab w:val="clear" w:pos="567"/>
          <w:tab w:val="clear" w:pos="720"/>
        </w:tabs>
        <w:spacing w:line="240" w:lineRule="auto"/>
        <w:jc w:val="both"/>
        <w:rPr>
          <w:szCs w:val="22"/>
          <w:lang w:val="sr-Latn-RS" w:eastAsia="hr-HR"/>
        </w:rPr>
      </w:pPr>
      <w:r>
        <w:rPr>
          <w:szCs w:val="22"/>
          <w:lang w:val="sr-Latn-RS" w:eastAsia="hr-HR"/>
        </w:rPr>
        <w:t>tokom trudnoće i dojenja i kod žena u reproduktivnom dobu koje ne koriste odgovarajuće kontraceptivne mjere (vidjeti dio 4.6).</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Primjena doze od 40 mg kontraindikovana je kod pacijenata sa predispozicijskim faktorima za miopatiju odnosno rabdomiolizu. Ti faktori su:</w:t>
      </w:r>
    </w:p>
    <w:p w:rsidR="00582F55" w:rsidRDefault="001B0A63" w:rsidP="00166FF2">
      <w:pPr>
        <w:widowControl w:val="0"/>
        <w:numPr>
          <w:ilvl w:val="0"/>
          <w:numId w:val="29"/>
        </w:numPr>
        <w:spacing w:line="240" w:lineRule="auto"/>
        <w:jc w:val="both"/>
        <w:rPr>
          <w:szCs w:val="22"/>
          <w:lang w:val="sr-Latn-RS" w:eastAsia="hr-HR"/>
        </w:rPr>
      </w:pPr>
      <w:r>
        <w:rPr>
          <w:szCs w:val="22"/>
          <w:lang w:val="sr-Latn-RS" w:eastAsia="hr-HR"/>
        </w:rPr>
        <w:t>umjereno oštećenje bubrega (klirens kreatinina manji od 60 ml/min),</w:t>
      </w:r>
    </w:p>
    <w:p w:rsidR="00582F55" w:rsidRDefault="001B0A63" w:rsidP="00166FF2">
      <w:pPr>
        <w:widowControl w:val="0"/>
        <w:numPr>
          <w:ilvl w:val="0"/>
          <w:numId w:val="29"/>
        </w:numPr>
        <w:spacing w:line="240" w:lineRule="auto"/>
        <w:jc w:val="both"/>
        <w:rPr>
          <w:szCs w:val="22"/>
          <w:lang w:val="sr-Latn-RS" w:eastAsia="hr-HR"/>
        </w:rPr>
      </w:pPr>
      <w:r>
        <w:rPr>
          <w:szCs w:val="22"/>
          <w:lang w:val="sr-Latn-RS" w:eastAsia="hr-HR"/>
        </w:rPr>
        <w:t>hipotiroidizam,</w:t>
      </w:r>
    </w:p>
    <w:p w:rsidR="00582F55" w:rsidRDefault="001B0A63" w:rsidP="00166FF2">
      <w:pPr>
        <w:widowControl w:val="0"/>
        <w:numPr>
          <w:ilvl w:val="0"/>
          <w:numId w:val="29"/>
        </w:numPr>
        <w:spacing w:line="240" w:lineRule="auto"/>
        <w:jc w:val="both"/>
        <w:rPr>
          <w:szCs w:val="22"/>
          <w:lang w:val="sr-Latn-RS" w:eastAsia="hr-HR"/>
        </w:rPr>
      </w:pPr>
      <w:r>
        <w:rPr>
          <w:szCs w:val="22"/>
          <w:lang w:val="sr-Latn-RS" w:eastAsia="hr-HR"/>
        </w:rPr>
        <w:t>postojanje nasljednih mišićnih poremećaja u ličnoj ili porodičnoj anamnezi,</w:t>
      </w:r>
    </w:p>
    <w:p w:rsidR="00582F55" w:rsidRDefault="001B0A63" w:rsidP="00166FF2">
      <w:pPr>
        <w:widowControl w:val="0"/>
        <w:numPr>
          <w:ilvl w:val="0"/>
          <w:numId w:val="29"/>
        </w:numPr>
        <w:spacing w:line="240" w:lineRule="auto"/>
        <w:jc w:val="both"/>
        <w:rPr>
          <w:szCs w:val="22"/>
          <w:lang w:val="sr-Latn-RS" w:eastAsia="hr-HR"/>
        </w:rPr>
      </w:pPr>
      <w:r>
        <w:rPr>
          <w:szCs w:val="22"/>
          <w:lang w:val="sr-Latn-RS" w:eastAsia="hr-HR"/>
        </w:rPr>
        <w:t>ranija pojava mišićne toksičnosti pri primjeni nekog od inhibitora HMG-CoA reduktaze ili fibrata,</w:t>
      </w:r>
    </w:p>
    <w:p w:rsidR="00582F55" w:rsidRDefault="001B0A63" w:rsidP="00166FF2">
      <w:pPr>
        <w:widowControl w:val="0"/>
        <w:numPr>
          <w:ilvl w:val="0"/>
          <w:numId w:val="29"/>
        </w:numPr>
        <w:spacing w:line="240" w:lineRule="auto"/>
        <w:jc w:val="both"/>
        <w:rPr>
          <w:szCs w:val="22"/>
          <w:lang w:val="sr-Latn-RS" w:eastAsia="hr-HR"/>
        </w:rPr>
      </w:pPr>
      <w:r>
        <w:rPr>
          <w:szCs w:val="22"/>
          <w:lang w:val="sr-Latn-RS" w:eastAsia="hr-HR"/>
        </w:rPr>
        <w:t>zloupotreba alkohola,</w:t>
      </w:r>
    </w:p>
    <w:p w:rsidR="00582F55" w:rsidRDefault="001B0A63" w:rsidP="00166FF2">
      <w:pPr>
        <w:widowControl w:val="0"/>
        <w:numPr>
          <w:ilvl w:val="0"/>
          <w:numId w:val="29"/>
        </w:numPr>
        <w:spacing w:line="240" w:lineRule="auto"/>
        <w:jc w:val="both"/>
        <w:rPr>
          <w:szCs w:val="22"/>
          <w:lang w:val="sr-Latn-RS" w:eastAsia="hr-HR"/>
        </w:rPr>
      </w:pPr>
      <w:r>
        <w:rPr>
          <w:szCs w:val="22"/>
          <w:lang w:val="sr-Latn-RS" w:eastAsia="hr-HR"/>
        </w:rPr>
        <w:t>situacija u kojima može doći do povećanja koncentracije lijeka u plazmi,</w:t>
      </w:r>
    </w:p>
    <w:p w:rsidR="00582F55" w:rsidRDefault="001B0A63" w:rsidP="00166FF2">
      <w:pPr>
        <w:widowControl w:val="0"/>
        <w:numPr>
          <w:ilvl w:val="0"/>
          <w:numId w:val="29"/>
        </w:numPr>
        <w:spacing w:line="240" w:lineRule="auto"/>
        <w:jc w:val="both"/>
        <w:rPr>
          <w:szCs w:val="22"/>
          <w:lang w:val="sr-Latn-RS" w:eastAsia="hr-HR"/>
        </w:rPr>
      </w:pPr>
      <w:r>
        <w:rPr>
          <w:szCs w:val="22"/>
          <w:lang w:val="sr-Latn-RS" w:eastAsia="hr-HR"/>
        </w:rPr>
        <w:t>pripadnost azijskim narodima,</w:t>
      </w:r>
    </w:p>
    <w:p w:rsidR="00582F55" w:rsidRDefault="001B0A63" w:rsidP="00166FF2">
      <w:pPr>
        <w:widowControl w:val="0"/>
        <w:numPr>
          <w:ilvl w:val="0"/>
          <w:numId w:val="29"/>
        </w:numPr>
        <w:spacing w:line="240" w:lineRule="auto"/>
        <w:jc w:val="both"/>
        <w:rPr>
          <w:szCs w:val="22"/>
          <w:lang w:val="sr-Latn-RS" w:eastAsia="hr-HR"/>
        </w:rPr>
      </w:pPr>
      <w:r>
        <w:rPr>
          <w:szCs w:val="22"/>
          <w:lang w:val="sr-Latn-RS" w:eastAsia="hr-HR"/>
        </w:rPr>
        <w:t>istovremena primjena fibrata.</w:t>
      </w:r>
    </w:p>
    <w:p w:rsidR="00582F55" w:rsidRDefault="001B0A63" w:rsidP="00166FF2">
      <w:pPr>
        <w:widowControl w:val="0"/>
        <w:spacing w:line="240" w:lineRule="auto"/>
        <w:jc w:val="both"/>
        <w:rPr>
          <w:szCs w:val="22"/>
          <w:lang w:val="sr-Latn-RS" w:eastAsia="hr-HR"/>
        </w:rPr>
      </w:pPr>
      <w:r>
        <w:rPr>
          <w:szCs w:val="22"/>
          <w:lang w:val="sr-Latn-RS" w:eastAsia="hr-HR"/>
        </w:rPr>
        <w:t>(vidjeti djelove 4.4, 4.5 i 5.2).</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b/>
          <w:szCs w:val="22"/>
          <w:lang w:val="sr-Latn-RS"/>
        </w:rPr>
      </w:pPr>
      <w:r>
        <w:rPr>
          <w:b/>
          <w:szCs w:val="22"/>
          <w:lang w:val="sr-Latn-RS"/>
        </w:rPr>
        <w:t>4.4</w:t>
      </w:r>
      <w:r>
        <w:rPr>
          <w:b/>
          <w:szCs w:val="22"/>
          <w:lang w:val="sr-Latn-RS"/>
        </w:rPr>
        <w:tab/>
        <w:t>Posebna upozorenja i mjere opreza pri upotrebi lijeka</w:t>
      </w:r>
    </w:p>
    <w:p w:rsidR="00582F55" w:rsidRDefault="00582F55" w:rsidP="00166FF2">
      <w:pPr>
        <w:widowControl w:val="0"/>
        <w:spacing w:line="240" w:lineRule="auto"/>
        <w:jc w:val="both"/>
        <w:rPr>
          <w:b/>
          <w:szCs w:val="22"/>
          <w:lang w:val="sr-Latn-RS"/>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Uticaj na funkciju bubrega</w:t>
      </w:r>
    </w:p>
    <w:p w:rsidR="00582F55" w:rsidRDefault="001B0A63" w:rsidP="00166FF2">
      <w:pPr>
        <w:widowControl w:val="0"/>
        <w:spacing w:line="240" w:lineRule="auto"/>
        <w:jc w:val="both"/>
        <w:rPr>
          <w:szCs w:val="22"/>
          <w:lang w:val="sr-Latn-RS" w:eastAsia="hr-HR"/>
        </w:rPr>
      </w:pPr>
      <w:r>
        <w:rPr>
          <w:szCs w:val="22"/>
          <w:lang w:val="sr-Latn-RS" w:eastAsia="hr-HR"/>
        </w:rPr>
        <w:t xml:space="preserve">Proteinurija, detektovana ″dipstick″ metodom, pretežno tubularnog porijekla, uočena je kod pacijenata koji su uzimali veće doze rosuvastatina, naročito 40 mg i kod većine pacijenata bila je prolazna ili periodična. Nije dokazano da je proteinurija pokazatelj akutnog ili progresivnog oboljenja bubrega </w:t>
      </w:r>
      <w:r>
        <w:rPr>
          <w:szCs w:val="22"/>
          <w:lang w:val="sr-Latn-RS" w:eastAsia="hr-HR"/>
        </w:rPr>
        <w:lastRenderedPageBreak/>
        <w:t>(vidjeti dio 4.8). U postmarketinškom periodu, stopa prijavljivanja ozbiljnih neželjenih reakcija povezanih sa renalnim sistemom je veća pri dozi od 40 mg. Treba razmotriti procjenu bubrežne funkcije tokom rutinskog praćenja pacijenata koji primaju dozu od 40 mg.</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4"/>
        <w:rPr>
          <w:szCs w:val="22"/>
          <w:u w:val="single"/>
          <w:lang w:val="sr-Latn-RS" w:eastAsia="hr-HR"/>
        </w:rPr>
      </w:pPr>
      <w:r>
        <w:rPr>
          <w:szCs w:val="22"/>
          <w:u w:val="single"/>
          <w:lang w:val="sr-Latn-RS" w:eastAsia="hr-HR"/>
        </w:rPr>
        <w:t>Efekti na skleletne mišiće</w:t>
      </w:r>
    </w:p>
    <w:p w:rsidR="00582F55" w:rsidRDefault="001B0A63" w:rsidP="00166FF2">
      <w:pPr>
        <w:widowControl w:val="0"/>
        <w:spacing w:line="240" w:lineRule="auto"/>
        <w:jc w:val="both"/>
        <w:rPr>
          <w:szCs w:val="22"/>
          <w:lang w:val="sr-Latn-RS" w:eastAsia="hr-HR"/>
        </w:rPr>
      </w:pPr>
      <w:r>
        <w:rPr>
          <w:szCs w:val="22"/>
          <w:lang w:val="sr-Latn-RS" w:eastAsia="hr-HR"/>
        </w:rPr>
        <w:t>Prijavljen je uticaj na skeletne mišiće, npr mijalgija, miopatija, i rijetko o rabdomioliza kod pacijenata kod kojih je primjenjivan u različitim dozama rosuvastatin, naročito kod primjene doza &gt;20 mg. Prijavljeni su veoma rijetki slučajevi rabdomiolize pri primjeni ezetimiba u kombinaciji sa inhibitorima HMG-CoA reduktaze. Farmakodinamička interakcija se ne može isključiti, te treba biti oprezan pri istovremenoj primjeni ovih ljekova i ezetimiba (vidjeti dio 4.5).</w:t>
      </w:r>
    </w:p>
    <w:p w:rsidR="00582F55" w:rsidRDefault="001B0A63" w:rsidP="00166FF2">
      <w:pPr>
        <w:widowControl w:val="0"/>
        <w:spacing w:line="240" w:lineRule="auto"/>
        <w:jc w:val="both"/>
        <w:rPr>
          <w:szCs w:val="22"/>
          <w:lang w:val="sr-Latn-RS" w:eastAsia="hr-HR"/>
        </w:rPr>
      </w:pPr>
      <w:r>
        <w:rPr>
          <w:szCs w:val="22"/>
          <w:lang w:val="sr-Latn-RS" w:eastAsia="hr-HR"/>
        </w:rPr>
        <w:t>Kao i kod ostalih inhibitora HMG-CoA reduktaze u postmarketinškom periodu, stopa prijavljivanja rabdomiolize povezane sa primjenom rosuvastatina je veća pri dozi od 40 mg.</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Mjerenje vrijednosti kreatin kinaze</w:t>
      </w:r>
    </w:p>
    <w:p w:rsidR="00582F55" w:rsidRDefault="001B0A63" w:rsidP="00166FF2">
      <w:pPr>
        <w:widowControl w:val="0"/>
        <w:spacing w:line="240" w:lineRule="auto"/>
        <w:jc w:val="both"/>
        <w:rPr>
          <w:szCs w:val="22"/>
          <w:lang w:val="sr-Latn-RS" w:eastAsia="hr-HR"/>
        </w:rPr>
      </w:pPr>
      <w:r>
        <w:rPr>
          <w:szCs w:val="22"/>
          <w:lang w:val="sr-Latn-RS" w:eastAsia="hr-HR"/>
        </w:rPr>
        <w:t>Mjerenje vrijednosti kreatin kinaze (CK-</w:t>
      </w:r>
      <w:r>
        <w:rPr>
          <w:i/>
          <w:iCs/>
          <w:szCs w:val="22"/>
          <w:lang w:val="sr-Latn-RS" w:eastAsia="hr-HR"/>
        </w:rPr>
        <w:t>creatin kinase</w:t>
      </w:r>
      <w:r>
        <w:rPr>
          <w:szCs w:val="22"/>
          <w:lang w:val="sr-Latn-RS" w:eastAsia="hr-HR"/>
        </w:rPr>
        <w:t>) se ne preporučuje nakon naporne fizičke aktivnosti ili u prisustvu nekog drugog faktora koji može dovesti do pogrešnog tumačenja rezultata. Ako su vrijednosti CK značajno povišene na početku (više od pet puta iznad gornje granice normalnih vrijednosti), testiranje treba ponoviti za 5 do 7 dana da bi se potvrdili rezultati. Ako se potvrdi da su vrijednosti CK više od petostruke gornje granice normalnih vrijednosti, terapija se ne smije započinjati.</w:t>
      </w:r>
    </w:p>
    <w:p w:rsidR="00582F55" w:rsidRDefault="00582F55" w:rsidP="00166FF2">
      <w:pPr>
        <w:widowControl w:val="0"/>
        <w:spacing w:line="240" w:lineRule="auto"/>
        <w:rPr>
          <w:szCs w:val="22"/>
          <w:lang w:val="sr-Latn-RS" w:eastAsia="hr-HR"/>
        </w:rPr>
      </w:pPr>
    </w:p>
    <w:p w:rsidR="00582F55" w:rsidRDefault="001B0A63" w:rsidP="00166FF2">
      <w:pPr>
        <w:widowControl w:val="0"/>
        <w:spacing w:line="240" w:lineRule="auto"/>
        <w:outlineLvl w:val="2"/>
        <w:rPr>
          <w:i/>
          <w:iCs/>
          <w:szCs w:val="22"/>
          <w:lang w:val="sr-Latn-RS" w:eastAsia="hr-HR"/>
        </w:rPr>
      </w:pPr>
      <w:r>
        <w:rPr>
          <w:i/>
          <w:iCs/>
          <w:szCs w:val="22"/>
          <w:lang w:val="sr-Latn-RS" w:eastAsia="hr-HR"/>
        </w:rPr>
        <w:t>Prije terapije</w:t>
      </w:r>
    </w:p>
    <w:p w:rsidR="00582F55" w:rsidRDefault="001B0A63" w:rsidP="00166FF2">
      <w:pPr>
        <w:widowControl w:val="0"/>
        <w:spacing w:line="240" w:lineRule="auto"/>
        <w:jc w:val="both"/>
        <w:rPr>
          <w:szCs w:val="22"/>
          <w:lang w:val="sr-Latn-RS" w:eastAsia="hr-HR"/>
        </w:rPr>
      </w:pPr>
      <w:r>
        <w:rPr>
          <w:szCs w:val="22"/>
          <w:lang w:val="sr-Latn-RS" w:eastAsia="hr-HR"/>
        </w:rPr>
        <w:t>Lijek Roswera kao i ostale inhibitore HMG-CoA reduktaze treba veoma oprezno primjenjivati kod pacijenata sa predispozicijskim faktorima za miopatiju odnosno rabdomiolizu. Ti faktori su:</w:t>
      </w:r>
    </w:p>
    <w:p w:rsidR="00582F55" w:rsidRDefault="00582F55" w:rsidP="00166FF2">
      <w:pPr>
        <w:widowControl w:val="0"/>
        <w:spacing w:line="240" w:lineRule="auto"/>
        <w:jc w:val="both"/>
        <w:rPr>
          <w:szCs w:val="22"/>
          <w:lang w:val="sr-Latn-RS" w:eastAsia="hr-HR"/>
        </w:rPr>
      </w:pPr>
    </w:p>
    <w:p w:rsidR="00582F55" w:rsidRDefault="001B0A63" w:rsidP="00166FF2">
      <w:pPr>
        <w:widowControl w:val="0"/>
        <w:numPr>
          <w:ilvl w:val="0"/>
          <w:numId w:val="30"/>
        </w:numPr>
        <w:spacing w:line="240" w:lineRule="auto"/>
        <w:jc w:val="both"/>
        <w:rPr>
          <w:szCs w:val="22"/>
          <w:lang w:val="sr-Latn-RS" w:eastAsia="hr-HR"/>
        </w:rPr>
      </w:pPr>
      <w:r>
        <w:rPr>
          <w:szCs w:val="22"/>
          <w:lang w:val="sr-Latn-RS" w:eastAsia="hr-HR"/>
        </w:rPr>
        <w:t>oslabljena funkcija bubrega,</w:t>
      </w:r>
    </w:p>
    <w:p w:rsidR="00582F55" w:rsidRDefault="001B0A63" w:rsidP="00166FF2">
      <w:pPr>
        <w:widowControl w:val="0"/>
        <w:numPr>
          <w:ilvl w:val="0"/>
          <w:numId w:val="30"/>
        </w:numPr>
        <w:spacing w:line="240" w:lineRule="auto"/>
        <w:jc w:val="both"/>
        <w:rPr>
          <w:szCs w:val="22"/>
          <w:lang w:val="sr-Latn-RS" w:eastAsia="hr-HR"/>
        </w:rPr>
      </w:pPr>
      <w:r>
        <w:rPr>
          <w:szCs w:val="22"/>
          <w:lang w:val="sr-Latn-RS" w:eastAsia="hr-HR"/>
        </w:rPr>
        <w:t>hipotireoidizam,</w:t>
      </w:r>
    </w:p>
    <w:p w:rsidR="00582F55" w:rsidRDefault="001B0A63" w:rsidP="00166FF2">
      <w:pPr>
        <w:widowControl w:val="0"/>
        <w:numPr>
          <w:ilvl w:val="0"/>
          <w:numId w:val="30"/>
        </w:numPr>
        <w:spacing w:line="240" w:lineRule="auto"/>
        <w:jc w:val="both"/>
        <w:rPr>
          <w:szCs w:val="22"/>
          <w:lang w:val="sr-Latn-RS" w:eastAsia="hr-HR"/>
        </w:rPr>
      </w:pPr>
      <w:r>
        <w:rPr>
          <w:szCs w:val="22"/>
          <w:lang w:val="sr-Latn-RS" w:eastAsia="hr-HR"/>
        </w:rPr>
        <w:t>nasledne mišićne bolesti u ličnoj ili porodičnoj anamnezi,</w:t>
      </w:r>
    </w:p>
    <w:p w:rsidR="00582F55" w:rsidRDefault="001B0A63" w:rsidP="00166FF2">
      <w:pPr>
        <w:widowControl w:val="0"/>
        <w:numPr>
          <w:ilvl w:val="0"/>
          <w:numId w:val="30"/>
        </w:numPr>
        <w:spacing w:line="240" w:lineRule="auto"/>
        <w:jc w:val="both"/>
        <w:rPr>
          <w:szCs w:val="22"/>
          <w:lang w:val="sr-Latn-RS" w:eastAsia="hr-HR"/>
        </w:rPr>
      </w:pPr>
      <w:r>
        <w:rPr>
          <w:szCs w:val="22"/>
          <w:lang w:val="sr-Latn-RS" w:eastAsia="hr-HR"/>
        </w:rPr>
        <w:t>anamneza ranije mišićne toksičnosti pri primjeni drugih inhibitora HMG-CoA reduktaze ili fibrata;</w:t>
      </w:r>
    </w:p>
    <w:p w:rsidR="00582F55" w:rsidRDefault="001B0A63" w:rsidP="00166FF2">
      <w:pPr>
        <w:widowControl w:val="0"/>
        <w:numPr>
          <w:ilvl w:val="0"/>
          <w:numId w:val="30"/>
        </w:numPr>
        <w:spacing w:line="240" w:lineRule="auto"/>
        <w:jc w:val="both"/>
        <w:rPr>
          <w:szCs w:val="22"/>
          <w:lang w:val="sr-Latn-RS" w:eastAsia="hr-HR"/>
        </w:rPr>
      </w:pPr>
      <w:r>
        <w:rPr>
          <w:szCs w:val="22"/>
          <w:lang w:val="sr-Latn-RS" w:eastAsia="hr-HR"/>
        </w:rPr>
        <w:t>zloupotreba alkohola,</w:t>
      </w:r>
    </w:p>
    <w:p w:rsidR="00582F55" w:rsidRDefault="001B0A63" w:rsidP="00166FF2">
      <w:pPr>
        <w:widowControl w:val="0"/>
        <w:numPr>
          <w:ilvl w:val="0"/>
          <w:numId w:val="30"/>
        </w:numPr>
        <w:spacing w:line="240" w:lineRule="auto"/>
        <w:jc w:val="both"/>
        <w:rPr>
          <w:szCs w:val="22"/>
          <w:lang w:val="sr-Latn-RS" w:eastAsia="hr-HR"/>
        </w:rPr>
      </w:pPr>
      <w:r>
        <w:rPr>
          <w:szCs w:val="22"/>
          <w:lang w:val="sr-Latn-RS" w:eastAsia="hr-HR"/>
        </w:rPr>
        <w:t>starost preko 70 godina,</w:t>
      </w:r>
    </w:p>
    <w:p w:rsidR="00582F55" w:rsidRDefault="001B0A63" w:rsidP="00166FF2">
      <w:pPr>
        <w:widowControl w:val="0"/>
        <w:numPr>
          <w:ilvl w:val="0"/>
          <w:numId w:val="30"/>
        </w:numPr>
        <w:spacing w:line="240" w:lineRule="auto"/>
        <w:jc w:val="both"/>
        <w:rPr>
          <w:szCs w:val="22"/>
          <w:lang w:val="sr-Latn-RS" w:eastAsia="hr-HR"/>
        </w:rPr>
      </w:pPr>
      <w:r>
        <w:rPr>
          <w:szCs w:val="22"/>
          <w:lang w:val="sr-Latn-RS" w:eastAsia="hr-HR"/>
        </w:rPr>
        <w:t>stanja kod kojih se može povećati vrijednost rosuvastatina u plazmi (vidjeti dio 5.2),</w:t>
      </w:r>
    </w:p>
    <w:p w:rsidR="00582F55" w:rsidRDefault="001B0A63" w:rsidP="00166FF2">
      <w:pPr>
        <w:widowControl w:val="0"/>
        <w:numPr>
          <w:ilvl w:val="0"/>
          <w:numId w:val="30"/>
        </w:numPr>
        <w:spacing w:line="240" w:lineRule="auto"/>
        <w:jc w:val="both"/>
        <w:rPr>
          <w:szCs w:val="22"/>
          <w:lang w:val="sr-Latn-RS" w:eastAsia="hr-HR"/>
        </w:rPr>
      </w:pPr>
      <w:r>
        <w:rPr>
          <w:szCs w:val="22"/>
          <w:lang w:val="sr-Latn-RS" w:eastAsia="hr-HR"/>
        </w:rPr>
        <w:t>istovremena primjena fibrata.</w:t>
      </w:r>
    </w:p>
    <w:p w:rsidR="00582F55" w:rsidRDefault="00582F55" w:rsidP="00166FF2">
      <w:pPr>
        <w:widowControl w:val="0"/>
        <w:numPr>
          <w:ilvl w:val="0"/>
          <w:numId w:val="30"/>
        </w:numPr>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Kod ovih pacijenata potrebno je da se rizik terapije sagleda u odnosu na moguću korist i preporučuje se kliničko praćenje. Ako su vrijednosti CK značajno povišene na početku (više od petostruke gornje granice normalnih vrijednosti),ne treba započinjati terapiju.</w:t>
      </w:r>
    </w:p>
    <w:p w:rsidR="00582F55" w:rsidRDefault="00582F55" w:rsidP="00166FF2">
      <w:pPr>
        <w:widowControl w:val="0"/>
        <w:spacing w:line="240" w:lineRule="auto"/>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Tokom terapije</w:t>
      </w:r>
    </w:p>
    <w:p w:rsidR="00582F55" w:rsidRDefault="001B0A63" w:rsidP="00166FF2">
      <w:pPr>
        <w:widowControl w:val="0"/>
        <w:spacing w:line="240" w:lineRule="auto"/>
        <w:jc w:val="both"/>
        <w:rPr>
          <w:szCs w:val="22"/>
          <w:lang w:val="sr-Latn-RS" w:eastAsia="hr-HR"/>
        </w:rPr>
      </w:pPr>
      <w:r>
        <w:rPr>
          <w:szCs w:val="22"/>
          <w:lang w:val="sr-Latn-RS" w:eastAsia="hr-HR"/>
        </w:rPr>
        <w:t>Pacijente treba savjetovati da u slučaju pojave neobjašnjivih bolova, slabosti ili grčeva u mišićima, naročito ako je to povezano i sa opštim lošim osjećanjem (malaksalošću) ili povišenom tjelesnom temperaturom, odmah obavijeste svog ljekara. Kod ovih pacijenata treba odrediti CK i prekinuti terapiju ako su vrijednosti CK izrazito povećane (na više od petostruke gornje granice normalnih vrijednosti) ili ako su mišićni simptomi neprijatni i uzrokuju svakodnevne teškoće (čak i onda kada je  vrijednost CK jednaka peterostrukoj gornjoj granici normalnih vrijednosti ili manja). Ako se simptomi povuku i vrijednost CK se vrati na normalnu vrijednost, potrebno je razmotriti ponovno uvođenje lijeka Roswera ili alternativnog inhibitora HMG-CoA reduktaze u najmanjim dozama uz pažljivo praćenje. Rutinsko praćenje vrijednosti CK kod pacijenata bez simptoma nije neophodno.</w:t>
      </w:r>
    </w:p>
    <w:p w:rsidR="00582F55" w:rsidRDefault="00582F55" w:rsidP="00166FF2">
      <w:pPr>
        <w:widowControl w:val="0"/>
        <w:spacing w:line="240" w:lineRule="auto"/>
        <w:jc w:val="both"/>
        <w:rPr>
          <w:szCs w:val="22"/>
          <w:lang w:val="sr-Latn-RS" w:eastAsia="hr-HR"/>
        </w:rPr>
      </w:pPr>
    </w:p>
    <w:p w:rsidR="00582F55" w:rsidRPr="001B0A63" w:rsidRDefault="001B0A63" w:rsidP="00166FF2">
      <w:pPr>
        <w:widowControl w:val="0"/>
        <w:spacing w:line="240" w:lineRule="auto"/>
        <w:jc w:val="both"/>
        <w:rPr>
          <w:szCs w:val="22"/>
          <w:lang w:val="sr-Latn-RS" w:eastAsia="hr-HR"/>
        </w:rPr>
      </w:pPr>
      <w:r w:rsidRPr="001B0A63">
        <w:rPr>
          <w:szCs w:val="22"/>
          <w:lang w:val="sr-Latn-RS" w:eastAsia="hr-HR"/>
        </w:rPr>
        <w:t xml:space="preserve">Prijavljeno je u nekoliko slučajeva da statini indukuju </w:t>
      </w:r>
      <w:r w:rsidRPr="001B0A63">
        <w:rPr>
          <w:i/>
          <w:iCs/>
          <w:szCs w:val="22"/>
          <w:lang w:val="sr-Latn-RS" w:eastAsia="hr-HR"/>
        </w:rPr>
        <w:t>de novo</w:t>
      </w:r>
      <w:r w:rsidRPr="001B0A63">
        <w:rPr>
          <w:szCs w:val="22"/>
          <w:lang w:val="sr-Latn-RS" w:eastAsia="hr-HR"/>
        </w:rPr>
        <w:t xml:space="preserve"> ili pogoršavaju već postojeću miasteniju gravis ili okularnu miasteniju (vidjeti dio 4.8.). Primjenu lijeka Roswera treba prekinuti u slučaju pogoršanja simptoma. Zabilježeno je ponovno pojavljivanje kada je isti ili neki drugi statin (ponovo) primijenjen.</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 xml:space="preserve">U kliničkim ispitivanjima nije dokazan povećan uticaj na skeletne mišiće kod manjeg broja pacijenata koji su se istovremeno primali rosuvastatin uporedo sa drugom terapijom. Ipak primijećena je povećana incidenca miozitisa i miopatije kod pacijenata koji su uzimali druge inhibitore HMG-CoA reduktaze </w:t>
      </w:r>
      <w:r>
        <w:rPr>
          <w:szCs w:val="22"/>
          <w:lang w:val="sr-Latn-RS" w:eastAsia="hr-HR"/>
        </w:rPr>
        <w:lastRenderedPageBreak/>
        <w:t>istovremeno sa fibratima (npr. gemfibrozilom), ciklosporinom, nikotinskom kiselinom, azolnim antimikoticima, inhibitorima proteaze ili makrolidnim antibioticima. Gemfibrozil povećava rizik od miopatije ako se primjenjuje istovremeno sa nekim inhibitorima HMG-CoA reduktaze. Stoga se kombinacija lijeka Roswera i gemfibrozila ne preporučuje. Potrebno je pažljivo procijeniti korist od daljih promjena nivoa lipida zbog istovremenog uzimanja lijeka Roswera i fibrata ili niacina, u odnosu na moguće rizike njihove primjene. Istovremeno uzimanje doze od 30 mg ili 40 mg i fibrata je kontraindikovano (vidjeti dio 4.5 i 4.8).</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Rosuvastatin se ne smije primjenjivati istovremeno sa sistemskim formulacijama fusidinske kiseline, ili u roku od 7 dana od dana prekida terapije fusidinskom kiselinom. Kod pacijenata gdje se upotreba sistemske fusidinske kiseline smatra neophodnom, liječenje statinima treba prekinuti tokom trajanja liječenja fusidinskom kiselinom. Prijavljeni su slučajevi rabdomiolize (uključujući i neke sa smrtnim ishodom) kod pacijenata koji su primali fusidinsku kiselinu i statine u kombinaciji (vidjeti dio 4.5). Pacijente treba savjetovati da potraže savjet ljekara ukoliko imaju bilo kakve simptome slabosti mišića, bola ili osjetljivosti. Liječenje statinima se može ponovo uvesti sedam dana nakon posljednje doze fusidinske kiseline. U izuzetnim okolnostima, kad je potrebna produžena primjena sistemske fusidinske kiseline, npr. za liječenje teških infekcija, istovremenu primjenu rosuvastatina i fusidinske kiseline treba razmotriti samo od slučaja do slučaja, a pod strogim medicinskim nadzorom.</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Lijek Roswera ne treba primjenjivati kod pacijenata sa ozbiljnim akutnim oboljenjem koje ukazuje na miopatiju ili koji imaju predispozicije za razvoj insuficijencije bubrega kao posljedicu rabdomiolize (npr. sepsa, hipotenzija, veća operacija, trauma, teški metabolički, endokrini i elektrolitski poremećaji ili nekontrolisani napadi).</w:t>
      </w:r>
    </w:p>
    <w:p w:rsidR="00582F55" w:rsidRDefault="00582F55" w:rsidP="00166FF2">
      <w:pPr>
        <w:widowControl w:val="0"/>
        <w:spacing w:line="240" w:lineRule="auto"/>
        <w:rPr>
          <w:szCs w:val="22"/>
          <w:lang w:val="sr-Latn-RS" w:eastAsia="hr-HR"/>
        </w:rPr>
      </w:pPr>
    </w:p>
    <w:p w:rsidR="00582F55" w:rsidRDefault="001B0A63" w:rsidP="00166FF2">
      <w:pPr>
        <w:widowControl w:val="0"/>
        <w:spacing w:line="240" w:lineRule="auto"/>
        <w:jc w:val="both"/>
        <w:rPr>
          <w:i/>
          <w:szCs w:val="22"/>
          <w:lang w:val="sr-Latn-RS" w:eastAsia="hr-HR"/>
        </w:rPr>
      </w:pPr>
      <w:r>
        <w:rPr>
          <w:i/>
          <w:szCs w:val="22"/>
          <w:lang w:val="sr-Latn-RS" w:eastAsia="hr-HR"/>
        </w:rPr>
        <w:t xml:space="preserve">Ozbiljne neželjene reakcije na koži </w:t>
      </w:r>
    </w:p>
    <w:p w:rsidR="00582F55" w:rsidRDefault="001B0A63" w:rsidP="00166FF2">
      <w:pPr>
        <w:widowControl w:val="0"/>
        <w:spacing w:line="240" w:lineRule="auto"/>
        <w:jc w:val="both"/>
        <w:rPr>
          <w:szCs w:val="22"/>
          <w:lang w:val="sr-Latn-RS" w:eastAsia="hr-HR"/>
        </w:rPr>
      </w:pPr>
      <w:r>
        <w:rPr>
          <w:szCs w:val="22"/>
          <w:lang w:val="sr-Latn-RS" w:eastAsia="hr-HR"/>
        </w:rPr>
        <w:t xml:space="preserve">Ozbiljne neželjene reakcije na koži, uključujući Stevens-Johnsonov sindrom (SJS) i reakciju na lijek praćenu eozinofilijom i sistemskim simptomima (engl. </w:t>
      </w:r>
      <w:r>
        <w:rPr>
          <w:i/>
          <w:szCs w:val="22"/>
          <w:lang w:val="sr-Latn-RS" w:eastAsia="hr-HR"/>
        </w:rPr>
        <w:t>Drug reaction with eosinophilia and systemic symptoms,</w:t>
      </w:r>
      <w:r>
        <w:rPr>
          <w:szCs w:val="22"/>
          <w:lang w:val="sr-Latn-RS" w:eastAsia="hr-HR"/>
        </w:rPr>
        <w:t xml:space="preserve"> DRESS), koje mogu biti opasne po život ili smrtonosne, prijavljene su kod primjene rosuvastatina. U trenutku propisivanja terapije, pacijente treba savjetovati o znacima i simptomima teških kožnih reakcija, i pažljivo ih pratiti. Ako se pojave znaci i simptomi koji upućuju na te reakcije, liječenje Roswerom treba odmah prekinuti i razmotriti liječenje drugim lijekom. </w:t>
      </w:r>
    </w:p>
    <w:p w:rsidR="00582F55" w:rsidRDefault="001B0A63" w:rsidP="00166FF2">
      <w:pPr>
        <w:widowControl w:val="0"/>
        <w:spacing w:line="240" w:lineRule="auto"/>
        <w:jc w:val="both"/>
        <w:rPr>
          <w:szCs w:val="22"/>
          <w:lang w:val="sr-Latn-RS" w:eastAsia="hr-HR"/>
        </w:rPr>
      </w:pPr>
      <w:r>
        <w:rPr>
          <w:szCs w:val="22"/>
          <w:lang w:val="sr-Latn-RS" w:eastAsia="hr-HR"/>
        </w:rPr>
        <w:t>Ako je prilikom primjene Roswere pacijent razvio ozbiljnu reakciju poput SJS-a ili DRESS-a, liječenje Roswerom kod ovih pacijenata ne smije se ni u jednom trenutku ponovno započeti.</w:t>
      </w:r>
    </w:p>
    <w:p w:rsidR="00582F55" w:rsidRDefault="00582F55" w:rsidP="00166FF2">
      <w:pPr>
        <w:widowControl w:val="0"/>
        <w:spacing w:line="240" w:lineRule="auto"/>
        <w:rPr>
          <w:szCs w:val="22"/>
          <w:lang w:val="sr-Latn-RS" w:eastAsia="hr-HR"/>
        </w:rPr>
      </w:pPr>
    </w:p>
    <w:p w:rsidR="00582F55" w:rsidRDefault="001B0A63" w:rsidP="00166FF2">
      <w:pPr>
        <w:widowControl w:val="0"/>
        <w:spacing w:line="240" w:lineRule="auto"/>
        <w:jc w:val="both"/>
        <w:outlineLvl w:val="4"/>
        <w:rPr>
          <w:szCs w:val="22"/>
          <w:u w:val="single"/>
          <w:lang w:val="sr-Latn-RS" w:eastAsia="hr-HR"/>
        </w:rPr>
      </w:pPr>
      <w:r>
        <w:rPr>
          <w:szCs w:val="22"/>
          <w:u w:val="single"/>
          <w:lang w:val="sr-Latn-RS" w:eastAsia="hr-HR"/>
        </w:rPr>
        <w:t>Uticaj na funkciju jetre</w:t>
      </w:r>
    </w:p>
    <w:p w:rsidR="00582F55" w:rsidRDefault="001B0A63" w:rsidP="00166FF2">
      <w:pPr>
        <w:widowControl w:val="0"/>
        <w:spacing w:line="240" w:lineRule="auto"/>
        <w:jc w:val="both"/>
        <w:rPr>
          <w:szCs w:val="22"/>
          <w:lang w:val="sr-Latn-RS" w:eastAsia="hr-HR"/>
        </w:rPr>
      </w:pPr>
      <w:r>
        <w:rPr>
          <w:szCs w:val="22"/>
          <w:lang w:val="sr-Latn-RS" w:eastAsia="hr-HR"/>
        </w:rPr>
        <w:t>Lijek Roswera treba kao i druge inhibitore HMG-CoA reduktaze oprezno primjenjivati kod pacijenata koji konzumiraju velike količine alkohola i/ili imaju u anamnezi bolest jetre.</w:t>
      </w:r>
    </w:p>
    <w:p w:rsidR="00582F55" w:rsidRDefault="001B0A63" w:rsidP="00166FF2">
      <w:pPr>
        <w:widowControl w:val="0"/>
        <w:spacing w:line="240" w:lineRule="auto"/>
        <w:jc w:val="both"/>
        <w:rPr>
          <w:szCs w:val="22"/>
          <w:lang w:val="sr-Latn-RS" w:eastAsia="hr-HR"/>
        </w:rPr>
      </w:pPr>
      <w:r>
        <w:rPr>
          <w:szCs w:val="22"/>
          <w:lang w:val="sr-Latn-RS" w:eastAsia="hr-HR"/>
        </w:rPr>
        <w:t>Preporučena je provjera funkcije jetre prije liječenja i nakon tri mjeseca liječenja. Ako je nivo transaminaza u serumu veći od trostruke najveće granice normalnih vrijednosti, treba prekinuti terapiju lijekom Roswera ili smanjiti dozu. Stopa prijavljenih ozbiljnih hepatičkih događaja u postmarkentiškom periodu (koji se uglavnom sastoje od povišenih vrijednostima jetrenih transaminaza) je veća pri dozi od 40 mg.</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 xml:space="preserve">Kod pacijenta sa sekundarnom hiperholesterolemijom koja je posljedica hipotireoidizma ili nefrotskog sindroma, prije početka liječenja lijekom Roswera treba liječiti primarnu bolest. </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4"/>
        <w:rPr>
          <w:szCs w:val="22"/>
          <w:u w:val="single"/>
          <w:lang w:val="sr-Latn-RS" w:eastAsia="hr-HR"/>
        </w:rPr>
      </w:pPr>
      <w:r>
        <w:rPr>
          <w:szCs w:val="22"/>
          <w:u w:val="single"/>
          <w:lang w:val="sr-Latn-RS" w:eastAsia="hr-HR"/>
        </w:rPr>
        <w:t>Rasa</w:t>
      </w:r>
    </w:p>
    <w:p w:rsidR="00582F55" w:rsidRDefault="001B0A63" w:rsidP="00166FF2">
      <w:pPr>
        <w:widowControl w:val="0"/>
        <w:spacing w:line="240" w:lineRule="auto"/>
        <w:jc w:val="both"/>
        <w:rPr>
          <w:szCs w:val="22"/>
          <w:lang w:val="sr-Latn-RS" w:eastAsia="hr-HR"/>
        </w:rPr>
      </w:pPr>
      <w:r>
        <w:rPr>
          <w:szCs w:val="22"/>
          <w:lang w:val="sr-Latn-RS" w:eastAsia="hr-HR"/>
        </w:rPr>
        <w:t>Farmakokinetičke studije pokazuju da je izloženost lijeku veća kod Azijata veća nego kod pripadnika bijele rase (vidjeti djelove 4.2 i 5.2).</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4"/>
        <w:rPr>
          <w:szCs w:val="22"/>
          <w:u w:val="single"/>
          <w:lang w:val="sr-Latn-RS" w:eastAsia="hr-HR"/>
        </w:rPr>
      </w:pPr>
      <w:r>
        <w:rPr>
          <w:szCs w:val="22"/>
          <w:u w:val="single"/>
          <w:lang w:val="sr-Latn-RS" w:eastAsia="hr-HR"/>
        </w:rPr>
        <w:t>Inhibitori proteaze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rPr>
      </w:pPr>
      <w:r>
        <w:rPr>
          <w:szCs w:val="22"/>
          <w:lang w:val="sr-Latn-RS"/>
        </w:rPr>
        <w:t xml:space="preserve">Povećana sistemska raspoloživost rosuvastatina je primijećena kod osoba koje primaju rosuvastatin istovremeno sa različitim inhibitorima proteaze u kombinaciji sa ritonavirom. Potrebno je razmotriti korist od snižavanja nivoa lipida pomoću rosuvastatina kod pacijenata sa HIV infekcijom koji su na terapiji inhibitorima proteaza i mogućnost povećanja koncentracija rosuvastatina u plazmi pri započinjanju doziranja i titriranju doze rosuvastatina kod pacijenata liječenih inhibitorima proteaze. </w:t>
      </w:r>
      <w:r>
        <w:rPr>
          <w:szCs w:val="22"/>
          <w:lang w:val="sr-Latn-RS"/>
        </w:rPr>
        <w:lastRenderedPageBreak/>
        <w:t>Istovremena primjena sa određenim inhibitorima proteaze se ne preporučuje, osim u slučaju kada je doza rosuvastatina prilagođena (vidjeti djelove 4.2 i 4.5).</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4"/>
        <w:rPr>
          <w:szCs w:val="22"/>
          <w:u w:val="single"/>
          <w:lang w:val="sr-Latn-RS" w:eastAsia="hr-HR"/>
        </w:rPr>
      </w:pPr>
      <w:r>
        <w:rPr>
          <w:szCs w:val="22"/>
          <w:u w:val="single"/>
          <w:lang w:val="sr-Latn-RS" w:eastAsia="hr-HR"/>
        </w:rPr>
        <w:t>Intersticijska bolest pluća</w:t>
      </w:r>
    </w:p>
    <w:p w:rsidR="00582F55" w:rsidRDefault="001B0A63" w:rsidP="00166FF2">
      <w:pPr>
        <w:widowControl w:val="0"/>
        <w:spacing w:line="240" w:lineRule="auto"/>
        <w:jc w:val="both"/>
        <w:rPr>
          <w:szCs w:val="22"/>
          <w:lang w:val="sr-Latn-RS" w:eastAsia="hr-HR"/>
        </w:rPr>
      </w:pPr>
      <w:r>
        <w:rPr>
          <w:szCs w:val="22"/>
          <w:lang w:val="sr-Latn-RS" w:eastAsia="hr-HR"/>
        </w:rPr>
        <w:t>Tokom primjene nekih statina prijavljeni su rijetki slučajevi intersticijalne bolesti pluća, naročito tokom dugotrajne terapije (vidjeti dio 4.8). Mogu se pojaviti dispneja, neproduktivni kašalj i pogoršanje opšteg zdravlja (umor, gubitak tjelesne mase i povišena tjelesna temperatura). Ako postoji sumnja da se kod pacijenata razvila intersticijska bolest pluća, terapiju statinima treba prekinuti.</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rPr>
      </w:pPr>
      <w:r>
        <w:rPr>
          <w:szCs w:val="22"/>
          <w:u w:val="single"/>
          <w:lang w:val="sr-Latn-RS"/>
        </w:rPr>
        <w:t>Diabetes mellitus</w:t>
      </w:r>
    </w:p>
    <w:p w:rsidR="00582F55" w:rsidRDefault="001B0A63" w:rsidP="00166FF2">
      <w:pPr>
        <w:widowControl w:val="0"/>
        <w:spacing w:line="240" w:lineRule="auto"/>
        <w:jc w:val="both"/>
        <w:rPr>
          <w:szCs w:val="22"/>
          <w:lang w:val="sr-Latn-RS"/>
        </w:rPr>
      </w:pPr>
      <w:r>
        <w:rPr>
          <w:szCs w:val="22"/>
          <w:lang w:val="sr-Latn-RS"/>
        </w:rPr>
        <w:t>Postoje dokazi koji ukazuju da statini kao grupa ljekova utiču na povećanje nivoa glukoze kod nekih pacijenata. Zboga toga je neophodno da se sprovede odgovarajuća zaštita od nastanka diabetes mellitusa kod pacijenata kod kojih dolazi do hiperglikemije primjenom statina. Kod ovih pacijenata ne bi trebalo obustaviti primjenu statina, jer smanjenje vaskularnog rizika nadmašuje rizik od nastanka dijabetes mellitusa. Kod pacijenata koji imaju faktore rizika (natašte vrijednosti glukoze u krvi 5,6-6,9 mmol/l, BMI &gt; 30 kg/m</w:t>
      </w:r>
      <w:r>
        <w:rPr>
          <w:szCs w:val="22"/>
          <w:vertAlign w:val="superscript"/>
          <w:lang w:val="sr-Latn-RS"/>
        </w:rPr>
        <w:t>2</w:t>
      </w:r>
      <w:r>
        <w:rPr>
          <w:szCs w:val="22"/>
          <w:lang w:val="sr-Latn-RS"/>
        </w:rPr>
        <w:t>, povišen nivo triglicerida, hipertenzija) treba pratiti kliničke i biohemijske parametre prema nacionalnim smernicama.</w:t>
      </w:r>
    </w:p>
    <w:p w:rsidR="00582F55" w:rsidRDefault="001B0A63" w:rsidP="00166FF2">
      <w:pPr>
        <w:widowControl w:val="0"/>
        <w:spacing w:line="240" w:lineRule="auto"/>
        <w:jc w:val="both"/>
        <w:rPr>
          <w:szCs w:val="22"/>
          <w:lang w:val="sr-Latn-RS"/>
        </w:rPr>
      </w:pPr>
      <w:r>
        <w:rPr>
          <w:szCs w:val="22"/>
          <w:lang w:val="sr-Latn-RS"/>
        </w:rPr>
        <w:t>U studiji JUPITER, ukupna prijavljena učestalost dijabetesa bila je 2,8% u grupi koja je primala rosuvastatin i 2,3% u grupi koja je primala placebo, a koji su imali vrijednosti glukoze natašte 5,6 do 6,9 mmol/l.</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outlineLvl w:val="4"/>
        <w:rPr>
          <w:szCs w:val="22"/>
          <w:u w:val="single"/>
          <w:lang w:val="sr-Latn-RS" w:eastAsia="hr-HR"/>
        </w:rPr>
      </w:pPr>
      <w:r>
        <w:rPr>
          <w:szCs w:val="22"/>
          <w:u w:val="single"/>
          <w:lang w:val="sr-Latn-RS" w:eastAsia="hr-HR"/>
        </w:rPr>
        <w:t>Pedijatrijska populacija</w:t>
      </w:r>
    </w:p>
    <w:p w:rsidR="00582F55" w:rsidRDefault="001B0A63" w:rsidP="00166FF2">
      <w:pPr>
        <w:widowControl w:val="0"/>
        <w:spacing w:line="240" w:lineRule="auto"/>
        <w:jc w:val="both"/>
        <w:rPr>
          <w:szCs w:val="22"/>
          <w:lang w:val="sr-Latn-RS" w:eastAsia="hr-HR"/>
        </w:rPr>
      </w:pPr>
      <w:r>
        <w:rPr>
          <w:szCs w:val="22"/>
          <w:lang w:val="sr-Latn-RS" w:eastAsia="hr-HR"/>
        </w:rPr>
        <w:t xml:space="preserve">Procjena linearnog rasta (tjelesne visine), tjelesne mase, ITM (indeksa tjelesne mase) i sekundarnih karakteristika polne zrelosti prema Tannerovoj ljestvici kod pedijatrijskih pacijenata u uzrastu od 6 do 17 godina koji uzimaju rosuvastatin je ograničena na period od  dvije godine. Nakon dvije godine liječenja tokom ispitivanja nije primijećen uticaj na rast, tjelesnu masu, ITM ili polnu zrelost (vidjeti dio 5.1). </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U kliničkoj studiji kod djece i adolescenata koji su primali rosuvastatin 52 nedjelje, češće su primijećena  povećanja vrijednosti CK za više od 10 puta iznad gornje granice normalnih vrijednosti i simptomi u mišićima nakon vježbanja ili intenzivnije fizičke aktivnosti u poredjenju sa rezultatima kliničkih studija kod odraslih (vidjeti dio 4.8).</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Intolerancija laktoze</w:t>
      </w:r>
    </w:p>
    <w:p w:rsidR="00582F55" w:rsidRDefault="001B0A63" w:rsidP="00166FF2">
      <w:pPr>
        <w:widowControl w:val="0"/>
        <w:spacing w:line="240" w:lineRule="auto"/>
        <w:jc w:val="both"/>
        <w:rPr>
          <w:szCs w:val="22"/>
          <w:lang w:val="sr-Latn-RS" w:eastAsia="hr-HR"/>
        </w:rPr>
      </w:pPr>
      <w:r>
        <w:rPr>
          <w:szCs w:val="22"/>
          <w:lang w:val="sr-Latn-RS" w:eastAsia="hr-HR"/>
        </w:rPr>
        <w:t>Lijek Roswera sadrži laktozu. Pacijenti sa rijetkom nasljednom intolerancijom na galaktozu, deficijencijom Lapp laktaze ili malapsorpcijom glukoze/galaktoze ne smiju primjenjivati ovaj lijek.</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ind w:left="567" w:hanging="567"/>
        <w:jc w:val="both"/>
        <w:outlineLvl w:val="0"/>
        <w:rPr>
          <w:b/>
          <w:szCs w:val="22"/>
          <w:lang w:val="sr-Latn-RS"/>
        </w:rPr>
      </w:pPr>
      <w:r>
        <w:rPr>
          <w:b/>
          <w:szCs w:val="22"/>
          <w:lang w:val="sr-Latn-RS"/>
        </w:rPr>
        <w:t>4.5</w:t>
      </w:r>
      <w:r>
        <w:rPr>
          <w:b/>
          <w:szCs w:val="22"/>
          <w:lang w:val="sr-Latn-RS"/>
        </w:rPr>
        <w:tab/>
        <w:t>Interakcije sa drugim ljekovima i druge vrste interakcija</w:t>
      </w:r>
    </w:p>
    <w:p w:rsidR="00582F55" w:rsidRDefault="00582F55" w:rsidP="00166FF2">
      <w:pPr>
        <w:widowControl w:val="0"/>
        <w:spacing w:line="240" w:lineRule="auto"/>
        <w:ind w:left="567" w:hanging="567"/>
        <w:jc w:val="both"/>
        <w:outlineLvl w:val="0"/>
        <w:rPr>
          <w:szCs w:val="22"/>
          <w:lang w:val="sr-Latn-RS"/>
        </w:rPr>
      </w:pPr>
    </w:p>
    <w:p w:rsidR="00582F55" w:rsidRDefault="001B0A63" w:rsidP="00166FF2">
      <w:pPr>
        <w:widowControl w:val="0"/>
        <w:spacing w:line="240" w:lineRule="auto"/>
        <w:jc w:val="both"/>
        <w:outlineLvl w:val="2"/>
        <w:rPr>
          <w:szCs w:val="22"/>
          <w:u w:val="single"/>
          <w:lang w:val="sr-Latn-RS"/>
        </w:rPr>
      </w:pPr>
      <w:r>
        <w:rPr>
          <w:szCs w:val="22"/>
          <w:u w:val="single"/>
          <w:lang w:val="sr-Latn-RS"/>
        </w:rPr>
        <w:t>Uticaj istovremeno korišćenih ljekova na rosuvastatin</w:t>
      </w:r>
    </w:p>
    <w:p w:rsidR="00582F55" w:rsidRDefault="001B0A63" w:rsidP="00166FF2">
      <w:pPr>
        <w:widowControl w:val="0"/>
        <w:spacing w:line="240" w:lineRule="auto"/>
        <w:jc w:val="both"/>
        <w:outlineLvl w:val="2"/>
        <w:rPr>
          <w:szCs w:val="22"/>
          <w:lang w:val="sr-Latn-RS"/>
        </w:rPr>
      </w:pPr>
      <w:r>
        <w:rPr>
          <w:szCs w:val="22"/>
          <w:lang w:val="sr-Latn-RS"/>
        </w:rPr>
        <w:br/>
      </w:r>
      <w:r>
        <w:rPr>
          <w:i/>
          <w:szCs w:val="22"/>
          <w:lang w:val="sr-Latn-RS"/>
        </w:rPr>
        <w:t>Inhibitori transportnih proteina</w:t>
      </w:r>
    </w:p>
    <w:p w:rsidR="00582F55" w:rsidRDefault="001B0A63" w:rsidP="00166FF2">
      <w:pPr>
        <w:widowControl w:val="0"/>
        <w:spacing w:line="240" w:lineRule="auto"/>
        <w:jc w:val="both"/>
        <w:outlineLvl w:val="2"/>
        <w:rPr>
          <w:iCs/>
          <w:szCs w:val="22"/>
          <w:lang w:val="sr-Latn-RS" w:eastAsia="hr-HR"/>
        </w:rPr>
      </w:pPr>
      <w:r>
        <w:rPr>
          <w:szCs w:val="22"/>
          <w:lang w:val="sr-Latn-RS"/>
        </w:rPr>
        <w:t>Rosuvastatin je supstrat određenih transportnih proteina uključujući i jetreni transporter unosa OATP1B1 i efluksni transporter BCRP. Istovremena primjena rosuvastatina sa ljekovima koji su inhibitori ovih transportnih proteina može da dovede do povećane koncentracije rosuvastatina u plazmi i povećanog rizika od miopatije (vidjeti djelove 4.2, 4.4 i 4.5 Tabela 1 ).</w:t>
      </w:r>
    </w:p>
    <w:p w:rsidR="00582F55" w:rsidRDefault="00582F55" w:rsidP="00166FF2">
      <w:pPr>
        <w:widowControl w:val="0"/>
        <w:spacing w:line="240" w:lineRule="auto"/>
        <w:jc w:val="both"/>
        <w:outlineLvl w:val="2"/>
        <w:rPr>
          <w:iCs/>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Ciklosporin</w:t>
      </w:r>
    </w:p>
    <w:p w:rsidR="00582F55" w:rsidRDefault="001B0A63" w:rsidP="00166FF2">
      <w:pPr>
        <w:widowControl w:val="0"/>
        <w:spacing w:line="240" w:lineRule="auto"/>
        <w:jc w:val="both"/>
        <w:rPr>
          <w:szCs w:val="22"/>
          <w:lang w:val="sr-Latn-RS" w:eastAsia="hr-HR"/>
        </w:rPr>
      </w:pPr>
      <w:r>
        <w:rPr>
          <w:szCs w:val="22"/>
          <w:lang w:val="sr-Latn-RS" w:eastAsia="hr-HR"/>
        </w:rPr>
        <w:t>Kod istovremene primjene rosuvastatina i ciklosporina vrijednost AUC rosuvastatina bila je prosječno sedam puta veća nego kod zdravih dobrovoljaca (vidjeti Tabelu 1). Rosuvastatin je kontraindikovan kod pacijenata koji se istovremeno liječe ciklosporinom (vidjeti dio 4.3)</w:t>
      </w:r>
    </w:p>
    <w:p w:rsidR="00582F55" w:rsidRDefault="001B0A63" w:rsidP="00166FF2">
      <w:pPr>
        <w:widowControl w:val="0"/>
        <w:spacing w:line="240" w:lineRule="auto"/>
        <w:jc w:val="both"/>
        <w:rPr>
          <w:szCs w:val="22"/>
          <w:lang w:val="sr-Latn-RS" w:eastAsia="hr-HR"/>
        </w:rPr>
      </w:pPr>
      <w:r>
        <w:rPr>
          <w:szCs w:val="22"/>
          <w:lang w:val="sr-Latn-RS" w:eastAsia="hr-HR"/>
        </w:rPr>
        <w:t>Istovremena primjena nije promijenila koncentraciju ciklosporina u plazmi.</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rPr>
      </w:pPr>
      <w:r>
        <w:rPr>
          <w:i/>
          <w:szCs w:val="22"/>
          <w:lang w:val="sr-Latn-RS"/>
        </w:rPr>
        <w:t>Inhibitori proteaze:</w:t>
      </w:r>
      <w:r>
        <w:rPr>
          <w:szCs w:val="22"/>
          <w:lang w:val="sr-Latn-RS"/>
        </w:rPr>
        <w:t xml:space="preserve"> Iako je tačan mehanizam interakcija nepoznat, istovremena primjena inhibitora proteaze i rosuvastatina može jako povećati raspoloživost rosuvastatina. U ispitivanju farmakokinetike na zdravim dobrovoljcima, istovremena primjena 10 mg rosuvastatina i kombinacije dva inhibitora proteaze (300 mg atazanavira/100 mg ritonavira), dovela je u stanju ravnoteže do približno trostrukog </w:t>
      </w:r>
      <w:r>
        <w:rPr>
          <w:szCs w:val="22"/>
          <w:lang w:val="sr-Latn-RS"/>
        </w:rPr>
        <w:lastRenderedPageBreak/>
        <w:t>povećanja AUC, odnosno do sedmostrukog povećanja C</w:t>
      </w:r>
      <w:r>
        <w:rPr>
          <w:szCs w:val="22"/>
          <w:vertAlign w:val="subscript"/>
          <w:lang w:val="sr-Latn-RS"/>
        </w:rPr>
        <w:t>max</w:t>
      </w:r>
      <w:r>
        <w:rPr>
          <w:szCs w:val="22"/>
          <w:lang w:val="sr-Latn-RS"/>
        </w:rPr>
        <w:t xml:space="preserve"> vrijednosti rosuvastatina. Prema tome, istovremeno korišćenje lijeka Roswera u kombinaciji sa nekim inhibitorima proteaza  može se uzeti u obzir samo poslije pažljivog razmatranja podešavanja doze lijeka Roswera na osnovu očekivanog povećanja izloženosti rosuvastatinu (vidjeti tabelu 1 i djelove 4.2 i 4.4).</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Gemfibrozil i drugi ljekovi koji snižavaju koncentraciju lipida</w:t>
      </w:r>
    </w:p>
    <w:p w:rsidR="00582F55" w:rsidRDefault="001B0A63" w:rsidP="00166FF2">
      <w:pPr>
        <w:widowControl w:val="0"/>
        <w:spacing w:line="240" w:lineRule="auto"/>
        <w:jc w:val="both"/>
        <w:rPr>
          <w:szCs w:val="22"/>
          <w:lang w:val="sr-Latn-RS" w:eastAsia="hr-HR"/>
        </w:rPr>
      </w:pPr>
      <w:r>
        <w:rPr>
          <w:szCs w:val="22"/>
          <w:lang w:val="sr-Latn-RS" w:eastAsia="hr-HR"/>
        </w:rPr>
        <w:t>Kod istovremenog uzimanja rosuvastatina i gemfibrozila za dva puta su se povećale C</w:t>
      </w:r>
      <w:r>
        <w:rPr>
          <w:szCs w:val="22"/>
          <w:vertAlign w:val="subscript"/>
          <w:lang w:val="sr-Latn-RS" w:eastAsia="hr-HR"/>
        </w:rPr>
        <w:t>max</w:t>
      </w:r>
      <w:r>
        <w:rPr>
          <w:szCs w:val="22"/>
          <w:lang w:val="sr-Latn-RS" w:eastAsia="hr-HR"/>
        </w:rPr>
        <w:t xml:space="preserve"> i AUC rosuvastatina (vidjeti dio 4.4).</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Iako podaci o međusobnom djelovanju ukazuju da ne treba očekivati značajnije farmakokinetske interakcije sa fenofibratom, moguće su farmakodinamske interakcije. Gemfibrozil, fenofibrat, drugi fibrati i doze niacina (nikotinske kiseline) koji snižavaju nivo lipida (1 g na dan ili više), kod istovremenog uzimanja sa inhibitorima HMG-CoA reduktaze povećavaju vjerovatnoću pojave miopatije, što je vjerovatno posljedica toga da uzrokuju miopatiju i kod samostalnog uzimanja. Kontraindikovana je istovremena primjena rosuvastatina u dozi od 40 mg sa fibratima (vidjeti djelove 4.3 i 4.4). Ovi pacijenti moraju započeti terapiju sa 5 mg Roswere.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Ezetimib</w:t>
      </w:r>
    </w:p>
    <w:p w:rsidR="00582F55" w:rsidRDefault="001B0A63" w:rsidP="00166FF2">
      <w:pPr>
        <w:widowControl w:val="0"/>
        <w:spacing w:line="240" w:lineRule="auto"/>
        <w:jc w:val="both"/>
        <w:outlineLvl w:val="2"/>
        <w:rPr>
          <w:szCs w:val="22"/>
          <w:lang w:val="sr-Latn-RS"/>
        </w:rPr>
      </w:pPr>
      <w:r>
        <w:rPr>
          <w:szCs w:val="22"/>
          <w:lang w:val="sr-Latn-RS"/>
        </w:rPr>
        <w:t>Istovremena upotreba 10mg rosuvastatina i 10 mg ezetiniba dovela je do povećanja AUC rosuvastatina 1.2 puta kod osoba sa hiperholesterolemijom (Tabela 1). Ne može se isključiti farmakodinamička interakcija, u smislu neželjenih dejstava, između lijeka Roswera i ezetimiba (vidjeti dio 4.4).</w:t>
      </w:r>
    </w:p>
    <w:p w:rsidR="00582F55" w:rsidRDefault="00582F55" w:rsidP="00166FF2">
      <w:pPr>
        <w:widowControl w:val="0"/>
        <w:spacing w:line="240" w:lineRule="auto"/>
        <w:jc w:val="both"/>
        <w:outlineLvl w:val="2"/>
        <w:rPr>
          <w:i/>
          <w:iCs/>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Antacidi</w:t>
      </w:r>
    </w:p>
    <w:p w:rsidR="00582F55" w:rsidRDefault="001B0A63" w:rsidP="00166FF2">
      <w:pPr>
        <w:widowControl w:val="0"/>
        <w:spacing w:line="240" w:lineRule="auto"/>
        <w:jc w:val="both"/>
        <w:rPr>
          <w:szCs w:val="22"/>
          <w:lang w:val="sr-Latn-RS" w:eastAsia="hr-HR"/>
        </w:rPr>
      </w:pPr>
      <w:r>
        <w:rPr>
          <w:szCs w:val="22"/>
          <w:lang w:val="sr-Latn-RS" w:eastAsia="hr-HR"/>
        </w:rPr>
        <w:t>Kod istovremenog davanja rosuvastatina i suspenzije antacida koja je sadržala aluminijum i magnezijum hidroksid, koncentracija rosuvastatina u plazmi smanjila se za približno 50 %. Ovaj efekat je bio manje izrazit kada se antacid uzimao dva sata nakon uzimanja rosuvastatina. Klinički značaj te interakcije do sada nije ispitan.</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Eritromicin</w:t>
      </w:r>
    </w:p>
    <w:p w:rsidR="00582F55" w:rsidRDefault="001B0A63" w:rsidP="00166FF2">
      <w:pPr>
        <w:widowControl w:val="0"/>
        <w:spacing w:line="240" w:lineRule="auto"/>
        <w:jc w:val="both"/>
        <w:rPr>
          <w:szCs w:val="22"/>
          <w:lang w:val="sr-Latn-RS" w:eastAsia="hr-HR"/>
        </w:rPr>
      </w:pPr>
      <w:r>
        <w:rPr>
          <w:szCs w:val="22"/>
          <w:lang w:val="sr-Latn-RS" w:eastAsia="hr-HR"/>
        </w:rPr>
        <w:t>Kod istovremenog uzimanja rosuvastatina i eritromicina za 20 % se smanjila AUC</w:t>
      </w:r>
      <w:r>
        <w:rPr>
          <w:szCs w:val="22"/>
          <w:vertAlign w:val="subscript"/>
          <w:lang w:val="sr-Latn-RS" w:eastAsia="hr-HR"/>
        </w:rPr>
        <w:t>0-4</w:t>
      </w:r>
      <w:r>
        <w:rPr>
          <w:szCs w:val="22"/>
          <w:lang w:val="sr-Latn-RS" w:eastAsia="hr-HR"/>
        </w:rPr>
        <w:t xml:space="preserve"> rosuvastatina i za 30 % njegova C</w:t>
      </w:r>
      <w:r>
        <w:rPr>
          <w:szCs w:val="22"/>
          <w:vertAlign w:val="subscript"/>
          <w:lang w:val="sr-Latn-RS" w:eastAsia="hr-HR"/>
        </w:rPr>
        <w:t>max</w:t>
      </w:r>
      <w:r>
        <w:rPr>
          <w:szCs w:val="22"/>
          <w:lang w:val="sr-Latn-RS" w:eastAsia="hr-HR"/>
        </w:rPr>
        <w:t xml:space="preserve">. Interakcija može biti posljedica povećanog motiliteta crijeva kojeg uzrokuje eritromicin. </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i/>
          <w:iCs/>
          <w:szCs w:val="22"/>
          <w:lang w:val="sr-Latn-RS" w:eastAsia="hr-HR"/>
        </w:rPr>
      </w:pPr>
      <w:r>
        <w:rPr>
          <w:i/>
          <w:iCs/>
          <w:szCs w:val="22"/>
          <w:lang w:val="sr-Latn-RS" w:eastAsia="hr-HR"/>
        </w:rPr>
        <w:t>Tikagrelor</w:t>
      </w:r>
    </w:p>
    <w:p w:rsidR="00582F55" w:rsidRDefault="001B0A63" w:rsidP="00166FF2">
      <w:pPr>
        <w:widowControl w:val="0"/>
        <w:spacing w:line="240" w:lineRule="auto"/>
        <w:jc w:val="both"/>
        <w:rPr>
          <w:iCs/>
          <w:szCs w:val="22"/>
          <w:lang w:val="sr-Latn-RS" w:eastAsia="hr-HR"/>
        </w:rPr>
      </w:pPr>
      <w:r>
        <w:rPr>
          <w:iCs/>
          <w:szCs w:val="22"/>
          <w:lang w:val="sr-Latn-RS" w:eastAsia="hr-HR"/>
        </w:rPr>
        <w:t>Tikagrelor može uticati na izlučivanje rosuvastatina putem bubrega, povećavajući rizik od nakupljanja rosuvastatina. Iako tačan mehanizam nije poznat, u nekim je slučajevima istovremena primjena tikagrelora i rosuvastatina dovela do smanjenja bubrežne funkcije, povišenog nivoa vrijednosti kreatin fosfokinaze i rabdomiolize.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Enzimi citohroma P450</w:t>
      </w:r>
    </w:p>
    <w:p w:rsidR="00582F55" w:rsidRDefault="001B0A63" w:rsidP="00166FF2">
      <w:pPr>
        <w:widowControl w:val="0"/>
        <w:spacing w:line="240" w:lineRule="auto"/>
        <w:jc w:val="both"/>
        <w:rPr>
          <w:szCs w:val="22"/>
          <w:lang w:val="sr-Latn-RS" w:eastAsia="hr-HR"/>
        </w:rPr>
      </w:pPr>
      <w:r>
        <w:rPr>
          <w:szCs w:val="22"/>
          <w:lang w:val="sr-Latn-RS" w:eastAsia="hr-HR"/>
        </w:rPr>
        <w:t xml:space="preserve">Rezultati studija </w:t>
      </w:r>
      <w:r>
        <w:rPr>
          <w:i/>
          <w:iCs/>
          <w:szCs w:val="22"/>
          <w:lang w:val="sr-Latn-RS" w:eastAsia="hr-HR"/>
        </w:rPr>
        <w:t>in vitro</w:t>
      </w:r>
      <w:r>
        <w:rPr>
          <w:szCs w:val="22"/>
          <w:lang w:val="sr-Latn-RS" w:eastAsia="hr-HR"/>
        </w:rPr>
        <w:t xml:space="preserve"> te </w:t>
      </w:r>
      <w:r>
        <w:rPr>
          <w:i/>
          <w:iCs/>
          <w:szCs w:val="22"/>
          <w:lang w:val="sr-Latn-RS" w:eastAsia="hr-HR"/>
        </w:rPr>
        <w:t>in vivo</w:t>
      </w:r>
      <w:r>
        <w:rPr>
          <w:szCs w:val="22"/>
          <w:lang w:val="sr-Latn-RS" w:eastAsia="hr-HR"/>
        </w:rPr>
        <w:t xml:space="preserve"> pokazuju da rosuvastatin nije niti inhibitor niti induktor izoenzima citohroma P450. Pored toga je slabi supstrat za te izoenzime.</w:t>
      </w:r>
    </w:p>
    <w:p w:rsidR="00582F55" w:rsidRDefault="001B0A63" w:rsidP="00166FF2">
      <w:pPr>
        <w:widowControl w:val="0"/>
        <w:spacing w:line="240" w:lineRule="auto"/>
        <w:jc w:val="both"/>
        <w:rPr>
          <w:szCs w:val="22"/>
          <w:lang w:val="sr-Latn-RS"/>
        </w:rPr>
      </w:pPr>
      <w:r>
        <w:rPr>
          <w:szCs w:val="22"/>
          <w:lang w:val="sr-Latn-RS"/>
        </w:rPr>
        <w:t xml:space="preserve">Prema tome, ne očekuju se interakcije koje mogu biti posljedica metabolizma posredovanog citohromom P450. </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Nijesu zabilježene klinički važne interakcije između rosuvastatina i flukonazola (inhibitora CYP2C9 i CYP3A4) ili ketokonazola (inhibitora CYP2A6 i CYP3A4).</w:t>
      </w:r>
    </w:p>
    <w:p w:rsidR="00582F55" w:rsidRDefault="00582F55" w:rsidP="00166FF2">
      <w:pPr>
        <w:widowControl w:val="0"/>
        <w:spacing w:line="240" w:lineRule="auto"/>
        <w:jc w:val="both"/>
        <w:rPr>
          <w:iCs/>
          <w:szCs w:val="22"/>
          <w:lang w:val="sr-Latn-RS" w:eastAsia="hr-HR"/>
        </w:rPr>
      </w:pPr>
    </w:p>
    <w:p w:rsidR="00582F55" w:rsidRDefault="001B0A63" w:rsidP="00166FF2">
      <w:pPr>
        <w:widowControl w:val="0"/>
        <w:spacing w:line="240" w:lineRule="auto"/>
        <w:jc w:val="both"/>
        <w:rPr>
          <w:szCs w:val="22"/>
          <w:lang w:val="sr-Latn-RS"/>
        </w:rPr>
      </w:pPr>
      <w:r>
        <w:rPr>
          <w:i/>
          <w:szCs w:val="22"/>
          <w:lang w:val="sr-Latn-RS"/>
        </w:rPr>
        <w:t>Interakcije koje zahtijevaju prilagođavanje doziranja rosuvastatina (vidjeti Tabelu 1)</w:t>
      </w:r>
      <w:r>
        <w:rPr>
          <w:szCs w:val="22"/>
          <w:lang w:val="sr-Latn-RS"/>
        </w:rPr>
        <w:t>: Kada je potrebno da se rosuvastatin koristi istovremeno sa drugim ljekovima za koje se zna da povećavaju njegovu raspoloživost, potrebno je prilagoditi dozu rosuvastatina. Započinje se s dozom Roswere od 5 mg jednom na dan ako je očekivano povećanje raspoloživosti (AUC) približno dvostruko ili veće. Maksimalna dnevna doza rosuvastatina treba biti podešena tako da očekivana raspoloživost rosuvastatina ne premašuje nivo kada se lijek primijeni u dozi od 40mg/dan bez interakcija sa drugim ljekovima, na primjer 20 mg rosuvastatina sa gemfibrozilom (1,9 puta veće) i 10 mg rosuvastatina u kombinaciji sa ritonavirom/atazanavirom / (3,1 puta veće).</w:t>
      </w:r>
    </w:p>
    <w:p w:rsidR="00582F55" w:rsidRDefault="00582F55" w:rsidP="00166FF2">
      <w:pPr>
        <w:widowControl w:val="0"/>
        <w:spacing w:line="240" w:lineRule="auto"/>
        <w:jc w:val="both"/>
        <w:rPr>
          <w:iCs/>
          <w:szCs w:val="22"/>
          <w:lang w:val="sr-Latn-RS" w:eastAsia="hr-HR"/>
        </w:rPr>
      </w:pPr>
    </w:p>
    <w:p w:rsidR="00582F55" w:rsidRDefault="001B0A63" w:rsidP="00166FF2">
      <w:pPr>
        <w:widowControl w:val="0"/>
        <w:spacing w:line="240" w:lineRule="auto"/>
        <w:jc w:val="both"/>
        <w:rPr>
          <w:iCs/>
          <w:szCs w:val="22"/>
          <w:lang w:val="sr-Latn-RS" w:eastAsia="hr-HR"/>
        </w:rPr>
      </w:pPr>
      <w:r>
        <w:rPr>
          <w:iCs/>
          <w:szCs w:val="22"/>
          <w:lang w:val="sr-Latn-RS" w:eastAsia="hr-HR"/>
        </w:rPr>
        <w:lastRenderedPageBreak/>
        <w:t>Ukoliko ljekovi uzrokuju povećanje izloženosti rosuvastatinu (AUC) manje od 2 puta, nije potrebno snižavanje početne doze, ali je potreban oprez u slučaju povećanja doze rosuvastatina iznad 20 mg.</w:t>
      </w:r>
    </w:p>
    <w:p w:rsidR="00582F55" w:rsidRDefault="00582F55" w:rsidP="00166FF2">
      <w:pPr>
        <w:widowControl w:val="0"/>
        <w:spacing w:line="240" w:lineRule="auto"/>
        <w:rPr>
          <w:szCs w:val="22"/>
          <w:lang w:val="sr-Latn-RS"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1824"/>
        <w:gridCol w:w="2153"/>
      </w:tblGrid>
      <w:tr w:rsidR="00582F55" w:rsidRPr="00166FF2">
        <w:tc>
          <w:tcPr>
            <w:tcW w:w="0" w:type="auto"/>
            <w:gridSpan w:val="3"/>
            <w:shd w:val="clear" w:color="auto" w:fill="auto"/>
          </w:tcPr>
          <w:p w:rsidR="00582F55" w:rsidRDefault="001B0A63" w:rsidP="00166FF2">
            <w:pPr>
              <w:widowControl w:val="0"/>
              <w:spacing w:line="240" w:lineRule="auto"/>
              <w:outlineLvl w:val="2"/>
              <w:rPr>
                <w:b/>
                <w:iCs/>
                <w:szCs w:val="22"/>
                <w:lang w:val="sr-Latn-RS" w:eastAsia="hr-HR"/>
              </w:rPr>
            </w:pPr>
            <w:r>
              <w:rPr>
                <w:b/>
                <w:iCs/>
                <w:szCs w:val="22"/>
                <w:lang w:val="sr-Latn-RS" w:eastAsia="hr-HR"/>
              </w:rPr>
              <w:t xml:space="preserve">Tabela 1. </w:t>
            </w:r>
            <w:r>
              <w:rPr>
                <w:b/>
                <w:szCs w:val="22"/>
                <w:lang w:val="sr-Latn-RS"/>
              </w:rPr>
              <w:t>Uticaj istovremene primjene ljekova na raspoloživost rosuvastatina (AUC; po opadajućem efektu) iz objavljenih kliničkih ispitivanja</w:t>
            </w:r>
          </w:p>
        </w:tc>
      </w:tr>
      <w:tr w:rsidR="00582F55" w:rsidRPr="00166FF2">
        <w:tc>
          <w:tcPr>
            <w:tcW w:w="0" w:type="auto"/>
            <w:gridSpan w:val="3"/>
            <w:shd w:val="clear" w:color="auto" w:fill="auto"/>
          </w:tcPr>
          <w:p w:rsidR="00582F55" w:rsidRDefault="001B0A63" w:rsidP="00166FF2">
            <w:pPr>
              <w:widowControl w:val="0"/>
              <w:spacing w:line="240" w:lineRule="auto"/>
              <w:outlineLvl w:val="2"/>
              <w:rPr>
                <w:b/>
                <w:iCs/>
                <w:szCs w:val="22"/>
                <w:lang w:val="sr-Latn-RS" w:eastAsia="hr-HR"/>
              </w:rPr>
            </w:pPr>
            <w:r>
              <w:rPr>
                <w:b/>
                <w:iCs/>
                <w:szCs w:val="22"/>
                <w:lang w:val="sr-Latn-RS" w:eastAsia="hr-HR"/>
              </w:rPr>
              <w:t>Dvostruko ili veće povećanje izloženosti rosuvastatinu (AUC)</w:t>
            </w:r>
          </w:p>
        </w:tc>
      </w:tr>
      <w:tr w:rsidR="00582F55" w:rsidRPr="00166FF2">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Dozni režim lijeka sa kojim rosuvastatin stupa u interakciju</w:t>
            </w:r>
          </w:p>
        </w:tc>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Dozni režim</w:t>
            </w:r>
          </w:p>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rosuvastatina</w:t>
            </w:r>
          </w:p>
        </w:tc>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Promjene u raspoloživosti rosuvastatina (PIK*)</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Sofosbuvir/velpatasvir/voksilaprevir (400 mg-100 mg-100 mg) + voksilaprevir (100 mg) jednom dnevno 15 dana</w:t>
            </w:r>
          </w:p>
        </w:tc>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10 mg, jedna doza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7.4 -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Ciklosporin 75 mg dva puta dnevno, do 200 mg dva puta dnevno, 6 mjeseci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jednom dnevno, 10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7.1 -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Darolutamid 600 mg BID, 5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5 mg, jedna doza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5.2 -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Regorafenib 160 mg, jednom dnevno, 14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5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3.8 -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Atazanavir 300 mg/ritonavir 100 mg jednom dnevno, 8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3.1 -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Velpatasvir 100 mg jednom dnevno</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2.7 -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Ombitasvir 25 mg/paritaprevir 150 mg/ Ritonavir 100 mg jednom dnevno/dasabuvir 400 mg dva puta dnevno, 14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5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2.6 - puta↑</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Grazoprevir 200 mg/elbasvir 50mg jednom dnevno, 11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2.3 -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Glekaprevir 400 mg/pibrentasvir 120 mg jednom dnevno, 7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5 mg jednom dnevno, 7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2.2 - puta↑</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Lopinavir 400 mg/ritonavir 100 mg dva puta dnevno, 17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20 mg jednom dnevno, 7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2.1 -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Klopidogrel 300 mg, zatim 75 mg na 24 sata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Gemfibrozil 600 mg dva puta dnevno, 7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80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1.9 - puta ↑</w:t>
            </w:r>
          </w:p>
        </w:tc>
      </w:tr>
      <w:tr w:rsidR="00582F55">
        <w:tc>
          <w:tcPr>
            <w:tcW w:w="0" w:type="auto"/>
            <w:gridSpan w:val="3"/>
            <w:shd w:val="clear" w:color="auto" w:fill="auto"/>
          </w:tcPr>
          <w:p w:rsidR="00582F55" w:rsidRDefault="001B0A63" w:rsidP="00166FF2">
            <w:pPr>
              <w:widowControl w:val="0"/>
              <w:spacing w:line="240" w:lineRule="auto"/>
              <w:outlineLvl w:val="2"/>
              <w:rPr>
                <w:b/>
                <w:iCs/>
                <w:szCs w:val="22"/>
                <w:lang w:val="sr-Latn-RS" w:eastAsia="hr-HR"/>
              </w:rPr>
            </w:pPr>
            <w:r>
              <w:rPr>
                <w:b/>
                <w:iCs/>
                <w:szCs w:val="22"/>
                <w:lang w:val="sr-Latn-RS" w:eastAsia="hr-HR"/>
              </w:rPr>
              <w:t>Manje od dvostruko povećanje izloženosti rosuvastatinu (AUC)</w:t>
            </w:r>
          </w:p>
        </w:tc>
      </w:tr>
      <w:tr w:rsidR="00582F55" w:rsidRPr="00166FF2">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Dozni režim lijeka sa kojim rosuvastatin stupa u interakciju</w:t>
            </w:r>
          </w:p>
        </w:tc>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Dozni režim</w:t>
            </w:r>
          </w:p>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rosuvastatina</w:t>
            </w:r>
          </w:p>
        </w:tc>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Promjene u raspoloživosti rosuvastatina (PIK*)</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Eltrombopag 75 mg jednom dnevno, 10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1.6 -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Darunavir 600 mg/ritonavir 100 mg dva puta dnevno, 7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jednom dnevno, 7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1.5 -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Tipranavir 500 mg/ritonavir 200 mg dva puta dnevno, 11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1.4 -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Dronedaron 400 mg dva puta dnevno</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Nema podataka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1.4 -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Itrakonazol 200 mg jednom dnevno, 5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**1.4 - puta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Ezetimib 10 mg jednom dnevno, 14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10 mg, jednom dnevno, 14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**1.2 - puta ↑</w:t>
            </w:r>
          </w:p>
        </w:tc>
      </w:tr>
      <w:tr w:rsidR="00582F55">
        <w:tc>
          <w:tcPr>
            <w:tcW w:w="0" w:type="auto"/>
            <w:gridSpan w:val="3"/>
            <w:shd w:val="clear" w:color="auto" w:fill="auto"/>
          </w:tcPr>
          <w:p w:rsidR="00582F55" w:rsidRDefault="001B0A63" w:rsidP="00166FF2">
            <w:pPr>
              <w:widowControl w:val="0"/>
              <w:spacing w:line="240" w:lineRule="auto"/>
              <w:outlineLvl w:val="2"/>
              <w:rPr>
                <w:b/>
                <w:iCs/>
                <w:szCs w:val="22"/>
                <w:lang w:val="sr-Latn-RS" w:eastAsia="hr-HR"/>
              </w:rPr>
            </w:pPr>
            <w:r>
              <w:rPr>
                <w:b/>
                <w:iCs/>
                <w:szCs w:val="22"/>
                <w:lang w:val="sr-Latn-RS" w:eastAsia="hr-HR"/>
              </w:rPr>
              <w:t>Sniženje izloženosti rosuvastatinu (AUC)</w:t>
            </w:r>
          </w:p>
        </w:tc>
      </w:tr>
      <w:tr w:rsidR="00582F55" w:rsidRPr="00166FF2">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Dozni režim lijeka sa kojim rosuvastatin stupa u interakciju</w:t>
            </w:r>
          </w:p>
        </w:tc>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Dozni režim</w:t>
            </w:r>
          </w:p>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rosuvastatina</w:t>
            </w:r>
          </w:p>
        </w:tc>
        <w:tc>
          <w:tcPr>
            <w:tcW w:w="0" w:type="auto"/>
            <w:shd w:val="clear" w:color="auto" w:fill="auto"/>
          </w:tcPr>
          <w:p w:rsidR="00582F55" w:rsidRDefault="001B0A63" w:rsidP="00166FF2">
            <w:pPr>
              <w:widowControl w:val="0"/>
              <w:spacing w:line="240" w:lineRule="auto"/>
              <w:jc w:val="center"/>
              <w:outlineLvl w:val="2"/>
              <w:rPr>
                <w:b/>
                <w:i/>
                <w:iCs/>
                <w:szCs w:val="22"/>
                <w:lang w:val="sr-Latn-RS" w:eastAsia="hr-HR"/>
              </w:rPr>
            </w:pPr>
            <w:r>
              <w:rPr>
                <w:b/>
                <w:i/>
                <w:iCs/>
                <w:szCs w:val="22"/>
                <w:lang w:val="sr-Latn-RS" w:eastAsia="hr-HR"/>
              </w:rPr>
              <w:t>Promjene u raspoloživosti rosuvastatina (PIK*)</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Eritromcin 500 mg četiri puta dnevno, 7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80 mg u jednoj 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20% ↓</w:t>
            </w:r>
          </w:p>
        </w:tc>
      </w:tr>
      <w:tr w:rsidR="00582F55">
        <w:tc>
          <w:tcPr>
            <w:tcW w:w="0" w:type="auto"/>
            <w:shd w:val="clear" w:color="auto" w:fill="auto"/>
          </w:tcPr>
          <w:p w:rsidR="00582F55" w:rsidRDefault="001B0A63" w:rsidP="00166FF2">
            <w:pPr>
              <w:widowControl w:val="0"/>
              <w:spacing w:line="240" w:lineRule="auto"/>
              <w:outlineLvl w:val="2"/>
              <w:rPr>
                <w:iCs/>
                <w:szCs w:val="22"/>
                <w:lang w:val="sr-Latn-RS" w:eastAsia="hr-HR"/>
              </w:rPr>
            </w:pPr>
            <w:r>
              <w:rPr>
                <w:iCs/>
                <w:szCs w:val="22"/>
                <w:lang w:val="sr-Latn-RS" w:eastAsia="hr-HR"/>
              </w:rPr>
              <w:t>Baikalin 50 mg tri puta dnevno, 14 dana</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t xml:space="preserve">20 mg u jednoj </w:t>
            </w:r>
            <w:r>
              <w:rPr>
                <w:iCs/>
                <w:szCs w:val="22"/>
                <w:lang w:val="sr-Latn-RS" w:eastAsia="hr-HR"/>
              </w:rPr>
              <w:lastRenderedPageBreak/>
              <w:t>dozi</w:t>
            </w:r>
          </w:p>
        </w:tc>
        <w:tc>
          <w:tcPr>
            <w:tcW w:w="0" w:type="auto"/>
            <w:shd w:val="clear" w:color="auto" w:fill="auto"/>
          </w:tcPr>
          <w:p w:rsidR="00582F55" w:rsidRDefault="001B0A63" w:rsidP="00166FF2">
            <w:pPr>
              <w:widowControl w:val="0"/>
              <w:spacing w:line="240" w:lineRule="auto"/>
              <w:jc w:val="center"/>
              <w:outlineLvl w:val="2"/>
              <w:rPr>
                <w:iCs/>
                <w:szCs w:val="22"/>
                <w:lang w:val="sr-Latn-RS" w:eastAsia="hr-HR"/>
              </w:rPr>
            </w:pPr>
            <w:r>
              <w:rPr>
                <w:iCs/>
                <w:szCs w:val="22"/>
                <w:lang w:val="sr-Latn-RS" w:eastAsia="hr-HR"/>
              </w:rPr>
              <w:lastRenderedPageBreak/>
              <w:t>47% ↓</w:t>
            </w:r>
          </w:p>
        </w:tc>
      </w:tr>
      <w:tr w:rsidR="00582F55" w:rsidRPr="008668CB">
        <w:tc>
          <w:tcPr>
            <w:tcW w:w="0" w:type="auto"/>
            <w:gridSpan w:val="3"/>
            <w:shd w:val="clear" w:color="auto" w:fill="auto"/>
          </w:tcPr>
          <w:p w:rsidR="00582F55" w:rsidRPr="00166FF2" w:rsidRDefault="001B0A63" w:rsidP="00166FF2">
            <w:pPr>
              <w:widowControl w:val="0"/>
              <w:spacing w:line="240" w:lineRule="auto"/>
              <w:jc w:val="both"/>
              <w:outlineLvl w:val="2"/>
              <w:rPr>
                <w:iCs/>
                <w:sz w:val="20"/>
                <w:szCs w:val="22"/>
                <w:lang w:val="sr-Latn-RS" w:eastAsia="hr-HR"/>
              </w:rPr>
            </w:pPr>
            <w:r w:rsidRPr="00166FF2">
              <w:rPr>
                <w:iCs/>
                <w:sz w:val="20"/>
                <w:szCs w:val="22"/>
                <w:lang w:val="sr-Latn-RS" w:eastAsia="hr-HR"/>
              </w:rPr>
              <w:t>*</w:t>
            </w:r>
            <w:r w:rsidRPr="00166FF2">
              <w:rPr>
                <w:sz w:val="20"/>
                <w:szCs w:val="22"/>
                <w:lang w:val="sr-Latn-RS"/>
              </w:rPr>
              <w:t>Podaci prikazani kao x-puta promjena, predstavljaju jednostavan odnos istovremene primjene rosuvastatina u kombinaciji i primjene samo rosuvastatina. Podaci prikazani kao % promjena predstavljaju % razlike u odnosu na primjenu samo rosuvastatina.</w:t>
            </w:r>
          </w:p>
          <w:p w:rsidR="00582F55" w:rsidRPr="00166FF2" w:rsidRDefault="001B0A63" w:rsidP="00166FF2">
            <w:pPr>
              <w:widowControl w:val="0"/>
              <w:spacing w:line="240" w:lineRule="auto"/>
              <w:jc w:val="both"/>
              <w:outlineLvl w:val="2"/>
              <w:rPr>
                <w:iCs/>
                <w:sz w:val="20"/>
                <w:szCs w:val="22"/>
                <w:lang w:val="sr-Latn-RS" w:eastAsia="hr-HR"/>
              </w:rPr>
            </w:pPr>
            <w:r w:rsidRPr="00166FF2">
              <w:rPr>
                <w:iCs/>
                <w:sz w:val="20"/>
                <w:szCs w:val="22"/>
                <w:lang w:val="sr-Latn-RS" w:eastAsia="hr-HR"/>
              </w:rPr>
              <w:t xml:space="preserve">Povećanje je označeno “↑”, smanjenje “↓”. </w:t>
            </w:r>
          </w:p>
          <w:p w:rsidR="00582F55" w:rsidRPr="00166FF2" w:rsidRDefault="001B0A63" w:rsidP="00166FF2">
            <w:pPr>
              <w:widowControl w:val="0"/>
              <w:spacing w:line="240" w:lineRule="auto"/>
              <w:jc w:val="both"/>
              <w:outlineLvl w:val="2"/>
              <w:rPr>
                <w:sz w:val="20"/>
                <w:szCs w:val="22"/>
                <w:lang w:val="sr-Latn-RS"/>
              </w:rPr>
            </w:pPr>
            <w:r w:rsidRPr="00166FF2">
              <w:rPr>
                <w:iCs/>
                <w:sz w:val="20"/>
                <w:szCs w:val="22"/>
                <w:lang w:val="sr-Latn-RS" w:eastAsia="hr-HR"/>
              </w:rPr>
              <w:t xml:space="preserve">** </w:t>
            </w:r>
            <w:r w:rsidRPr="00166FF2">
              <w:rPr>
                <w:sz w:val="20"/>
                <w:szCs w:val="22"/>
                <w:lang w:val="sr-Latn-RS"/>
              </w:rPr>
              <w:t>Sprovedeno je nekoliko studija interakcija sa različitim dozama rosuvastatina, tabela prikazuje najznačajnije odnose.</w:t>
            </w:r>
          </w:p>
          <w:p w:rsidR="00582F55" w:rsidRPr="00166FF2" w:rsidRDefault="001B0A63" w:rsidP="00166FF2">
            <w:pPr>
              <w:widowControl w:val="0"/>
              <w:spacing w:line="240" w:lineRule="auto"/>
              <w:jc w:val="both"/>
              <w:outlineLvl w:val="2"/>
              <w:rPr>
                <w:iCs/>
                <w:sz w:val="20"/>
                <w:szCs w:val="22"/>
                <w:lang w:val="sr-Latn-RS" w:eastAsia="hr-HR"/>
              </w:rPr>
            </w:pPr>
            <w:r w:rsidRPr="00166FF2">
              <w:rPr>
                <w:iCs/>
                <w:sz w:val="20"/>
                <w:szCs w:val="22"/>
                <w:lang w:val="sr-Latn-RS" w:eastAsia="hr-HR"/>
              </w:rPr>
              <w:t>AUC = površina ispod krive (area under curve)</w:t>
            </w:r>
          </w:p>
        </w:tc>
      </w:tr>
    </w:tbl>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Cs/>
          <w:szCs w:val="22"/>
          <w:lang w:val="sr-Latn-RS" w:eastAsia="hr-HR"/>
        </w:rPr>
      </w:pPr>
      <w:r>
        <w:rPr>
          <w:iCs/>
          <w:szCs w:val="22"/>
          <w:lang w:val="sr-Latn-RS" w:eastAsia="hr-HR"/>
        </w:rPr>
        <w:t>Sljedeći ljekovi/kombinacije nemaju klinički značajan uticaj na izloženost rosuvastatinu (AUC) u toku istovremene primjene: Aleglitazar 0,3 mg, 7 dana; Fenofibrat 67 mg tri puta dnevno, 7 dana; Flukonazol 200 mg jednom dnevno, 11 dana; Fosamprenavir 700 mg/ritonavir 100 mg dva puta dnevno, 8 dana; Ketokonazol 200 mg dva puta dnevno, 7 dana; Rifampin 450 mg jednom dnevno, 7 dana; Silimarin 140 mg tri puta dnevno, 5 dana.</w:t>
      </w:r>
    </w:p>
    <w:p w:rsidR="00582F55" w:rsidRDefault="00582F55" w:rsidP="00166FF2">
      <w:pPr>
        <w:widowControl w:val="0"/>
        <w:spacing w:line="240" w:lineRule="auto"/>
        <w:jc w:val="both"/>
        <w:outlineLvl w:val="2"/>
        <w:rPr>
          <w:iCs/>
          <w:szCs w:val="22"/>
          <w:u w:val="single"/>
          <w:lang w:val="sr-Latn-RS" w:eastAsia="hr-HR"/>
        </w:rPr>
      </w:pPr>
    </w:p>
    <w:p w:rsidR="00582F55" w:rsidRDefault="001B0A63" w:rsidP="00166FF2">
      <w:pPr>
        <w:widowControl w:val="0"/>
        <w:spacing w:line="240" w:lineRule="auto"/>
        <w:jc w:val="both"/>
        <w:outlineLvl w:val="2"/>
        <w:rPr>
          <w:iCs/>
          <w:szCs w:val="22"/>
          <w:u w:val="single"/>
          <w:lang w:val="sr-Latn-RS" w:eastAsia="hr-HR"/>
        </w:rPr>
      </w:pPr>
      <w:r>
        <w:rPr>
          <w:iCs/>
          <w:szCs w:val="22"/>
          <w:u w:val="single"/>
          <w:lang w:val="sr-Latn-RS" w:eastAsia="hr-HR"/>
        </w:rPr>
        <w:t>Efekti rosuvastatina na istovremeno korišćene ljekove</w:t>
      </w:r>
    </w:p>
    <w:p w:rsidR="00582F55" w:rsidRDefault="00582F55" w:rsidP="00166FF2">
      <w:pPr>
        <w:widowControl w:val="0"/>
        <w:spacing w:line="240" w:lineRule="auto"/>
        <w:jc w:val="both"/>
        <w:outlineLvl w:val="2"/>
        <w:rPr>
          <w:iCs/>
          <w:szCs w:val="22"/>
          <w:u w:val="single"/>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Antagonisti vitamina K</w:t>
      </w:r>
    </w:p>
    <w:p w:rsidR="00582F55" w:rsidRDefault="001B0A63" w:rsidP="00166FF2">
      <w:pPr>
        <w:widowControl w:val="0"/>
        <w:spacing w:line="240" w:lineRule="auto"/>
        <w:jc w:val="both"/>
        <w:rPr>
          <w:szCs w:val="22"/>
          <w:lang w:val="sr-Latn-RS" w:eastAsia="hr-HR"/>
        </w:rPr>
      </w:pPr>
      <w:r>
        <w:rPr>
          <w:szCs w:val="22"/>
          <w:lang w:val="sr-Latn-RS" w:eastAsia="hr-HR"/>
        </w:rPr>
        <w:t>Kao i kod ostalih inhibitora HMG-CoA reduktaze, započinjanje terapije ili postepeno povećanje doze rosuvastatina kod pacijenata kod kojih se istovremeno primjenjuju antagonisti vitamina K (npr. varfarin ili drugi kumarinski antikoagulansi) može dovesti do povećanja vrijednosti INR (</w:t>
      </w:r>
      <w:r>
        <w:rPr>
          <w:i/>
          <w:szCs w:val="22"/>
          <w:lang w:val="sr-Latn-RS" w:eastAsia="hr-HR"/>
        </w:rPr>
        <w:t>International Normalised Ratio</w:t>
      </w:r>
      <w:r>
        <w:rPr>
          <w:szCs w:val="22"/>
          <w:lang w:val="sr-Latn-RS" w:eastAsia="hr-HR"/>
        </w:rPr>
        <w:t>). Vrijednost INR se može smanjiti ako prekinemo terapiju lijekom Roswera ili ako se smanji njegova doza. U takvim situacijama preporučuje se praćenje vrijednosti INR.</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Oralni kontraceptivi/hormonska supstituciona terapija(HST)</w:t>
      </w:r>
    </w:p>
    <w:p w:rsidR="00582F55" w:rsidRDefault="001B0A63" w:rsidP="00166FF2">
      <w:pPr>
        <w:widowControl w:val="0"/>
        <w:spacing w:line="240" w:lineRule="auto"/>
        <w:jc w:val="both"/>
        <w:rPr>
          <w:szCs w:val="22"/>
          <w:lang w:val="sr-Latn-RS" w:eastAsia="hr-HR"/>
        </w:rPr>
      </w:pPr>
      <w:r>
        <w:rPr>
          <w:szCs w:val="22"/>
          <w:lang w:val="sr-Latn-RS" w:eastAsia="hr-HR"/>
        </w:rPr>
        <w:t>Kod istovremene primjene rosuvastatina i oralnih kontraceptiva dolazi do povećanja AUC vrijednosti etinilestradiola i norgestrela za 26 % odnosno 34 %. Ovo povećanje vrijednosti u plazmi treba uzeti u obzir kod određivanja doze oralnih kontraceptiva. Nema dostupnih farmakokinetičkih podataka o pacijentima kod kojih su istovremeno primjenjivani rosuvastatin i HST; stoga se ne može sličan efekat isključiti. Ipak,ova kombinacija je u velikoj mjeri korišćena kod žena u kliničkim studijama i dobro su je podnosile.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Ostali ljekovi</w:t>
      </w:r>
    </w:p>
    <w:p w:rsidR="00582F55" w:rsidRDefault="001B0A63" w:rsidP="00166FF2">
      <w:pPr>
        <w:widowControl w:val="0"/>
        <w:spacing w:line="240" w:lineRule="auto"/>
        <w:jc w:val="both"/>
        <w:rPr>
          <w:szCs w:val="22"/>
          <w:lang w:val="sr-Latn-RS" w:eastAsia="hr-HR"/>
        </w:rPr>
      </w:pPr>
      <w:r>
        <w:rPr>
          <w:szCs w:val="22"/>
          <w:lang w:val="sr-Latn-RS" w:eastAsia="hr-HR"/>
        </w:rPr>
        <w:t>Digoksin</w:t>
      </w:r>
    </w:p>
    <w:p w:rsidR="00582F55" w:rsidRDefault="001B0A63" w:rsidP="00166FF2">
      <w:pPr>
        <w:widowControl w:val="0"/>
        <w:spacing w:line="240" w:lineRule="auto"/>
        <w:jc w:val="both"/>
        <w:rPr>
          <w:szCs w:val="22"/>
          <w:lang w:val="sr-Latn-RS" w:eastAsia="hr-HR"/>
        </w:rPr>
      </w:pPr>
      <w:r>
        <w:rPr>
          <w:szCs w:val="22"/>
          <w:lang w:val="sr-Latn-RS" w:eastAsia="hr-HR"/>
        </w:rPr>
        <w:t>Na osnovu podataka iz specifičnih studija interakcija, ne očekuje se klinički značajna interakcija sa digoksinom.</w:t>
      </w:r>
    </w:p>
    <w:p w:rsidR="00582F55" w:rsidRDefault="00582F55" w:rsidP="00166FF2">
      <w:pPr>
        <w:widowControl w:val="0"/>
        <w:spacing w:line="240" w:lineRule="auto"/>
        <w:jc w:val="both"/>
        <w:rPr>
          <w:szCs w:val="22"/>
          <w:highlight w:val="yellow"/>
          <w:lang w:val="sr-Latn-RS" w:eastAsia="hr-HR"/>
        </w:rPr>
      </w:pPr>
    </w:p>
    <w:p w:rsidR="00582F55" w:rsidRDefault="001B0A63" w:rsidP="00166FF2">
      <w:pPr>
        <w:widowControl w:val="0"/>
        <w:spacing w:line="240" w:lineRule="auto"/>
        <w:jc w:val="both"/>
        <w:rPr>
          <w:i/>
          <w:szCs w:val="22"/>
          <w:lang w:val="sr-Latn-RS" w:eastAsia="hr-HR"/>
        </w:rPr>
      </w:pPr>
      <w:r>
        <w:rPr>
          <w:i/>
          <w:szCs w:val="22"/>
          <w:lang w:val="sr-Latn-RS" w:eastAsia="hr-HR"/>
        </w:rPr>
        <w:t>Fusidinska kiselina</w:t>
      </w:r>
    </w:p>
    <w:p w:rsidR="00582F55" w:rsidRDefault="001B0A63" w:rsidP="00166FF2">
      <w:pPr>
        <w:widowControl w:val="0"/>
        <w:spacing w:line="240" w:lineRule="auto"/>
        <w:jc w:val="both"/>
        <w:rPr>
          <w:szCs w:val="22"/>
          <w:lang w:val="sr-Latn-RS" w:eastAsia="hr-HR"/>
        </w:rPr>
      </w:pPr>
      <w:r>
        <w:rPr>
          <w:szCs w:val="22"/>
          <w:lang w:val="sr-Latn-RS" w:eastAsia="hr-HR"/>
        </w:rPr>
        <w:t>Rizik od miopatije, uključujući rabdomiolizu, može biti povećan istovremenom primjenom sistemske fusidinske kiseline sa statinima. Mehanizam ove interakcije (bilo da je farmakodinamska i/ili farmakokinetska) još je nepoznat. Prijavljeni su slučajevi rabdomiolize (uključujući i neke sa smrtnim ishodom) kod pacijenata koji su primali ovu kombinaciju. Ako je liječenje sistemskom fusidinskom kiselinom neophodno, primjenu rosuvastatina treba prekinuti tokom trajanja primjene fusidinske kiseline. Takođe vidjeti dio 4.4.</w:t>
      </w:r>
    </w:p>
    <w:p w:rsidR="00582F55" w:rsidRDefault="00582F55" w:rsidP="00166FF2">
      <w:pPr>
        <w:widowControl w:val="0"/>
        <w:spacing w:line="240" w:lineRule="auto"/>
        <w:jc w:val="both"/>
        <w:rPr>
          <w:i/>
          <w:szCs w:val="22"/>
          <w:lang w:val="sr-Latn-RS" w:eastAsia="hr-HR"/>
        </w:rPr>
      </w:pPr>
    </w:p>
    <w:p w:rsidR="00582F55" w:rsidRDefault="001B0A63" w:rsidP="00166FF2">
      <w:pPr>
        <w:widowControl w:val="0"/>
        <w:spacing w:line="240" w:lineRule="auto"/>
        <w:jc w:val="both"/>
        <w:rPr>
          <w:i/>
          <w:szCs w:val="22"/>
          <w:lang w:val="sr-Latn-RS" w:eastAsia="hr-HR"/>
        </w:rPr>
      </w:pPr>
      <w:r>
        <w:rPr>
          <w:i/>
          <w:szCs w:val="22"/>
          <w:lang w:val="sr-Latn-RS" w:eastAsia="hr-HR"/>
        </w:rPr>
        <w:t>Pedijatrijska populacija</w:t>
      </w:r>
    </w:p>
    <w:p w:rsidR="00582F55" w:rsidRDefault="001B0A63" w:rsidP="00166FF2">
      <w:pPr>
        <w:widowControl w:val="0"/>
        <w:spacing w:line="240" w:lineRule="auto"/>
        <w:jc w:val="both"/>
        <w:rPr>
          <w:szCs w:val="22"/>
          <w:lang w:val="sr-Latn-RS" w:eastAsia="hr-HR"/>
        </w:rPr>
      </w:pPr>
      <w:r>
        <w:rPr>
          <w:szCs w:val="22"/>
          <w:lang w:val="sr-Latn-RS" w:eastAsia="hr-HR"/>
        </w:rPr>
        <w:t>Studije interakcija sprovedene su samo u populaciji odraslih. Obim interakcija kod pedijatrijske populacije je nepoznat.</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ind w:left="567" w:hanging="567"/>
        <w:jc w:val="both"/>
        <w:outlineLvl w:val="0"/>
        <w:rPr>
          <w:b/>
          <w:bCs/>
          <w:szCs w:val="22"/>
          <w:lang w:val="sr-Latn-RS"/>
        </w:rPr>
      </w:pPr>
      <w:r>
        <w:rPr>
          <w:b/>
          <w:szCs w:val="22"/>
          <w:lang w:val="sr-Latn-RS"/>
        </w:rPr>
        <w:t>4.6</w:t>
      </w:r>
      <w:r>
        <w:rPr>
          <w:b/>
          <w:szCs w:val="22"/>
          <w:lang w:val="sr-Latn-RS"/>
        </w:rPr>
        <w:tab/>
      </w:r>
      <w:r>
        <w:rPr>
          <w:b/>
          <w:bCs/>
          <w:szCs w:val="22"/>
          <w:lang w:val="sr-Latn-RS"/>
        </w:rPr>
        <w:t>Plodnost, trudnoća i dojenje</w:t>
      </w:r>
    </w:p>
    <w:p w:rsidR="00582F55" w:rsidRDefault="00582F55" w:rsidP="00166FF2">
      <w:pPr>
        <w:widowControl w:val="0"/>
        <w:spacing w:line="240" w:lineRule="auto"/>
        <w:ind w:left="567" w:hanging="567"/>
        <w:jc w:val="both"/>
        <w:outlineLvl w:val="0"/>
        <w:rPr>
          <w:b/>
          <w:bCs/>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Lijek Roswera je kontraindikovan za vrijeme trudnoće i dojenja.</w:t>
      </w:r>
    </w:p>
    <w:p w:rsidR="00582F55" w:rsidRDefault="001B0A63" w:rsidP="00166FF2">
      <w:pPr>
        <w:widowControl w:val="0"/>
        <w:spacing w:line="240" w:lineRule="auto"/>
        <w:jc w:val="both"/>
        <w:rPr>
          <w:szCs w:val="22"/>
          <w:lang w:val="sr-Latn-RS"/>
        </w:rPr>
      </w:pPr>
      <w:r>
        <w:rPr>
          <w:szCs w:val="22"/>
          <w:lang w:val="sr-Latn-RS" w:eastAsia="hr-HR"/>
        </w:rPr>
        <w:t>Žene u reproduktivnom periodu treba da koriste odredjene kontraceptivne mjere.</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u w:val="single"/>
          <w:lang w:val="sr-Latn-RS"/>
        </w:rPr>
      </w:pPr>
      <w:r>
        <w:rPr>
          <w:szCs w:val="22"/>
          <w:u w:val="single"/>
          <w:lang w:val="sr-Latn-RS"/>
        </w:rPr>
        <w:t>Trudnoća</w:t>
      </w:r>
    </w:p>
    <w:p w:rsidR="00582F55" w:rsidRDefault="001B0A63" w:rsidP="00166FF2">
      <w:pPr>
        <w:widowControl w:val="0"/>
        <w:spacing w:line="240" w:lineRule="auto"/>
        <w:jc w:val="both"/>
        <w:rPr>
          <w:szCs w:val="22"/>
          <w:lang w:val="sr-Latn-RS" w:eastAsia="hr-HR"/>
        </w:rPr>
      </w:pPr>
      <w:r>
        <w:rPr>
          <w:szCs w:val="22"/>
          <w:lang w:val="sr-Latn-RS" w:eastAsia="hr-HR"/>
        </w:rPr>
        <w:t xml:space="preserve">Pošto su holesterol i ostali proizvodi biosinteze holesterola neophodni za razvoj fetusa, potencijalni rizik od inhibicije HMG-CoA reduktaze je veći od koristi terapije tokom trudnoće. Studije na životinjama pružaju ograničene dokaze o reproduktivnoj toksičnosti (vidjeti dio 5.3). Ako pacijentkinja tokom </w:t>
      </w:r>
      <w:r>
        <w:rPr>
          <w:szCs w:val="22"/>
          <w:lang w:val="sr-Latn-RS" w:eastAsia="hr-HR"/>
        </w:rPr>
        <w:lastRenderedPageBreak/>
        <w:t>primjene ovog lijeka zatrudni,terapiju odmah mora prekinuti.</w:t>
      </w:r>
    </w:p>
    <w:p w:rsidR="00582F55" w:rsidRDefault="00582F55" w:rsidP="00166FF2">
      <w:pPr>
        <w:widowControl w:val="0"/>
        <w:spacing w:line="240" w:lineRule="auto"/>
        <w:jc w:val="both"/>
        <w:rPr>
          <w:szCs w:val="22"/>
          <w:u w:val="single"/>
          <w:lang w:val="sr-Latn-RS"/>
        </w:rPr>
      </w:pPr>
    </w:p>
    <w:p w:rsidR="00582F55" w:rsidRDefault="001B0A63" w:rsidP="00166FF2">
      <w:pPr>
        <w:widowControl w:val="0"/>
        <w:spacing w:line="240" w:lineRule="auto"/>
        <w:jc w:val="both"/>
        <w:rPr>
          <w:szCs w:val="22"/>
          <w:u w:val="single"/>
          <w:lang w:val="sr-Latn-RS"/>
        </w:rPr>
      </w:pPr>
      <w:r>
        <w:rPr>
          <w:szCs w:val="22"/>
          <w:u w:val="single"/>
          <w:lang w:val="sr-Latn-RS"/>
        </w:rPr>
        <w:t>Dojenje</w:t>
      </w:r>
    </w:p>
    <w:p w:rsidR="00582F55" w:rsidRDefault="001B0A63" w:rsidP="00166FF2">
      <w:pPr>
        <w:widowControl w:val="0"/>
        <w:spacing w:line="240" w:lineRule="auto"/>
        <w:jc w:val="both"/>
        <w:rPr>
          <w:szCs w:val="22"/>
          <w:lang w:val="sr-Latn-RS" w:eastAsia="hr-HR"/>
        </w:rPr>
      </w:pPr>
      <w:r>
        <w:rPr>
          <w:szCs w:val="22"/>
          <w:lang w:val="sr-Latn-RS" w:eastAsia="hr-HR"/>
        </w:rPr>
        <w:t xml:space="preserve">Rosuvastatin se kod pacova izlučuje u majčino mlijeko. Nema podataka o izlučivanju u humano mlijeko (vidjeti dio 4.3). </w:t>
      </w:r>
    </w:p>
    <w:p w:rsidR="00582F55" w:rsidRDefault="00582F55" w:rsidP="00166FF2">
      <w:pPr>
        <w:widowControl w:val="0"/>
        <w:spacing w:line="240" w:lineRule="auto"/>
        <w:jc w:val="both"/>
        <w:rPr>
          <w:szCs w:val="22"/>
          <w:u w:val="single"/>
          <w:lang w:val="sr-Latn-RS"/>
        </w:rPr>
      </w:pPr>
    </w:p>
    <w:p w:rsidR="00582F55" w:rsidRDefault="001B0A63" w:rsidP="00166FF2">
      <w:pPr>
        <w:widowControl w:val="0"/>
        <w:spacing w:line="240" w:lineRule="auto"/>
        <w:ind w:left="567" w:hanging="567"/>
        <w:jc w:val="both"/>
        <w:outlineLvl w:val="0"/>
        <w:rPr>
          <w:szCs w:val="22"/>
          <w:lang w:val="sr-Latn-RS"/>
        </w:rPr>
      </w:pPr>
      <w:r>
        <w:rPr>
          <w:b/>
          <w:szCs w:val="22"/>
          <w:lang w:val="sr-Latn-RS"/>
        </w:rPr>
        <w:t>4.7</w:t>
      </w:r>
      <w:r>
        <w:rPr>
          <w:b/>
          <w:szCs w:val="22"/>
          <w:lang w:val="sr-Latn-RS"/>
        </w:rPr>
        <w:tab/>
      </w:r>
      <w:r>
        <w:rPr>
          <w:b/>
          <w:bCs/>
          <w:szCs w:val="22"/>
          <w:lang w:val="sr-Latn-RS"/>
        </w:rPr>
        <w:t xml:space="preserve">Uticaj na sposobnost upravljanja vozilima i rukovanje mašinama </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Nisu sprovedene studije o uticaju rosuvastatina na sposobnost upravljanja vozilima i rukovanja mašinama. Na osnovu njegovih farmakodinamskih svojstava može se smatrati da rosuvastatin ne utiče na ovu sposobnost.  Za vrijeme terapije treba uzeti u obzir da se tokom vožnje motornih vozila ili rada sa mašinama može pojaviti vrtoglavica.</w:t>
      </w:r>
    </w:p>
    <w:p w:rsidR="00582F55" w:rsidRDefault="00582F55" w:rsidP="00166FF2">
      <w:pPr>
        <w:widowControl w:val="0"/>
        <w:spacing w:line="240" w:lineRule="auto"/>
        <w:jc w:val="both"/>
        <w:rPr>
          <w:szCs w:val="22"/>
          <w:lang w:val="sr-Latn-RS"/>
        </w:rPr>
      </w:pPr>
    </w:p>
    <w:p w:rsidR="00582F55" w:rsidRDefault="001B0A63" w:rsidP="00166FF2">
      <w:pPr>
        <w:widowControl w:val="0"/>
        <w:numPr>
          <w:ilvl w:val="1"/>
          <w:numId w:val="11"/>
        </w:numPr>
        <w:spacing w:line="240" w:lineRule="auto"/>
        <w:jc w:val="both"/>
        <w:outlineLvl w:val="0"/>
        <w:rPr>
          <w:b/>
          <w:szCs w:val="22"/>
          <w:lang w:val="sr-Latn-RS"/>
        </w:rPr>
      </w:pPr>
      <w:r>
        <w:rPr>
          <w:b/>
          <w:szCs w:val="22"/>
          <w:lang w:val="sr-Latn-RS"/>
        </w:rPr>
        <w:t>Neželjena dejstva</w:t>
      </w:r>
    </w:p>
    <w:p w:rsidR="00582F55" w:rsidRDefault="00582F55" w:rsidP="00166FF2">
      <w:pPr>
        <w:pStyle w:val="Default"/>
        <w:widowControl w:val="0"/>
        <w:jc w:val="both"/>
        <w:rPr>
          <w:sz w:val="22"/>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Neželjene reakcije koje se javljaju tokom upotrebe rosuvastatina većinom su blage i prolazne. U kontrolisanim kliničkim studijama, zbog neželjenih reakcija, liječenje je prekinulo manje od 4 % pacijenata.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u w:val="single"/>
          <w:lang w:val="sr-Latn-RS" w:eastAsia="hr-HR"/>
        </w:rPr>
      </w:pPr>
      <w:r>
        <w:rPr>
          <w:szCs w:val="22"/>
          <w:u w:val="single"/>
          <w:lang w:val="sr-Latn-RS" w:eastAsia="hr-HR"/>
        </w:rPr>
        <w:t>Tabelarni prikaz neželjenih reakcija</w:t>
      </w:r>
    </w:p>
    <w:p w:rsidR="00582F55" w:rsidRDefault="001B0A63" w:rsidP="00166FF2">
      <w:pPr>
        <w:widowControl w:val="0"/>
        <w:spacing w:line="240" w:lineRule="auto"/>
        <w:jc w:val="both"/>
        <w:rPr>
          <w:szCs w:val="22"/>
          <w:lang w:val="sr-Latn-RS" w:eastAsia="hr-HR"/>
        </w:rPr>
      </w:pPr>
      <w:r>
        <w:rPr>
          <w:szCs w:val="22"/>
          <w:lang w:val="sr-Latn-RS"/>
        </w:rPr>
        <w:t>Na osnovu podataka iz kliničkih studija i velikog postmarketinškog iskustva, sljedeća tabela predstavlja profil neželjenih dejstava rosuvastatina. Neželjena dejstva su razvrstana prema učestalosti i i sistemima organa.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Neželjene reakcije koje se mogu javiti tokom primjene lijeka Roswera prema učestalosti su klasifikovane u sljedeće grupe:</w:t>
      </w:r>
    </w:p>
    <w:p w:rsidR="00582F55" w:rsidRDefault="001B0A63" w:rsidP="00166FF2">
      <w:pPr>
        <w:widowControl w:val="0"/>
        <w:numPr>
          <w:ilvl w:val="0"/>
          <w:numId w:val="31"/>
        </w:numPr>
        <w:spacing w:line="240" w:lineRule="auto"/>
        <w:ind w:hanging="720"/>
        <w:jc w:val="both"/>
        <w:rPr>
          <w:szCs w:val="22"/>
          <w:lang w:val="sr-Latn-RS" w:eastAsia="hr-HR"/>
        </w:rPr>
      </w:pPr>
      <w:r>
        <w:rPr>
          <w:szCs w:val="22"/>
          <w:lang w:val="sr-Latn-RS"/>
        </w:rPr>
        <w:t>veoma često (≥1/10),</w:t>
      </w:r>
    </w:p>
    <w:p w:rsidR="00582F55" w:rsidRDefault="001B0A63" w:rsidP="00166FF2">
      <w:pPr>
        <w:widowControl w:val="0"/>
        <w:numPr>
          <w:ilvl w:val="0"/>
          <w:numId w:val="26"/>
        </w:numPr>
        <w:spacing w:line="240" w:lineRule="auto"/>
        <w:jc w:val="both"/>
        <w:rPr>
          <w:color w:val="000000"/>
          <w:szCs w:val="22"/>
          <w:lang w:val="sr-Latn-RS" w:eastAsia="hr-HR"/>
        </w:rPr>
      </w:pPr>
      <w:r>
        <w:rPr>
          <w:color w:val="000000"/>
          <w:szCs w:val="22"/>
          <w:lang w:val="sr-Latn-RS" w:eastAsia="hr-HR"/>
        </w:rPr>
        <w:t>često (</w:t>
      </w:r>
      <w:r>
        <w:rPr>
          <w:b/>
          <w:color w:val="000000"/>
          <w:szCs w:val="22"/>
          <w:lang w:val="sr-Latn-RS" w:eastAsia="hr-HR"/>
        </w:rPr>
        <w:t>≥</w:t>
      </w:r>
      <w:r>
        <w:rPr>
          <w:color w:val="000000"/>
          <w:szCs w:val="22"/>
          <w:lang w:val="sr-Latn-RS" w:eastAsia="hr-HR"/>
        </w:rPr>
        <w:t xml:space="preserve"> 1/100 do &lt; 1/10),</w:t>
      </w:r>
    </w:p>
    <w:p w:rsidR="00582F55" w:rsidRDefault="001B0A63" w:rsidP="00166FF2">
      <w:pPr>
        <w:widowControl w:val="0"/>
        <w:numPr>
          <w:ilvl w:val="0"/>
          <w:numId w:val="26"/>
        </w:numPr>
        <w:spacing w:line="240" w:lineRule="auto"/>
        <w:jc w:val="both"/>
        <w:rPr>
          <w:color w:val="000000"/>
          <w:szCs w:val="22"/>
          <w:lang w:val="sr-Latn-RS" w:eastAsia="hr-HR"/>
        </w:rPr>
      </w:pPr>
      <w:r>
        <w:rPr>
          <w:color w:val="000000"/>
          <w:szCs w:val="22"/>
          <w:lang w:val="sr-Latn-RS" w:eastAsia="hr-HR"/>
        </w:rPr>
        <w:t>povremeno (</w:t>
      </w:r>
      <w:r>
        <w:rPr>
          <w:b/>
          <w:color w:val="000000"/>
          <w:szCs w:val="22"/>
          <w:lang w:val="sr-Latn-RS" w:eastAsia="hr-HR"/>
        </w:rPr>
        <w:t>≥</w:t>
      </w:r>
      <w:r>
        <w:rPr>
          <w:color w:val="000000"/>
          <w:szCs w:val="22"/>
          <w:lang w:val="sr-Latn-RS" w:eastAsia="hr-HR"/>
        </w:rPr>
        <w:t xml:space="preserve"> 1/1000 do &lt; 1/100),</w:t>
      </w:r>
    </w:p>
    <w:p w:rsidR="00582F55" w:rsidRDefault="001B0A63" w:rsidP="00166FF2">
      <w:pPr>
        <w:widowControl w:val="0"/>
        <w:numPr>
          <w:ilvl w:val="0"/>
          <w:numId w:val="26"/>
        </w:numPr>
        <w:spacing w:line="240" w:lineRule="auto"/>
        <w:jc w:val="both"/>
        <w:rPr>
          <w:color w:val="000000"/>
          <w:szCs w:val="22"/>
          <w:lang w:val="sr-Latn-RS" w:eastAsia="hr-HR"/>
        </w:rPr>
      </w:pPr>
      <w:r>
        <w:rPr>
          <w:color w:val="000000"/>
          <w:szCs w:val="22"/>
          <w:lang w:val="sr-Latn-RS" w:eastAsia="hr-HR"/>
        </w:rPr>
        <w:t>rijetko (</w:t>
      </w:r>
      <w:r>
        <w:rPr>
          <w:b/>
          <w:color w:val="000000"/>
          <w:szCs w:val="22"/>
          <w:lang w:val="sr-Latn-RS" w:eastAsia="hr-HR"/>
        </w:rPr>
        <w:t>≥</w:t>
      </w:r>
      <w:r>
        <w:rPr>
          <w:color w:val="000000"/>
          <w:szCs w:val="22"/>
          <w:lang w:val="sr-Latn-RS" w:eastAsia="hr-HR"/>
        </w:rPr>
        <w:t xml:space="preserve"> 1/10000 do &lt; 1/1000),</w:t>
      </w:r>
    </w:p>
    <w:p w:rsidR="00582F55" w:rsidRDefault="001B0A63" w:rsidP="00166FF2">
      <w:pPr>
        <w:widowControl w:val="0"/>
        <w:numPr>
          <w:ilvl w:val="0"/>
          <w:numId w:val="26"/>
        </w:numPr>
        <w:spacing w:line="240" w:lineRule="auto"/>
        <w:jc w:val="both"/>
        <w:rPr>
          <w:color w:val="000000"/>
          <w:szCs w:val="22"/>
          <w:lang w:val="sr-Latn-RS" w:eastAsia="hr-HR"/>
        </w:rPr>
      </w:pPr>
      <w:r>
        <w:rPr>
          <w:color w:val="000000"/>
          <w:szCs w:val="22"/>
          <w:lang w:val="sr-Latn-RS" w:eastAsia="hr-HR"/>
        </w:rPr>
        <w:t>veoma rijetko (&lt; 1/10.000),</w:t>
      </w:r>
    </w:p>
    <w:p w:rsidR="00582F55" w:rsidRDefault="001B0A63" w:rsidP="00166FF2">
      <w:pPr>
        <w:widowControl w:val="0"/>
        <w:numPr>
          <w:ilvl w:val="0"/>
          <w:numId w:val="26"/>
        </w:numPr>
        <w:spacing w:line="240" w:lineRule="auto"/>
        <w:jc w:val="both"/>
        <w:rPr>
          <w:color w:val="000000"/>
          <w:szCs w:val="22"/>
          <w:lang w:val="sr-Latn-RS" w:eastAsia="hr-HR"/>
        </w:rPr>
      </w:pPr>
      <w:r>
        <w:rPr>
          <w:color w:val="000000"/>
          <w:szCs w:val="22"/>
          <w:lang w:val="sr-Latn-RS" w:eastAsia="hr-HR"/>
        </w:rPr>
        <w:t>nepoznato (nije moguće procijeniti iz raspoloživih podataka).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rPr>
          <w:szCs w:val="22"/>
          <w:lang w:val="sr-Latn-RS"/>
        </w:rPr>
      </w:pPr>
      <w:r>
        <w:rPr>
          <w:szCs w:val="22"/>
          <w:lang w:val="sr-Latn-RS"/>
        </w:rPr>
        <w:t>Tabela 2. Neželjena dejstva na osnovu podataka iz kliničkih studija i postmarketinškog iskustva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298"/>
        <w:gridCol w:w="1250"/>
        <w:gridCol w:w="1750"/>
        <w:gridCol w:w="1524"/>
        <w:gridCol w:w="1500"/>
      </w:tblGrid>
      <w:tr w:rsidR="00582F55" w:rsidTr="00166FF2">
        <w:trPr>
          <w:jc w:val="center"/>
        </w:trPr>
        <w:tc>
          <w:tcPr>
            <w:tcW w:w="1739" w:type="dxa"/>
          </w:tcPr>
          <w:p w:rsidR="00582F55" w:rsidRDefault="001B0A63" w:rsidP="00166FF2">
            <w:pPr>
              <w:widowControl w:val="0"/>
              <w:spacing w:line="240" w:lineRule="auto"/>
              <w:rPr>
                <w:b/>
                <w:szCs w:val="22"/>
                <w:lang w:val="sr-Latn-RS"/>
              </w:rPr>
            </w:pPr>
            <w:r>
              <w:rPr>
                <w:b/>
                <w:szCs w:val="22"/>
                <w:lang w:val="sr-Latn-RS"/>
              </w:rPr>
              <w:t>Sistem organa</w:t>
            </w:r>
          </w:p>
        </w:tc>
        <w:tc>
          <w:tcPr>
            <w:tcW w:w="1298" w:type="dxa"/>
          </w:tcPr>
          <w:p w:rsidR="00582F55" w:rsidRDefault="001B0A63" w:rsidP="00166FF2">
            <w:pPr>
              <w:widowControl w:val="0"/>
              <w:spacing w:line="240" w:lineRule="auto"/>
              <w:jc w:val="center"/>
              <w:rPr>
                <w:b/>
                <w:szCs w:val="22"/>
                <w:lang w:val="sr-Latn-RS"/>
              </w:rPr>
            </w:pPr>
            <w:r>
              <w:rPr>
                <w:b/>
                <w:szCs w:val="22"/>
                <w:lang w:val="sr-Latn-RS"/>
              </w:rPr>
              <w:t>Često</w:t>
            </w:r>
          </w:p>
        </w:tc>
        <w:tc>
          <w:tcPr>
            <w:tcW w:w="1250" w:type="dxa"/>
          </w:tcPr>
          <w:p w:rsidR="00582F55" w:rsidRDefault="001B0A63" w:rsidP="00166FF2">
            <w:pPr>
              <w:widowControl w:val="0"/>
              <w:spacing w:line="240" w:lineRule="auto"/>
              <w:jc w:val="center"/>
              <w:rPr>
                <w:b/>
                <w:szCs w:val="22"/>
                <w:lang w:val="sr-Latn-RS"/>
              </w:rPr>
            </w:pPr>
            <w:r>
              <w:rPr>
                <w:b/>
                <w:szCs w:val="22"/>
                <w:lang w:val="sr-Latn-RS"/>
              </w:rPr>
              <w:t>Povremeno</w:t>
            </w:r>
          </w:p>
        </w:tc>
        <w:tc>
          <w:tcPr>
            <w:tcW w:w="1750" w:type="dxa"/>
          </w:tcPr>
          <w:p w:rsidR="00582F55" w:rsidRDefault="001B0A63" w:rsidP="00166FF2">
            <w:pPr>
              <w:widowControl w:val="0"/>
              <w:spacing w:line="240" w:lineRule="auto"/>
              <w:jc w:val="center"/>
              <w:rPr>
                <w:b/>
                <w:szCs w:val="22"/>
                <w:lang w:val="sr-Latn-RS"/>
              </w:rPr>
            </w:pPr>
            <w:r>
              <w:rPr>
                <w:b/>
                <w:szCs w:val="22"/>
                <w:lang w:val="sr-Latn-RS"/>
              </w:rPr>
              <w:t>Rijetko</w:t>
            </w:r>
          </w:p>
        </w:tc>
        <w:tc>
          <w:tcPr>
            <w:tcW w:w="1524" w:type="dxa"/>
          </w:tcPr>
          <w:p w:rsidR="00582F55" w:rsidRDefault="001B0A63" w:rsidP="00166FF2">
            <w:pPr>
              <w:widowControl w:val="0"/>
              <w:spacing w:line="240" w:lineRule="auto"/>
              <w:rPr>
                <w:b/>
                <w:szCs w:val="22"/>
                <w:lang w:val="sr-Latn-RS"/>
              </w:rPr>
            </w:pPr>
            <w:r>
              <w:rPr>
                <w:b/>
                <w:szCs w:val="22"/>
                <w:lang w:val="sr-Latn-RS"/>
              </w:rPr>
              <w:t>Veoma rijetko</w:t>
            </w:r>
          </w:p>
        </w:tc>
        <w:tc>
          <w:tcPr>
            <w:tcW w:w="1500" w:type="dxa"/>
          </w:tcPr>
          <w:p w:rsidR="00582F55" w:rsidRDefault="001B0A63" w:rsidP="00166FF2">
            <w:pPr>
              <w:widowControl w:val="0"/>
              <w:spacing w:line="240" w:lineRule="auto"/>
              <w:rPr>
                <w:b/>
                <w:szCs w:val="22"/>
                <w:lang w:val="sr-Latn-RS"/>
              </w:rPr>
            </w:pPr>
            <w:r>
              <w:rPr>
                <w:b/>
                <w:szCs w:val="22"/>
                <w:lang w:val="sr-Latn-RS"/>
              </w:rPr>
              <w:t>Nepoznato</w:t>
            </w:r>
          </w:p>
        </w:tc>
      </w:tr>
      <w:tr w:rsidR="00582F55" w:rsidTr="00166FF2">
        <w:trPr>
          <w:jc w:val="center"/>
        </w:trPr>
        <w:tc>
          <w:tcPr>
            <w:tcW w:w="1739" w:type="dxa"/>
          </w:tcPr>
          <w:p w:rsidR="00582F55" w:rsidRDefault="001B0A63" w:rsidP="00166FF2">
            <w:pPr>
              <w:widowControl w:val="0"/>
              <w:spacing w:line="240" w:lineRule="auto"/>
              <w:rPr>
                <w:szCs w:val="22"/>
                <w:lang w:val="sr-Latn-RS"/>
              </w:rPr>
            </w:pPr>
            <w:r>
              <w:rPr>
                <w:szCs w:val="22"/>
                <w:lang w:val="sr-Latn-RS"/>
              </w:rPr>
              <w:t>Poremećaji krvi i limfnih organa</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1B0A63" w:rsidP="00166FF2">
            <w:pPr>
              <w:widowControl w:val="0"/>
              <w:spacing w:line="240" w:lineRule="auto"/>
              <w:rPr>
                <w:szCs w:val="22"/>
                <w:lang w:val="sr-Latn-RS"/>
              </w:rPr>
            </w:pPr>
            <w:r>
              <w:rPr>
                <w:szCs w:val="22"/>
                <w:lang w:val="sr-Latn-RS"/>
              </w:rPr>
              <w:t>Trombocitopenija</w:t>
            </w: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582F55" w:rsidP="00166FF2">
            <w:pPr>
              <w:widowControl w:val="0"/>
              <w:spacing w:line="240" w:lineRule="auto"/>
              <w:rPr>
                <w:szCs w:val="22"/>
                <w:lang w:val="sr-Latn-RS"/>
              </w:rPr>
            </w:pPr>
          </w:p>
        </w:tc>
      </w:tr>
      <w:tr w:rsidR="00582F55" w:rsidRPr="00166FF2" w:rsidTr="00166FF2">
        <w:trPr>
          <w:jc w:val="center"/>
        </w:trPr>
        <w:tc>
          <w:tcPr>
            <w:tcW w:w="1739" w:type="dxa"/>
          </w:tcPr>
          <w:p w:rsidR="00582F55" w:rsidRDefault="001B0A63" w:rsidP="00166FF2">
            <w:pPr>
              <w:widowControl w:val="0"/>
              <w:spacing w:line="240" w:lineRule="auto"/>
              <w:rPr>
                <w:szCs w:val="22"/>
                <w:lang w:val="sr-Latn-RS"/>
              </w:rPr>
            </w:pPr>
            <w:r>
              <w:rPr>
                <w:szCs w:val="22"/>
                <w:lang w:val="sr-Latn-RS"/>
              </w:rPr>
              <w:t>Imunološki poremećaji</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1B0A63" w:rsidP="00166FF2">
            <w:pPr>
              <w:widowControl w:val="0"/>
              <w:spacing w:line="240" w:lineRule="auto"/>
              <w:rPr>
                <w:szCs w:val="22"/>
                <w:lang w:val="sr-Latn-RS"/>
              </w:rPr>
            </w:pPr>
            <w:r>
              <w:rPr>
                <w:szCs w:val="22"/>
                <w:lang w:val="sr-Latn-RS"/>
              </w:rPr>
              <w:t>Reakcije preosjetljivosti uključujući i angioneurotski edem</w:t>
            </w: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582F55" w:rsidP="00166FF2">
            <w:pPr>
              <w:widowControl w:val="0"/>
              <w:spacing w:line="240" w:lineRule="auto"/>
              <w:rPr>
                <w:szCs w:val="22"/>
                <w:lang w:val="sr-Latn-RS"/>
              </w:rPr>
            </w:pP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Endokrinološki poremećaji</w:t>
            </w:r>
          </w:p>
        </w:tc>
        <w:tc>
          <w:tcPr>
            <w:tcW w:w="1298" w:type="dxa"/>
          </w:tcPr>
          <w:p w:rsidR="00582F55" w:rsidRDefault="001B0A63" w:rsidP="00166FF2">
            <w:pPr>
              <w:widowControl w:val="0"/>
              <w:spacing w:line="240" w:lineRule="auto"/>
              <w:rPr>
                <w:szCs w:val="22"/>
                <w:lang w:val="sr-Latn-RS"/>
              </w:rPr>
            </w:pPr>
            <w:r>
              <w:rPr>
                <w:szCs w:val="22"/>
                <w:lang w:val="sr-Latn-RS"/>
              </w:rPr>
              <w:t>Diabetes mellitus</w:t>
            </w:r>
            <w:r>
              <w:rPr>
                <w:szCs w:val="22"/>
                <w:vertAlign w:val="superscript"/>
                <w:lang w:val="sr-Latn-RS"/>
              </w:rPr>
              <w:t>1</w:t>
            </w: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582F55" w:rsidP="00166FF2">
            <w:pPr>
              <w:widowControl w:val="0"/>
              <w:spacing w:line="240" w:lineRule="auto"/>
              <w:rPr>
                <w:szCs w:val="22"/>
                <w:lang w:val="sr-Latn-RS"/>
              </w:rPr>
            </w:pP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Psihijatrijski poremećaji</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1B0A63" w:rsidP="00166FF2">
            <w:pPr>
              <w:widowControl w:val="0"/>
              <w:spacing w:line="240" w:lineRule="auto"/>
              <w:rPr>
                <w:szCs w:val="22"/>
                <w:lang w:val="sr-Latn-RS"/>
              </w:rPr>
            </w:pPr>
            <w:r>
              <w:rPr>
                <w:szCs w:val="22"/>
                <w:lang w:val="sr-Latn-RS"/>
              </w:rPr>
              <w:t>Depresija</w:t>
            </w:r>
          </w:p>
        </w:tc>
      </w:tr>
      <w:tr w:rsidR="00582F55" w:rsidTr="00166FF2">
        <w:trPr>
          <w:jc w:val="center"/>
        </w:trPr>
        <w:tc>
          <w:tcPr>
            <w:tcW w:w="1739" w:type="dxa"/>
          </w:tcPr>
          <w:p w:rsidR="00582F55" w:rsidRDefault="001B0A63" w:rsidP="00166FF2">
            <w:pPr>
              <w:widowControl w:val="0"/>
              <w:spacing w:line="240" w:lineRule="auto"/>
              <w:rPr>
                <w:szCs w:val="22"/>
                <w:lang w:val="sr-Latn-RS"/>
              </w:rPr>
            </w:pPr>
            <w:r>
              <w:rPr>
                <w:szCs w:val="22"/>
                <w:lang w:val="sr-Latn-RS"/>
              </w:rPr>
              <w:t>Poremećaji nervnog sistema</w:t>
            </w:r>
          </w:p>
        </w:tc>
        <w:tc>
          <w:tcPr>
            <w:tcW w:w="1298" w:type="dxa"/>
          </w:tcPr>
          <w:p w:rsidR="00582F55" w:rsidRDefault="001B0A63" w:rsidP="00166FF2">
            <w:pPr>
              <w:widowControl w:val="0"/>
              <w:spacing w:line="240" w:lineRule="auto"/>
              <w:rPr>
                <w:szCs w:val="22"/>
                <w:lang w:val="sr-Latn-RS"/>
              </w:rPr>
            </w:pPr>
            <w:r>
              <w:rPr>
                <w:szCs w:val="22"/>
                <w:lang w:val="sr-Latn-RS"/>
              </w:rPr>
              <w:t>Glavobolja</w:t>
            </w:r>
          </w:p>
          <w:p w:rsidR="00582F55" w:rsidRDefault="001B0A63" w:rsidP="00166FF2">
            <w:pPr>
              <w:widowControl w:val="0"/>
              <w:spacing w:line="240" w:lineRule="auto"/>
              <w:rPr>
                <w:szCs w:val="22"/>
                <w:lang w:val="sr-Latn-RS"/>
              </w:rPr>
            </w:pPr>
            <w:r>
              <w:rPr>
                <w:szCs w:val="22"/>
                <w:lang w:val="sr-Latn-RS"/>
              </w:rPr>
              <w:t>Vrtoglavica</w:t>
            </w: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1B0A63" w:rsidP="00166FF2">
            <w:pPr>
              <w:widowControl w:val="0"/>
              <w:spacing w:line="240" w:lineRule="auto"/>
              <w:rPr>
                <w:szCs w:val="22"/>
                <w:lang w:val="sr-Latn-RS"/>
              </w:rPr>
            </w:pPr>
            <w:r>
              <w:rPr>
                <w:szCs w:val="22"/>
                <w:lang w:val="sr-Latn-RS"/>
              </w:rPr>
              <w:t>Polineuropatija</w:t>
            </w:r>
          </w:p>
          <w:p w:rsidR="00582F55" w:rsidRDefault="001B0A63" w:rsidP="00166FF2">
            <w:pPr>
              <w:widowControl w:val="0"/>
              <w:spacing w:line="240" w:lineRule="auto"/>
              <w:rPr>
                <w:szCs w:val="22"/>
                <w:lang w:val="sr-Latn-RS"/>
              </w:rPr>
            </w:pPr>
            <w:r>
              <w:rPr>
                <w:szCs w:val="22"/>
                <w:lang w:val="sr-Latn-RS"/>
              </w:rPr>
              <w:t>Gubitak pamćenja</w:t>
            </w:r>
          </w:p>
        </w:tc>
        <w:tc>
          <w:tcPr>
            <w:tcW w:w="1500" w:type="dxa"/>
          </w:tcPr>
          <w:p w:rsidR="00582F55" w:rsidRDefault="001B0A63" w:rsidP="00166FF2">
            <w:pPr>
              <w:widowControl w:val="0"/>
              <w:spacing w:line="240" w:lineRule="auto"/>
              <w:rPr>
                <w:szCs w:val="22"/>
                <w:lang w:val="sr-Latn-RS"/>
              </w:rPr>
            </w:pPr>
            <w:r>
              <w:rPr>
                <w:szCs w:val="22"/>
                <w:lang w:val="sr-Latn-RS"/>
              </w:rPr>
              <w:t>Periferna neuropatija, poremećaji spavanja (uključujući nesanicu i noćne more)</w:t>
            </w:r>
          </w:p>
          <w:p w:rsidR="00582F55" w:rsidRDefault="001B0A63" w:rsidP="00166FF2">
            <w:pPr>
              <w:widowControl w:val="0"/>
              <w:spacing w:line="240" w:lineRule="auto"/>
              <w:rPr>
                <w:szCs w:val="22"/>
                <w:lang w:val="sr-Latn-RS"/>
              </w:rPr>
            </w:pPr>
            <w:r>
              <w:rPr>
                <w:szCs w:val="22"/>
                <w:lang w:val="sr-Latn-RS"/>
              </w:rPr>
              <w:t>Miastenia gravis</w:t>
            </w:r>
          </w:p>
        </w:tc>
      </w:tr>
      <w:tr w:rsidR="00582F55" w:rsidTr="00166FF2">
        <w:trPr>
          <w:jc w:val="center"/>
        </w:trPr>
        <w:tc>
          <w:tcPr>
            <w:tcW w:w="1739" w:type="dxa"/>
            <w:shd w:val="clear" w:color="auto" w:fill="auto"/>
          </w:tcPr>
          <w:p w:rsidR="00582F55" w:rsidRDefault="001B0A63" w:rsidP="00166FF2">
            <w:pPr>
              <w:widowControl w:val="0"/>
              <w:spacing w:line="240" w:lineRule="auto"/>
              <w:rPr>
                <w:szCs w:val="22"/>
                <w:lang w:val="sr-Latn-RS"/>
              </w:rPr>
            </w:pPr>
            <w:r>
              <w:rPr>
                <w:szCs w:val="22"/>
                <w:lang w:val="sr-Latn-RS"/>
              </w:rPr>
              <w:t>Poremećaji</w:t>
            </w:r>
            <w:r>
              <w:rPr>
                <w:i/>
                <w:iCs/>
                <w:szCs w:val="22"/>
                <w:lang w:val="sr-Latn-RS"/>
              </w:rPr>
              <w:t xml:space="preserve"> </w:t>
            </w:r>
            <w:r>
              <w:rPr>
                <w:szCs w:val="22"/>
                <w:lang w:val="sr-Latn-RS"/>
              </w:rPr>
              <w:t>oka</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1B0A63" w:rsidP="00166FF2">
            <w:pPr>
              <w:widowControl w:val="0"/>
              <w:spacing w:line="240" w:lineRule="auto"/>
              <w:rPr>
                <w:szCs w:val="22"/>
                <w:lang w:val="sr-Latn-RS"/>
              </w:rPr>
            </w:pPr>
            <w:r>
              <w:rPr>
                <w:szCs w:val="22"/>
                <w:lang w:val="sr-Latn-RS"/>
              </w:rPr>
              <w:t xml:space="preserve">Okularna </w:t>
            </w:r>
            <w:r>
              <w:rPr>
                <w:szCs w:val="22"/>
                <w:lang w:val="sr-Latn-RS"/>
              </w:rPr>
              <w:lastRenderedPageBreak/>
              <w:t>miastenia</w:t>
            </w: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lastRenderedPageBreak/>
              <w:t>Respiratorni, torakalni i medijastinalni poremećaji</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1B0A63" w:rsidP="00166FF2">
            <w:pPr>
              <w:widowControl w:val="0"/>
              <w:spacing w:line="240" w:lineRule="auto"/>
              <w:rPr>
                <w:szCs w:val="22"/>
                <w:lang w:val="sr-Latn-RS"/>
              </w:rPr>
            </w:pPr>
            <w:r>
              <w:rPr>
                <w:szCs w:val="22"/>
                <w:lang w:val="sr-Latn-RS"/>
              </w:rPr>
              <w:t>Kašalj</w:t>
            </w:r>
          </w:p>
          <w:p w:rsidR="00582F55" w:rsidRDefault="001B0A63" w:rsidP="00166FF2">
            <w:pPr>
              <w:widowControl w:val="0"/>
              <w:spacing w:line="240" w:lineRule="auto"/>
              <w:rPr>
                <w:szCs w:val="22"/>
                <w:lang w:val="sr-Latn-RS"/>
              </w:rPr>
            </w:pPr>
            <w:r>
              <w:rPr>
                <w:szCs w:val="22"/>
                <w:lang w:val="sr-Latn-RS"/>
              </w:rPr>
              <w:t>Dispneja</w:t>
            </w: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Gastrointestinalni poremećaji</w:t>
            </w:r>
          </w:p>
        </w:tc>
        <w:tc>
          <w:tcPr>
            <w:tcW w:w="1298" w:type="dxa"/>
          </w:tcPr>
          <w:p w:rsidR="00582F55" w:rsidRDefault="001B0A63" w:rsidP="00166FF2">
            <w:pPr>
              <w:widowControl w:val="0"/>
              <w:spacing w:line="240" w:lineRule="auto"/>
              <w:rPr>
                <w:szCs w:val="22"/>
                <w:lang w:val="sr-Latn-RS"/>
              </w:rPr>
            </w:pPr>
            <w:r>
              <w:rPr>
                <w:szCs w:val="22"/>
                <w:lang w:val="sr-Latn-RS"/>
              </w:rPr>
              <w:t>Konstipacija</w:t>
            </w:r>
          </w:p>
          <w:p w:rsidR="00582F55" w:rsidRDefault="001B0A63" w:rsidP="00166FF2">
            <w:pPr>
              <w:widowControl w:val="0"/>
              <w:spacing w:line="240" w:lineRule="auto"/>
              <w:rPr>
                <w:szCs w:val="22"/>
                <w:lang w:val="sr-Latn-RS"/>
              </w:rPr>
            </w:pPr>
            <w:r>
              <w:rPr>
                <w:szCs w:val="22"/>
                <w:lang w:val="sr-Latn-RS"/>
              </w:rPr>
              <w:t xml:space="preserve">Nauzeja </w:t>
            </w:r>
          </w:p>
          <w:p w:rsidR="00582F55" w:rsidRDefault="001B0A63" w:rsidP="00166FF2">
            <w:pPr>
              <w:widowControl w:val="0"/>
              <w:spacing w:line="240" w:lineRule="auto"/>
              <w:rPr>
                <w:szCs w:val="22"/>
                <w:lang w:val="sr-Latn-RS"/>
              </w:rPr>
            </w:pPr>
            <w:r>
              <w:rPr>
                <w:szCs w:val="22"/>
                <w:lang w:val="sr-Latn-RS"/>
              </w:rPr>
              <w:t xml:space="preserve">Bol u abdomenu </w:t>
            </w: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1B0A63" w:rsidP="00166FF2">
            <w:pPr>
              <w:widowControl w:val="0"/>
              <w:spacing w:line="240" w:lineRule="auto"/>
              <w:rPr>
                <w:szCs w:val="22"/>
                <w:lang w:val="sr-Latn-RS"/>
              </w:rPr>
            </w:pPr>
            <w:r>
              <w:rPr>
                <w:szCs w:val="22"/>
                <w:lang w:val="sr-Latn-RS"/>
              </w:rPr>
              <w:t>Pankreatitis</w:t>
            </w: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1B0A63" w:rsidP="00166FF2">
            <w:pPr>
              <w:widowControl w:val="0"/>
              <w:spacing w:line="240" w:lineRule="auto"/>
              <w:rPr>
                <w:szCs w:val="22"/>
                <w:lang w:val="sr-Latn-RS"/>
              </w:rPr>
            </w:pPr>
            <w:r>
              <w:rPr>
                <w:szCs w:val="22"/>
                <w:lang w:val="sr-Latn-RS"/>
              </w:rPr>
              <w:t>Dijareja</w:t>
            </w: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Hepatobilijarni poremećaji</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1B0A63" w:rsidP="00166FF2">
            <w:pPr>
              <w:widowControl w:val="0"/>
              <w:spacing w:line="240" w:lineRule="auto"/>
              <w:rPr>
                <w:szCs w:val="22"/>
                <w:lang w:val="sr-Latn-RS"/>
              </w:rPr>
            </w:pPr>
            <w:r>
              <w:rPr>
                <w:szCs w:val="22"/>
                <w:lang w:val="sr-Latn-RS"/>
              </w:rPr>
              <w:t>Povišene vrijednosti transaminaza</w:t>
            </w:r>
          </w:p>
        </w:tc>
        <w:tc>
          <w:tcPr>
            <w:tcW w:w="1524" w:type="dxa"/>
          </w:tcPr>
          <w:p w:rsidR="00582F55" w:rsidRDefault="001B0A63" w:rsidP="00166FF2">
            <w:pPr>
              <w:widowControl w:val="0"/>
              <w:spacing w:line="240" w:lineRule="auto"/>
              <w:rPr>
                <w:szCs w:val="22"/>
                <w:lang w:val="sr-Latn-RS"/>
              </w:rPr>
            </w:pPr>
            <w:r>
              <w:rPr>
                <w:szCs w:val="22"/>
                <w:lang w:val="sr-Latn-RS"/>
              </w:rPr>
              <w:t xml:space="preserve">Žutica </w:t>
            </w:r>
          </w:p>
          <w:p w:rsidR="00582F55" w:rsidRDefault="001B0A63" w:rsidP="00166FF2">
            <w:pPr>
              <w:widowControl w:val="0"/>
              <w:spacing w:line="240" w:lineRule="auto"/>
              <w:rPr>
                <w:szCs w:val="22"/>
                <w:lang w:val="sr-Latn-RS"/>
              </w:rPr>
            </w:pPr>
            <w:r>
              <w:rPr>
                <w:szCs w:val="22"/>
                <w:lang w:val="sr-Latn-RS"/>
              </w:rPr>
              <w:t>Hepatitis</w:t>
            </w:r>
          </w:p>
        </w:tc>
        <w:tc>
          <w:tcPr>
            <w:tcW w:w="1500" w:type="dxa"/>
          </w:tcPr>
          <w:p w:rsidR="00582F55" w:rsidRDefault="00582F55" w:rsidP="00166FF2">
            <w:pPr>
              <w:widowControl w:val="0"/>
              <w:spacing w:line="240" w:lineRule="auto"/>
              <w:rPr>
                <w:szCs w:val="22"/>
                <w:lang w:val="sr-Latn-RS"/>
              </w:rPr>
            </w:pP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Poremećaji kože i potkožnog tkiva</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1B0A63" w:rsidP="00166FF2">
            <w:pPr>
              <w:widowControl w:val="0"/>
              <w:spacing w:line="240" w:lineRule="auto"/>
              <w:rPr>
                <w:szCs w:val="22"/>
                <w:lang w:val="sr-Latn-RS"/>
              </w:rPr>
            </w:pPr>
            <w:r>
              <w:rPr>
                <w:szCs w:val="22"/>
                <w:lang w:val="sr-Latn-RS"/>
              </w:rPr>
              <w:t>Pruritus</w:t>
            </w:r>
          </w:p>
          <w:p w:rsidR="00582F55" w:rsidRDefault="001B0A63" w:rsidP="00166FF2">
            <w:pPr>
              <w:widowControl w:val="0"/>
              <w:spacing w:line="240" w:lineRule="auto"/>
              <w:rPr>
                <w:szCs w:val="22"/>
                <w:lang w:val="sr-Latn-RS"/>
              </w:rPr>
            </w:pPr>
            <w:r>
              <w:rPr>
                <w:szCs w:val="22"/>
                <w:lang w:val="sr-Latn-RS"/>
              </w:rPr>
              <w:t>Osip</w:t>
            </w:r>
          </w:p>
          <w:p w:rsidR="00582F55" w:rsidRDefault="001B0A63" w:rsidP="00166FF2">
            <w:pPr>
              <w:widowControl w:val="0"/>
              <w:spacing w:line="240" w:lineRule="auto"/>
              <w:rPr>
                <w:szCs w:val="22"/>
                <w:lang w:val="sr-Latn-RS"/>
              </w:rPr>
            </w:pPr>
            <w:r>
              <w:rPr>
                <w:szCs w:val="22"/>
                <w:lang w:val="sr-Latn-RS"/>
              </w:rPr>
              <w:t>Urtikarija</w:t>
            </w: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1B0A63" w:rsidP="00166FF2">
            <w:pPr>
              <w:widowControl w:val="0"/>
              <w:spacing w:line="240" w:lineRule="auto"/>
              <w:rPr>
                <w:szCs w:val="22"/>
                <w:lang w:val="sr-Latn-RS"/>
              </w:rPr>
            </w:pPr>
            <w:r>
              <w:rPr>
                <w:szCs w:val="22"/>
                <w:lang w:val="sr-Latn-RS"/>
              </w:rPr>
              <w:t>Stevens-Johnson-ov sindrom,</w:t>
            </w:r>
          </w:p>
          <w:p w:rsidR="00582F55" w:rsidRDefault="001B0A63" w:rsidP="00166FF2">
            <w:pPr>
              <w:widowControl w:val="0"/>
              <w:spacing w:line="240" w:lineRule="auto"/>
              <w:rPr>
                <w:szCs w:val="22"/>
                <w:lang w:val="sr-Latn-RS"/>
              </w:rPr>
            </w:pPr>
            <w:r>
              <w:rPr>
                <w:szCs w:val="22"/>
                <w:lang w:val="sr-Latn-RS"/>
              </w:rPr>
              <w:t>Reakcija na lijek praćena eozinofilijom i sistemskim simptomima (DRESS)</w:t>
            </w:r>
          </w:p>
        </w:tc>
      </w:tr>
      <w:tr w:rsidR="00582F55" w:rsidRPr="00166FF2"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Poremećaji mišićno-skeletnog i vezivnog tkiva</w:t>
            </w:r>
          </w:p>
        </w:tc>
        <w:tc>
          <w:tcPr>
            <w:tcW w:w="1298" w:type="dxa"/>
          </w:tcPr>
          <w:p w:rsidR="00582F55" w:rsidRDefault="001B0A63" w:rsidP="00166FF2">
            <w:pPr>
              <w:widowControl w:val="0"/>
              <w:spacing w:line="240" w:lineRule="auto"/>
              <w:rPr>
                <w:szCs w:val="22"/>
                <w:lang w:val="sr-Latn-RS"/>
              </w:rPr>
            </w:pPr>
            <w:r>
              <w:rPr>
                <w:szCs w:val="22"/>
                <w:lang w:val="sr-Latn-RS"/>
              </w:rPr>
              <w:t>Mijalgija</w:t>
            </w: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1B0A63" w:rsidP="00166FF2">
            <w:pPr>
              <w:widowControl w:val="0"/>
              <w:spacing w:line="240" w:lineRule="auto"/>
              <w:rPr>
                <w:szCs w:val="22"/>
                <w:lang w:val="sr-Latn-RS"/>
              </w:rPr>
            </w:pPr>
            <w:r>
              <w:rPr>
                <w:szCs w:val="22"/>
                <w:lang w:val="sr-Latn-RS"/>
              </w:rPr>
              <w:t>Miopatija (uključujući miozitis)</w:t>
            </w:r>
          </w:p>
          <w:p w:rsidR="00582F55" w:rsidRDefault="001B0A63" w:rsidP="00166FF2">
            <w:pPr>
              <w:widowControl w:val="0"/>
              <w:spacing w:line="240" w:lineRule="auto"/>
              <w:rPr>
                <w:szCs w:val="22"/>
                <w:lang w:val="sr-Latn-RS"/>
              </w:rPr>
            </w:pPr>
            <w:r>
              <w:rPr>
                <w:szCs w:val="22"/>
                <w:lang w:val="sr-Latn-RS"/>
              </w:rPr>
              <w:t>Rabdomioliza</w:t>
            </w:r>
          </w:p>
          <w:p w:rsidR="00582F55" w:rsidRDefault="001B0A63" w:rsidP="00166FF2">
            <w:pPr>
              <w:widowControl w:val="0"/>
              <w:spacing w:line="240" w:lineRule="auto"/>
              <w:rPr>
                <w:szCs w:val="22"/>
                <w:highlight w:val="yellow"/>
                <w:lang w:val="sr-Latn-RS"/>
              </w:rPr>
            </w:pPr>
            <w:r>
              <w:rPr>
                <w:szCs w:val="22"/>
                <w:lang w:val="sr-Latn-RS"/>
              </w:rPr>
              <w:t>Sindrom nalik lupusu</w:t>
            </w:r>
          </w:p>
          <w:p w:rsidR="00582F55" w:rsidRDefault="001B0A63" w:rsidP="00166FF2">
            <w:pPr>
              <w:widowControl w:val="0"/>
              <w:spacing w:line="240" w:lineRule="auto"/>
              <w:rPr>
                <w:szCs w:val="22"/>
                <w:lang w:val="sr-Latn-RS"/>
              </w:rPr>
            </w:pPr>
            <w:r>
              <w:rPr>
                <w:szCs w:val="22"/>
                <w:lang w:val="sr-Latn-RS"/>
              </w:rPr>
              <w:t>Ruptura mišića</w:t>
            </w:r>
          </w:p>
        </w:tc>
        <w:tc>
          <w:tcPr>
            <w:tcW w:w="1524" w:type="dxa"/>
          </w:tcPr>
          <w:p w:rsidR="00582F55" w:rsidRDefault="001B0A63" w:rsidP="00166FF2">
            <w:pPr>
              <w:widowControl w:val="0"/>
              <w:spacing w:line="240" w:lineRule="auto"/>
              <w:rPr>
                <w:szCs w:val="22"/>
                <w:lang w:val="sr-Latn-RS"/>
              </w:rPr>
            </w:pPr>
            <w:r>
              <w:rPr>
                <w:szCs w:val="22"/>
                <w:lang w:val="sr-Latn-RS"/>
              </w:rPr>
              <w:t>Artralgija</w:t>
            </w:r>
          </w:p>
        </w:tc>
        <w:tc>
          <w:tcPr>
            <w:tcW w:w="1500" w:type="dxa"/>
          </w:tcPr>
          <w:p w:rsidR="00582F55" w:rsidRDefault="001B0A63" w:rsidP="00166FF2">
            <w:pPr>
              <w:widowControl w:val="0"/>
              <w:spacing w:line="240" w:lineRule="auto"/>
              <w:rPr>
                <w:szCs w:val="22"/>
                <w:lang w:val="sr-Latn-RS"/>
              </w:rPr>
            </w:pPr>
            <w:r>
              <w:rPr>
                <w:szCs w:val="22"/>
                <w:lang w:val="sr-Latn-RS"/>
              </w:rPr>
              <w:t>Poremećaji tetiva, ponekad komplikovani rupturom,</w:t>
            </w:r>
          </w:p>
          <w:p w:rsidR="00582F55" w:rsidRDefault="001B0A63" w:rsidP="00166FF2">
            <w:pPr>
              <w:widowControl w:val="0"/>
              <w:spacing w:line="240" w:lineRule="auto"/>
              <w:rPr>
                <w:szCs w:val="22"/>
                <w:lang w:val="sr-Latn-RS"/>
              </w:rPr>
            </w:pPr>
            <w:r>
              <w:rPr>
                <w:szCs w:val="22"/>
                <w:lang w:val="sr-Latn-RS"/>
              </w:rPr>
              <w:t>Imunološki posredovana nekrotizirajuća miopatija</w:t>
            </w: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Poremećaji bubrega i urinarnog sistema</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1B0A63" w:rsidP="00166FF2">
            <w:pPr>
              <w:widowControl w:val="0"/>
              <w:spacing w:line="240" w:lineRule="auto"/>
              <w:rPr>
                <w:szCs w:val="22"/>
                <w:lang w:val="sr-Latn-RS"/>
              </w:rPr>
            </w:pPr>
            <w:r>
              <w:rPr>
                <w:szCs w:val="22"/>
                <w:lang w:val="sr-Latn-RS"/>
              </w:rPr>
              <w:t>Hematurija</w:t>
            </w:r>
          </w:p>
        </w:tc>
        <w:tc>
          <w:tcPr>
            <w:tcW w:w="1500" w:type="dxa"/>
          </w:tcPr>
          <w:p w:rsidR="00582F55" w:rsidRDefault="00582F55" w:rsidP="00166FF2">
            <w:pPr>
              <w:widowControl w:val="0"/>
              <w:spacing w:line="240" w:lineRule="auto"/>
              <w:rPr>
                <w:szCs w:val="22"/>
                <w:lang w:val="sr-Latn-RS"/>
              </w:rPr>
            </w:pP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Poremećaji reproduktivnog sistema i grudi</w:t>
            </w:r>
          </w:p>
        </w:tc>
        <w:tc>
          <w:tcPr>
            <w:tcW w:w="1298" w:type="dxa"/>
          </w:tcPr>
          <w:p w:rsidR="00582F55" w:rsidRDefault="00582F55" w:rsidP="00166FF2">
            <w:pPr>
              <w:widowControl w:val="0"/>
              <w:spacing w:line="240" w:lineRule="auto"/>
              <w:rPr>
                <w:szCs w:val="22"/>
                <w:lang w:val="sr-Latn-RS"/>
              </w:rPr>
            </w:pP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1B0A63" w:rsidP="00166FF2">
            <w:pPr>
              <w:widowControl w:val="0"/>
              <w:spacing w:line="240" w:lineRule="auto"/>
              <w:rPr>
                <w:szCs w:val="22"/>
                <w:lang w:val="sr-Latn-RS"/>
              </w:rPr>
            </w:pPr>
            <w:r>
              <w:rPr>
                <w:szCs w:val="22"/>
                <w:lang w:val="sr-Latn-RS"/>
              </w:rPr>
              <w:t>Ginekomastija</w:t>
            </w:r>
          </w:p>
        </w:tc>
        <w:tc>
          <w:tcPr>
            <w:tcW w:w="1500" w:type="dxa"/>
          </w:tcPr>
          <w:p w:rsidR="00582F55" w:rsidRDefault="00582F55" w:rsidP="00166FF2">
            <w:pPr>
              <w:widowControl w:val="0"/>
              <w:spacing w:line="240" w:lineRule="auto"/>
              <w:rPr>
                <w:szCs w:val="22"/>
                <w:lang w:val="sr-Latn-RS"/>
              </w:rPr>
            </w:pPr>
          </w:p>
        </w:tc>
      </w:tr>
      <w:tr w:rsidR="00582F55" w:rsidTr="00166FF2">
        <w:trPr>
          <w:jc w:val="center"/>
        </w:trPr>
        <w:tc>
          <w:tcPr>
            <w:tcW w:w="1739" w:type="dxa"/>
          </w:tcPr>
          <w:p w:rsidR="00582F55" w:rsidRDefault="001B0A63" w:rsidP="00166FF2">
            <w:pPr>
              <w:widowControl w:val="0"/>
              <w:tabs>
                <w:tab w:val="center" w:pos="4536"/>
                <w:tab w:val="right" w:pos="9072"/>
              </w:tabs>
              <w:spacing w:line="240" w:lineRule="auto"/>
              <w:rPr>
                <w:szCs w:val="22"/>
                <w:lang w:val="sr-Latn-RS"/>
              </w:rPr>
            </w:pPr>
            <w:r>
              <w:rPr>
                <w:szCs w:val="22"/>
                <w:lang w:val="sr-Latn-RS"/>
              </w:rPr>
              <w:t>Opšti poremećaji i reakcije na mjestu primjene</w:t>
            </w:r>
          </w:p>
        </w:tc>
        <w:tc>
          <w:tcPr>
            <w:tcW w:w="1298" w:type="dxa"/>
          </w:tcPr>
          <w:p w:rsidR="00582F55" w:rsidRDefault="001B0A63" w:rsidP="00166FF2">
            <w:pPr>
              <w:widowControl w:val="0"/>
              <w:spacing w:line="240" w:lineRule="auto"/>
              <w:rPr>
                <w:szCs w:val="22"/>
                <w:lang w:val="sr-Latn-RS"/>
              </w:rPr>
            </w:pPr>
            <w:r>
              <w:rPr>
                <w:szCs w:val="22"/>
                <w:lang w:val="sr-Latn-RS"/>
              </w:rPr>
              <w:t>Astenija</w:t>
            </w:r>
          </w:p>
        </w:tc>
        <w:tc>
          <w:tcPr>
            <w:tcW w:w="1250" w:type="dxa"/>
          </w:tcPr>
          <w:p w:rsidR="00582F55" w:rsidRDefault="00582F55" w:rsidP="00166FF2">
            <w:pPr>
              <w:widowControl w:val="0"/>
              <w:spacing w:line="240" w:lineRule="auto"/>
              <w:rPr>
                <w:szCs w:val="22"/>
                <w:lang w:val="sr-Latn-RS"/>
              </w:rPr>
            </w:pPr>
          </w:p>
        </w:tc>
        <w:tc>
          <w:tcPr>
            <w:tcW w:w="1750" w:type="dxa"/>
          </w:tcPr>
          <w:p w:rsidR="00582F55" w:rsidRDefault="00582F55" w:rsidP="00166FF2">
            <w:pPr>
              <w:widowControl w:val="0"/>
              <w:spacing w:line="240" w:lineRule="auto"/>
              <w:rPr>
                <w:szCs w:val="22"/>
                <w:lang w:val="sr-Latn-RS"/>
              </w:rPr>
            </w:pPr>
          </w:p>
        </w:tc>
        <w:tc>
          <w:tcPr>
            <w:tcW w:w="1524" w:type="dxa"/>
          </w:tcPr>
          <w:p w:rsidR="00582F55" w:rsidRDefault="00582F55" w:rsidP="00166FF2">
            <w:pPr>
              <w:widowControl w:val="0"/>
              <w:spacing w:line="240" w:lineRule="auto"/>
              <w:rPr>
                <w:szCs w:val="22"/>
                <w:lang w:val="sr-Latn-RS"/>
              </w:rPr>
            </w:pPr>
          </w:p>
        </w:tc>
        <w:tc>
          <w:tcPr>
            <w:tcW w:w="1500" w:type="dxa"/>
          </w:tcPr>
          <w:p w:rsidR="00582F55" w:rsidRDefault="001B0A63" w:rsidP="00166FF2">
            <w:pPr>
              <w:widowControl w:val="0"/>
              <w:spacing w:line="240" w:lineRule="auto"/>
              <w:rPr>
                <w:szCs w:val="22"/>
                <w:lang w:val="sr-Latn-RS"/>
              </w:rPr>
            </w:pPr>
            <w:r>
              <w:rPr>
                <w:szCs w:val="22"/>
                <w:lang w:val="sr-Latn-RS"/>
              </w:rPr>
              <w:t>Edem</w:t>
            </w:r>
          </w:p>
        </w:tc>
      </w:tr>
    </w:tbl>
    <w:p w:rsidR="00582F55" w:rsidRPr="00166FF2" w:rsidRDefault="001B0A63" w:rsidP="00166FF2">
      <w:pPr>
        <w:widowControl w:val="0"/>
        <w:spacing w:line="240" w:lineRule="auto"/>
        <w:rPr>
          <w:sz w:val="20"/>
          <w:szCs w:val="22"/>
          <w:lang w:val="sr-Latn-RS"/>
        </w:rPr>
      </w:pPr>
      <w:r w:rsidRPr="00166FF2">
        <w:rPr>
          <w:sz w:val="20"/>
          <w:szCs w:val="22"/>
          <w:vertAlign w:val="superscript"/>
          <w:lang w:val="sr-Latn-RS"/>
        </w:rPr>
        <w:t>1</w:t>
      </w:r>
      <w:r w:rsidRPr="00166FF2">
        <w:rPr>
          <w:sz w:val="20"/>
          <w:szCs w:val="22"/>
          <w:lang w:val="sr-Latn-RS"/>
        </w:rPr>
        <w:t>Učestalost zavisi od prisustva ili odsustva faktora rizika (vrijednosti šećera u krvi natašte ≥ 5,6 mmol / l , BMI &gt; 30 kg/m2 , povišene vrijednosti triglicerida, istorija hipertenzije).</w:t>
      </w:r>
    </w:p>
    <w:p w:rsidR="00582F55" w:rsidRDefault="00582F55" w:rsidP="00166FF2">
      <w:pPr>
        <w:widowControl w:val="0"/>
        <w:spacing w:line="240" w:lineRule="auto"/>
        <w:ind w:left="720" w:hanging="720"/>
        <w:jc w:val="center"/>
        <w:rPr>
          <w:szCs w:val="22"/>
          <w:lang w:val="sr-Latn-RS"/>
        </w:rPr>
      </w:pPr>
    </w:p>
    <w:p w:rsidR="00582F55" w:rsidRDefault="001B0A63" w:rsidP="00166FF2">
      <w:pPr>
        <w:widowControl w:val="0"/>
        <w:spacing w:line="240" w:lineRule="auto"/>
        <w:jc w:val="both"/>
        <w:rPr>
          <w:color w:val="000000"/>
          <w:szCs w:val="22"/>
          <w:lang w:val="sr-Latn-RS" w:eastAsia="hr-HR"/>
        </w:rPr>
      </w:pPr>
      <w:r>
        <w:rPr>
          <w:color w:val="000000"/>
          <w:szCs w:val="22"/>
          <w:lang w:val="sr-Latn-RS" w:eastAsia="hr-HR"/>
        </w:rPr>
        <w:t>Kao i kod ostalih inhibitora HMG-CoA reduktaze, incidenca pojave neželjenih reakcija na lijek zavisi od doze.</w:t>
      </w:r>
    </w:p>
    <w:p w:rsidR="00582F55" w:rsidRDefault="00582F55" w:rsidP="00166FF2">
      <w:pPr>
        <w:widowControl w:val="0"/>
        <w:spacing w:line="240" w:lineRule="auto"/>
        <w:jc w:val="both"/>
        <w:rPr>
          <w:color w:val="000000"/>
          <w:szCs w:val="22"/>
          <w:lang w:val="sr-Latn-RS" w:eastAsia="hr-HR"/>
        </w:rPr>
      </w:pPr>
    </w:p>
    <w:p w:rsidR="00582F55" w:rsidRDefault="001B0A63" w:rsidP="00166FF2">
      <w:pPr>
        <w:widowControl w:val="0"/>
        <w:spacing w:line="240" w:lineRule="auto"/>
        <w:jc w:val="both"/>
        <w:rPr>
          <w:color w:val="000000"/>
          <w:szCs w:val="22"/>
          <w:lang w:val="sr-Latn-RS" w:eastAsia="hr-HR"/>
        </w:rPr>
      </w:pPr>
      <w:r>
        <w:rPr>
          <w:rStyle w:val="Emphasis"/>
          <w:b/>
          <w:szCs w:val="22"/>
          <w:lang w:val="sr-Latn-RS"/>
        </w:rPr>
        <w:t>Uticaj na funkciju bubrega</w:t>
      </w:r>
      <w:r>
        <w:rPr>
          <w:b/>
          <w:bCs/>
          <w:color w:val="000000"/>
          <w:szCs w:val="22"/>
          <w:lang w:val="sr-Latn-RS" w:eastAsia="hr-HR"/>
        </w:rPr>
        <w:t xml:space="preserve">: </w:t>
      </w:r>
      <w:r>
        <w:rPr>
          <w:color w:val="000000"/>
          <w:szCs w:val="22"/>
          <w:lang w:val="sr-Latn-RS" w:eastAsia="hr-HR"/>
        </w:rPr>
        <w:t xml:space="preserve">Kod pacijenata kod kojih je primjenjivan rosuvastatin primijećena je proteinurija, detektovana „dipstick“ metodom, pretežno tubularnog porijekla. Promjena vrijednosti proteina u urinu od „nema“ ili „u tragovima“ do ++ ili više, primijećene su kod &lt;1 % pacijenata za vrijeme terapije dozom od 10 mg i 20 mg, i kod približno 3 % pacijenata koji su uzimali dozu od 40 mg. Manji porast vrijednosti od „nema“ ili „u tragovima“ do „+“ primijećen je pri dozi od 20 mg. U većini slučajeva proteinurija se smanjuje ili nestaje tokom nastavka terapije. </w:t>
      </w:r>
    </w:p>
    <w:p w:rsidR="00582F55" w:rsidRDefault="001B0A63" w:rsidP="00166FF2">
      <w:pPr>
        <w:widowControl w:val="0"/>
        <w:spacing w:line="240" w:lineRule="auto"/>
        <w:jc w:val="both"/>
        <w:rPr>
          <w:color w:val="000000"/>
          <w:szCs w:val="22"/>
          <w:lang w:val="sr-Latn-RS" w:eastAsia="hr-HR"/>
        </w:rPr>
      </w:pPr>
      <w:r>
        <w:rPr>
          <w:color w:val="000000"/>
          <w:szCs w:val="22"/>
          <w:lang w:val="sr-Latn-RS" w:eastAsia="hr-HR"/>
        </w:rPr>
        <w:t>Podaci iz kliničkih ispitivanja i nakon stavljanja lijeka u promet ne ukazuju na povezanost između proteinurije i akutnog ili progresivnog oboljenja bubrega.</w:t>
      </w:r>
    </w:p>
    <w:p w:rsidR="00582F55" w:rsidRDefault="00582F55" w:rsidP="00166FF2">
      <w:pPr>
        <w:widowControl w:val="0"/>
        <w:spacing w:line="240" w:lineRule="auto"/>
        <w:rPr>
          <w:color w:val="000000"/>
          <w:szCs w:val="22"/>
          <w:lang w:val="sr-Latn-RS" w:eastAsia="hr-HR"/>
        </w:rPr>
      </w:pPr>
    </w:p>
    <w:p w:rsidR="00582F55" w:rsidRDefault="001B0A63" w:rsidP="00166FF2">
      <w:pPr>
        <w:widowControl w:val="0"/>
        <w:spacing w:line="240" w:lineRule="auto"/>
        <w:jc w:val="both"/>
        <w:rPr>
          <w:color w:val="000000"/>
          <w:szCs w:val="22"/>
          <w:lang w:val="sr-Latn-RS" w:eastAsia="hr-HR"/>
        </w:rPr>
      </w:pPr>
      <w:r>
        <w:rPr>
          <w:color w:val="000000"/>
          <w:szCs w:val="22"/>
          <w:lang w:val="sr-Latn-RS" w:eastAsia="hr-HR"/>
        </w:rPr>
        <w:t xml:space="preserve">Hematurija je bila uočena kod pacijenata liječenih rosuvastatinom, međutim podaci iz kliničkih </w:t>
      </w:r>
      <w:r>
        <w:rPr>
          <w:color w:val="000000"/>
          <w:szCs w:val="22"/>
          <w:lang w:val="sr-Latn-RS" w:eastAsia="hr-HR"/>
        </w:rPr>
        <w:lastRenderedPageBreak/>
        <w:t xml:space="preserve">ispitivanja pokazuju da je ova pojava rijetka. </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rStyle w:val="Emphasis"/>
          <w:b/>
          <w:szCs w:val="22"/>
          <w:lang w:val="sr-Latn-RS"/>
        </w:rPr>
        <w:t>Uticaj na skeletno-mišićni sistem</w:t>
      </w:r>
      <w:r>
        <w:rPr>
          <w:b/>
          <w:bCs/>
          <w:szCs w:val="22"/>
          <w:lang w:val="sr-Latn-RS" w:eastAsia="hr-HR"/>
        </w:rPr>
        <w:t xml:space="preserve">: </w:t>
      </w:r>
      <w:r>
        <w:rPr>
          <w:szCs w:val="22"/>
          <w:lang w:val="sr-Latn-RS" w:eastAsia="hr-HR"/>
        </w:rPr>
        <w:t>Uticaj na skeletne mišiće, npr. kod mijalgije, miopatije (uključujući miozitis) i, rijetko, rabdomioliza sa akutnom insuficijencijom bubrega ili bez nje, prijavljeni su kod pacijenata pri primjeni svih doza rosuvastatina, a naročito kod doza &gt; 20 mg.</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Porast koncentracije CK koji zavisi od doze, primijećen je kod pacijenata koji primaju rosuvastatin; ali je u većini slučajeva ta pojava bila blaga, bez simptoma i prolazna. Ukoliko su vrijednosti CK povišene u početku(više od pet puta od gornje granice normalnih vrijednosti), liječenje treba prekinuti (pogledajte poglavlje 4.4).</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rStyle w:val="Emphasis"/>
          <w:b/>
          <w:szCs w:val="22"/>
          <w:lang w:val="sr-Latn-RS"/>
        </w:rPr>
        <w:t>Uticaj na funkciju jetre</w:t>
      </w:r>
      <w:r>
        <w:rPr>
          <w:b/>
          <w:bCs/>
          <w:szCs w:val="22"/>
          <w:lang w:val="sr-Latn-RS" w:eastAsia="hr-HR"/>
        </w:rPr>
        <w:t xml:space="preserve">: </w:t>
      </w:r>
      <w:r>
        <w:rPr>
          <w:szCs w:val="22"/>
          <w:lang w:val="sr-Latn-RS" w:eastAsia="hr-HR"/>
        </w:rPr>
        <w:t>Kao i kod drugih inhibitora HMG-CoA reduktaze, porast transaminaza u zavisnosti od doze, primijećen je kod malog broja pacijenata koji su uzimali rosuvastatin; ali je u većini slučajeva ta pojava bila blaga,bez simptoma i prolazna.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Za vrijeme primjene pojedinih statina prijavljena su sljedeća neželjena dejstva:</w:t>
      </w:r>
    </w:p>
    <w:p w:rsidR="00582F55" w:rsidRDefault="001B0A63" w:rsidP="00166FF2">
      <w:pPr>
        <w:widowControl w:val="0"/>
        <w:numPr>
          <w:ilvl w:val="0"/>
          <w:numId w:val="26"/>
        </w:numPr>
        <w:spacing w:line="240" w:lineRule="auto"/>
        <w:jc w:val="both"/>
        <w:rPr>
          <w:szCs w:val="22"/>
          <w:lang w:val="sr-Latn-RS" w:eastAsia="hr-HR"/>
        </w:rPr>
      </w:pPr>
      <w:r>
        <w:rPr>
          <w:szCs w:val="22"/>
          <w:lang w:val="sr-Latn-RS" w:eastAsia="hr-HR"/>
        </w:rPr>
        <w:t>seksualna disfunkcija;</w:t>
      </w:r>
    </w:p>
    <w:p w:rsidR="00582F55" w:rsidRDefault="001B0A63" w:rsidP="00166FF2">
      <w:pPr>
        <w:widowControl w:val="0"/>
        <w:numPr>
          <w:ilvl w:val="0"/>
          <w:numId w:val="26"/>
        </w:numPr>
        <w:spacing w:line="240" w:lineRule="auto"/>
        <w:jc w:val="both"/>
        <w:rPr>
          <w:szCs w:val="22"/>
          <w:lang w:val="sr-Latn-RS" w:eastAsia="hr-HR"/>
        </w:rPr>
      </w:pPr>
      <w:r>
        <w:rPr>
          <w:szCs w:val="22"/>
          <w:lang w:val="sr-Latn-RS" w:eastAsia="hr-HR"/>
        </w:rPr>
        <w:t>rijetki slučajevi intersticijske bolesti pluća, naročito tokom dugotrajnog liječenja (vidjeti dio 4.4)</w:t>
      </w:r>
    </w:p>
    <w:p w:rsidR="00582F55" w:rsidRDefault="001B0A63" w:rsidP="00166FF2">
      <w:pPr>
        <w:widowControl w:val="0"/>
        <w:numPr>
          <w:ilvl w:val="0"/>
          <w:numId w:val="26"/>
        </w:numPr>
        <w:spacing w:line="240" w:lineRule="auto"/>
        <w:jc w:val="both"/>
        <w:rPr>
          <w:szCs w:val="22"/>
          <w:lang w:val="sr-Latn-RS" w:eastAsia="hr-HR"/>
        </w:rPr>
      </w:pPr>
      <w:r>
        <w:rPr>
          <w:szCs w:val="22"/>
          <w:lang w:val="sr-Latn-RS" w:eastAsia="hr-HR"/>
        </w:rPr>
        <w:t>poremećaji tetiva, ponekad komplikovani rupturama.</w:t>
      </w:r>
    </w:p>
    <w:p w:rsidR="00582F55" w:rsidRDefault="001B0A63" w:rsidP="00166FF2">
      <w:pPr>
        <w:widowControl w:val="0"/>
        <w:spacing w:line="240" w:lineRule="auto"/>
        <w:jc w:val="both"/>
        <w:rPr>
          <w:szCs w:val="22"/>
          <w:lang w:val="sr-Latn-RS" w:eastAsia="hr-HR"/>
        </w:rPr>
      </w:pPr>
      <w:r>
        <w:rPr>
          <w:szCs w:val="22"/>
          <w:lang w:val="sr-Latn-RS" w:eastAsia="hr-HR"/>
        </w:rPr>
        <w:t>Stope prijavljivanja rabdomiolize, teških poremećaja bubrežne funkcije i i teških poremećaja funkcije jetre (koji se uglavnom pokazuju putem povišenih vrijednosti transaminaza jetre) su veći pri dozi od 40 mg.</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b/>
          <w:bCs/>
          <w:szCs w:val="22"/>
          <w:lang w:val="sr-Latn-RS" w:eastAsia="hr-HR"/>
        </w:rPr>
        <w:t xml:space="preserve">Pedijatrijska populacija: </w:t>
      </w:r>
      <w:r>
        <w:rPr>
          <w:szCs w:val="22"/>
          <w:lang w:val="sr-Latn-RS" w:eastAsia="hr-HR"/>
        </w:rPr>
        <w:t>U 52-nedjeljnom kliničkom ispitivanju primijećeno je da porast vrijednosti kreatin kinaze je 10 puta iznad gornje granice normalnih vrijednosti i simptomi u mišićima nakon vježbanja ili povećane fizičke aktivnosti kod djece i adolescenata javljaju se češće nego kod odraslih (vidjeti dio 4.4).</w:t>
      </w:r>
    </w:p>
    <w:p w:rsidR="00582F55" w:rsidRDefault="001B0A63" w:rsidP="00166FF2">
      <w:pPr>
        <w:widowControl w:val="0"/>
        <w:spacing w:line="240" w:lineRule="auto"/>
        <w:jc w:val="both"/>
        <w:rPr>
          <w:szCs w:val="22"/>
          <w:lang w:val="sr-Latn-RS" w:eastAsia="hr-HR"/>
        </w:rPr>
      </w:pPr>
      <w:r>
        <w:rPr>
          <w:szCs w:val="22"/>
          <w:lang w:val="sr-Latn-RS" w:eastAsia="hr-HR"/>
        </w:rPr>
        <w:t>Inače je bezbjedonosni profil rosuvastatina kod djece i adolescenata sličan kao kod odraslih.</w:t>
      </w:r>
    </w:p>
    <w:p w:rsidR="00582F55" w:rsidRDefault="00582F55" w:rsidP="00166FF2">
      <w:pPr>
        <w:widowControl w:val="0"/>
        <w:autoSpaceDE w:val="0"/>
        <w:autoSpaceDN w:val="0"/>
        <w:adjustRightInd w:val="0"/>
        <w:spacing w:line="240" w:lineRule="auto"/>
        <w:rPr>
          <w:szCs w:val="22"/>
          <w:u w:val="single"/>
          <w:lang w:val="sr-Latn-RS"/>
        </w:rPr>
      </w:pPr>
    </w:p>
    <w:p w:rsidR="00582F55" w:rsidRDefault="001B0A63" w:rsidP="00166FF2">
      <w:pPr>
        <w:widowControl w:val="0"/>
        <w:spacing w:line="240" w:lineRule="auto"/>
        <w:rPr>
          <w:rFonts w:eastAsia="Calibri"/>
          <w:szCs w:val="22"/>
          <w:u w:val="single"/>
          <w:lang w:val="sr-Latn-RS"/>
        </w:rPr>
      </w:pPr>
      <w:r>
        <w:rPr>
          <w:rFonts w:eastAsia="Calibri"/>
          <w:szCs w:val="22"/>
          <w:u w:val="single"/>
          <w:lang w:val="sr-Latn-RS"/>
        </w:rPr>
        <w:t>Prijavljivanje sumnji na neželjena dejstva</w:t>
      </w:r>
    </w:p>
    <w:p w:rsidR="00582F55" w:rsidRDefault="001B0A63" w:rsidP="00166FF2">
      <w:pPr>
        <w:widowControl w:val="0"/>
        <w:tabs>
          <w:tab w:val="clear" w:pos="567"/>
        </w:tabs>
        <w:spacing w:line="240" w:lineRule="auto"/>
        <w:jc w:val="both"/>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582F55" w:rsidRDefault="001B0A63" w:rsidP="00166FF2">
      <w:pPr>
        <w:widowControl w:val="0"/>
        <w:tabs>
          <w:tab w:val="clear" w:pos="567"/>
        </w:tabs>
        <w:spacing w:line="240" w:lineRule="auto"/>
        <w:jc w:val="both"/>
        <w:rPr>
          <w:rFonts w:eastAsia="Calibri"/>
          <w:szCs w:val="22"/>
          <w:lang w:val="sr-Latn-RS"/>
        </w:rPr>
      </w:pPr>
      <w:r>
        <w:rPr>
          <w:rFonts w:eastAsia="Calibri"/>
          <w:szCs w:val="22"/>
          <w:lang w:val="sr-Latn-RS"/>
        </w:rPr>
        <w:t xml:space="preserve">Institut za ljekove i medicinska sredstva </w:t>
      </w:r>
    </w:p>
    <w:p w:rsidR="00582F55" w:rsidRDefault="001B0A63" w:rsidP="00166FF2">
      <w:pPr>
        <w:widowControl w:val="0"/>
        <w:tabs>
          <w:tab w:val="clear" w:pos="567"/>
        </w:tabs>
        <w:spacing w:line="240" w:lineRule="auto"/>
        <w:jc w:val="both"/>
        <w:rPr>
          <w:rFonts w:eastAsia="Calibri"/>
          <w:szCs w:val="22"/>
          <w:lang w:val="sr-Latn-RS"/>
        </w:rPr>
      </w:pPr>
      <w:r>
        <w:rPr>
          <w:rFonts w:eastAsia="Calibri"/>
          <w:szCs w:val="22"/>
          <w:lang w:val="sr-Latn-RS"/>
        </w:rPr>
        <w:t>Odjeljenje za farmakovigilancu</w:t>
      </w:r>
    </w:p>
    <w:p w:rsidR="00582F55" w:rsidRDefault="001B0A63" w:rsidP="00166FF2">
      <w:pPr>
        <w:widowControl w:val="0"/>
        <w:tabs>
          <w:tab w:val="clear" w:pos="567"/>
        </w:tabs>
        <w:spacing w:line="240" w:lineRule="auto"/>
        <w:jc w:val="both"/>
        <w:rPr>
          <w:rFonts w:eastAsia="Calibri"/>
          <w:szCs w:val="22"/>
          <w:lang w:val="sr-Latn-RS"/>
        </w:rPr>
      </w:pPr>
      <w:r>
        <w:rPr>
          <w:rFonts w:eastAsia="Calibri"/>
          <w:szCs w:val="22"/>
          <w:lang w:val="sr-Latn-RS"/>
        </w:rPr>
        <w:t>Bulevar Ivana Crnojevića 64a, 81000 Podgorica</w:t>
      </w:r>
    </w:p>
    <w:p w:rsidR="00582F55" w:rsidRDefault="00582F55" w:rsidP="00166FF2">
      <w:pPr>
        <w:widowControl w:val="0"/>
        <w:tabs>
          <w:tab w:val="clear" w:pos="567"/>
        </w:tabs>
        <w:spacing w:line="240" w:lineRule="auto"/>
        <w:rPr>
          <w:rFonts w:eastAsia="Calibri"/>
          <w:szCs w:val="22"/>
          <w:lang w:val="sr-Latn-RS"/>
        </w:rPr>
      </w:pPr>
    </w:p>
    <w:p w:rsidR="00582F55" w:rsidRDefault="001B0A63" w:rsidP="00166FF2">
      <w:pPr>
        <w:widowControl w:val="0"/>
        <w:tabs>
          <w:tab w:val="clear" w:pos="567"/>
        </w:tabs>
        <w:spacing w:line="240" w:lineRule="auto"/>
        <w:jc w:val="both"/>
        <w:rPr>
          <w:rFonts w:eastAsia="Calibri"/>
          <w:szCs w:val="22"/>
          <w:lang w:val="sr-Latn-RS"/>
        </w:rPr>
      </w:pPr>
      <w:r>
        <w:rPr>
          <w:rFonts w:eastAsia="Calibri"/>
          <w:szCs w:val="22"/>
          <w:lang w:val="sr-Latn-RS"/>
        </w:rPr>
        <w:t>tel: +382 (0) 20 310 280</w:t>
      </w:r>
    </w:p>
    <w:p w:rsidR="00582F55" w:rsidRDefault="001B0A63" w:rsidP="00166FF2">
      <w:pPr>
        <w:widowControl w:val="0"/>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rsidR="00582F55" w:rsidRDefault="0045709F" w:rsidP="00166FF2">
      <w:pPr>
        <w:widowControl w:val="0"/>
        <w:tabs>
          <w:tab w:val="clear" w:pos="567"/>
        </w:tabs>
        <w:spacing w:line="240" w:lineRule="auto"/>
        <w:jc w:val="both"/>
        <w:rPr>
          <w:rFonts w:eastAsia="Calibri"/>
          <w:szCs w:val="22"/>
          <w:lang w:val="sr-Latn-RS"/>
        </w:rPr>
      </w:pPr>
      <w:hyperlink r:id="rId7" w:history="1">
        <w:r w:rsidR="001B0A63">
          <w:rPr>
            <w:rFonts w:eastAsia="Calibri"/>
            <w:color w:val="0563C1"/>
            <w:szCs w:val="22"/>
            <w:u w:val="single"/>
            <w:lang w:val="sr-Latn-RS"/>
          </w:rPr>
          <w:t>www.cinmed.me</w:t>
        </w:r>
      </w:hyperlink>
    </w:p>
    <w:p w:rsidR="00582F55" w:rsidRDefault="0045709F" w:rsidP="00166FF2">
      <w:pPr>
        <w:widowControl w:val="0"/>
        <w:tabs>
          <w:tab w:val="clear" w:pos="567"/>
        </w:tabs>
        <w:spacing w:line="240" w:lineRule="auto"/>
        <w:jc w:val="both"/>
        <w:rPr>
          <w:rFonts w:eastAsia="Calibri"/>
          <w:color w:val="0000FF"/>
          <w:szCs w:val="22"/>
          <w:u w:val="single"/>
          <w:lang w:val="sr-Latn-RS"/>
        </w:rPr>
      </w:pPr>
      <w:hyperlink r:id="rId8" w:history="1">
        <w:r w:rsidR="001B0A63">
          <w:rPr>
            <w:rFonts w:eastAsia="Calibri"/>
            <w:color w:val="0563C1"/>
            <w:szCs w:val="22"/>
            <w:u w:val="single"/>
            <w:lang w:val="sr-Latn-RS"/>
          </w:rPr>
          <w:t>nezeljenadejstva@cinmed.me</w:t>
        </w:r>
      </w:hyperlink>
    </w:p>
    <w:p w:rsidR="00582F55" w:rsidRDefault="001B0A63" w:rsidP="00166FF2">
      <w:pPr>
        <w:widowControl w:val="0"/>
        <w:tabs>
          <w:tab w:val="clear" w:pos="567"/>
        </w:tabs>
        <w:spacing w:line="240" w:lineRule="auto"/>
        <w:jc w:val="both"/>
        <w:rPr>
          <w:rFonts w:eastAsia="Calibri"/>
          <w:szCs w:val="22"/>
          <w:lang w:val="sr-Latn-RS"/>
        </w:rPr>
      </w:pPr>
      <w:r>
        <w:rPr>
          <w:rFonts w:eastAsia="Calibri"/>
          <w:szCs w:val="22"/>
          <w:lang w:val="sr-Latn-RS"/>
        </w:rPr>
        <w:t>putem IS zdravstvene zaštite</w:t>
      </w:r>
    </w:p>
    <w:p w:rsidR="00582F55" w:rsidRDefault="001B0A63" w:rsidP="00166FF2">
      <w:pPr>
        <w:widowControl w:val="0"/>
        <w:tabs>
          <w:tab w:val="clear" w:pos="567"/>
        </w:tabs>
        <w:spacing w:line="240" w:lineRule="auto"/>
        <w:jc w:val="both"/>
        <w:rPr>
          <w:rFonts w:eastAsia="Calibri"/>
          <w:szCs w:val="22"/>
          <w:lang w:val="sr-Latn-RS"/>
        </w:rPr>
      </w:pPr>
      <w:r>
        <w:rPr>
          <w:rFonts w:eastAsia="Calibri"/>
          <w:szCs w:val="22"/>
          <w:lang w:val="sr-Latn-RS"/>
        </w:rPr>
        <w:t>QR kod za online prijavu sumnje na neželjeno dejstvo lijeka:</w:t>
      </w:r>
    </w:p>
    <w:p w:rsidR="00582F55" w:rsidRDefault="00582F55" w:rsidP="00166FF2">
      <w:pPr>
        <w:widowControl w:val="0"/>
        <w:tabs>
          <w:tab w:val="clear" w:pos="567"/>
        </w:tabs>
        <w:spacing w:line="240" w:lineRule="auto"/>
        <w:jc w:val="both"/>
        <w:rPr>
          <w:rFonts w:eastAsia="Calibri"/>
          <w:szCs w:val="22"/>
          <w:lang w:val="sr-Latn-RS"/>
        </w:rPr>
      </w:pPr>
    </w:p>
    <w:p w:rsidR="00582F55" w:rsidRDefault="00166FF2" w:rsidP="00166FF2">
      <w:pPr>
        <w:widowControl w:val="0"/>
        <w:tabs>
          <w:tab w:val="clear" w:pos="567"/>
        </w:tabs>
        <w:spacing w:line="240" w:lineRule="auto"/>
        <w:rPr>
          <w:rFonts w:eastAsia="Calibri"/>
          <w:szCs w:val="22"/>
          <w:lang w:val="sr-Latn-RS"/>
        </w:rPr>
      </w:pPr>
      <w:r w:rsidRPr="007F661E">
        <w:rPr>
          <w:b/>
          <w:bCs/>
          <w:noProof/>
          <w:szCs w:val="22"/>
        </w:rPr>
        <w:drawing>
          <wp:inline distT="0" distB="0" distL="0" distR="0" wp14:anchorId="48AE1EC4" wp14:editId="5ADF2FC0">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582F55" w:rsidRDefault="00582F55" w:rsidP="00166FF2">
      <w:pPr>
        <w:widowControl w:val="0"/>
        <w:spacing w:line="240" w:lineRule="auto"/>
        <w:outlineLvl w:val="0"/>
        <w:rPr>
          <w:b/>
          <w:szCs w:val="22"/>
          <w:lang w:val="sr-Latn-RS"/>
        </w:rPr>
      </w:pPr>
    </w:p>
    <w:p w:rsidR="00582F55" w:rsidRDefault="001B0A63" w:rsidP="00166FF2">
      <w:pPr>
        <w:widowControl w:val="0"/>
        <w:spacing w:line="240" w:lineRule="auto"/>
        <w:ind w:left="567" w:hanging="567"/>
        <w:outlineLvl w:val="0"/>
        <w:rPr>
          <w:szCs w:val="22"/>
          <w:lang w:val="sr-Latn-RS"/>
        </w:rPr>
      </w:pPr>
      <w:r>
        <w:rPr>
          <w:b/>
          <w:szCs w:val="22"/>
          <w:lang w:val="sr-Latn-RS"/>
        </w:rPr>
        <w:t>4.9</w:t>
      </w:r>
      <w:r>
        <w:rPr>
          <w:b/>
          <w:szCs w:val="22"/>
          <w:lang w:val="sr-Latn-RS"/>
        </w:rPr>
        <w:tab/>
        <w:t>Predoziranje</w:t>
      </w:r>
    </w:p>
    <w:p w:rsidR="00582F55" w:rsidRDefault="00582F55" w:rsidP="00166FF2">
      <w:pPr>
        <w:widowControl w:val="0"/>
        <w:tabs>
          <w:tab w:val="clear" w:pos="567"/>
          <w:tab w:val="left" w:pos="540"/>
          <w:tab w:val="left" w:pos="569"/>
        </w:tabs>
        <w:spacing w:line="240" w:lineRule="auto"/>
        <w:rPr>
          <w:b/>
          <w:bCs/>
          <w:szCs w:val="22"/>
          <w:lang w:val="sr-Latn-RS"/>
        </w:rPr>
      </w:pPr>
    </w:p>
    <w:p w:rsidR="00582F55" w:rsidRDefault="001B0A63" w:rsidP="00166FF2">
      <w:pPr>
        <w:widowControl w:val="0"/>
        <w:spacing w:line="240" w:lineRule="auto"/>
        <w:jc w:val="both"/>
        <w:rPr>
          <w:szCs w:val="22"/>
          <w:lang w:val="sr-Latn-RS" w:eastAsia="hr-HR"/>
        </w:rPr>
      </w:pPr>
      <w:r>
        <w:rPr>
          <w:szCs w:val="22"/>
          <w:lang w:val="sr-Latn-RS" w:eastAsia="hr-HR"/>
        </w:rPr>
        <w:t>Specifičnog liječenja u slučaju predoziranja nema. Nakon uzimanja prevelike doze, pacijenta treba liječiti simptomatski i po potrebi uvesti odgovarajuće suportivne mjere. Potrebno je pratiti funkcije jetre i vrijednost CK. Hemodijaliza nije od koristi u ovom slučaju.</w:t>
      </w:r>
    </w:p>
    <w:p w:rsidR="00582F55" w:rsidRDefault="00582F55" w:rsidP="00166FF2">
      <w:pPr>
        <w:widowControl w:val="0"/>
        <w:spacing w:line="240" w:lineRule="auto"/>
        <w:rPr>
          <w:szCs w:val="22"/>
          <w:lang w:val="sr-Latn-RS"/>
        </w:rPr>
      </w:pP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ind w:left="567" w:hanging="567"/>
        <w:rPr>
          <w:szCs w:val="22"/>
          <w:lang w:val="sr-Latn-RS"/>
        </w:rPr>
      </w:pPr>
      <w:r>
        <w:rPr>
          <w:b/>
          <w:szCs w:val="22"/>
          <w:lang w:val="sr-Latn-RS"/>
        </w:rPr>
        <w:t>5.</w:t>
      </w:r>
      <w:r>
        <w:rPr>
          <w:b/>
          <w:szCs w:val="22"/>
          <w:lang w:val="sr-Latn-RS"/>
        </w:rPr>
        <w:tab/>
      </w:r>
      <w:r>
        <w:rPr>
          <w:b/>
          <w:bCs/>
          <w:szCs w:val="22"/>
          <w:lang w:val="sr-Latn-RS"/>
        </w:rPr>
        <w:t>FARMAKOLOŠKI PODACI</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ind w:left="567" w:hanging="567"/>
        <w:outlineLvl w:val="0"/>
        <w:rPr>
          <w:szCs w:val="22"/>
          <w:lang w:val="sr-Latn-RS"/>
        </w:rPr>
      </w:pPr>
      <w:r>
        <w:rPr>
          <w:b/>
          <w:szCs w:val="22"/>
          <w:lang w:val="sr-Latn-RS"/>
        </w:rPr>
        <w:t>5.1</w:t>
      </w:r>
      <w:r>
        <w:rPr>
          <w:b/>
          <w:szCs w:val="22"/>
          <w:lang w:val="sr-Latn-RS"/>
        </w:rPr>
        <w:tab/>
      </w:r>
      <w:r>
        <w:rPr>
          <w:b/>
          <w:bCs/>
          <w:szCs w:val="22"/>
          <w:lang w:val="sr-Latn-RS"/>
        </w:rPr>
        <w:t>Farmakodinamski podaci</w:t>
      </w:r>
    </w:p>
    <w:p w:rsidR="00582F55" w:rsidRDefault="00582F55" w:rsidP="00166FF2">
      <w:pPr>
        <w:widowControl w:val="0"/>
        <w:spacing w:line="240" w:lineRule="auto"/>
        <w:rPr>
          <w:szCs w:val="22"/>
          <w:lang w:val="sr-Latn-RS"/>
        </w:rPr>
      </w:pPr>
    </w:p>
    <w:p w:rsidR="00582F55" w:rsidRDefault="001B0A63" w:rsidP="00166FF2">
      <w:pPr>
        <w:widowControl w:val="0"/>
        <w:tabs>
          <w:tab w:val="clear" w:pos="567"/>
          <w:tab w:val="left" w:pos="540"/>
          <w:tab w:val="left" w:pos="569"/>
        </w:tabs>
        <w:spacing w:line="240" w:lineRule="auto"/>
        <w:rPr>
          <w:bCs/>
          <w:szCs w:val="22"/>
          <w:lang w:val="sr-Latn-RS"/>
        </w:rPr>
      </w:pPr>
      <w:r>
        <w:rPr>
          <w:szCs w:val="22"/>
          <w:lang w:val="sr-Latn-RS"/>
        </w:rPr>
        <w:t xml:space="preserve">Farmakoterapijska  grupa: </w:t>
      </w:r>
      <w:r>
        <w:rPr>
          <w:szCs w:val="22"/>
          <w:lang w:val="sr-Latn-RS" w:eastAsia="hr-HR"/>
        </w:rPr>
        <w:t>inhibitori HMG-CoA reduktaze</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rPr>
          <w:szCs w:val="22"/>
          <w:lang w:val="sr-Latn-RS" w:eastAsia="hr-HR"/>
        </w:rPr>
      </w:pPr>
      <w:r>
        <w:rPr>
          <w:szCs w:val="22"/>
          <w:lang w:val="sr-Latn-RS"/>
        </w:rPr>
        <w:t xml:space="preserve">ATC kod: </w:t>
      </w:r>
      <w:r>
        <w:rPr>
          <w:szCs w:val="22"/>
          <w:lang w:val="sr-Latn-RS" w:eastAsia="hr-HR"/>
        </w:rPr>
        <w:t>C10AA07</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t>Mehanizam dejstva</w:t>
      </w:r>
    </w:p>
    <w:p w:rsidR="00582F55" w:rsidRDefault="001B0A63" w:rsidP="00166FF2">
      <w:pPr>
        <w:widowControl w:val="0"/>
        <w:spacing w:line="240" w:lineRule="auto"/>
        <w:jc w:val="both"/>
        <w:rPr>
          <w:szCs w:val="22"/>
          <w:lang w:val="sr-Latn-RS" w:eastAsia="hr-HR"/>
        </w:rPr>
      </w:pPr>
      <w:r>
        <w:rPr>
          <w:szCs w:val="22"/>
          <w:lang w:val="sr-Latn-RS" w:eastAsia="hr-HR"/>
        </w:rPr>
        <w:t>Rosuvastatin je selektivni i kompetitivni inhibitor HMG-CoA reduktaze, enzima koji konvertuje 3-hidroksi-3-metilglutaril koenzima A u mevalonat, koji je prekursor holesterola. Primarno mjesto djelovanja rosuvastatina je jetra, ciljni organ za sniženje nivoa holesterola.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Rosuvastatin dovodi do povećanja broj hepatičkih LDL receptora na površini ćelije, pojačava preuzimanje i katabolizam LDL i inhibira hepatičku sintezu VLDL i na taj način smanjuje ukupni broj VLDL i LDL čestica.</w:t>
      </w:r>
    </w:p>
    <w:p w:rsidR="00582F55" w:rsidRDefault="00582F55" w:rsidP="00166FF2">
      <w:pPr>
        <w:widowControl w:val="0"/>
        <w:spacing w:line="240" w:lineRule="auto"/>
        <w:jc w:val="both"/>
        <w:rPr>
          <w:b/>
          <w:bCs/>
          <w:szCs w:val="22"/>
          <w:lang w:val="sr-Latn-RS" w:eastAsia="hr-HR"/>
        </w:rPr>
      </w:pPr>
    </w:p>
    <w:p w:rsidR="00582F55" w:rsidRDefault="001B0A63" w:rsidP="00166FF2">
      <w:pPr>
        <w:widowControl w:val="0"/>
        <w:spacing w:line="240" w:lineRule="auto"/>
        <w:jc w:val="both"/>
        <w:rPr>
          <w:b/>
          <w:bCs/>
          <w:szCs w:val="22"/>
          <w:lang w:val="sr-Latn-RS" w:eastAsia="hr-HR"/>
        </w:rPr>
      </w:pPr>
      <w:r>
        <w:rPr>
          <w:b/>
          <w:bCs/>
          <w:szCs w:val="22"/>
          <w:lang w:val="sr-Latn-RS" w:eastAsia="hr-HR"/>
        </w:rPr>
        <w:t>Farmakodinamički efekti</w:t>
      </w:r>
    </w:p>
    <w:p w:rsidR="00582F55" w:rsidRDefault="001B0A63" w:rsidP="00166FF2">
      <w:pPr>
        <w:widowControl w:val="0"/>
        <w:spacing w:line="240" w:lineRule="auto"/>
        <w:jc w:val="both"/>
        <w:rPr>
          <w:szCs w:val="22"/>
          <w:lang w:val="sr-Latn-RS" w:eastAsia="hr-HR"/>
        </w:rPr>
      </w:pPr>
      <w:r>
        <w:rPr>
          <w:szCs w:val="22"/>
          <w:lang w:val="sr-Latn-RS" w:eastAsia="hr-HR"/>
        </w:rPr>
        <w:t>Rosuvastatin snižava povišeni nivo LDL-holesterola, ukupnog holesterola i triglicerida i povećava nivo HDL-holesterola. Takođe snižava vrijednosti apolipoproteina B, ne- HDL holesterola, VLDL-holesterola, VLDL triglicerida, i povećava nivo apolipoproteina A-I (pogledajte tabelu 3). Rosuvastatin smanjuje sljedeće odnose: holesterol LDL/HDL, ukupni holesterol/ HDL-holesterol, ne-HDLholesterol/HDL holesterol i ApoB/ApoA-I.</w:t>
      </w:r>
    </w:p>
    <w:p w:rsidR="00582F55" w:rsidRDefault="00582F55" w:rsidP="00166FF2">
      <w:pPr>
        <w:widowControl w:val="0"/>
        <w:spacing w:line="240" w:lineRule="auto"/>
        <w:rPr>
          <w:b/>
          <w:bCs/>
          <w:szCs w:val="22"/>
          <w:lang w:val="sr-Latn-RS" w:eastAsia="hr-HR"/>
        </w:rPr>
      </w:pPr>
    </w:p>
    <w:p w:rsidR="00582F55" w:rsidRDefault="001B0A63" w:rsidP="00166FF2">
      <w:pPr>
        <w:widowControl w:val="0"/>
        <w:spacing w:line="240" w:lineRule="auto"/>
        <w:jc w:val="both"/>
        <w:rPr>
          <w:b/>
          <w:bCs/>
          <w:szCs w:val="22"/>
          <w:lang w:val="sr-Latn-RS" w:eastAsia="hr-HR"/>
        </w:rPr>
      </w:pPr>
      <w:r>
        <w:rPr>
          <w:b/>
          <w:bCs/>
          <w:szCs w:val="22"/>
          <w:lang w:val="sr-Latn-RS" w:eastAsia="hr-HR"/>
        </w:rPr>
        <w:t>Tabela 3: Terapijski odgovor kod pacijenata sa primarnom hiperholesterolemijom (tipa IIa i IIb) u zavisnosti od doze (prilagođena srednja vrijednost promjene u procentima u odnosu na početne vrijednosti)</w:t>
      </w:r>
    </w:p>
    <w:tbl>
      <w:tblPr>
        <w:tblW w:w="4942" w:type="pct"/>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961"/>
        <w:gridCol w:w="616"/>
        <w:gridCol w:w="1137"/>
        <w:gridCol w:w="1222"/>
        <w:gridCol w:w="1222"/>
        <w:gridCol w:w="1049"/>
        <w:gridCol w:w="1222"/>
        <w:gridCol w:w="616"/>
        <w:gridCol w:w="875"/>
      </w:tblGrid>
      <w:tr w:rsidR="00582F55">
        <w:tc>
          <w:tcPr>
            <w:tcW w:w="989" w:type="dxa"/>
            <w:tcBorders>
              <w:top w:val="double" w:sz="6" w:space="0" w:color="000000"/>
              <w:left w:val="doub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b/>
                <w:bCs/>
                <w:color w:val="000000"/>
                <w:szCs w:val="22"/>
                <w:lang w:val="sr-Latn-RS"/>
              </w:rPr>
              <w:t>Doza (mg)</w:t>
            </w:r>
          </w:p>
        </w:tc>
        <w:tc>
          <w:tcPr>
            <w:tcW w:w="630" w:type="dxa"/>
            <w:tcBorders>
              <w:top w:val="doub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b/>
                <w:bCs/>
                <w:color w:val="000000"/>
                <w:szCs w:val="22"/>
                <w:lang w:val="sr-Latn-RS"/>
              </w:rPr>
              <w:t>N</w:t>
            </w:r>
          </w:p>
        </w:tc>
        <w:tc>
          <w:tcPr>
            <w:tcW w:w="1171" w:type="dxa"/>
            <w:tcBorders>
              <w:top w:val="doub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ind w:left="-68" w:right="-57"/>
              <w:jc w:val="center"/>
              <w:rPr>
                <w:color w:val="000000"/>
                <w:szCs w:val="22"/>
                <w:lang w:val="sr-Latn-RS"/>
              </w:rPr>
            </w:pPr>
            <w:r>
              <w:rPr>
                <w:b/>
                <w:bCs/>
                <w:color w:val="000000"/>
                <w:szCs w:val="22"/>
                <w:lang w:val="sr-Latn-RS"/>
              </w:rPr>
              <w:t xml:space="preserve"> LDL-holesterol</w:t>
            </w:r>
          </w:p>
        </w:tc>
        <w:tc>
          <w:tcPr>
            <w:tcW w:w="1260" w:type="dxa"/>
            <w:tcBorders>
              <w:top w:val="doub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ind w:right="-57"/>
              <w:rPr>
                <w:color w:val="000000"/>
                <w:szCs w:val="22"/>
                <w:lang w:val="sr-Latn-RS"/>
              </w:rPr>
            </w:pPr>
            <w:r>
              <w:rPr>
                <w:b/>
                <w:bCs/>
                <w:color w:val="000000"/>
                <w:szCs w:val="22"/>
                <w:lang w:val="sr-Latn-RS"/>
              </w:rPr>
              <w:t xml:space="preserve"> Ukupni holesterol</w:t>
            </w:r>
          </w:p>
        </w:tc>
        <w:tc>
          <w:tcPr>
            <w:tcW w:w="1260" w:type="dxa"/>
            <w:tcBorders>
              <w:top w:val="doub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b/>
                <w:bCs/>
                <w:color w:val="000000"/>
                <w:szCs w:val="22"/>
                <w:lang w:val="sr-Latn-RS"/>
              </w:rPr>
              <w:t xml:space="preserve"> HDL holesterol</w:t>
            </w:r>
          </w:p>
        </w:tc>
        <w:tc>
          <w:tcPr>
            <w:tcW w:w="1080" w:type="dxa"/>
            <w:tcBorders>
              <w:top w:val="doub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ind w:right="-108" w:hanging="93"/>
              <w:rPr>
                <w:color w:val="000000"/>
                <w:szCs w:val="22"/>
                <w:lang w:val="sr-Latn-RS"/>
              </w:rPr>
            </w:pPr>
            <w:r>
              <w:rPr>
                <w:b/>
                <w:bCs/>
                <w:color w:val="000000"/>
                <w:szCs w:val="22"/>
                <w:lang w:val="sr-Latn-RS"/>
              </w:rPr>
              <w:t>trigliceridi</w:t>
            </w:r>
          </w:p>
        </w:tc>
        <w:tc>
          <w:tcPr>
            <w:tcW w:w="1260" w:type="dxa"/>
            <w:tcBorders>
              <w:top w:val="doub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b/>
                <w:bCs/>
                <w:color w:val="000000"/>
                <w:szCs w:val="22"/>
                <w:lang w:val="sr-Latn-RS"/>
              </w:rPr>
              <w:t xml:space="preserve"> nonHDLholesterol</w:t>
            </w:r>
          </w:p>
        </w:tc>
        <w:tc>
          <w:tcPr>
            <w:tcW w:w="630" w:type="dxa"/>
            <w:tcBorders>
              <w:top w:val="doub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b/>
                <w:bCs/>
                <w:color w:val="000000"/>
                <w:szCs w:val="22"/>
                <w:lang w:val="sr-Latn-RS"/>
              </w:rPr>
              <w:t>ApoB</w:t>
            </w:r>
          </w:p>
        </w:tc>
        <w:tc>
          <w:tcPr>
            <w:tcW w:w="899" w:type="dxa"/>
            <w:tcBorders>
              <w:top w:val="double" w:sz="6" w:space="0" w:color="000000"/>
              <w:left w:val="single" w:sz="6" w:space="0" w:color="000000"/>
              <w:bottom w:val="single" w:sz="6" w:space="0" w:color="000000"/>
              <w:right w:val="double" w:sz="6" w:space="0" w:color="000000"/>
            </w:tcBorders>
          </w:tcPr>
          <w:p w:rsidR="00582F55" w:rsidRDefault="001B0A63" w:rsidP="00166FF2">
            <w:pPr>
              <w:widowControl w:val="0"/>
              <w:spacing w:line="240" w:lineRule="auto"/>
              <w:ind w:right="-109"/>
              <w:rPr>
                <w:color w:val="000000"/>
                <w:szCs w:val="22"/>
                <w:lang w:val="sr-Latn-RS"/>
              </w:rPr>
            </w:pPr>
            <w:r>
              <w:rPr>
                <w:b/>
                <w:bCs/>
                <w:color w:val="000000"/>
                <w:szCs w:val="22"/>
                <w:lang w:val="sr-Latn-RS"/>
              </w:rPr>
              <w:t>ApoA-I</w:t>
            </w:r>
          </w:p>
        </w:tc>
      </w:tr>
      <w:tr w:rsidR="00582F55">
        <w:tc>
          <w:tcPr>
            <w:tcW w:w="989" w:type="dxa"/>
            <w:tcBorders>
              <w:top w:val="single" w:sz="6" w:space="0" w:color="000000"/>
              <w:left w:val="doub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placebo</w:t>
            </w:r>
          </w:p>
        </w:tc>
        <w:tc>
          <w:tcPr>
            <w:tcW w:w="63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13</w:t>
            </w:r>
          </w:p>
        </w:tc>
        <w:tc>
          <w:tcPr>
            <w:tcW w:w="1171"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–7</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–5</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3</w:t>
            </w:r>
          </w:p>
        </w:tc>
        <w:tc>
          <w:tcPr>
            <w:tcW w:w="108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–3</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–7</w:t>
            </w:r>
          </w:p>
        </w:tc>
        <w:tc>
          <w:tcPr>
            <w:tcW w:w="63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–3</w:t>
            </w:r>
          </w:p>
        </w:tc>
        <w:tc>
          <w:tcPr>
            <w:tcW w:w="899" w:type="dxa"/>
            <w:tcBorders>
              <w:top w:val="single" w:sz="6" w:space="0" w:color="000000"/>
              <w:left w:val="single" w:sz="6" w:space="0" w:color="000000"/>
              <w:bottom w:val="single" w:sz="6" w:space="0" w:color="000000"/>
              <w:right w:val="doub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0</w:t>
            </w:r>
          </w:p>
        </w:tc>
      </w:tr>
      <w:tr w:rsidR="00582F55">
        <w:tc>
          <w:tcPr>
            <w:tcW w:w="989" w:type="dxa"/>
            <w:tcBorders>
              <w:top w:val="single" w:sz="6" w:space="0" w:color="000000"/>
              <w:left w:val="doub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5</w:t>
            </w:r>
          </w:p>
        </w:tc>
        <w:tc>
          <w:tcPr>
            <w:tcW w:w="63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17</w:t>
            </w:r>
          </w:p>
        </w:tc>
        <w:tc>
          <w:tcPr>
            <w:tcW w:w="1171"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–45</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–33</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13</w:t>
            </w:r>
          </w:p>
        </w:tc>
        <w:tc>
          <w:tcPr>
            <w:tcW w:w="108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–35</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–44</w:t>
            </w:r>
          </w:p>
        </w:tc>
        <w:tc>
          <w:tcPr>
            <w:tcW w:w="63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–38</w:t>
            </w:r>
          </w:p>
        </w:tc>
        <w:tc>
          <w:tcPr>
            <w:tcW w:w="899" w:type="dxa"/>
            <w:tcBorders>
              <w:top w:val="single" w:sz="6" w:space="0" w:color="000000"/>
              <w:left w:val="single" w:sz="6" w:space="0" w:color="000000"/>
              <w:bottom w:val="single" w:sz="6" w:space="0" w:color="000000"/>
              <w:right w:val="doub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w:t>
            </w:r>
          </w:p>
        </w:tc>
      </w:tr>
      <w:tr w:rsidR="00582F55">
        <w:tc>
          <w:tcPr>
            <w:tcW w:w="989" w:type="dxa"/>
            <w:tcBorders>
              <w:top w:val="single" w:sz="6" w:space="0" w:color="000000"/>
              <w:left w:val="doub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10</w:t>
            </w:r>
          </w:p>
        </w:tc>
        <w:tc>
          <w:tcPr>
            <w:tcW w:w="63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17</w:t>
            </w:r>
          </w:p>
        </w:tc>
        <w:tc>
          <w:tcPr>
            <w:tcW w:w="1171"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–52</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–36</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14</w:t>
            </w:r>
          </w:p>
        </w:tc>
        <w:tc>
          <w:tcPr>
            <w:tcW w:w="108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–10</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–48</w:t>
            </w:r>
          </w:p>
        </w:tc>
        <w:tc>
          <w:tcPr>
            <w:tcW w:w="63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–42</w:t>
            </w:r>
          </w:p>
        </w:tc>
        <w:tc>
          <w:tcPr>
            <w:tcW w:w="899" w:type="dxa"/>
            <w:tcBorders>
              <w:top w:val="single" w:sz="6" w:space="0" w:color="000000"/>
              <w:left w:val="single" w:sz="6" w:space="0" w:color="000000"/>
              <w:bottom w:val="single" w:sz="6" w:space="0" w:color="000000"/>
              <w:right w:val="doub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w:t>
            </w:r>
          </w:p>
        </w:tc>
      </w:tr>
      <w:tr w:rsidR="00582F55">
        <w:tc>
          <w:tcPr>
            <w:tcW w:w="989" w:type="dxa"/>
            <w:tcBorders>
              <w:top w:val="single" w:sz="6" w:space="0" w:color="000000"/>
              <w:left w:val="doub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20</w:t>
            </w:r>
          </w:p>
        </w:tc>
        <w:tc>
          <w:tcPr>
            <w:tcW w:w="63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17</w:t>
            </w:r>
          </w:p>
        </w:tc>
        <w:tc>
          <w:tcPr>
            <w:tcW w:w="1171"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–55</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–40</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8</w:t>
            </w:r>
          </w:p>
        </w:tc>
        <w:tc>
          <w:tcPr>
            <w:tcW w:w="108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–23</w:t>
            </w:r>
          </w:p>
        </w:tc>
        <w:tc>
          <w:tcPr>
            <w:tcW w:w="126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–51</w:t>
            </w:r>
          </w:p>
        </w:tc>
        <w:tc>
          <w:tcPr>
            <w:tcW w:w="630" w:type="dxa"/>
            <w:tcBorders>
              <w:top w:val="single" w:sz="6" w:space="0" w:color="000000"/>
              <w:left w:val="single" w:sz="6" w:space="0" w:color="000000"/>
              <w:bottom w:val="sing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–46</w:t>
            </w:r>
          </w:p>
        </w:tc>
        <w:tc>
          <w:tcPr>
            <w:tcW w:w="899" w:type="dxa"/>
            <w:tcBorders>
              <w:top w:val="single" w:sz="6" w:space="0" w:color="000000"/>
              <w:left w:val="single" w:sz="6" w:space="0" w:color="000000"/>
              <w:bottom w:val="single" w:sz="6" w:space="0" w:color="000000"/>
              <w:right w:val="doub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5</w:t>
            </w:r>
          </w:p>
        </w:tc>
      </w:tr>
      <w:tr w:rsidR="00582F55">
        <w:tc>
          <w:tcPr>
            <w:tcW w:w="989" w:type="dxa"/>
            <w:tcBorders>
              <w:top w:val="single" w:sz="6" w:space="0" w:color="000000"/>
              <w:left w:val="double" w:sz="6" w:space="0" w:color="000000"/>
              <w:bottom w:val="doub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40</w:t>
            </w:r>
          </w:p>
        </w:tc>
        <w:tc>
          <w:tcPr>
            <w:tcW w:w="630" w:type="dxa"/>
            <w:tcBorders>
              <w:top w:val="single" w:sz="6" w:space="0" w:color="000000"/>
              <w:left w:val="single" w:sz="6" w:space="0" w:color="000000"/>
              <w:bottom w:val="doub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18</w:t>
            </w:r>
          </w:p>
        </w:tc>
        <w:tc>
          <w:tcPr>
            <w:tcW w:w="1171" w:type="dxa"/>
            <w:tcBorders>
              <w:top w:val="single" w:sz="6" w:space="0" w:color="000000"/>
              <w:left w:val="single" w:sz="6" w:space="0" w:color="000000"/>
              <w:bottom w:val="doub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–63</w:t>
            </w:r>
          </w:p>
        </w:tc>
        <w:tc>
          <w:tcPr>
            <w:tcW w:w="1260" w:type="dxa"/>
            <w:tcBorders>
              <w:top w:val="single" w:sz="6" w:space="0" w:color="000000"/>
              <w:left w:val="single" w:sz="6" w:space="0" w:color="000000"/>
              <w:bottom w:val="doub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–46</w:t>
            </w:r>
          </w:p>
        </w:tc>
        <w:tc>
          <w:tcPr>
            <w:tcW w:w="1260" w:type="dxa"/>
            <w:tcBorders>
              <w:top w:val="single" w:sz="6" w:space="0" w:color="000000"/>
              <w:left w:val="single" w:sz="6" w:space="0" w:color="000000"/>
              <w:bottom w:val="doub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10</w:t>
            </w:r>
          </w:p>
        </w:tc>
        <w:tc>
          <w:tcPr>
            <w:tcW w:w="1080" w:type="dxa"/>
            <w:tcBorders>
              <w:top w:val="single" w:sz="6" w:space="0" w:color="000000"/>
              <w:left w:val="single" w:sz="6" w:space="0" w:color="000000"/>
              <w:bottom w:val="doub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–28</w:t>
            </w:r>
          </w:p>
        </w:tc>
        <w:tc>
          <w:tcPr>
            <w:tcW w:w="1260" w:type="dxa"/>
            <w:tcBorders>
              <w:top w:val="single" w:sz="6" w:space="0" w:color="000000"/>
              <w:left w:val="single" w:sz="6" w:space="0" w:color="000000"/>
              <w:bottom w:val="doub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–60</w:t>
            </w:r>
          </w:p>
        </w:tc>
        <w:tc>
          <w:tcPr>
            <w:tcW w:w="630" w:type="dxa"/>
            <w:tcBorders>
              <w:top w:val="single" w:sz="6" w:space="0" w:color="000000"/>
              <w:left w:val="single" w:sz="6" w:space="0" w:color="000000"/>
              <w:bottom w:val="double" w:sz="6" w:space="0" w:color="000000"/>
              <w:right w:val="sing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–54</w:t>
            </w:r>
          </w:p>
        </w:tc>
        <w:tc>
          <w:tcPr>
            <w:tcW w:w="899" w:type="dxa"/>
            <w:tcBorders>
              <w:top w:val="single" w:sz="6" w:space="0" w:color="000000"/>
              <w:left w:val="single" w:sz="6" w:space="0" w:color="000000"/>
              <w:bottom w:val="double" w:sz="6" w:space="0" w:color="000000"/>
              <w:right w:val="double" w:sz="6" w:space="0" w:color="000000"/>
            </w:tcBorders>
          </w:tcPr>
          <w:p w:rsidR="00582F55" w:rsidRDefault="001B0A63" w:rsidP="00166FF2">
            <w:pPr>
              <w:widowControl w:val="0"/>
              <w:spacing w:line="240" w:lineRule="auto"/>
              <w:jc w:val="center"/>
              <w:rPr>
                <w:color w:val="000000"/>
                <w:szCs w:val="22"/>
                <w:lang w:val="sr-Latn-RS"/>
              </w:rPr>
            </w:pPr>
            <w:r>
              <w:rPr>
                <w:color w:val="000000"/>
                <w:szCs w:val="22"/>
                <w:lang w:val="sr-Latn-RS"/>
              </w:rPr>
              <w:t>0</w:t>
            </w:r>
          </w:p>
        </w:tc>
      </w:tr>
    </w:tbl>
    <w:p w:rsidR="00582F55" w:rsidRDefault="00582F55" w:rsidP="00166FF2">
      <w:pPr>
        <w:widowControl w:val="0"/>
        <w:spacing w:line="240" w:lineRule="auto"/>
        <w:rPr>
          <w:b/>
          <w:bCs/>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Terapijski efekat je postignut tokom prve nedjelje nakon početka liječenja, a 90% maksimalnog odgovora je postignuto nakon dvije nedjelje. Maksimalan odgovor se obično postiže nakon četiri nedjelje i nakon toga se više ne mijenja.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1"/>
        <w:rPr>
          <w:b/>
          <w:bCs/>
          <w:szCs w:val="22"/>
          <w:lang w:val="sr-Latn-RS" w:eastAsia="hr-HR"/>
        </w:rPr>
      </w:pPr>
      <w:r>
        <w:rPr>
          <w:b/>
          <w:bCs/>
          <w:szCs w:val="22"/>
          <w:lang w:val="sr-Latn-RS" w:eastAsia="hr-HR"/>
        </w:rPr>
        <w:t>Klinička efikasnost i bezbjednost</w:t>
      </w:r>
    </w:p>
    <w:p w:rsidR="00582F55" w:rsidRDefault="001B0A63" w:rsidP="00166FF2">
      <w:pPr>
        <w:widowControl w:val="0"/>
        <w:spacing w:line="240" w:lineRule="auto"/>
        <w:jc w:val="both"/>
        <w:rPr>
          <w:szCs w:val="22"/>
          <w:lang w:val="sr-Latn-RS" w:eastAsia="hr-HR"/>
        </w:rPr>
      </w:pPr>
      <w:r>
        <w:rPr>
          <w:szCs w:val="22"/>
          <w:lang w:val="sr-Latn-RS" w:eastAsia="hr-HR"/>
        </w:rPr>
        <w:t xml:space="preserve">Rosuvastatin je efikasan u liječenju odraslih sa hiperholesterolemijom, sa hipertrigliceridemijom ili bez nje, bez obzira na rasu, pol ili uzrast kao i kod posebnih grupa pacijenata kao što su na primjer dijabetičari ili kod pacijenata sa porodičnom hiperholesterolemijom. </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Podaci koji su dobijeni na osnovu III faze kliničkog ispitivanja, pokazuju da je rosuvastatin efikasan u postizanju ciljnih vrijednosti definisanih od strane Evropskog udruženja za aterosklerozu (EAS;1998) u liječenju kod većine pacijenata sa hiperholesterolemijom tipa IIa i IIb (sa srednjom početnom vrijednošću LDL-holesterola oko 4,8 mmol/l). Oko 80 % pacijenata koji su dobijali dozu od 10 mg je postiglo EAS ciljne vrijednosti LDL–holesterol (&lt; 3 mmol/l).</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 xml:space="preserve">U jednoj obimnoj studiji sa dizajnom ubrzanog titriranja doze, kod 435 pacijenata sa heterozigotnom porodičnom hiperholesterolemijom su primjenjivane doze od 20 mg do 80 mg rosuvastatina. Sve doze su imale povoljan efekat na lipidne parametre i ostvareni su terapijski ciljevi. Nakon titriranja do dnevne doze od 40 mg na dan (12 nedjelja terapije), vrijednost LDL-holesterola je smanjena za 53 %. Ciljnu </w:t>
      </w:r>
      <w:r>
        <w:rPr>
          <w:szCs w:val="22"/>
          <w:lang w:val="sr-Latn-RS" w:eastAsia="hr-HR"/>
        </w:rPr>
        <w:lastRenderedPageBreak/>
        <w:t>vrijednost LDL-holesterola (&lt;3 mmol/l), kako je određuju smjernice EAS dostiglo je 33 % pacijenata.</w:t>
      </w:r>
    </w:p>
    <w:p w:rsidR="00582F55" w:rsidRDefault="00582F55" w:rsidP="00166FF2">
      <w:pPr>
        <w:widowControl w:val="0"/>
        <w:spacing w:line="240" w:lineRule="auto"/>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U otvorenom ispitivanju sa dizajnom ubrzanog titriranja doze, kod 42 pacijenta (uključujući 8 pedijatrijskih pacijenata) sa homozigotnom porodičnom hiperholesterolemijom je vršena procjena odgovora na terapiju dozama od 20 mg do 40 mg. Vrijednost LDL-holesterola se u cijeloj populaciji prosječno redukovala za 22 %.</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U kliničkim studijama sa ograničenim brojem pacijenta, rosuvastatin je tokom kombinovanog liječenja sa fenofibratom dodatno doprinio efikasnom sniženju vrijednosti triglicerida, a u kombinaciji sa niacinom povišenju vrijednosti HDL-holesterola (vidjeti dio 4.4).</w:t>
      </w:r>
    </w:p>
    <w:p w:rsidR="00582F55" w:rsidRDefault="00582F55" w:rsidP="00166FF2">
      <w:pPr>
        <w:widowControl w:val="0"/>
        <w:spacing w:line="240" w:lineRule="auto"/>
        <w:jc w:val="both"/>
        <w:rPr>
          <w:szCs w:val="22"/>
          <w:lang w:val="sr-Latn-RS" w:eastAsia="hr-HR"/>
        </w:rPr>
      </w:pPr>
    </w:p>
    <w:p w:rsidR="00582F55" w:rsidRDefault="001B0A63" w:rsidP="00166FF2">
      <w:pPr>
        <w:pStyle w:val="Caption"/>
        <w:widowControl w:val="0"/>
        <w:rPr>
          <w:rStyle w:val="Strong"/>
          <w:b w:val="0"/>
          <w:sz w:val="22"/>
          <w:szCs w:val="22"/>
          <w:lang w:val="sr-Latn-RS"/>
        </w:rPr>
      </w:pPr>
      <w:r>
        <w:rPr>
          <w:rStyle w:val="Strong"/>
          <w:b w:val="0"/>
          <w:sz w:val="22"/>
          <w:szCs w:val="22"/>
          <w:lang w:val="sr-Latn-RS"/>
        </w:rPr>
        <w:t>U multicentričnoj, dvostruko slijepoj, placebom kontrolisanoj kliničkoj studiji (METEOR), 984 pacijenta između 45 i 70 godina, sa niskim rizikom od koronarne bolesti srca (definisanim kao Framingham rizik&lt;10% za 10 godina) sa prosječnom vrednošću LDL holesterola od 4,0 mmol/l (154,5 mg/dl), ali sa subkliničkom aterosklerozom (detektovanom na osnovu debljine karotidne intima medije (CIMT)) su randomizovani u grupu koja je dobijala rosuvastatin od 40 mg jednom dnevno i placebo grupu, tokom 2 godine. Rosuvastatin je značajno usporio stopu progresije maksimalne CIMT vrednosti (na 12 tačaka na karotidnoj arteriji) u odnosu na placebo, za -0,0145 mm godišnje [95% interval pouzdanosti -0,0196, -0,0093; p&lt;0,0001]. Promjena u odnosu na početne vrijednosti je bila -0,0014 mm godišnje (-0,12% godišnje (nije značajna)) pri primjeni rosuvastatina u poređenju sa progresijom od +0,0131 mm godišnje (1,12% godišnje (p&lt;0,0001) kod placeba. Nije dokazana direktna povezanost između smanjenja vrijednosti CIMT i smanjenja rizika od pojave kardiovaskularnih događaja. Populacija ispitanika iz METEOR studije ima nizak rizik od pojave koronarne bolesti srca i ne predstavlja ciljnu populaciju za rosuvastatin od 40 mg. Doza od 40 mg treba da se propisuje samo pacijentima sa teškom hiperholesterolemijom koji imaju visok kardiovaskularni rizik (vidjeti dio 4.2).</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U studiji Opravdanost upotrebe statina u primarnoj prevenciji: Intervencijska studija procjene rosuvastatina (JUPITER), vršena je procjena uticaja rosuvastatina na pojavu većih kardiovaskularnih događaja kod 17802 muškaraca (50 godina ili više) i žena (60 godina ili više).</w:t>
      </w:r>
    </w:p>
    <w:p w:rsidR="00582F55" w:rsidRDefault="001B0A63" w:rsidP="00166FF2">
      <w:pPr>
        <w:widowControl w:val="0"/>
        <w:spacing w:line="240" w:lineRule="auto"/>
        <w:jc w:val="both"/>
        <w:rPr>
          <w:szCs w:val="22"/>
          <w:lang w:val="sr-Latn-RS" w:eastAsia="hr-HR"/>
        </w:rPr>
      </w:pPr>
      <w:r>
        <w:rPr>
          <w:szCs w:val="22"/>
          <w:lang w:val="sr-Latn-RS" w:eastAsia="hr-HR"/>
        </w:rPr>
        <w:t>Ispitanici su randomizovani u grupu koja je primala placebo (n=8901) ili u grupu koja je primala 20 mg rosuvastatina jednom dnevno (n=8901) i praćeni su prosječno 2 godine. Koncentracija LDL-holesterola u grupi koja je primala rosuvastatin se smanjila za 45 % u poređenju sa grupom koja je primala placebo (p&lt;0,001).</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 xml:space="preserve">U </w:t>
      </w:r>
      <w:r>
        <w:rPr>
          <w:rStyle w:val="QuoteChar"/>
          <w:sz w:val="22"/>
          <w:szCs w:val="22"/>
          <w:lang w:val="sr-Latn-RS"/>
        </w:rPr>
        <w:t>post hoc</w:t>
      </w:r>
      <w:r>
        <w:rPr>
          <w:szCs w:val="22"/>
          <w:lang w:val="sr-Latn-RS" w:eastAsia="hr-HR"/>
        </w:rPr>
        <w:t xml:space="preserve"> analizi podgrupe ispitanika sa visokim rizikom, sa početnom procjenom rizika prema Framinghamskoj ljestvici više od 20 % (1558 ispitanika), ustanovljeno je značajno smanjenje kombinovanog ishoda kardiovaskularne smrti, moždanog udara i infarkta miokarda (p = 0,028) pri primjeni rosuvastatina u poređenju s placebom. Smanjenje apsolutnog rizika izraženo kao stopa događaja na 1000 pacijenata bilo je 8,8. Ukupni mortalitet se u toj grupi sa velikim rizikom nije promijenio (p = 0,193). U </w:t>
      </w:r>
      <w:r>
        <w:rPr>
          <w:rStyle w:val="QuoteChar"/>
          <w:sz w:val="22"/>
          <w:szCs w:val="22"/>
          <w:lang w:val="sr-Latn-RS"/>
        </w:rPr>
        <w:t>post hoc</w:t>
      </w:r>
      <w:r>
        <w:rPr>
          <w:szCs w:val="22"/>
          <w:lang w:val="sr-Latn-RS" w:eastAsia="hr-HR"/>
        </w:rPr>
        <w:t xml:space="preserve"> analizi podgrupe ispitanika sa visokim rizikom (ukupno 9302 ispitanika) sa polaznom ocjenom rizika SCORE 5 % ili više (zbog uključivanja ispitanika starijih od 65 godina) nije došlo do statistički značajnog smanjivanja kombinovanog ishoda kardiovaskularne smrti, moždanog udara i infarkta miokarda (p = 0,0003) pri primjeni rosuvastatina u poređenju s placebom. Redukcija apsolutnog rizika izražena kao stopa događaja na 1000 pacijenata bila je 5,1. Ukupni mortalitet u ovoj grupi sa visokim rizikom nije se promijenio (p = 0,076).</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U studiji JUPITER, 6,6% ispitanika koji su primali rosuvastatin i 6,2 % onih koji su primali placebo, prekinulo je terapiju zbog neželjenih dogadjaja. Najčešći neželjeni događaji koji su uzrokovale prekid liječenja bili su: mijalgija (0,3 % rosuvastatin, 0,2 % placebo), bolovi u abdomenu (0,03 % rosuvastatin, 0,02 % placebo) i osip (0,02 % rosuvastatin, 0,03 % placebo). Najčešći neželjeni događaji čija je stopa veća ili jednaka onoj u placebo grupi su bili: infekcije urinarnog trakta (8,7 % rosuvastatin, 8,6 % placebo), nazofaringitis (7,6 % rosuvastatin, 7,2 % placebo), bolovi u leđima (7,6 % rosuvastatin, 6,9 % placebo) i mijalgija (7,6 % rosuvastatin, 6,6 % placebo).</w:t>
      </w:r>
    </w:p>
    <w:p w:rsidR="00582F55" w:rsidRDefault="00582F55" w:rsidP="00166FF2">
      <w:pPr>
        <w:pStyle w:val="Quote"/>
        <w:widowControl w:val="0"/>
        <w:rPr>
          <w:sz w:val="22"/>
          <w:szCs w:val="22"/>
          <w:lang w:val="sr-Latn-RS" w:eastAsia="hr-HR"/>
        </w:rPr>
      </w:pPr>
    </w:p>
    <w:p w:rsidR="00582F55" w:rsidRDefault="001B0A63" w:rsidP="00166FF2">
      <w:pPr>
        <w:pStyle w:val="Quote"/>
        <w:widowControl w:val="0"/>
        <w:rPr>
          <w:sz w:val="22"/>
          <w:szCs w:val="22"/>
          <w:lang w:val="sr-Latn-RS" w:eastAsia="hr-HR"/>
        </w:rPr>
      </w:pPr>
      <w:r>
        <w:rPr>
          <w:sz w:val="22"/>
          <w:szCs w:val="22"/>
          <w:lang w:val="sr-Latn-RS" w:eastAsia="hr-HR"/>
        </w:rPr>
        <w:t>Pedijatrijska populacija</w:t>
      </w:r>
    </w:p>
    <w:p w:rsidR="00582F55" w:rsidRDefault="00582F55" w:rsidP="00166FF2">
      <w:pPr>
        <w:widowControl w:val="0"/>
        <w:spacing w:line="240" w:lineRule="auto"/>
        <w:rPr>
          <w:b/>
          <w:bCs/>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 xml:space="preserve">U dvostruko slijepoj, randomizovanoj multicentričnoj, placebo kontrolisanoj 12-nedjeljnoj studiji (n = </w:t>
      </w:r>
      <w:r>
        <w:rPr>
          <w:szCs w:val="22"/>
          <w:lang w:val="sr-Latn-RS" w:eastAsia="hr-HR"/>
        </w:rPr>
        <w:lastRenderedPageBreak/>
        <w:t>176,97 dječaka i 79 djevojčica) praćenoj 40-nedjeljnom otvorenom fazom sa titriranjem doze rosuvastatina (n = 173,96 dječaka i 77 djevojčica), pacijenti starosti od 10 do 17 godina (sa stepenom od II do V prema Tanneru, djevojčice kod kojih je prošlo najmanje 1 godina od prve menstruacije) sa hetreozigotnom porodičnom hiperholesterolemijom primali su 5, 10 ili 20 mg rosuvastatina ili placeba dnevno 12 nedjelja, a zatim su svi primali rosuvastatin svaki dan 40 nedjelja. Kod uključivanja u studiju približno 30 % pacijenata bilo je uzrasta od 10 do 13 godina, a raspodjela po stepenima prema Tanneru bila je: 17 % II. stepena, približno 18 % III., približno 40 % IV. i približno 25 % V.</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Nivo LDL-holesterola se kod pacijenata koji su primali 5 mg rosuvastatina snizio za 38,3 %, 10 mg za 44,6 % i sa 20 mg za 50,0 % u poređenju sa 0,7 % kod pacijenata koji su primali placebo.</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Na kraju 40-nedjeljnog otvorenog titriranja doze do postizanja ciljne vrijednosti do maksimalnih 20 mg jednom dnevno,70 do 173 pacijenta (40,5 %) postiglo ciljne vrijednosti LDL- holesterola manje od 2,8 mmol/l.</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szCs w:val="22"/>
          <w:lang w:val="sr-Latn-RS" w:eastAsia="hr-HR"/>
        </w:rPr>
      </w:pPr>
      <w:r>
        <w:rPr>
          <w:szCs w:val="22"/>
          <w:lang w:val="sr-Latn-RS" w:eastAsia="hr-HR"/>
        </w:rPr>
        <w:t>Nakon 52 nedjelje terapije, u studiji nije primijećen uticaj na rast, tjelesnu masu, ITM ili polnu zrelost (vidjeti dio 4.4). Iskustva iz kliničkih studija kod djece i adolescenata je ograničeno i dugoročni efekti rosuvastatina (više od 1 godine) na pubertet nisu poznati. Ovo ispitivanje (n = 176) nije bilo adekvatno za poređenje rijetkih neželjenih reakcija na lijek.</w:t>
      </w:r>
    </w:p>
    <w:p w:rsidR="00582F55" w:rsidRDefault="00582F55" w:rsidP="00166FF2">
      <w:pPr>
        <w:widowControl w:val="0"/>
        <w:tabs>
          <w:tab w:val="clear" w:pos="567"/>
          <w:tab w:val="left" w:pos="540"/>
          <w:tab w:val="left" w:pos="569"/>
        </w:tabs>
        <w:spacing w:line="240" w:lineRule="auto"/>
        <w:rPr>
          <w:bCs/>
          <w:szCs w:val="22"/>
          <w:lang w:val="sr-Latn-RS"/>
        </w:rPr>
      </w:pPr>
    </w:p>
    <w:p w:rsidR="00582F55" w:rsidRDefault="001B0A63" w:rsidP="00166FF2">
      <w:pPr>
        <w:widowControl w:val="0"/>
        <w:spacing w:line="240" w:lineRule="auto"/>
        <w:jc w:val="both"/>
        <w:rPr>
          <w:color w:val="000000"/>
          <w:szCs w:val="22"/>
          <w:lang w:val="sr-Latn-RS"/>
        </w:rPr>
      </w:pPr>
      <w:r>
        <w:rPr>
          <w:color w:val="000000"/>
          <w:szCs w:val="22"/>
          <w:lang w:val="sr-Latn-RS"/>
        </w:rPr>
        <w:t>Rosuvastatin je takođe ispitivan u dvogodišnjoj, otvorenoj studiji titracije do ciljnih vrijednosti, u kojoj je učestvovalo 198 djece sa heterozigotnom porodičnom hiperholesterolemijom uzrasta od 6 do 17 godina (88 dječaka i 110 djevojčica Taner stadijuma &lt; II-V). Početna doza za sve pacijente bila je 5 mg rosuvastatina jednom dnevno. Kod pacijenata uzrasta od 6 do 9 godina (n = 64) doza se mogla titrirati do maksimalne doze od 10 mg jednom dnevno, a kod pacijenata uzrasta od 10 do 17 godina (n = 134) do maksimalne doze od 20 mg jednom dnevno.</w:t>
      </w:r>
    </w:p>
    <w:p w:rsidR="00582F55" w:rsidRDefault="00582F55" w:rsidP="00166FF2">
      <w:pPr>
        <w:widowControl w:val="0"/>
        <w:spacing w:line="240" w:lineRule="auto"/>
        <w:rPr>
          <w:color w:val="000000"/>
          <w:szCs w:val="22"/>
          <w:highlight w:val="yellow"/>
          <w:lang w:val="sr-Latn-RS"/>
        </w:rPr>
      </w:pPr>
    </w:p>
    <w:p w:rsidR="00582F55" w:rsidRDefault="001B0A63" w:rsidP="00166FF2">
      <w:pPr>
        <w:widowControl w:val="0"/>
        <w:spacing w:line="240" w:lineRule="auto"/>
        <w:jc w:val="both"/>
        <w:rPr>
          <w:color w:val="000000"/>
          <w:szCs w:val="22"/>
          <w:lang w:val="sr-Latn-RS"/>
        </w:rPr>
      </w:pPr>
      <w:r>
        <w:rPr>
          <w:color w:val="000000"/>
          <w:szCs w:val="22"/>
          <w:lang w:val="sr-Latn-RS"/>
        </w:rPr>
        <w:t>Nakon 24 mjeseca terapije rosuvastatinom, srednje procentno smanjenje LDL-holesterola u odnosu na početnu vrijednost, računato metodom najmanjih kvadrata, bilo je -43% (početna vrijednost: 236 mg/dl, 24. mjesec: 133 mg/dl). Za svaku uzrastnu grupu, srednje procentno smanjenje LDL-holesterola u odnosu na početnu vrijednost bilo je: -43% u uzrastnoj grupi 6 do &lt; 10 godina (početna vrijednost: 234 mg/dl, 24. mjesec: 124 mg/dl), -45% u uzrastnoj grupi 10 do &lt;14 godina (početna vrijednost: 234 mg/dl, 24. mjesec: 124 mg/dl) i -35% u uzrastnoj grupi 14 do &lt;18 godina (početna vrijednost: 241mg/dl, 24. mjesec: 153 mg/dl).</w:t>
      </w:r>
    </w:p>
    <w:p w:rsidR="00582F55" w:rsidRDefault="00582F55" w:rsidP="00166FF2">
      <w:pPr>
        <w:widowControl w:val="0"/>
        <w:spacing w:line="240" w:lineRule="auto"/>
        <w:rPr>
          <w:color w:val="000000"/>
          <w:szCs w:val="22"/>
          <w:highlight w:val="yellow"/>
          <w:lang w:val="sr-Latn-RS"/>
        </w:rPr>
      </w:pPr>
    </w:p>
    <w:p w:rsidR="00582F55" w:rsidRDefault="001B0A63" w:rsidP="00166FF2">
      <w:pPr>
        <w:widowControl w:val="0"/>
        <w:spacing w:line="240" w:lineRule="auto"/>
        <w:jc w:val="both"/>
        <w:rPr>
          <w:color w:val="000000"/>
          <w:szCs w:val="22"/>
          <w:highlight w:val="yellow"/>
          <w:lang w:val="sr-Latn-RS"/>
        </w:rPr>
      </w:pPr>
      <w:r>
        <w:rPr>
          <w:color w:val="000000"/>
          <w:szCs w:val="22"/>
          <w:lang w:val="sr-Latn-RS"/>
        </w:rPr>
        <w:t>Primjenom rosuvastatina u dozi od 5 mg, 10 mg i 20 mg ostvarena je i statistički značajna promjena u odnosu na početnu vrijednost za sljedeće sekundarne lipidne i lipoproteinske promjenljive: HDL-holesterol, ukupni holesterol, ne-HDL-holesterol, odnos LDL-holesterol/HDL-holesterol, ukupni holesterol/HDL-holesterol, trigliceridi/HDL-holesterol, ne-HDL-holesterol/HDL-holesterol, ApoB, ApoB/ApoA-1. Svaka od ovih promjena bila je u smjeru poboljšanja lipidnog odgovora i održala se tokom 2 godine.</w:t>
      </w:r>
    </w:p>
    <w:p w:rsidR="00582F55" w:rsidRDefault="00582F55" w:rsidP="00166FF2">
      <w:pPr>
        <w:widowControl w:val="0"/>
        <w:spacing w:line="240" w:lineRule="auto"/>
        <w:jc w:val="both"/>
        <w:rPr>
          <w:color w:val="000000"/>
          <w:szCs w:val="22"/>
          <w:highlight w:val="yellow"/>
          <w:lang w:val="sr-Latn-RS"/>
        </w:rPr>
      </w:pPr>
    </w:p>
    <w:p w:rsidR="00582F55" w:rsidRDefault="001B0A63" w:rsidP="00166FF2">
      <w:pPr>
        <w:widowControl w:val="0"/>
        <w:spacing w:line="240" w:lineRule="auto"/>
        <w:jc w:val="both"/>
        <w:rPr>
          <w:color w:val="000000"/>
          <w:szCs w:val="22"/>
          <w:lang w:val="sr-Latn-RS"/>
        </w:rPr>
      </w:pPr>
      <w:r>
        <w:rPr>
          <w:color w:val="000000"/>
          <w:szCs w:val="22"/>
          <w:lang w:val="sr-Latn-RS"/>
        </w:rPr>
        <w:t>Nakon 24 mjeseca liječenja nije uočen uticaj na rast, tjelesnu masu, BMI ili polno sazrijevanje (vidjeti dio 4.4).</w:t>
      </w:r>
    </w:p>
    <w:p w:rsidR="00582F55" w:rsidRDefault="00582F55" w:rsidP="00166FF2">
      <w:pPr>
        <w:widowControl w:val="0"/>
        <w:spacing w:line="240" w:lineRule="auto"/>
        <w:rPr>
          <w:color w:val="000000"/>
          <w:szCs w:val="22"/>
          <w:highlight w:val="yellow"/>
          <w:lang w:val="sr-Latn-RS"/>
        </w:rPr>
      </w:pPr>
    </w:p>
    <w:p w:rsidR="00582F55" w:rsidRDefault="001B0A63" w:rsidP="00166FF2">
      <w:pPr>
        <w:widowControl w:val="0"/>
        <w:spacing w:line="240" w:lineRule="auto"/>
        <w:jc w:val="both"/>
        <w:rPr>
          <w:color w:val="000000"/>
          <w:szCs w:val="22"/>
          <w:lang w:val="sr-Latn-RS"/>
        </w:rPr>
      </w:pPr>
      <w:r>
        <w:rPr>
          <w:color w:val="000000"/>
          <w:szCs w:val="22"/>
          <w:lang w:val="sr-Latn-RS"/>
        </w:rPr>
        <w:t>Rosuvastatin je ispitivan u dvostruko slijepoj, randomizovanoj, multicentričnoj, placebo kontrolisanoj ukrštenoj studiji (engl. cross-over) u dozi od 20 mg jedanput dnevno u poređenju sa placebom, kod 14 djece i adolescenata (uzrasta od 6 do 17 godina) sa homozigotnom porodičnom hiperholesterolemijom. Ispitivanje je uključivalo aktivnu uvodnu dijetalnu fazu u trajanju od 4 nedjelje, tokom koje su pacijenti liječeni rosuvastatinom u dozi od 10 mg, ukrštenu fazu koja se sastojala od 6-nedjeljnog perioda liječenja rosuvastatinom u dozi od 20 mg, kojem je prethodio ili nakon kojeg je slijedio 6-nedjeljni period liječenja placebom, zatim fazu održavanja u trajanju od 12 nedjelja tokom koje su svi pacijenti liječeni rosuvastatinom u dozi od 20 mg. Pacijenti koji su pri uključivanju u ispitivanje bili liječeni ezetimibom ili bili na aferezi, nastavili su to liječenje tokom cijelog ispitivanja.</w:t>
      </w:r>
    </w:p>
    <w:p w:rsidR="00582F55" w:rsidRDefault="00582F55" w:rsidP="00166FF2">
      <w:pPr>
        <w:widowControl w:val="0"/>
        <w:spacing w:line="240" w:lineRule="auto"/>
        <w:jc w:val="both"/>
        <w:rPr>
          <w:color w:val="000000"/>
          <w:szCs w:val="22"/>
          <w:highlight w:val="yellow"/>
          <w:lang w:val="sr-Latn-RS"/>
        </w:rPr>
      </w:pPr>
    </w:p>
    <w:p w:rsidR="00582F55" w:rsidRDefault="001B0A63" w:rsidP="00534AF5">
      <w:pPr>
        <w:widowControl w:val="0"/>
        <w:spacing w:line="240" w:lineRule="auto"/>
        <w:jc w:val="both"/>
        <w:rPr>
          <w:color w:val="000000"/>
          <w:szCs w:val="22"/>
          <w:lang w:val="sr-Latn-RS"/>
        </w:rPr>
      </w:pPr>
      <w:r>
        <w:rPr>
          <w:color w:val="000000"/>
          <w:szCs w:val="22"/>
          <w:lang w:val="sr-Latn-RS"/>
        </w:rPr>
        <w:t xml:space="preserve">Statistički značajna (p=0,005) redukcija nivoa LDL holesterola (22,3%, 85,4 mg/dl ili 2,2 mmol/l) uočena je nakon 6 nedjelja liječenja rosuvastatinom u dozi od 20 mg, u poređenju sa placebom. Uočene </w:t>
      </w:r>
      <w:r>
        <w:rPr>
          <w:color w:val="000000"/>
          <w:szCs w:val="22"/>
          <w:lang w:val="sr-Latn-RS"/>
        </w:rPr>
        <w:lastRenderedPageBreak/>
        <w:t xml:space="preserve">su statistički značajne redukcije ukupnog holesterola (20,1%, p=0,003), ne-HDL holesterola (22,9%, p=0,003), i ApoB-a (17,1%, p=0,024). Takođe su uočene redukcije triglicerida, LDL holesterola/HDL holesterola, ukupnog holesterola/HDL holesterola, ne-HDL holesterola/HDL holesterola, te ApoB/ApoA-1 nakon 6 nedjelja liječenja rosuvastatinom u dozi od 20 mg, u poređenju sa placebom. Redukcija LDL holesterola </w:t>
      </w:r>
      <w:bookmarkStart w:id="0" w:name="_GoBack"/>
      <w:r>
        <w:rPr>
          <w:color w:val="000000"/>
          <w:szCs w:val="22"/>
          <w:lang w:val="sr-Latn-RS"/>
        </w:rPr>
        <w:t>nakon 6 nedjelja liječenja rosuvastatinom u dozi od 20 mg, koji je slijedio nakon 6 nedjelja liječenja placebom, održana je i tokom 12 nedjelja kontinuiranog liječenja. Kod jednog pacijenta došlo je do dodatnog smanjenja vrijednost LDL holesterola (8,0%), ukupnog holesterola (6,7%) i ne-HDL holesterola (7,4%) nakon 6 nedjelja liječenja sa 40 mg rosuvastatina nakon povećanja doze.</w:t>
      </w:r>
    </w:p>
    <w:p w:rsidR="00582F55" w:rsidRDefault="00582F55" w:rsidP="00534AF5">
      <w:pPr>
        <w:widowControl w:val="0"/>
        <w:spacing w:line="240" w:lineRule="auto"/>
        <w:jc w:val="both"/>
        <w:rPr>
          <w:color w:val="000000"/>
          <w:szCs w:val="22"/>
          <w:highlight w:val="green"/>
          <w:lang w:val="sr-Latn-RS"/>
        </w:rPr>
      </w:pPr>
    </w:p>
    <w:p w:rsidR="00582F55" w:rsidRDefault="001B0A63" w:rsidP="00534AF5">
      <w:pPr>
        <w:widowControl w:val="0"/>
        <w:spacing w:line="240" w:lineRule="auto"/>
        <w:jc w:val="both"/>
        <w:rPr>
          <w:color w:val="000000"/>
          <w:szCs w:val="22"/>
          <w:lang w:val="sr-Latn-RS"/>
        </w:rPr>
      </w:pPr>
      <w:r>
        <w:rPr>
          <w:color w:val="000000"/>
          <w:szCs w:val="22"/>
          <w:lang w:val="sr-Latn-RS"/>
        </w:rPr>
        <w:t>U otvorenoj produženoj fazi liječenja sa 20 mg rosuvastatina do 90 nedjelja kod 9 od tih pacijenata se smanjenje LDL holesterola održalo u rasponu od -12,1% do -21,3%.</w:t>
      </w:r>
    </w:p>
    <w:p w:rsidR="00582F55" w:rsidRDefault="00582F55" w:rsidP="00534AF5">
      <w:pPr>
        <w:widowControl w:val="0"/>
        <w:spacing w:line="240" w:lineRule="auto"/>
        <w:jc w:val="both"/>
        <w:rPr>
          <w:color w:val="000000"/>
          <w:szCs w:val="22"/>
          <w:highlight w:val="yellow"/>
          <w:lang w:val="sr-Latn-RS"/>
        </w:rPr>
      </w:pPr>
    </w:p>
    <w:p w:rsidR="00582F55" w:rsidRDefault="001B0A63" w:rsidP="00534AF5">
      <w:pPr>
        <w:widowControl w:val="0"/>
        <w:spacing w:line="240" w:lineRule="auto"/>
        <w:jc w:val="both"/>
        <w:rPr>
          <w:color w:val="000000"/>
          <w:szCs w:val="22"/>
          <w:lang w:val="sr-Latn-RS"/>
        </w:rPr>
      </w:pPr>
      <w:r>
        <w:rPr>
          <w:color w:val="000000"/>
          <w:szCs w:val="22"/>
          <w:lang w:val="sr-Latn-RS"/>
        </w:rPr>
        <w:t>Kod 7 pacijenata dječjeg i adolescentskog uzrasta prikladnih za procjenu (uzrast od 8 do 17 godina) sa homozigotnom porodičnom hiperholesterolemijom, koji su učestvovali u otvorenom ispitivanju po ubrzanom planu titriranja doze, procenat redukcije LDL holesterola (21,0%), ukupnog holesterola (19,2%) i ne-HDL holesterola (21,0%) nakon 6 nedjelja liječenja rosuvastatinom u dozi od 20 mg, u odnosu na početnu vrijednost, bio je konzistentan sa onim uočenim u gore spomenutom ispitivanju kod djece i adolescenata sa homozigotnom porodičnom hiperholesterolemijom.</w:t>
      </w:r>
    </w:p>
    <w:p w:rsidR="00582F55" w:rsidRDefault="00582F55" w:rsidP="00534AF5">
      <w:pPr>
        <w:widowControl w:val="0"/>
        <w:spacing w:line="240" w:lineRule="auto"/>
        <w:jc w:val="both"/>
        <w:rPr>
          <w:color w:val="000000"/>
          <w:szCs w:val="22"/>
          <w:highlight w:val="yellow"/>
          <w:lang w:val="sr-Latn-RS"/>
        </w:rPr>
      </w:pPr>
    </w:p>
    <w:p w:rsidR="00582F55" w:rsidRDefault="001B0A63" w:rsidP="00534AF5">
      <w:pPr>
        <w:widowControl w:val="0"/>
        <w:tabs>
          <w:tab w:val="clear" w:pos="567"/>
          <w:tab w:val="left" w:pos="540"/>
          <w:tab w:val="left" w:pos="569"/>
        </w:tabs>
        <w:spacing w:line="240" w:lineRule="auto"/>
        <w:jc w:val="both"/>
        <w:rPr>
          <w:color w:val="000000"/>
          <w:szCs w:val="22"/>
          <w:lang w:val="sr-Latn-RS"/>
        </w:rPr>
      </w:pPr>
      <w:r>
        <w:rPr>
          <w:color w:val="000000"/>
          <w:szCs w:val="22"/>
          <w:lang w:val="sr-Latn-RS"/>
        </w:rPr>
        <w:t>Evropska agencija za ljekove izuzela je od obaveze podnošenje rezultata ispitivanja referentnog lijeka koji sadrži rosuvastatin u svim podgrupama pedijatrijske populacije u liječenju homozigotne porodične hiperholesterolemije, primarne kombinovane (mješovite) dislipidemije i u prevenciji kardiovaskularnih događaja (vidjeti dio 4.2).</w:t>
      </w:r>
    </w:p>
    <w:p w:rsidR="00582F55" w:rsidRDefault="00582F55" w:rsidP="00534AF5">
      <w:pPr>
        <w:widowControl w:val="0"/>
        <w:tabs>
          <w:tab w:val="clear" w:pos="567"/>
          <w:tab w:val="left" w:pos="540"/>
          <w:tab w:val="left" w:pos="569"/>
        </w:tabs>
        <w:spacing w:line="240" w:lineRule="auto"/>
        <w:jc w:val="both"/>
        <w:rPr>
          <w:b/>
          <w:bCs/>
          <w:szCs w:val="22"/>
          <w:lang w:val="sr-Latn-RS"/>
        </w:rPr>
      </w:pPr>
    </w:p>
    <w:p w:rsidR="00582F55" w:rsidRDefault="001B0A63" w:rsidP="00534AF5">
      <w:pPr>
        <w:widowControl w:val="0"/>
        <w:spacing w:line="240" w:lineRule="auto"/>
        <w:ind w:left="567" w:hanging="567"/>
        <w:jc w:val="both"/>
        <w:outlineLvl w:val="0"/>
        <w:rPr>
          <w:b/>
          <w:szCs w:val="22"/>
          <w:lang w:val="sr-Latn-RS"/>
        </w:rPr>
      </w:pPr>
      <w:r>
        <w:rPr>
          <w:b/>
          <w:szCs w:val="22"/>
          <w:lang w:val="sr-Latn-RS"/>
        </w:rPr>
        <w:t>5.2</w:t>
      </w:r>
      <w:r>
        <w:rPr>
          <w:b/>
          <w:szCs w:val="22"/>
          <w:lang w:val="sr-Latn-RS"/>
        </w:rPr>
        <w:tab/>
      </w:r>
      <w:r>
        <w:rPr>
          <w:b/>
          <w:bCs/>
          <w:szCs w:val="22"/>
          <w:lang w:val="sr-Latn-RS"/>
        </w:rPr>
        <w:t>Farmakokinetički podaci</w:t>
      </w:r>
    </w:p>
    <w:bookmarkEnd w:id="0"/>
    <w:p w:rsidR="00582F55" w:rsidRDefault="00582F55" w:rsidP="00166FF2">
      <w:pPr>
        <w:widowControl w:val="0"/>
        <w:spacing w:line="240" w:lineRule="auto"/>
        <w:rPr>
          <w:szCs w:val="22"/>
          <w:lang w:val="sr-Latn-RS"/>
        </w:rPr>
      </w:pPr>
    </w:p>
    <w:p w:rsidR="00582F55" w:rsidRDefault="001B0A63" w:rsidP="00166FF2">
      <w:pPr>
        <w:widowControl w:val="0"/>
        <w:spacing w:line="240" w:lineRule="auto"/>
        <w:jc w:val="both"/>
        <w:outlineLvl w:val="2"/>
        <w:rPr>
          <w:b/>
          <w:i/>
          <w:iCs/>
          <w:szCs w:val="22"/>
          <w:lang w:val="sr-Latn-RS" w:eastAsia="hr-HR"/>
        </w:rPr>
      </w:pPr>
      <w:r>
        <w:rPr>
          <w:b/>
          <w:i/>
          <w:iCs/>
          <w:szCs w:val="22"/>
          <w:lang w:val="sr-Latn-RS" w:eastAsia="hr-HR"/>
        </w:rPr>
        <w:t>Resorpcija</w:t>
      </w:r>
    </w:p>
    <w:p w:rsidR="00582F55" w:rsidRDefault="001B0A63" w:rsidP="00166FF2">
      <w:pPr>
        <w:widowControl w:val="0"/>
        <w:spacing w:line="240" w:lineRule="auto"/>
        <w:jc w:val="both"/>
        <w:rPr>
          <w:szCs w:val="22"/>
          <w:lang w:val="sr-Latn-RS" w:eastAsia="hr-HR"/>
        </w:rPr>
      </w:pPr>
      <w:r>
        <w:rPr>
          <w:szCs w:val="22"/>
          <w:lang w:val="sr-Latn-RS" w:eastAsia="hr-HR"/>
        </w:rPr>
        <w:t>Maksimalna koncentracija rosuvastatina u plazmi se postiže približno pet sati nakon oralne primjene.Apsolutna biološka raspoloživost je oko 20 %.</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b/>
          <w:i/>
          <w:iCs/>
          <w:szCs w:val="22"/>
          <w:lang w:val="sr-Latn-RS" w:eastAsia="hr-HR"/>
        </w:rPr>
      </w:pPr>
      <w:r>
        <w:rPr>
          <w:b/>
          <w:i/>
          <w:iCs/>
          <w:szCs w:val="22"/>
          <w:lang w:val="sr-Latn-RS" w:eastAsia="hr-HR"/>
        </w:rPr>
        <w:t>Distribucija</w:t>
      </w:r>
    </w:p>
    <w:p w:rsidR="00582F55" w:rsidRDefault="001B0A63" w:rsidP="00166FF2">
      <w:pPr>
        <w:widowControl w:val="0"/>
        <w:spacing w:line="240" w:lineRule="auto"/>
        <w:jc w:val="both"/>
        <w:rPr>
          <w:szCs w:val="22"/>
          <w:lang w:val="sr-Latn-RS" w:eastAsia="hr-HR"/>
        </w:rPr>
      </w:pPr>
      <w:r>
        <w:rPr>
          <w:szCs w:val="22"/>
          <w:lang w:val="sr-Latn-RS" w:eastAsia="hr-HR"/>
        </w:rPr>
        <w:t>Rosuvastatin se u velikoj mjeri preuzima u jetri, koja je primarno mjesto sinteze i klirensa LDL-holesterola. Volumen distribucije rosuvastatina je približno 134 l. Na proteine plazme se veže približno 90 %, uglavnom za albumin.</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b/>
          <w:i/>
          <w:iCs/>
          <w:szCs w:val="22"/>
          <w:lang w:val="sr-Latn-RS" w:eastAsia="hr-HR"/>
        </w:rPr>
      </w:pPr>
      <w:r>
        <w:rPr>
          <w:b/>
          <w:i/>
          <w:iCs/>
          <w:szCs w:val="22"/>
          <w:lang w:val="sr-Latn-RS" w:eastAsia="hr-HR"/>
        </w:rPr>
        <w:t>Metabolizam</w:t>
      </w:r>
    </w:p>
    <w:p w:rsidR="00582F55" w:rsidRDefault="001B0A63" w:rsidP="00166FF2">
      <w:pPr>
        <w:widowControl w:val="0"/>
        <w:spacing w:line="240" w:lineRule="auto"/>
        <w:jc w:val="both"/>
        <w:rPr>
          <w:szCs w:val="22"/>
          <w:lang w:val="sr-Latn-RS" w:eastAsia="hr-HR"/>
        </w:rPr>
      </w:pPr>
      <w:r>
        <w:rPr>
          <w:szCs w:val="22"/>
          <w:lang w:val="sr-Latn-RS" w:eastAsia="hr-HR"/>
        </w:rPr>
        <w:t xml:space="preserve">Rosuvastatin se ograničeno metaboliše (približno 10%). Rezultati </w:t>
      </w:r>
      <w:r>
        <w:rPr>
          <w:i/>
          <w:iCs/>
          <w:szCs w:val="22"/>
          <w:lang w:val="sr-Latn-RS" w:eastAsia="hr-HR"/>
        </w:rPr>
        <w:t>in vitro</w:t>
      </w:r>
      <w:r>
        <w:rPr>
          <w:szCs w:val="22"/>
          <w:lang w:val="sr-Latn-RS" w:eastAsia="hr-HR"/>
        </w:rPr>
        <w:t xml:space="preserve"> studija metabolizma u kojima su korišćeni humani hepatociti pokazuju da je rosuvastatin slab supstrat za metabolizam pomoću citohroma P450. Glavni izoenzim koji učestvuje je CYP2C9, a drugi manje važni su 2C19, 3A4 i 2D6. Glavni metaboliti su N-desmetilni i laktonski metabolit. N-desmetilni metabolit je približno 50 % manje aktivan od rosuvastatina, a laktonski oblik je klinički neaktivan. Rosuvastatin je odgovoran za više od 90 % aktivnosti inhibicije cirkulišuće HMG-CoA reduktaze.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b/>
          <w:i/>
          <w:iCs/>
          <w:szCs w:val="22"/>
          <w:lang w:val="sr-Latn-RS" w:eastAsia="hr-HR"/>
        </w:rPr>
        <w:t>Eliminacija</w:t>
      </w:r>
    </w:p>
    <w:p w:rsidR="00582F55" w:rsidRDefault="001B0A63" w:rsidP="00166FF2">
      <w:pPr>
        <w:widowControl w:val="0"/>
        <w:spacing w:line="240" w:lineRule="auto"/>
        <w:jc w:val="both"/>
        <w:rPr>
          <w:szCs w:val="22"/>
          <w:lang w:val="sr-Latn-RS" w:eastAsia="hr-HR"/>
        </w:rPr>
      </w:pPr>
      <w:r>
        <w:rPr>
          <w:szCs w:val="22"/>
          <w:lang w:val="sr-Latn-RS" w:eastAsia="hr-HR"/>
        </w:rPr>
        <w:t>Fecesom (u obliku resorbovane ili neresorbovane aktivne materije) se u nepromijenjenom obliku izlučuje oko 90 % doze rosuvastatina, a ostatak se izlučuje urinom. Približno 5 % se izlučuje urinom u nepromijenjenom obliku. Poluvrijeme eliminacije u plazmi je približno 19 sati. Povećanjem doze ne produžava se poluvrijeme eliminacije. Geometrijski srednji klirens plazme je oko 50 l/h (koeficijent varijacije 21,7 %). Kao i kod drugih inhibitora HMG-CoA reduktaze, tako i kod preuzimanja rosuvastatina u jetri učestvuje membranski transport OATP-holesterola. Ovaj transport je važan u eliminaciji rosuvastatina iz jetre.</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b/>
          <w:i/>
          <w:iCs/>
          <w:szCs w:val="22"/>
          <w:lang w:val="sr-Latn-RS" w:eastAsia="hr-HR"/>
        </w:rPr>
      </w:pPr>
      <w:r>
        <w:rPr>
          <w:b/>
          <w:i/>
          <w:iCs/>
          <w:szCs w:val="22"/>
          <w:lang w:val="sr-Latn-RS" w:eastAsia="hr-HR"/>
        </w:rPr>
        <w:t>Linearnost</w:t>
      </w:r>
    </w:p>
    <w:p w:rsidR="00582F55" w:rsidRDefault="001B0A63" w:rsidP="00166FF2">
      <w:pPr>
        <w:widowControl w:val="0"/>
        <w:spacing w:line="240" w:lineRule="auto"/>
        <w:jc w:val="both"/>
        <w:rPr>
          <w:szCs w:val="22"/>
          <w:lang w:val="sr-Latn-RS" w:eastAsia="hr-HR"/>
        </w:rPr>
      </w:pPr>
      <w:r>
        <w:rPr>
          <w:szCs w:val="22"/>
          <w:lang w:val="sr-Latn-RS" w:eastAsia="hr-HR"/>
        </w:rPr>
        <w:t>Sistemska izloženost rosuvastatina povećava se srazmjerno veličini doze.</w:t>
      </w:r>
    </w:p>
    <w:p w:rsidR="00582F55" w:rsidRDefault="001B0A63" w:rsidP="00166FF2">
      <w:pPr>
        <w:widowControl w:val="0"/>
        <w:spacing w:line="240" w:lineRule="auto"/>
        <w:jc w:val="both"/>
        <w:rPr>
          <w:szCs w:val="22"/>
          <w:lang w:val="sr-Latn-RS" w:eastAsia="hr-HR"/>
        </w:rPr>
      </w:pPr>
      <w:r>
        <w:rPr>
          <w:szCs w:val="22"/>
          <w:lang w:val="sr-Latn-RS" w:eastAsia="hr-HR"/>
        </w:rPr>
        <w:t>Farmakokinetski parametri se ne mijenjaju nakon višekratnog dnevnog doziranja.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outlineLvl w:val="1"/>
        <w:rPr>
          <w:b/>
          <w:bCs/>
          <w:szCs w:val="22"/>
          <w:lang w:val="sr-Latn-RS" w:eastAsia="hr-HR"/>
        </w:rPr>
      </w:pPr>
      <w:r>
        <w:rPr>
          <w:b/>
          <w:bCs/>
          <w:szCs w:val="22"/>
          <w:lang w:val="sr-Latn-RS" w:eastAsia="hr-HR"/>
        </w:rPr>
        <w:lastRenderedPageBreak/>
        <w:t>Posebne grupe pacijenata</w:t>
      </w:r>
    </w:p>
    <w:p w:rsidR="00582F55" w:rsidRDefault="00582F55" w:rsidP="00166FF2">
      <w:pPr>
        <w:widowControl w:val="0"/>
        <w:spacing w:line="240" w:lineRule="auto"/>
        <w:rPr>
          <w:b/>
          <w:bCs/>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Starost i pol</w:t>
      </w:r>
    </w:p>
    <w:p w:rsidR="00582F55" w:rsidRDefault="001B0A63" w:rsidP="00166FF2">
      <w:pPr>
        <w:widowControl w:val="0"/>
        <w:spacing w:line="240" w:lineRule="auto"/>
        <w:jc w:val="both"/>
        <w:rPr>
          <w:szCs w:val="22"/>
          <w:lang w:val="sr-Latn-RS" w:eastAsia="hr-HR"/>
        </w:rPr>
      </w:pPr>
      <w:r>
        <w:rPr>
          <w:szCs w:val="22"/>
          <w:lang w:val="sr-Latn-RS" w:eastAsia="hr-HR"/>
        </w:rPr>
        <w:t>Starost i pol nemaju klinički značajan uticaj na farmakokinetiku rosuvastatina kod odraslih. Farmakokinetika rosuvastatina kod djece i adolescenata sa heterozigotnom porodičnom hiperholesterolemijom bila je slična ili niža kao kod odraslih pacijenata sa dislipidemijom (vidjeti "Pedijatrijska populacija", u nastavku).</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Rasa</w:t>
      </w:r>
    </w:p>
    <w:p w:rsidR="00582F55" w:rsidRDefault="001B0A63" w:rsidP="00166FF2">
      <w:pPr>
        <w:widowControl w:val="0"/>
        <w:spacing w:line="240" w:lineRule="auto"/>
        <w:jc w:val="both"/>
        <w:rPr>
          <w:szCs w:val="22"/>
          <w:lang w:val="sr-Latn-RS" w:eastAsia="hr-HR"/>
        </w:rPr>
      </w:pPr>
      <w:r>
        <w:rPr>
          <w:szCs w:val="22"/>
          <w:lang w:val="sr-Latn-RS" w:eastAsia="hr-HR"/>
        </w:rPr>
        <w:t>Rezultati farmakokinetičkih studija pokazuju da je srednja vrijednost AUC i i C</w:t>
      </w:r>
      <w:r>
        <w:rPr>
          <w:szCs w:val="22"/>
          <w:vertAlign w:val="subscript"/>
          <w:lang w:val="sr-Latn-RS" w:eastAsia="hr-HR"/>
        </w:rPr>
        <w:t>max</w:t>
      </w:r>
      <w:r>
        <w:rPr>
          <w:szCs w:val="22"/>
          <w:lang w:val="sr-Latn-RS" w:eastAsia="hr-HR"/>
        </w:rPr>
        <w:t xml:space="preserve"> kod pripadnika azijskih naroda (Japanaca, Kineza, Filipinaca, Vijetnamaca, Korejaca) približno dva puta veća nego kod bijelaca. Kod azijsko-indijske populacije dolazi do povećanja srednje vrijednosti AUC i C</w:t>
      </w:r>
      <w:r>
        <w:rPr>
          <w:szCs w:val="22"/>
          <w:vertAlign w:val="subscript"/>
          <w:lang w:val="sr-Latn-RS" w:eastAsia="hr-HR"/>
        </w:rPr>
        <w:t>max</w:t>
      </w:r>
      <w:r>
        <w:rPr>
          <w:szCs w:val="22"/>
          <w:lang w:val="sr-Latn-RS" w:eastAsia="hr-HR"/>
        </w:rPr>
        <w:t xml:space="preserve"> za 1,3 puta. U populacijskoj farmakokinetičkoj analizi nisu pokazale kliničko značajne razlike u farmakokinetičkim svojstvima između bijelaca i crnaca.</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Insuficijencija bubrega</w:t>
      </w:r>
    </w:p>
    <w:p w:rsidR="00582F55" w:rsidRDefault="001B0A63" w:rsidP="00166FF2">
      <w:pPr>
        <w:widowControl w:val="0"/>
        <w:spacing w:line="240" w:lineRule="auto"/>
        <w:jc w:val="both"/>
        <w:rPr>
          <w:szCs w:val="22"/>
          <w:lang w:val="sr-Latn-RS" w:eastAsia="hr-HR"/>
        </w:rPr>
      </w:pPr>
      <w:r>
        <w:rPr>
          <w:szCs w:val="22"/>
          <w:lang w:val="sr-Latn-RS" w:eastAsia="hr-HR"/>
        </w:rPr>
        <w:t>U jednoj studiji koja je obuhvatila pacijente sa različitim stepenima oštećenja bubrežne funkcije, pokazalo se da blago do umjereno oboljenje bubrega ne utiče na plazmatske koncentracije rosuvastatina ili njegovog N-desmetilnog metabolita u plazmi. Kod pacijenata sa teškim oštećenjem funkcije (klirens kreatinina &lt;30 ml/min) plazmatska koncentracija rosuvastatina je tri puta veća nego kod zdravih dobrovoljaca, a N-desmetilnog metabolita 9 puta veća. Koncentracija rosuvastatina u stanju dinamičke ravnoteže bila je kod pacijenata na hemodijalizi približno za 50 % veća nego kod zdravih dobrovoljaca.</w:t>
      </w:r>
    </w:p>
    <w:p w:rsidR="00582F55" w:rsidRDefault="00582F55" w:rsidP="00166FF2">
      <w:pPr>
        <w:widowControl w:val="0"/>
        <w:spacing w:line="240" w:lineRule="auto"/>
        <w:rPr>
          <w:szCs w:val="22"/>
          <w:lang w:val="sr-Latn-RS" w:eastAsia="hr-HR"/>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Insuficijencija jetre</w:t>
      </w:r>
    </w:p>
    <w:p w:rsidR="00582F55" w:rsidRDefault="001B0A63" w:rsidP="00166FF2">
      <w:pPr>
        <w:widowControl w:val="0"/>
        <w:spacing w:line="240" w:lineRule="auto"/>
        <w:jc w:val="both"/>
        <w:rPr>
          <w:szCs w:val="22"/>
          <w:lang w:val="sr-Latn-RS" w:eastAsia="hr-HR"/>
        </w:rPr>
      </w:pPr>
      <w:r>
        <w:rPr>
          <w:szCs w:val="22"/>
          <w:lang w:val="sr-Latn-RS" w:eastAsia="hr-HR"/>
        </w:rPr>
        <w:t>U jednoj studiji u kojoj su učestvovali pacijenti sa različitim stepenima oštećenja funkcije jetre, nije se javila veća izloženost rosuvastatinu kod pacijenata sa Child-Pughovoj skorom 7 i manje. Kod dva pacijenta sa Child-Pughovoj skorom 8 i 9, sistemska izloženost bila je najmanje dva puta veća u odnosu na pacijente sa nižim Child-Pugh skorom. Nema iskustava sa pacijentima sa Child-Pughovoj skorom iznad 9.</w:t>
      </w:r>
    </w:p>
    <w:p w:rsidR="00582F55" w:rsidRDefault="00582F55" w:rsidP="00166FF2">
      <w:pPr>
        <w:widowControl w:val="0"/>
        <w:spacing w:line="240" w:lineRule="auto"/>
        <w:jc w:val="both"/>
        <w:rPr>
          <w:szCs w:val="22"/>
          <w:lang w:val="sr-Latn-RS" w:eastAsia="hr-HR"/>
        </w:rPr>
      </w:pPr>
    </w:p>
    <w:p w:rsidR="00582F55" w:rsidRDefault="001B0A63" w:rsidP="00166FF2">
      <w:pPr>
        <w:widowControl w:val="0"/>
        <w:spacing w:line="240" w:lineRule="auto"/>
        <w:jc w:val="both"/>
        <w:rPr>
          <w:i/>
          <w:iCs/>
          <w:szCs w:val="22"/>
          <w:lang w:val="sr-Latn-RS" w:eastAsia="hr-HR"/>
        </w:rPr>
      </w:pPr>
      <w:r>
        <w:rPr>
          <w:i/>
          <w:iCs/>
          <w:szCs w:val="22"/>
          <w:lang w:val="sr-Latn-RS" w:eastAsia="hr-HR"/>
        </w:rPr>
        <w:t>Genetski polimorfizam</w:t>
      </w:r>
    </w:p>
    <w:p w:rsidR="00582F55" w:rsidRDefault="001B0A63" w:rsidP="00166FF2">
      <w:pPr>
        <w:widowControl w:val="0"/>
        <w:spacing w:line="240" w:lineRule="auto"/>
        <w:jc w:val="both"/>
        <w:rPr>
          <w:szCs w:val="22"/>
          <w:lang w:val="sr-Latn-RS"/>
        </w:rPr>
      </w:pPr>
      <w:r>
        <w:rPr>
          <w:szCs w:val="22"/>
          <w:lang w:val="sr-Latn-RS"/>
        </w:rPr>
        <w:t xml:space="preserve">Raspoloživost inhibitora HMG-CoA reduktaze, uključujući rosuvastatin, zavisi od OATP1B1 BCRP transportnih proteina. Kod pacijenata sa genetskim polimorfizmom SLCO1B1 (OATP1B1) i/ili (ABCG2 BCRP) postoji rizik od povećane raspoloživosti rosuvastatinu. Pojedinačni polimorfizmi SLCO1B1 c.521CC i ABCG2 c.421AA su povezani sa većom raspoloživošću rosuvastatina (AUC) u odnosu na SLCO1B1 c.521TT ili ABCG2 c.421CC genotipove. Ova specifična genotipizacija nije uspostavljena u kliničkoj praksi, ali za pacijente za koje se zna da imaju ove tipove polimorfizma, preporučuje se niža dnevna doza rosuvastatina. </w:t>
      </w:r>
    </w:p>
    <w:p w:rsidR="00582F55" w:rsidRDefault="00582F55" w:rsidP="00166FF2">
      <w:pPr>
        <w:widowControl w:val="0"/>
        <w:spacing w:line="240" w:lineRule="auto"/>
        <w:jc w:val="both"/>
        <w:rPr>
          <w:szCs w:val="22"/>
          <w:lang w:val="sr-Latn-RS"/>
        </w:rPr>
      </w:pPr>
    </w:p>
    <w:p w:rsidR="00582F55" w:rsidRDefault="001B0A63" w:rsidP="00166FF2">
      <w:pPr>
        <w:widowControl w:val="0"/>
        <w:spacing w:line="240" w:lineRule="auto"/>
        <w:jc w:val="both"/>
        <w:outlineLvl w:val="2"/>
        <w:rPr>
          <w:i/>
          <w:iCs/>
          <w:szCs w:val="22"/>
          <w:lang w:val="sr-Latn-RS" w:eastAsia="hr-HR"/>
        </w:rPr>
      </w:pPr>
      <w:r>
        <w:rPr>
          <w:i/>
          <w:iCs/>
          <w:szCs w:val="22"/>
          <w:lang w:val="sr-Latn-RS" w:eastAsia="hr-HR"/>
        </w:rPr>
        <w:t>Pedijatrijska populacija</w:t>
      </w:r>
    </w:p>
    <w:p w:rsidR="00582F55" w:rsidRDefault="001B0A63" w:rsidP="00166FF2">
      <w:pPr>
        <w:widowControl w:val="0"/>
        <w:tabs>
          <w:tab w:val="clear" w:pos="567"/>
          <w:tab w:val="left" w:pos="540"/>
          <w:tab w:val="left" w:pos="569"/>
        </w:tabs>
        <w:spacing w:line="240" w:lineRule="auto"/>
        <w:jc w:val="both"/>
        <w:rPr>
          <w:szCs w:val="22"/>
          <w:lang w:val="sr-Latn-RS" w:eastAsia="hr-HR"/>
        </w:rPr>
      </w:pPr>
      <w:r>
        <w:rPr>
          <w:szCs w:val="22"/>
          <w:lang w:val="sr-Latn-RS" w:eastAsia="hr-HR"/>
        </w:rPr>
        <w:t>Dvije farmakokinetičke studije sa rosuvastatinom (datim u tabletama) kod pedijatrijskih pacijenata sa porodičnom heterozigotnom hiperholesterolemijom, uzrasta 10-17 ili 6-17 godina (ukupno 214 pacijenata) pokazale su da je izloženost lijeku kod pedijatrijskih pacijenata uporediva ili niža u odnosu na odrasle pacijente. Izloženost rosuvastatinu je bila predvidljiva u odnosu na primijenjenu dozu i vrijeme, u dvogodišnjem periodu.</w:t>
      </w:r>
    </w:p>
    <w:p w:rsidR="00582F55" w:rsidRDefault="00582F55" w:rsidP="00166FF2">
      <w:pPr>
        <w:widowControl w:val="0"/>
        <w:spacing w:line="240" w:lineRule="auto"/>
        <w:jc w:val="both"/>
        <w:outlineLvl w:val="0"/>
        <w:rPr>
          <w:b/>
          <w:szCs w:val="22"/>
          <w:lang w:val="sr-Latn-RS"/>
        </w:rPr>
      </w:pPr>
    </w:p>
    <w:p w:rsidR="00582F55" w:rsidRDefault="001B0A63" w:rsidP="00166FF2">
      <w:pPr>
        <w:widowControl w:val="0"/>
        <w:spacing w:line="240" w:lineRule="auto"/>
        <w:ind w:left="567" w:hanging="567"/>
        <w:jc w:val="both"/>
        <w:outlineLvl w:val="0"/>
        <w:rPr>
          <w:szCs w:val="22"/>
          <w:lang w:val="sr-Latn-RS"/>
        </w:rPr>
      </w:pPr>
      <w:r>
        <w:rPr>
          <w:b/>
          <w:szCs w:val="22"/>
          <w:lang w:val="sr-Latn-RS"/>
        </w:rPr>
        <w:t>5.3</w:t>
      </w:r>
      <w:r>
        <w:rPr>
          <w:b/>
          <w:szCs w:val="22"/>
          <w:lang w:val="sr-Latn-RS"/>
        </w:rPr>
        <w:tab/>
      </w:r>
      <w:r>
        <w:rPr>
          <w:b/>
          <w:bCs/>
          <w:szCs w:val="22"/>
          <w:lang w:val="sr-Latn-RS"/>
        </w:rPr>
        <w:t>Pretklinički podaci o bezbjednosti</w:t>
      </w:r>
    </w:p>
    <w:p w:rsidR="00582F55" w:rsidRDefault="001B0A63" w:rsidP="00166FF2">
      <w:pPr>
        <w:widowControl w:val="0"/>
        <w:spacing w:line="240" w:lineRule="auto"/>
        <w:jc w:val="both"/>
        <w:rPr>
          <w:szCs w:val="22"/>
          <w:lang w:val="sr-Latn-RS"/>
        </w:rPr>
      </w:pPr>
      <w:r>
        <w:rPr>
          <w:szCs w:val="22"/>
          <w:lang w:val="sr-Latn-RS"/>
        </w:rPr>
        <w:t xml:space="preserve"> </w:t>
      </w:r>
    </w:p>
    <w:p w:rsidR="00582F55" w:rsidRDefault="001B0A63" w:rsidP="00166FF2">
      <w:pPr>
        <w:widowControl w:val="0"/>
        <w:spacing w:line="240" w:lineRule="auto"/>
        <w:jc w:val="both"/>
        <w:rPr>
          <w:szCs w:val="22"/>
          <w:lang w:val="sr-Latn-RS" w:eastAsia="hr-HR"/>
        </w:rPr>
      </w:pPr>
      <w:r>
        <w:rPr>
          <w:szCs w:val="22"/>
          <w:lang w:val="sr-Latn-RS" w:eastAsia="hr-HR"/>
        </w:rPr>
        <w:t>Pretklinički podaci na osnovu standardnih studija o bezbjednosti, genotoksičnosti i karcinogenog potencijala ne ukazuju na poseban rizik kod ljudi. Specifični testovi uticaja na hERG nisu vršeni. Neželjeni događaji nijesu uočeni u kliničkim studijama, ali su se javili kod životinja pri sličnoj izloženosti kao u kliničkim uslovima, na sljedeći način: u studijama toksičnosti nakon ponovljene doze primijećene su histopatološke promjene na jetri (koje su vjerovatno posljedica farmakološkog djelovanja rosuvastatina) kod miševa, pacova i, u manjoj mjeri sa uticajem na žučnu kesu, kod pasa (ali ne i kod majmuna). Pored toga, primijećena je testikularna toksičnost kod majmuna i pasa pri velikim dozama.</w:t>
      </w:r>
    </w:p>
    <w:p w:rsidR="00582F55" w:rsidRDefault="001B0A63" w:rsidP="00166FF2">
      <w:pPr>
        <w:widowControl w:val="0"/>
        <w:spacing w:line="240" w:lineRule="auto"/>
        <w:jc w:val="both"/>
        <w:rPr>
          <w:szCs w:val="22"/>
          <w:lang w:val="sr-Latn-RS" w:eastAsia="hr-HR"/>
        </w:rPr>
      </w:pPr>
      <w:r>
        <w:rPr>
          <w:szCs w:val="22"/>
          <w:lang w:val="sr-Latn-RS" w:eastAsia="hr-HR"/>
        </w:rPr>
        <w:t xml:space="preserve">Reproduktivna toksičnost je uočena kod pacova, a praćena je smanjenom veličinom i težinom i preživljavanjem mladunaca. Ovi efekti su uočeni pri dozama toksičnim za majku, pri sistemskoj </w:t>
      </w:r>
      <w:r>
        <w:rPr>
          <w:szCs w:val="22"/>
          <w:lang w:val="sr-Latn-RS" w:eastAsia="hr-HR"/>
        </w:rPr>
        <w:lastRenderedPageBreak/>
        <w:t>izloženosti nekoliko puta većoj od terapijske izloženosti.</w:t>
      </w:r>
    </w:p>
    <w:p w:rsidR="00582F55" w:rsidRDefault="00582F55" w:rsidP="00166FF2">
      <w:pPr>
        <w:widowControl w:val="0"/>
        <w:spacing w:line="240" w:lineRule="auto"/>
        <w:rPr>
          <w:szCs w:val="22"/>
          <w:lang w:val="sr-Latn-RS"/>
        </w:rPr>
      </w:pP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ind w:left="567" w:hanging="567"/>
        <w:rPr>
          <w:b/>
          <w:szCs w:val="22"/>
          <w:lang w:val="sr-Latn-RS"/>
        </w:rPr>
      </w:pPr>
      <w:r>
        <w:rPr>
          <w:b/>
          <w:szCs w:val="22"/>
          <w:lang w:val="sr-Latn-RS"/>
        </w:rPr>
        <w:t>6.</w:t>
      </w:r>
      <w:r>
        <w:rPr>
          <w:b/>
          <w:szCs w:val="22"/>
          <w:lang w:val="sr-Latn-RS"/>
        </w:rPr>
        <w:tab/>
        <w:t>FARMACEUTSKI PODACI</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ind w:left="567" w:hanging="567"/>
        <w:outlineLvl w:val="0"/>
        <w:rPr>
          <w:szCs w:val="22"/>
          <w:lang w:val="sr-Latn-RS"/>
        </w:rPr>
      </w:pPr>
      <w:r>
        <w:rPr>
          <w:b/>
          <w:szCs w:val="22"/>
          <w:lang w:val="sr-Latn-RS"/>
        </w:rPr>
        <w:t>6.1</w:t>
      </w:r>
      <w:r>
        <w:rPr>
          <w:b/>
          <w:szCs w:val="22"/>
          <w:lang w:val="sr-Latn-RS"/>
        </w:rPr>
        <w:tab/>
      </w:r>
      <w:r>
        <w:rPr>
          <w:b/>
          <w:bCs/>
          <w:szCs w:val="22"/>
          <w:lang w:val="sr-Latn-RS"/>
        </w:rPr>
        <w:t>Lista pomoćnih supstanci (ekscipijenasa)</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ind w:right="-483"/>
        <w:jc w:val="both"/>
        <w:rPr>
          <w:i/>
          <w:szCs w:val="22"/>
          <w:lang w:val="sr-Latn-RS" w:eastAsia="hr-HR"/>
        </w:rPr>
      </w:pPr>
      <w:r>
        <w:rPr>
          <w:i/>
          <w:szCs w:val="22"/>
          <w:lang w:val="sr-Latn-RS" w:eastAsia="hr-HR"/>
        </w:rPr>
        <w:t>Jezgro:</w:t>
      </w:r>
    </w:p>
    <w:p w:rsidR="00582F55" w:rsidRDefault="001B0A63" w:rsidP="00166FF2">
      <w:pPr>
        <w:widowControl w:val="0"/>
        <w:spacing w:line="240" w:lineRule="auto"/>
        <w:rPr>
          <w:szCs w:val="22"/>
          <w:lang w:val="sr-Latn-RS" w:eastAsia="hr-HR"/>
        </w:rPr>
      </w:pPr>
      <w:r>
        <w:rPr>
          <w:szCs w:val="22"/>
          <w:lang w:val="sr-Latn-RS" w:eastAsia="hr-HR"/>
        </w:rPr>
        <w:t>laktoza</w:t>
      </w:r>
    </w:p>
    <w:p w:rsidR="00582F55" w:rsidRDefault="001B0A63" w:rsidP="00166FF2">
      <w:pPr>
        <w:widowControl w:val="0"/>
        <w:spacing w:line="240" w:lineRule="auto"/>
        <w:rPr>
          <w:szCs w:val="22"/>
          <w:lang w:val="sr-Latn-RS" w:eastAsia="hr-HR"/>
        </w:rPr>
      </w:pPr>
      <w:r>
        <w:rPr>
          <w:szCs w:val="22"/>
          <w:lang w:val="sr-Latn-RS" w:eastAsia="hr-HR"/>
        </w:rPr>
        <w:t>celuloza, mikrokristalna</w:t>
      </w:r>
    </w:p>
    <w:p w:rsidR="00582F55" w:rsidRDefault="001B0A63" w:rsidP="00166FF2">
      <w:pPr>
        <w:widowControl w:val="0"/>
        <w:spacing w:line="240" w:lineRule="auto"/>
        <w:rPr>
          <w:szCs w:val="22"/>
          <w:lang w:val="sr-Latn-RS" w:eastAsia="hr-HR"/>
        </w:rPr>
      </w:pPr>
      <w:r>
        <w:rPr>
          <w:szCs w:val="22"/>
          <w:lang w:val="sr-Latn-RS" w:eastAsia="hr-HR"/>
        </w:rPr>
        <w:t>krospovidon</w:t>
      </w:r>
    </w:p>
    <w:p w:rsidR="00582F55" w:rsidRDefault="001B0A63" w:rsidP="00166FF2">
      <w:pPr>
        <w:widowControl w:val="0"/>
        <w:spacing w:line="240" w:lineRule="auto"/>
        <w:rPr>
          <w:szCs w:val="22"/>
          <w:lang w:val="sr-Latn-RS" w:eastAsia="hr-HR"/>
        </w:rPr>
      </w:pPr>
      <w:r>
        <w:rPr>
          <w:szCs w:val="22"/>
          <w:lang w:val="sr-Latn-RS" w:eastAsia="hr-HR"/>
        </w:rPr>
        <w:t>magnezijum stearat</w:t>
      </w:r>
    </w:p>
    <w:p w:rsidR="00582F55" w:rsidRDefault="001B0A63" w:rsidP="00166FF2">
      <w:pPr>
        <w:widowControl w:val="0"/>
        <w:spacing w:line="240" w:lineRule="auto"/>
        <w:rPr>
          <w:szCs w:val="22"/>
          <w:lang w:val="sr-Latn-RS" w:eastAsia="hr-HR"/>
        </w:rPr>
      </w:pPr>
      <w:r>
        <w:rPr>
          <w:szCs w:val="22"/>
          <w:lang w:val="sr-Latn-RS" w:eastAsia="hr-HR"/>
        </w:rPr>
        <w:t>silicijum dioksid, koloidni, bezvodni</w:t>
      </w:r>
    </w:p>
    <w:p w:rsidR="00582F55" w:rsidRDefault="00582F55" w:rsidP="00166FF2">
      <w:pPr>
        <w:widowControl w:val="0"/>
        <w:spacing w:line="240" w:lineRule="auto"/>
        <w:ind w:right="-483"/>
        <w:jc w:val="both"/>
        <w:rPr>
          <w:szCs w:val="22"/>
          <w:lang w:val="sr-Latn-RS" w:eastAsia="hr-HR"/>
        </w:rPr>
      </w:pPr>
    </w:p>
    <w:p w:rsidR="00582F55" w:rsidRDefault="001B0A63" w:rsidP="00166FF2">
      <w:pPr>
        <w:widowControl w:val="0"/>
        <w:spacing w:line="240" w:lineRule="auto"/>
        <w:ind w:right="-483"/>
        <w:jc w:val="both"/>
        <w:rPr>
          <w:i/>
          <w:szCs w:val="22"/>
          <w:lang w:val="sr-Latn-RS" w:eastAsia="hr-HR"/>
        </w:rPr>
      </w:pPr>
      <w:r>
        <w:rPr>
          <w:i/>
          <w:szCs w:val="22"/>
          <w:lang w:val="sr-Latn-RS" w:eastAsia="hr-HR"/>
        </w:rPr>
        <w:t>Obloga (film) tablete:</w:t>
      </w:r>
    </w:p>
    <w:p w:rsidR="00582F55" w:rsidRDefault="001B0A63" w:rsidP="00166FF2">
      <w:pPr>
        <w:widowControl w:val="0"/>
        <w:spacing w:line="240" w:lineRule="auto"/>
        <w:rPr>
          <w:szCs w:val="22"/>
          <w:lang w:val="sr-Latn-RS" w:eastAsia="hr-HR"/>
        </w:rPr>
      </w:pPr>
      <w:r>
        <w:rPr>
          <w:szCs w:val="22"/>
          <w:lang w:val="sr-Latn-RS" w:eastAsia="hr-HR"/>
        </w:rPr>
        <w:t>laktoza, monohidrat</w:t>
      </w:r>
    </w:p>
    <w:p w:rsidR="00582F55" w:rsidRDefault="001B0A63" w:rsidP="00166FF2">
      <w:pPr>
        <w:widowControl w:val="0"/>
        <w:spacing w:line="240" w:lineRule="auto"/>
        <w:rPr>
          <w:szCs w:val="22"/>
          <w:lang w:val="sr-Latn-RS" w:eastAsia="hr-HR"/>
        </w:rPr>
      </w:pPr>
      <w:r>
        <w:rPr>
          <w:szCs w:val="22"/>
          <w:lang w:val="sr-Latn-RS" w:eastAsia="hr-HR"/>
        </w:rPr>
        <w:t>titan dioksid (171)</w:t>
      </w:r>
    </w:p>
    <w:p w:rsidR="00582F55" w:rsidRDefault="001B0A63" w:rsidP="00166FF2">
      <w:pPr>
        <w:widowControl w:val="0"/>
        <w:spacing w:line="240" w:lineRule="auto"/>
        <w:rPr>
          <w:szCs w:val="22"/>
          <w:lang w:val="sr-Latn-RS" w:eastAsia="hr-HR"/>
        </w:rPr>
      </w:pPr>
      <w:r>
        <w:rPr>
          <w:szCs w:val="22"/>
          <w:lang w:val="sr-Latn-RS" w:eastAsia="hr-HR"/>
        </w:rPr>
        <w:t>makrogol 6000</w:t>
      </w:r>
    </w:p>
    <w:p w:rsidR="00582F55" w:rsidRDefault="001B0A63" w:rsidP="00166FF2">
      <w:pPr>
        <w:widowControl w:val="0"/>
        <w:spacing w:line="240" w:lineRule="auto"/>
        <w:rPr>
          <w:szCs w:val="22"/>
          <w:lang w:val="sr-Latn-RS" w:eastAsia="hr-HR"/>
        </w:rPr>
      </w:pPr>
      <w:r>
        <w:rPr>
          <w:szCs w:val="22"/>
          <w:lang w:val="sr-Latn-RS" w:eastAsia="hr-HR"/>
        </w:rPr>
        <w:t>bazni butilmetakrilat, kopolimer</w:t>
      </w:r>
    </w:p>
    <w:p w:rsidR="00582F55" w:rsidRDefault="00582F55" w:rsidP="00166FF2">
      <w:pPr>
        <w:widowControl w:val="0"/>
        <w:spacing w:line="240" w:lineRule="auto"/>
        <w:rPr>
          <w:szCs w:val="22"/>
          <w:highlight w:val="lightGray"/>
          <w:lang w:val="sr-Latn-RS"/>
        </w:rPr>
      </w:pPr>
    </w:p>
    <w:p w:rsidR="00582F55" w:rsidRDefault="001B0A63" w:rsidP="00166FF2">
      <w:pPr>
        <w:widowControl w:val="0"/>
        <w:spacing w:line="240" w:lineRule="auto"/>
        <w:ind w:left="567" w:hanging="567"/>
        <w:outlineLvl w:val="0"/>
        <w:rPr>
          <w:szCs w:val="22"/>
          <w:lang w:val="sr-Latn-RS"/>
        </w:rPr>
      </w:pPr>
      <w:r>
        <w:rPr>
          <w:b/>
          <w:szCs w:val="22"/>
          <w:lang w:val="sr-Latn-RS"/>
        </w:rPr>
        <w:t>6.2</w:t>
      </w:r>
      <w:r>
        <w:rPr>
          <w:b/>
          <w:szCs w:val="22"/>
          <w:lang w:val="sr-Latn-RS"/>
        </w:rPr>
        <w:tab/>
        <w:t>Inkompatibilnosti</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rPr>
          <w:szCs w:val="22"/>
          <w:lang w:val="sr-Latn-RS"/>
        </w:rPr>
      </w:pPr>
      <w:r>
        <w:rPr>
          <w:szCs w:val="22"/>
          <w:lang w:val="sr-Latn-RS"/>
        </w:rPr>
        <w:t>Nije primjenjivo.</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ind w:left="567" w:hanging="567"/>
        <w:outlineLvl w:val="0"/>
        <w:rPr>
          <w:szCs w:val="22"/>
          <w:lang w:val="sr-Latn-RS"/>
        </w:rPr>
      </w:pPr>
      <w:r>
        <w:rPr>
          <w:b/>
          <w:szCs w:val="22"/>
          <w:lang w:val="sr-Latn-RS"/>
        </w:rPr>
        <w:t>6.3</w:t>
      </w:r>
      <w:r>
        <w:rPr>
          <w:b/>
          <w:szCs w:val="22"/>
          <w:lang w:val="sr-Latn-RS"/>
        </w:rPr>
        <w:tab/>
        <w:t>Rok upotrebe</w:t>
      </w:r>
    </w:p>
    <w:p w:rsidR="00582F55" w:rsidRDefault="00582F55" w:rsidP="00166FF2">
      <w:pPr>
        <w:widowControl w:val="0"/>
        <w:spacing w:line="240" w:lineRule="auto"/>
        <w:rPr>
          <w:szCs w:val="22"/>
          <w:u w:val="single"/>
          <w:lang w:val="sr-Latn-RS"/>
        </w:rPr>
      </w:pPr>
    </w:p>
    <w:p w:rsidR="00582F55" w:rsidRDefault="001B0A63" w:rsidP="00166FF2">
      <w:pPr>
        <w:widowControl w:val="0"/>
        <w:spacing w:line="240" w:lineRule="auto"/>
        <w:rPr>
          <w:szCs w:val="22"/>
          <w:lang w:val="sr-Latn-RS" w:eastAsia="hr-HR"/>
        </w:rPr>
      </w:pPr>
      <w:r>
        <w:rPr>
          <w:szCs w:val="22"/>
          <w:lang w:val="sr-Latn-RS" w:eastAsia="hr-HR"/>
        </w:rPr>
        <w:t>3 godine.</w:t>
      </w:r>
    </w:p>
    <w:p w:rsidR="00582F55" w:rsidRDefault="00582F55" w:rsidP="00166FF2">
      <w:pPr>
        <w:widowControl w:val="0"/>
        <w:spacing w:line="240" w:lineRule="auto"/>
        <w:rPr>
          <w:iCs/>
          <w:szCs w:val="22"/>
          <w:lang w:val="sr-Latn-RS"/>
        </w:rPr>
      </w:pPr>
    </w:p>
    <w:p w:rsidR="00582F55" w:rsidRDefault="001B0A63" w:rsidP="00166FF2">
      <w:pPr>
        <w:widowControl w:val="0"/>
        <w:spacing w:line="240" w:lineRule="auto"/>
        <w:ind w:left="567" w:hanging="567"/>
        <w:outlineLvl w:val="0"/>
        <w:rPr>
          <w:szCs w:val="22"/>
          <w:lang w:val="sr-Latn-RS"/>
        </w:rPr>
      </w:pPr>
      <w:r>
        <w:rPr>
          <w:b/>
          <w:szCs w:val="22"/>
          <w:lang w:val="sr-Latn-RS"/>
        </w:rPr>
        <w:t>6.4</w:t>
      </w:r>
      <w:r>
        <w:rPr>
          <w:b/>
          <w:szCs w:val="22"/>
          <w:lang w:val="sr-Latn-RS"/>
        </w:rPr>
        <w:tab/>
        <w:t>Posebne mjere upozorenja pri čuvanju lijeka</w:t>
      </w:r>
    </w:p>
    <w:p w:rsidR="00582F55" w:rsidRDefault="00582F55" w:rsidP="00166FF2">
      <w:pPr>
        <w:widowControl w:val="0"/>
        <w:spacing w:line="240" w:lineRule="auto"/>
        <w:outlineLvl w:val="0"/>
        <w:rPr>
          <w:szCs w:val="22"/>
          <w:lang w:val="sr-Latn-RS"/>
        </w:rPr>
      </w:pPr>
    </w:p>
    <w:p w:rsidR="00582F55" w:rsidRDefault="001B0A63" w:rsidP="00166FF2">
      <w:pPr>
        <w:widowControl w:val="0"/>
        <w:spacing w:line="240" w:lineRule="auto"/>
        <w:rPr>
          <w:szCs w:val="22"/>
          <w:lang w:val="sr-Latn-RS"/>
        </w:rPr>
      </w:pPr>
      <w:r>
        <w:rPr>
          <w:szCs w:val="22"/>
          <w:lang w:val="sr-Latn-RS"/>
        </w:rPr>
        <w:t>Čuvati u originalnom pakovanju u cilju zaštite od svjetlosti. Čuvati na temperaturi do 30</w:t>
      </w:r>
      <w:r>
        <w:rPr>
          <w:szCs w:val="22"/>
          <w:vertAlign w:val="superscript"/>
          <w:lang w:val="sr-Latn-RS"/>
        </w:rPr>
        <w:t>°</w:t>
      </w:r>
      <w:r>
        <w:rPr>
          <w:szCs w:val="22"/>
          <w:lang w:val="sr-Latn-RS"/>
        </w:rPr>
        <w:t xml:space="preserve">C. </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outlineLvl w:val="0"/>
        <w:rPr>
          <w:b/>
          <w:szCs w:val="22"/>
          <w:lang w:val="sr-Latn-RS"/>
        </w:rPr>
      </w:pPr>
      <w:r>
        <w:rPr>
          <w:b/>
          <w:szCs w:val="22"/>
          <w:lang w:val="sr-Latn-RS"/>
        </w:rPr>
        <w:t>6.5</w:t>
      </w:r>
      <w:r>
        <w:rPr>
          <w:b/>
          <w:szCs w:val="22"/>
          <w:lang w:val="sr-Latn-RS"/>
        </w:rPr>
        <w:tab/>
        <w:t>Vrsta i sadržaj pakovanja</w:t>
      </w:r>
    </w:p>
    <w:p w:rsidR="00582F55" w:rsidRDefault="00582F55" w:rsidP="00166FF2">
      <w:pPr>
        <w:widowControl w:val="0"/>
        <w:spacing w:line="240" w:lineRule="auto"/>
        <w:outlineLvl w:val="0"/>
        <w:rPr>
          <w:b/>
          <w:szCs w:val="22"/>
          <w:lang w:val="sr-Latn-RS"/>
        </w:rPr>
      </w:pPr>
    </w:p>
    <w:p w:rsidR="00582F55" w:rsidRDefault="001B0A63" w:rsidP="00166FF2">
      <w:pPr>
        <w:widowControl w:val="0"/>
        <w:spacing w:line="240" w:lineRule="auto"/>
        <w:rPr>
          <w:szCs w:val="22"/>
          <w:lang w:val="sr-Latn-RS" w:eastAsia="hr-HR"/>
        </w:rPr>
      </w:pPr>
      <w:r>
        <w:rPr>
          <w:szCs w:val="22"/>
          <w:lang w:val="sr-Latn-RS" w:eastAsia="hr-HR"/>
        </w:rPr>
        <w:t>Blister (OPA/Al/PVC-Al): 28 film tableta (2 blistera sa po 14 tableta za jačinu 5 mg, 10 mg i 20 mg i 4 blistera sa po 7 film tableta za jačinu 40 mg), u kartonskoj kutiji.</w:t>
      </w:r>
    </w:p>
    <w:p w:rsidR="00582F55" w:rsidRDefault="00582F55" w:rsidP="00166FF2">
      <w:pPr>
        <w:widowControl w:val="0"/>
        <w:spacing w:line="240" w:lineRule="auto"/>
        <w:rPr>
          <w:szCs w:val="22"/>
          <w:lang w:val="sr-Latn-RS"/>
        </w:rPr>
      </w:pPr>
    </w:p>
    <w:p w:rsidR="00582F55" w:rsidRDefault="001B0A63" w:rsidP="00166FF2">
      <w:pPr>
        <w:widowControl w:val="0"/>
        <w:spacing w:line="240" w:lineRule="auto"/>
        <w:outlineLvl w:val="0"/>
        <w:rPr>
          <w:b/>
          <w:bCs/>
          <w:szCs w:val="22"/>
          <w:lang w:val="sr-Latn-RS"/>
        </w:rPr>
      </w:pPr>
      <w:r>
        <w:rPr>
          <w:b/>
          <w:szCs w:val="22"/>
          <w:lang w:val="sr-Latn-RS"/>
        </w:rPr>
        <w:t>6.6</w:t>
      </w:r>
      <w:r>
        <w:rPr>
          <w:b/>
          <w:szCs w:val="22"/>
          <w:lang w:val="sr-Latn-RS"/>
        </w:rPr>
        <w:tab/>
      </w:r>
      <w:r>
        <w:rPr>
          <w:b/>
          <w:bCs/>
          <w:szCs w:val="22"/>
          <w:lang w:val="sr-Latn-RS"/>
        </w:rPr>
        <w:t>Posebne mjere opreza pri odlaganju materijala koji treba odbaciti nakon primjene</w:t>
      </w:r>
      <w:bookmarkStart w:id="1" w:name="OLE_LINK2"/>
    </w:p>
    <w:bookmarkEnd w:id="1"/>
    <w:p w:rsidR="00582F55" w:rsidRDefault="001B0A63" w:rsidP="00166FF2">
      <w:pPr>
        <w:widowControl w:val="0"/>
        <w:spacing w:line="240" w:lineRule="auto"/>
        <w:outlineLvl w:val="0"/>
        <w:rPr>
          <w:szCs w:val="22"/>
          <w:lang w:val="sr-Latn-RS"/>
        </w:rPr>
      </w:pPr>
      <w:r>
        <w:rPr>
          <w:b/>
          <w:bCs/>
          <w:szCs w:val="22"/>
          <w:lang w:val="sr-Latn-RS"/>
        </w:rPr>
        <w:t>lijeka (i druga uputstva za rukovanje lijekom)</w:t>
      </w:r>
    </w:p>
    <w:p w:rsidR="00582F55" w:rsidRDefault="00582F55" w:rsidP="00166FF2">
      <w:pPr>
        <w:widowControl w:val="0"/>
        <w:spacing w:line="240" w:lineRule="auto"/>
        <w:rPr>
          <w:szCs w:val="22"/>
          <w:highlight w:val="yellow"/>
          <w:lang w:val="sr-Latn-RS"/>
        </w:rPr>
      </w:pPr>
    </w:p>
    <w:p w:rsidR="00582F55" w:rsidRDefault="001B0A63" w:rsidP="00166FF2">
      <w:pPr>
        <w:widowControl w:val="0"/>
        <w:spacing w:line="240" w:lineRule="auto"/>
        <w:rPr>
          <w:szCs w:val="22"/>
          <w:lang w:val="sr-Latn-RS"/>
        </w:rPr>
      </w:pPr>
      <w:r>
        <w:rPr>
          <w:szCs w:val="22"/>
          <w:lang w:val="sr-Latn-RS"/>
        </w:rPr>
        <w:t>Neupotrijebljeni lijek se uništava u skladu sa važećim propisima.</w:t>
      </w:r>
    </w:p>
    <w:p w:rsidR="0049107C" w:rsidRDefault="0049107C" w:rsidP="00166FF2">
      <w:pPr>
        <w:widowControl w:val="0"/>
        <w:spacing w:line="240" w:lineRule="auto"/>
        <w:rPr>
          <w:b/>
          <w:szCs w:val="22"/>
          <w:lang w:val="sr-Latn-RS"/>
        </w:rPr>
      </w:pPr>
    </w:p>
    <w:p w:rsidR="00582F55" w:rsidRDefault="001B0A63" w:rsidP="00166FF2">
      <w:pPr>
        <w:widowControl w:val="0"/>
        <w:spacing w:line="240" w:lineRule="auto"/>
        <w:ind w:left="567" w:hanging="567"/>
        <w:rPr>
          <w:szCs w:val="22"/>
          <w:lang w:val="sr-Latn-RS"/>
        </w:rPr>
      </w:pPr>
      <w:r>
        <w:rPr>
          <w:b/>
          <w:szCs w:val="22"/>
          <w:lang w:val="sr-Latn-RS"/>
        </w:rPr>
        <w:t>7.</w:t>
      </w:r>
      <w:r>
        <w:rPr>
          <w:b/>
          <w:szCs w:val="22"/>
          <w:lang w:val="sr-Latn-RS"/>
        </w:rPr>
        <w:tab/>
      </w:r>
      <w:r>
        <w:rPr>
          <w:b/>
          <w:bCs/>
          <w:szCs w:val="22"/>
          <w:lang w:val="sr-Latn-RS"/>
        </w:rPr>
        <w:t>NOSILAC DOZVOLE</w:t>
      </w:r>
    </w:p>
    <w:p w:rsidR="00582F55" w:rsidRDefault="00582F55" w:rsidP="00166FF2">
      <w:pPr>
        <w:widowControl w:val="0"/>
        <w:spacing w:line="240" w:lineRule="auto"/>
        <w:rPr>
          <w:szCs w:val="22"/>
          <w:lang w:val="sr-Latn-RS"/>
        </w:rPr>
      </w:pPr>
    </w:p>
    <w:p w:rsidR="00582F55" w:rsidRDefault="001B0A63" w:rsidP="00166FF2">
      <w:pPr>
        <w:widowControl w:val="0"/>
        <w:autoSpaceDE w:val="0"/>
        <w:autoSpaceDN w:val="0"/>
        <w:adjustRightInd w:val="0"/>
        <w:spacing w:line="240" w:lineRule="auto"/>
        <w:ind w:left="1985" w:hanging="1985"/>
        <w:jc w:val="both"/>
        <w:rPr>
          <w:szCs w:val="22"/>
          <w:lang w:val="sr-Latn-RS"/>
        </w:rPr>
      </w:pPr>
      <w:r>
        <w:rPr>
          <w:szCs w:val="22"/>
          <w:lang w:val="sr-Latn-RS"/>
        </w:rPr>
        <w:t>D.S.D. „KRKA, d.d., Novo mesto“ - predstavništvo Podgorica</w:t>
      </w:r>
    </w:p>
    <w:p w:rsidR="00582F55" w:rsidRDefault="001B0A63" w:rsidP="00166FF2">
      <w:pPr>
        <w:widowControl w:val="0"/>
        <w:autoSpaceDE w:val="0"/>
        <w:autoSpaceDN w:val="0"/>
        <w:adjustRightInd w:val="0"/>
        <w:spacing w:line="240" w:lineRule="auto"/>
        <w:ind w:right="71"/>
        <w:rPr>
          <w:szCs w:val="22"/>
          <w:lang w:val="sr-Latn-RS"/>
        </w:rPr>
      </w:pPr>
      <w:r>
        <w:rPr>
          <w:szCs w:val="22"/>
          <w:lang w:val="sr-Latn-RS"/>
        </w:rPr>
        <w:t>Svetlane Kane Radević br. 3, 81000 Podgorica, Crna Gora</w:t>
      </w:r>
    </w:p>
    <w:p w:rsidR="00582F55" w:rsidRDefault="00582F55" w:rsidP="00166FF2">
      <w:pPr>
        <w:widowControl w:val="0"/>
        <w:spacing w:line="240" w:lineRule="auto"/>
        <w:rPr>
          <w:szCs w:val="22"/>
          <w:lang w:val="sr-Latn-RS"/>
        </w:rPr>
      </w:pPr>
    </w:p>
    <w:p w:rsidR="00582F55" w:rsidRDefault="00582F55" w:rsidP="00166FF2">
      <w:pPr>
        <w:widowControl w:val="0"/>
        <w:spacing w:line="240" w:lineRule="auto"/>
        <w:rPr>
          <w:szCs w:val="22"/>
          <w:lang w:val="sr-Latn-RS"/>
        </w:rPr>
      </w:pPr>
    </w:p>
    <w:p w:rsidR="00582F55" w:rsidRDefault="001B0A63" w:rsidP="00166FF2">
      <w:pPr>
        <w:widowControl w:val="0"/>
        <w:tabs>
          <w:tab w:val="clear" w:pos="567"/>
          <w:tab w:val="left" w:pos="540"/>
          <w:tab w:val="left" w:pos="569"/>
        </w:tabs>
        <w:spacing w:line="240" w:lineRule="auto"/>
        <w:rPr>
          <w:b/>
          <w:bCs/>
          <w:szCs w:val="22"/>
          <w:lang w:val="sr-Latn-RS"/>
        </w:rPr>
      </w:pPr>
      <w:r>
        <w:rPr>
          <w:b/>
          <w:bCs/>
          <w:szCs w:val="22"/>
          <w:lang w:val="sr-Latn-RS"/>
        </w:rPr>
        <w:t xml:space="preserve">8. </w:t>
      </w:r>
      <w:r>
        <w:rPr>
          <w:b/>
          <w:bCs/>
          <w:szCs w:val="22"/>
          <w:lang w:val="sr-Latn-RS"/>
        </w:rPr>
        <w:tab/>
        <w:t>BROJ DOZVOLE ZA STAVLJANJE LIJEKA U PROMET</w:t>
      </w:r>
    </w:p>
    <w:p w:rsidR="00582F55" w:rsidRDefault="00582F55" w:rsidP="00166FF2">
      <w:pPr>
        <w:widowControl w:val="0"/>
        <w:tabs>
          <w:tab w:val="clear" w:pos="567"/>
          <w:tab w:val="left" w:pos="540"/>
          <w:tab w:val="left" w:pos="569"/>
        </w:tabs>
        <w:spacing w:line="240" w:lineRule="auto"/>
        <w:rPr>
          <w:b/>
          <w:bCs/>
          <w:szCs w:val="22"/>
          <w:lang w:val="sr-Latn-RS"/>
        </w:rPr>
      </w:pPr>
    </w:p>
    <w:p w:rsidR="00582F55" w:rsidRDefault="001B0A63" w:rsidP="00166FF2">
      <w:pPr>
        <w:widowControl w:val="0"/>
        <w:tabs>
          <w:tab w:val="clear" w:pos="567"/>
          <w:tab w:val="left" w:pos="540"/>
          <w:tab w:val="left" w:pos="569"/>
        </w:tabs>
        <w:spacing w:line="240" w:lineRule="auto"/>
        <w:rPr>
          <w:b/>
          <w:bCs/>
          <w:szCs w:val="22"/>
          <w:lang w:val="sr-Latn-RS"/>
        </w:rPr>
      </w:pPr>
      <w:r>
        <w:rPr>
          <w:bCs/>
          <w:szCs w:val="22"/>
          <w:lang w:val="sr-Latn-RS"/>
        </w:rPr>
        <w:t xml:space="preserve">Roswera, film tableta, 5 mg, 28 (2x14) film tableta: </w:t>
      </w:r>
      <w:r>
        <w:rPr>
          <w:rFonts w:eastAsia="TimesNewRoman"/>
          <w:szCs w:val="22"/>
          <w:lang w:val="en-US"/>
        </w:rPr>
        <w:t>2030/24/828 - 4625</w:t>
      </w:r>
    </w:p>
    <w:p w:rsidR="00582F55" w:rsidRDefault="001B0A63" w:rsidP="00166FF2">
      <w:pPr>
        <w:widowControl w:val="0"/>
        <w:tabs>
          <w:tab w:val="clear" w:pos="567"/>
          <w:tab w:val="left" w:pos="540"/>
          <w:tab w:val="left" w:pos="569"/>
        </w:tabs>
        <w:spacing w:line="240" w:lineRule="auto"/>
        <w:rPr>
          <w:bCs/>
          <w:szCs w:val="22"/>
          <w:lang w:val="sr-Latn-RS"/>
        </w:rPr>
      </w:pPr>
      <w:r>
        <w:rPr>
          <w:bCs/>
          <w:szCs w:val="22"/>
          <w:lang w:val="sr-Latn-RS"/>
        </w:rPr>
        <w:t xml:space="preserve">Roswera, film tableta, 10 mg, 28 (2x14) film tableta: </w:t>
      </w:r>
      <w:r>
        <w:rPr>
          <w:rFonts w:eastAsia="TimesNewRoman"/>
          <w:szCs w:val="22"/>
          <w:lang w:val="en-US"/>
        </w:rPr>
        <w:t>2030/24/829 - 4626</w:t>
      </w:r>
    </w:p>
    <w:p w:rsidR="00582F55" w:rsidRDefault="001B0A63" w:rsidP="00166FF2">
      <w:pPr>
        <w:widowControl w:val="0"/>
        <w:tabs>
          <w:tab w:val="clear" w:pos="567"/>
          <w:tab w:val="left" w:pos="540"/>
          <w:tab w:val="left" w:pos="569"/>
        </w:tabs>
        <w:spacing w:line="240" w:lineRule="auto"/>
        <w:rPr>
          <w:bCs/>
          <w:szCs w:val="22"/>
          <w:lang w:val="sr-Latn-RS"/>
        </w:rPr>
      </w:pPr>
      <w:r>
        <w:rPr>
          <w:bCs/>
          <w:szCs w:val="22"/>
          <w:lang w:val="sr-Latn-RS"/>
        </w:rPr>
        <w:t xml:space="preserve">Roswera, film tableta, 20 mg, 28 (2x14) film tableta: </w:t>
      </w:r>
      <w:r>
        <w:rPr>
          <w:rFonts w:eastAsia="TimesNewRoman"/>
          <w:szCs w:val="22"/>
          <w:lang w:val="en-US"/>
        </w:rPr>
        <w:t>2030/24/830 - 4627</w:t>
      </w:r>
    </w:p>
    <w:p w:rsidR="00582F55" w:rsidRDefault="001B0A63" w:rsidP="00166FF2">
      <w:pPr>
        <w:widowControl w:val="0"/>
        <w:tabs>
          <w:tab w:val="clear" w:pos="567"/>
          <w:tab w:val="left" w:pos="540"/>
          <w:tab w:val="left" w:pos="569"/>
        </w:tabs>
        <w:spacing w:line="240" w:lineRule="auto"/>
        <w:rPr>
          <w:bCs/>
          <w:szCs w:val="22"/>
          <w:lang w:val="sr-Latn-RS"/>
        </w:rPr>
      </w:pPr>
      <w:r>
        <w:rPr>
          <w:bCs/>
          <w:szCs w:val="22"/>
          <w:lang w:val="sr-Latn-RS"/>
        </w:rPr>
        <w:t xml:space="preserve">Roswera, film tableta, 40 mg, 28 (4x7) film tableta: </w:t>
      </w:r>
      <w:r>
        <w:rPr>
          <w:rFonts w:eastAsia="TimesNewRoman"/>
          <w:szCs w:val="22"/>
          <w:lang w:val="en-US"/>
        </w:rPr>
        <w:t>2030/24/831 - 4628</w:t>
      </w:r>
    </w:p>
    <w:p w:rsidR="00582F55" w:rsidRDefault="00582F55" w:rsidP="00166FF2">
      <w:pPr>
        <w:widowControl w:val="0"/>
        <w:tabs>
          <w:tab w:val="clear" w:pos="567"/>
          <w:tab w:val="left" w:pos="540"/>
          <w:tab w:val="left" w:pos="569"/>
        </w:tabs>
        <w:spacing w:line="240" w:lineRule="auto"/>
        <w:rPr>
          <w:bCs/>
          <w:szCs w:val="22"/>
          <w:lang w:val="sr-Latn-RS"/>
        </w:rPr>
      </w:pPr>
    </w:p>
    <w:p w:rsidR="00582F55" w:rsidRDefault="00582F55" w:rsidP="00166FF2">
      <w:pPr>
        <w:widowControl w:val="0"/>
        <w:tabs>
          <w:tab w:val="clear" w:pos="567"/>
          <w:tab w:val="left" w:pos="540"/>
          <w:tab w:val="left" w:pos="569"/>
        </w:tabs>
        <w:spacing w:line="240" w:lineRule="auto"/>
        <w:rPr>
          <w:bCs/>
          <w:szCs w:val="22"/>
          <w:lang w:val="sr-Latn-RS"/>
        </w:rPr>
      </w:pPr>
    </w:p>
    <w:p w:rsidR="00582F55" w:rsidRDefault="001B0A63" w:rsidP="00166FF2">
      <w:pPr>
        <w:widowControl w:val="0"/>
        <w:tabs>
          <w:tab w:val="clear" w:pos="567"/>
          <w:tab w:val="left" w:pos="540"/>
          <w:tab w:val="left" w:pos="569"/>
        </w:tabs>
        <w:spacing w:line="240" w:lineRule="auto"/>
        <w:rPr>
          <w:b/>
          <w:bCs/>
          <w:szCs w:val="22"/>
          <w:lang w:val="sr-Latn-RS"/>
        </w:rPr>
      </w:pPr>
      <w:r>
        <w:rPr>
          <w:b/>
          <w:bCs/>
          <w:szCs w:val="22"/>
          <w:lang w:val="sr-Latn-RS"/>
        </w:rPr>
        <w:t xml:space="preserve">9. </w:t>
      </w:r>
      <w:r>
        <w:rPr>
          <w:b/>
          <w:bCs/>
          <w:szCs w:val="22"/>
          <w:lang w:val="sr-Latn-RS"/>
        </w:rPr>
        <w:tab/>
        <w:t xml:space="preserve">DATUM PRVE DOZVOLE/ OBNOVE DOZVOLE ZA STAVLJANJE LIJEKA U </w:t>
      </w:r>
      <w:r>
        <w:rPr>
          <w:b/>
          <w:bCs/>
          <w:szCs w:val="22"/>
          <w:lang w:val="sr-Latn-RS"/>
        </w:rPr>
        <w:lastRenderedPageBreak/>
        <w:t>PROMET</w:t>
      </w:r>
    </w:p>
    <w:p w:rsidR="00582F55" w:rsidRDefault="00582F55" w:rsidP="00166FF2">
      <w:pPr>
        <w:widowControl w:val="0"/>
        <w:tabs>
          <w:tab w:val="clear" w:pos="567"/>
          <w:tab w:val="left" w:pos="540"/>
          <w:tab w:val="left" w:pos="569"/>
        </w:tabs>
        <w:spacing w:line="240" w:lineRule="auto"/>
        <w:rPr>
          <w:b/>
          <w:bCs/>
          <w:szCs w:val="22"/>
          <w:lang w:val="sr-Latn-RS"/>
        </w:rPr>
      </w:pPr>
    </w:p>
    <w:p w:rsidR="00582F55" w:rsidRDefault="00582F55" w:rsidP="00166FF2">
      <w:pPr>
        <w:widowControl w:val="0"/>
        <w:tabs>
          <w:tab w:val="clear" w:pos="567"/>
          <w:tab w:val="left" w:pos="540"/>
          <w:tab w:val="left" w:pos="569"/>
        </w:tabs>
        <w:spacing w:line="240" w:lineRule="auto"/>
        <w:rPr>
          <w:b/>
          <w:bCs/>
          <w:szCs w:val="22"/>
          <w:lang w:val="sr-Latn-RS"/>
        </w:rPr>
      </w:pPr>
    </w:p>
    <w:p w:rsidR="00582F55" w:rsidRDefault="001B0A63" w:rsidP="00166FF2">
      <w:pPr>
        <w:widowControl w:val="0"/>
        <w:spacing w:line="240" w:lineRule="auto"/>
        <w:jc w:val="both"/>
        <w:rPr>
          <w:szCs w:val="22"/>
          <w:lang w:val="sr-Latn-RS"/>
        </w:rPr>
      </w:pPr>
      <w:r>
        <w:rPr>
          <w:color w:val="000000"/>
          <w:spacing w:val="5"/>
          <w:szCs w:val="22"/>
          <w:lang w:val="sr-Latn-RS"/>
        </w:rPr>
        <w:t xml:space="preserve">Datum prve dozvole: </w:t>
      </w:r>
      <w:r>
        <w:rPr>
          <w:bCs/>
          <w:szCs w:val="22"/>
          <w:lang w:val="sr-Latn-RS"/>
        </w:rPr>
        <w:t>12.04.2013. godine</w:t>
      </w:r>
    </w:p>
    <w:p w:rsidR="00582F55" w:rsidRDefault="001B0A63" w:rsidP="00166FF2">
      <w:pPr>
        <w:widowControl w:val="0"/>
        <w:tabs>
          <w:tab w:val="clear" w:pos="567"/>
          <w:tab w:val="left" w:pos="540"/>
          <w:tab w:val="left" w:pos="569"/>
        </w:tabs>
        <w:spacing w:line="240" w:lineRule="auto"/>
        <w:jc w:val="both"/>
        <w:rPr>
          <w:bCs/>
          <w:szCs w:val="22"/>
          <w:lang w:val="sr-Latn-RS"/>
        </w:rPr>
      </w:pPr>
      <w:r>
        <w:rPr>
          <w:bCs/>
          <w:szCs w:val="22"/>
          <w:lang w:val="sr-Latn-RS"/>
        </w:rPr>
        <w:t>Datum posl</w:t>
      </w:r>
      <w:r w:rsidR="00E019AE">
        <w:rPr>
          <w:bCs/>
          <w:szCs w:val="22"/>
          <w:lang w:val="sr-Latn-RS"/>
        </w:rPr>
        <w:t>j</w:t>
      </w:r>
      <w:r>
        <w:rPr>
          <w:bCs/>
          <w:szCs w:val="22"/>
          <w:lang w:val="sr-Latn-RS"/>
        </w:rPr>
        <w:t xml:space="preserve">ednje obnove dozvole: </w:t>
      </w:r>
      <w:r w:rsidRPr="001B0A63">
        <w:rPr>
          <w:rFonts w:eastAsia="TimesNewRoman"/>
          <w:szCs w:val="22"/>
          <w:lang w:val="de-DE"/>
        </w:rPr>
        <w:t xml:space="preserve">19.02.2024. </w:t>
      </w:r>
      <w:r>
        <w:rPr>
          <w:rFonts w:eastAsia="TimesNewRoman"/>
          <w:szCs w:val="22"/>
          <w:lang w:val="sr-Latn-RS"/>
        </w:rPr>
        <w:t>godine</w:t>
      </w:r>
    </w:p>
    <w:p w:rsidR="00582F55" w:rsidRDefault="00582F55" w:rsidP="00166FF2">
      <w:pPr>
        <w:widowControl w:val="0"/>
        <w:tabs>
          <w:tab w:val="clear" w:pos="567"/>
          <w:tab w:val="left" w:pos="540"/>
          <w:tab w:val="left" w:pos="569"/>
        </w:tabs>
        <w:spacing w:line="240" w:lineRule="auto"/>
        <w:rPr>
          <w:b/>
          <w:bCs/>
          <w:szCs w:val="22"/>
          <w:lang w:val="sr-Latn-RS"/>
        </w:rPr>
      </w:pPr>
    </w:p>
    <w:p w:rsidR="00582F55" w:rsidRDefault="00582F55" w:rsidP="00166FF2">
      <w:pPr>
        <w:widowControl w:val="0"/>
        <w:tabs>
          <w:tab w:val="clear" w:pos="567"/>
          <w:tab w:val="left" w:pos="540"/>
          <w:tab w:val="left" w:pos="569"/>
        </w:tabs>
        <w:spacing w:line="240" w:lineRule="auto"/>
        <w:rPr>
          <w:bCs/>
          <w:szCs w:val="22"/>
          <w:lang w:val="sr-Latn-RS"/>
        </w:rPr>
      </w:pPr>
    </w:p>
    <w:p w:rsidR="00582F55" w:rsidRDefault="001B0A63" w:rsidP="00166FF2">
      <w:pPr>
        <w:widowControl w:val="0"/>
        <w:tabs>
          <w:tab w:val="clear" w:pos="567"/>
          <w:tab w:val="left" w:pos="540"/>
          <w:tab w:val="left" w:pos="569"/>
        </w:tabs>
        <w:spacing w:line="240" w:lineRule="auto"/>
        <w:ind w:left="540" w:hanging="540"/>
        <w:rPr>
          <w:b/>
          <w:bCs/>
          <w:szCs w:val="22"/>
          <w:lang w:val="sr-Latn-RS"/>
        </w:rPr>
      </w:pPr>
      <w:r>
        <w:rPr>
          <w:b/>
          <w:bCs/>
          <w:szCs w:val="22"/>
          <w:lang w:val="sr-Latn-RS"/>
        </w:rPr>
        <w:t xml:space="preserve">10. </w:t>
      </w:r>
      <w:r>
        <w:rPr>
          <w:b/>
          <w:bCs/>
          <w:szCs w:val="22"/>
          <w:lang w:val="sr-Latn-RS"/>
        </w:rPr>
        <w:tab/>
        <w:t xml:space="preserve">DATUM  REVIZIJE TEKSTA </w:t>
      </w:r>
    </w:p>
    <w:p w:rsidR="00582F55" w:rsidRDefault="00582F55" w:rsidP="00166FF2">
      <w:pPr>
        <w:widowControl w:val="0"/>
        <w:tabs>
          <w:tab w:val="clear" w:pos="567"/>
          <w:tab w:val="left" w:pos="540"/>
          <w:tab w:val="left" w:pos="569"/>
        </w:tabs>
        <w:spacing w:line="240" w:lineRule="auto"/>
        <w:ind w:left="540" w:hanging="540"/>
        <w:rPr>
          <w:b/>
          <w:bCs/>
          <w:szCs w:val="22"/>
          <w:lang w:val="sr-Latn-RS"/>
        </w:rPr>
      </w:pPr>
    </w:p>
    <w:p w:rsidR="00582F55" w:rsidRDefault="00166FF2" w:rsidP="00166FF2">
      <w:pPr>
        <w:widowControl w:val="0"/>
        <w:spacing w:line="240" w:lineRule="auto"/>
        <w:rPr>
          <w:szCs w:val="22"/>
          <w:lang w:val="sr-Latn-RS"/>
        </w:rPr>
      </w:pPr>
      <w:r>
        <w:rPr>
          <w:szCs w:val="22"/>
          <w:lang w:val="sr-Latn-RS"/>
        </w:rPr>
        <w:t>Novembar</w:t>
      </w:r>
      <w:r w:rsidR="008668CB">
        <w:rPr>
          <w:szCs w:val="22"/>
          <w:lang w:val="sr-Latn-RS"/>
        </w:rPr>
        <w:t>, 2024. godine</w:t>
      </w:r>
    </w:p>
    <w:sectPr w:rsidR="00582F55" w:rsidSect="00166FF2">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09F" w:rsidRDefault="0045709F">
      <w:pPr>
        <w:spacing w:line="240" w:lineRule="auto"/>
      </w:pPr>
      <w:r>
        <w:separator/>
      </w:r>
    </w:p>
  </w:endnote>
  <w:endnote w:type="continuationSeparator" w:id="0">
    <w:p w:rsidR="0045709F" w:rsidRDefault="00457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63" w:rsidRDefault="001B0A63" w:rsidP="00166FF2">
    <w:pPr>
      <w:pStyle w:val="Caption"/>
    </w:pPr>
    <w:r>
      <w:rPr>
        <w:sz w:val="22"/>
        <w:szCs w:val="22"/>
      </w:rPr>
      <w:t xml:space="preserve">                                                                              </w:t>
    </w:r>
    <w:r>
      <w:rPr>
        <w:szCs w:val="22"/>
      </w:rPr>
      <w:fldChar w:fldCharType="begin"/>
    </w:r>
    <w:r>
      <w:rPr>
        <w:sz w:val="22"/>
        <w:szCs w:val="22"/>
      </w:rPr>
      <w:instrText xml:space="preserve"> PAGE   \* MERGEFORMAT </w:instrText>
    </w:r>
    <w:r>
      <w:rPr>
        <w:szCs w:val="22"/>
      </w:rPr>
      <w:fldChar w:fldCharType="separate"/>
    </w:r>
    <w:r w:rsidR="00534AF5">
      <w:rPr>
        <w:noProof/>
        <w:sz w:val="22"/>
        <w:szCs w:val="22"/>
      </w:rPr>
      <w:t>16</w:t>
    </w:r>
    <w:r>
      <w:rPr>
        <w:szCs w:val="22"/>
      </w:rPr>
      <w:fldChar w:fldCharType="end"/>
    </w:r>
    <w:r>
      <w:rPr>
        <w:sz w:val="22"/>
        <w:szCs w:val="22"/>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63" w:rsidRDefault="001B0A63">
    <w:pPr>
      <w:pStyle w:val="Footer"/>
      <w:jc w:val="center"/>
      <w:rPr>
        <w:caps/>
        <w:color w:val="4472C4" w:themeColor="accent1"/>
      </w:rPr>
    </w:pPr>
    <w:r>
      <w:rPr>
        <w:caps/>
        <w:noProof w:val="0"/>
        <w:color w:val="4472C4" w:themeColor="accent1"/>
      </w:rPr>
      <w:fldChar w:fldCharType="begin"/>
    </w:r>
    <w:r>
      <w:rPr>
        <w:caps/>
        <w:color w:val="4472C4" w:themeColor="accent1"/>
      </w:rPr>
      <w:instrText xml:space="preserve"> PAGE   \* MERGEFORMAT </w:instrText>
    </w:r>
    <w:r>
      <w:rPr>
        <w:caps/>
        <w:noProof w:val="0"/>
        <w:color w:val="4472C4" w:themeColor="accent1"/>
      </w:rPr>
      <w:fldChar w:fldCharType="separate"/>
    </w:r>
    <w:r>
      <w:rPr>
        <w:caps/>
        <w:color w:val="4472C4" w:themeColor="accent1"/>
      </w:rPr>
      <w:t>1</w:t>
    </w:r>
    <w:r>
      <w:rPr>
        <w:caps/>
        <w:color w:val="4472C4" w:themeColor="accent1"/>
      </w:rPr>
      <w:fldChar w:fldCharType="end"/>
    </w:r>
  </w:p>
  <w:p w:rsidR="001B0A63" w:rsidRDefault="001B0A63">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09F" w:rsidRDefault="0045709F">
      <w:pPr>
        <w:spacing w:line="240" w:lineRule="auto"/>
      </w:pPr>
      <w:r>
        <w:separator/>
      </w:r>
    </w:p>
  </w:footnote>
  <w:footnote w:type="continuationSeparator" w:id="0">
    <w:p w:rsidR="0045709F" w:rsidRDefault="004570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524E3BE2"/>
    <w:multiLevelType w:val="hybridMultilevel"/>
    <w:tmpl w:val="DDDCEE9A"/>
    <w:lvl w:ilvl="0" w:tplc="C312273E">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4556A45"/>
    <w:multiLevelType w:val="hybridMultilevel"/>
    <w:tmpl w:val="E3247E6E"/>
    <w:lvl w:ilvl="0" w:tplc="EB547BE6">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73A5878"/>
    <w:multiLevelType w:val="hybridMultilevel"/>
    <w:tmpl w:val="AD80B8BE"/>
    <w:lvl w:ilvl="0" w:tplc="EB547BE6">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DAC143B"/>
    <w:multiLevelType w:val="hybridMultilevel"/>
    <w:tmpl w:val="23D85988"/>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9"/>
  </w:num>
  <w:num w:numId="6">
    <w:abstractNumId w:val="14"/>
  </w:num>
  <w:num w:numId="7">
    <w:abstractNumId w:val="6"/>
  </w:num>
  <w:num w:numId="8">
    <w:abstractNumId w:val="8"/>
  </w:num>
  <w:num w:numId="9">
    <w:abstractNumId w:val="24"/>
  </w:num>
  <w:num w:numId="10">
    <w:abstractNumId w:val="1"/>
  </w:num>
  <w:num w:numId="11">
    <w:abstractNumId w:val="21"/>
  </w:num>
  <w:num w:numId="12">
    <w:abstractNumId w:val="7"/>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2"/>
  </w:num>
  <w:num w:numId="17">
    <w:abstractNumId w:val="10"/>
  </w:num>
  <w:num w:numId="18">
    <w:abstractNumId w:val="13"/>
  </w:num>
  <w:num w:numId="19">
    <w:abstractNumId w:val="25"/>
  </w:num>
  <w:num w:numId="20">
    <w:abstractNumId w:val="15"/>
  </w:num>
  <w:num w:numId="21">
    <w:abstractNumId w:val="23"/>
  </w:num>
  <w:num w:numId="22">
    <w:abstractNumId w:val="20"/>
  </w:num>
  <w:num w:numId="23">
    <w:abstractNumId w:val="5"/>
  </w:num>
  <w:num w:numId="24">
    <w:abstractNumId w:val="23"/>
  </w:num>
  <w:num w:numId="25">
    <w:abstractNumId w:val="3"/>
  </w:num>
  <w:num w:numId="26">
    <w:abstractNumId w:val="9"/>
  </w:num>
  <w:num w:numId="27">
    <w:abstractNumId w:val="11"/>
  </w:num>
  <w:num w:numId="28">
    <w:abstractNumId w:val="12"/>
  </w:num>
  <w:num w:numId="29">
    <w:abstractNumId w:val="16"/>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82F55"/>
    <w:rsid w:val="00166FF2"/>
    <w:rsid w:val="001B0A63"/>
    <w:rsid w:val="0045709F"/>
    <w:rsid w:val="0049107C"/>
    <w:rsid w:val="00534AF5"/>
    <w:rsid w:val="00582F55"/>
    <w:rsid w:val="008668CB"/>
    <w:rsid w:val="008B49D6"/>
    <w:rsid w:val="00E019AE"/>
    <w:rsid w:val="00EF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44FC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sz w:val="24"/>
      <w:szCs w:val="24"/>
    </w:rPr>
  </w:style>
  <w:style w:type="character" w:styleId="Emphasis">
    <w:name w:val="Emphasis"/>
    <w:qFormat/>
    <w:rPr>
      <w:i/>
      <w:iCs/>
    </w:rPr>
  </w:style>
  <w:style w:type="character" w:styleId="Strong">
    <w:name w:val="Strong"/>
    <w:qFormat/>
    <w:rPr>
      <w:b/>
      <w:bCs/>
    </w:rPr>
  </w:style>
  <w:style w:type="paragraph" w:styleId="Quote">
    <w:name w:val="Quote"/>
    <w:basedOn w:val="Normal"/>
    <w:next w:val="Normal"/>
    <w:link w:val="QuoteChar"/>
    <w:uiPriority w:val="29"/>
    <w:qFormat/>
    <w:pPr>
      <w:tabs>
        <w:tab w:val="clear" w:pos="567"/>
      </w:tabs>
      <w:spacing w:line="240" w:lineRule="auto"/>
    </w:pPr>
    <w:rPr>
      <w:i/>
      <w:iCs/>
      <w:color w:val="000000"/>
      <w:sz w:val="24"/>
      <w:lang w:val="sl-SI" w:eastAsia="sl-SI"/>
    </w:rPr>
  </w:style>
  <w:style w:type="character" w:customStyle="1" w:styleId="QuoteChar">
    <w:name w:val="Quote Char"/>
    <w:link w:val="Quote"/>
    <w:uiPriority w:val="29"/>
    <w:rPr>
      <w:rFonts w:eastAsia="Times New Roman"/>
      <w:i/>
      <w:iCs/>
      <w:color w:val="000000"/>
      <w:sz w:val="24"/>
      <w:lang w:val="sl-SI" w:eastAsia="sl-SI"/>
    </w:rPr>
  </w:style>
  <w:style w:type="character" w:customStyle="1" w:styleId="UnresolvedMention1">
    <w:name w:val="Unresolved Mention1"/>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Arial" w:eastAsia="Times New Roman" w:hAnsi="Arial"/>
      <w:noProof/>
      <w:sz w:val="16"/>
      <w:lang w:val="en-GB"/>
    </w:rPr>
  </w:style>
  <w:style w:type="paragraph" w:styleId="ListParagraph">
    <w:name w:val="List Paragraph"/>
    <w:basedOn w:val="Normal"/>
    <w:uiPriority w:val="34"/>
    <w:qFormat/>
    <w:rsid w:val="001B0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33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20</Pages>
  <Words>8938</Words>
  <Characters>50949</Characters>
  <Application>Microsoft Office Word</Application>
  <DocSecurity>0</DocSecurity>
  <Lines>424</Lines>
  <Paragraphs>119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Vujović</dc:creator>
  <cp:lastModifiedBy>Tamara Nikezić</cp:lastModifiedBy>
  <cp:revision>23</cp:revision>
  <dcterms:created xsi:type="dcterms:W3CDTF">2024-02-21T11:25:00Z</dcterms:created>
  <dcterms:modified xsi:type="dcterms:W3CDTF">2024-11-26T12:58:00Z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