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822E0" w14:textId="77777777" w:rsidR="00F91C7B" w:rsidRPr="00D06084" w:rsidRDefault="00F91C7B" w:rsidP="00016EF8">
      <w:pPr>
        <w:jc w:val="both"/>
        <w:rPr>
          <w:b/>
          <w:bCs/>
          <w:i/>
          <w:iCs/>
          <w:sz w:val="22"/>
          <w:szCs w:val="22"/>
          <w:u w:val="single"/>
          <w:lang w:val="sr-Latn-ME"/>
        </w:rPr>
      </w:pPr>
    </w:p>
    <w:p w14:paraId="762822E1" w14:textId="77777777" w:rsidR="002510A5" w:rsidRPr="00D06084" w:rsidRDefault="002510A5" w:rsidP="00E5542E">
      <w:pPr>
        <w:jc w:val="center"/>
        <w:rPr>
          <w:b/>
          <w:bCs/>
          <w:iCs/>
          <w:sz w:val="22"/>
          <w:szCs w:val="22"/>
          <w:u w:val="single"/>
          <w:lang w:val="sr-Latn-ME"/>
        </w:rPr>
      </w:pPr>
      <w:r w:rsidRPr="00D06084">
        <w:rPr>
          <w:b/>
          <w:bCs/>
          <w:iCs/>
          <w:sz w:val="22"/>
          <w:szCs w:val="22"/>
          <w:u w:val="single"/>
          <w:lang w:val="sr-Latn-ME"/>
        </w:rPr>
        <w:t>SAŽETAK KARAKTERISTIKA LIJEKA</w:t>
      </w:r>
    </w:p>
    <w:p w14:paraId="762822E2" w14:textId="77777777" w:rsidR="003C17AB" w:rsidRPr="00D06084" w:rsidRDefault="003C17AB" w:rsidP="00016EF8">
      <w:pPr>
        <w:tabs>
          <w:tab w:val="left" w:pos="540"/>
          <w:tab w:val="left" w:pos="569"/>
        </w:tabs>
        <w:jc w:val="both"/>
        <w:rPr>
          <w:noProof/>
          <w:sz w:val="22"/>
          <w:szCs w:val="22"/>
          <w:lang w:val="sr-Latn-ME"/>
        </w:rPr>
      </w:pPr>
    </w:p>
    <w:p w14:paraId="762822E3" w14:textId="77777777" w:rsidR="00C37FD7" w:rsidRPr="00D06084" w:rsidRDefault="00C37FD7" w:rsidP="00016EF8">
      <w:pPr>
        <w:tabs>
          <w:tab w:val="left" w:pos="540"/>
          <w:tab w:val="left" w:pos="569"/>
        </w:tabs>
        <w:jc w:val="both"/>
        <w:rPr>
          <w:bCs/>
          <w:sz w:val="22"/>
          <w:szCs w:val="22"/>
          <w:lang w:val="sr-Latn-ME"/>
        </w:rPr>
      </w:pPr>
    </w:p>
    <w:p w14:paraId="762822E4" w14:textId="77777777" w:rsidR="00411B4B" w:rsidRPr="00D06084" w:rsidRDefault="00411B4B" w:rsidP="00016EF8">
      <w:pPr>
        <w:tabs>
          <w:tab w:val="left" w:pos="540"/>
          <w:tab w:val="left" w:pos="569"/>
        </w:tabs>
        <w:jc w:val="both"/>
        <w:rPr>
          <w:b/>
          <w:bCs/>
          <w:sz w:val="22"/>
          <w:szCs w:val="22"/>
          <w:lang w:val="sr-Latn-ME"/>
        </w:rPr>
      </w:pPr>
      <w:r w:rsidRPr="00D06084">
        <w:rPr>
          <w:b/>
          <w:bCs/>
          <w:sz w:val="22"/>
          <w:szCs w:val="22"/>
          <w:lang w:val="sr-Latn-ME"/>
        </w:rPr>
        <w:t>1.</w:t>
      </w:r>
      <w:r w:rsidR="00F5167F" w:rsidRPr="00D06084">
        <w:rPr>
          <w:b/>
          <w:bCs/>
          <w:sz w:val="22"/>
          <w:szCs w:val="22"/>
          <w:lang w:val="sr-Latn-ME"/>
        </w:rPr>
        <w:tab/>
      </w:r>
      <w:r w:rsidR="002846DB" w:rsidRPr="00D06084">
        <w:rPr>
          <w:b/>
          <w:bCs/>
          <w:sz w:val="22"/>
          <w:szCs w:val="22"/>
          <w:lang w:val="sr-Latn-ME"/>
        </w:rPr>
        <w:t xml:space="preserve">NAZIV </w:t>
      </w:r>
      <w:r w:rsidRPr="00D06084">
        <w:rPr>
          <w:b/>
          <w:bCs/>
          <w:sz w:val="22"/>
          <w:szCs w:val="22"/>
          <w:lang w:val="sr-Latn-ME"/>
        </w:rPr>
        <w:t>LIJEKA</w:t>
      </w:r>
    </w:p>
    <w:p w14:paraId="762822E5" w14:textId="77777777" w:rsidR="00EC2532" w:rsidRPr="00D06084" w:rsidRDefault="00EC2532" w:rsidP="00016EF8">
      <w:pPr>
        <w:jc w:val="both"/>
        <w:rPr>
          <w:sz w:val="22"/>
          <w:szCs w:val="22"/>
          <w:lang w:val="sr-Latn-ME"/>
        </w:rPr>
      </w:pPr>
    </w:p>
    <w:p w14:paraId="762822E6" w14:textId="5E31CB4B" w:rsidR="001B4D09" w:rsidRPr="00D06084" w:rsidRDefault="001B4D09" w:rsidP="00016EF8">
      <w:pPr>
        <w:jc w:val="both"/>
        <w:rPr>
          <w:sz w:val="22"/>
          <w:szCs w:val="22"/>
          <w:lang w:val="sr-Latn-ME"/>
        </w:rPr>
      </w:pPr>
      <w:proofErr w:type="spellStart"/>
      <w:r w:rsidRPr="00D06084">
        <w:rPr>
          <w:sz w:val="22"/>
          <w:szCs w:val="22"/>
          <w:lang w:val="sr-Latn-ME"/>
        </w:rPr>
        <w:t>Smecta</w:t>
      </w:r>
      <w:proofErr w:type="spellEnd"/>
      <w:r w:rsidRPr="00D06084">
        <w:rPr>
          <w:sz w:val="22"/>
          <w:szCs w:val="22"/>
          <w:lang w:val="sr-Latn-ME"/>
        </w:rPr>
        <w:t xml:space="preserve">, </w:t>
      </w:r>
      <w:r w:rsidR="00F22266" w:rsidRPr="00D06084">
        <w:rPr>
          <w:sz w:val="22"/>
          <w:szCs w:val="22"/>
          <w:lang w:val="sr-Latn-ME"/>
        </w:rPr>
        <w:t xml:space="preserve">3 g,  </w:t>
      </w:r>
      <w:r w:rsidRPr="00D06084">
        <w:rPr>
          <w:sz w:val="22"/>
          <w:szCs w:val="22"/>
          <w:lang w:val="sr-Latn-ME"/>
        </w:rPr>
        <w:t xml:space="preserve">prašak za oralnu suspenziju </w:t>
      </w:r>
    </w:p>
    <w:p w14:paraId="762822E7" w14:textId="77777777" w:rsidR="001B4D09" w:rsidRPr="00D06084" w:rsidRDefault="001B4D09" w:rsidP="00016EF8">
      <w:pPr>
        <w:jc w:val="both"/>
        <w:rPr>
          <w:sz w:val="22"/>
          <w:szCs w:val="22"/>
          <w:lang w:val="sr-Latn-ME"/>
        </w:rPr>
      </w:pPr>
    </w:p>
    <w:p w14:paraId="762822E8" w14:textId="77777777" w:rsidR="001B4D09" w:rsidRPr="00D06084" w:rsidRDefault="001B4D09" w:rsidP="00016EF8">
      <w:pPr>
        <w:pStyle w:val="Header"/>
        <w:tabs>
          <w:tab w:val="left" w:pos="284"/>
        </w:tabs>
        <w:jc w:val="both"/>
        <w:rPr>
          <w:sz w:val="22"/>
          <w:szCs w:val="22"/>
          <w:lang w:val="sr-Latn-ME"/>
        </w:rPr>
      </w:pPr>
      <w:r w:rsidRPr="00D06084">
        <w:rPr>
          <w:sz w:val="22"/>
          <w:szCs w:val="22"/>
          <w:lang w:val="sr-Latn-ME"/>
        </w:rPr>
        <w:t xml:space="preserve">INN: </w:t>
      </w:r>
      <w:proofErr w:type="spellStart"/>
      <w:r w:rsidRPr="00D06084">
        <w:rPr>
          <w:sz w:val="22"/>
          <w:szCs w:val="22"/>
          <w:lang w:val="sr-Latn-ME"/>
        </w:rPr>
        <w:t>diosmektit</w:t>
      </w:r>
      <w:proofErr w:type="spellEnd"/>
    </w:p>
    <w:p w14:paraId="762822EA" w14:textId="74BD59CA" w:rsidR="00530BD7" w:rsidRPr="00D06084" w:rsidRDefault="00530BD7" w:rsidP="00016EF8">
      <w:pPr>
        <w:jc w:val="both"/>
        <w:rPr>
          <w:bCs/>
          <w:sz w:val="22"/>
          <w:szCs w:val="22"/>
          <w:lang w:val="sr-Latn-ME"/>
        </w:rPr>
      </w:pPr>
    </w:p>
    <w:p w14:paraId="1F2A9AE3" w14:textId="77777777" w:rsidR="00D936C5" w:rsidRPr="00D06084" w:rsidRDefault="00D936C5" w:rsidP="00016EF8">
      <w:pPr>
        <w:jc w:val="both"/>
        <w:rPr>
          <w:bCs/>
          <w:sz w:val="22"/>
          <w:szCs w:val="22"/>
          <w:lang w:val="sr-Latn-ME"/>
        </w:rPr>
      </w:pPr>
    </w:p>
    <w:p w14:paraId="762822EB" w14:textId="77777777" w:rsidR="00411B4B" w:rsidRPr="00D06084" w:rsidRDefault="00411B4B" w:rsidP="00016EF8">
      <w:pPr>
        <w:tabs>
          <w:tab w:val="left" w:pos="540"/>
          <w:tab w:val="left" w:pos="569"/>
        </w:tabs>
        <w:jc w:val="both"/>
        <w:rPr>
          <w:b/>
          <w:bCs/>
          <w:sz w:val="22"/>
          <w:szCs w:val="22"/>
          <w:lang w:val="sr-Latn-ME"/>
        </w:rPr>
      </w:pPr>
      <w:r w:rsidRPr="00D06084">
        <w:rPr>
          <w:b/>
          <w:bCs/>
          <w:sz w:val="22"/>
          <w:szCs w:val="22"/>
          <w:lang w:val="sr-Latn-ME"/>
        </w:rPr>
        <w:t xml:space="preserve">2. </w:t>
      </w:r>
      <w:r w:rsidR="00F5167F" w:rsidRPr="00D06084">
        <w:rPr>
          <w:b/>
          <w:bCs/>
          <w:sz w:val="22"/>
          <w:szCs w:val="22"/>
          <w:lang w:val="sr-Latn-ME"/>
        </w:rPr>
        <w:tab/>
      </w:r>
      <w:r w:rsidRPr="00D06084">
        <w:rPr>
          <w:b/>
          <w:bCs/>
          <w:sz w:val="22"/>
          <w:szCs w:val="22"/>
          <w:lang w:val="sr-Latn-ME"/>
        </w:rPr>
        <w:t>KVALITATIVNI I KVANTITATIVNI SASTAV</w:t>
      </w:r>
    </w:p>
    <w:p w14:paraId="762822EC" w14:textId="77777777" w:rsidR="001B4D09" w:rsidRPr="00D06084" w:rsidRDefault="001B4D09" w:rsidP="00016EF8">
      <w:pPr>
        <w:jc w:val="both"/>
        <w:rPr>
          <w:sz w:val="22"/>
          <w:szCs w:val="22"/>
          <w:lang w:val="sr-Latn-ME"/>
        </w:rPr>
      </w:pPr>
    </w:p>
    <w:p w14:paraId="762822ED" w14:textId="77777777" w:rsidR="001B4D09" w:rsidRPr="00D06084" w:rsidRDefault="001B4D09" w:rsidP="00016EF8">
      <w:pPr>
        <w:jc w:val="both"/>
        <w:rPr>
          <w:sz w:val="22"/>
          <w:szCs w:val="22"/>
          <w:lang w:val="sr-Latn-ME"/>
        </w:rPr>
      </w:pPr>
      <w:r w:rsidRPr="00D06084">
        <w:rPr>
          <w:sz w:val="22"/>
          <w:szCs w:val="22"/>
          <w:lang w:val="sr-Latn-ME"/>
        </w:rPr>
        <w:t xml:space="preserve">Jedna kesica sadrži 3 g </w:t>
      </w:r>
      <w:proofErr w:type="spellStart"/>
      <w:r w:rsidRPr="00D06084">
        <w:rPr>
          <w:sz w:val="22"/>
          <w:szCs w:val="22"/>
          <w:lang w:val="sr-Latn-ME"/>
        </w:rPr>
        <w:t>diosmektita</w:t>
      </w:r>
      <w:proofErr w:type="spellEnd"/>
      <w:r w:rsidRPr="00D06084">
        <w:rPr>
          <w:sz w:val="22"/>
          <w:szCs w:val="22"/>
          <w:lang w:val="sr-Latn-ME"/>
        </w:rPr>
        <w:t>.</w:t>
      </w:r>
    </w:p>
    <w:p w14:paraId="762822EE" w14:textId="77777777" w:rsidR="001B4D09" w:rsidRPr="00D06084" w:rsidRDefault="001B4D09" w:rsidP="00016EF8">
      <w:pPr>
        <w:tabs>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D06084">
        <w:rPr>
          <w:sz w:val="22"/>
          <w:szCs w:val="22"/>
          <w:lang w:val="sr-Latn-ME"/>
        </w:rPr>
        <w:t>Jedna kesica sadrži ukupno 3,76 g praška.</w:t>
      </w:r>
    </w:p>
    <w:p w14:paraId="762822EF" w14:textId="77777777" w:rsidR="00F22266" w:rsidRPr="00D06084" w:rsidRDefault="00F22266" w:rsidP="00016EF8">
      <w:pPr>
        <w:tabs>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bookmarkStart w:id="0" w:name="_GoBack"/>
      <w:bookmarkEnd w:id="0"/>
    </w:p>
    <w:p w14:paraId="762822F0" w14:textId="07D3B2DE" w:rsidR="001B4D09" w:rsidRPr="00D06084" w:rsidRDefault="00F22266" w:rsidP="00016EF8">
      <w:pPr>
        <w:tabs>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r w:rsidRPr="00D06084">
        <w:rPr>
          <w:sz w:val="22"/>
          <w:szCs w:val="22"/>
          <w:lang w:val="sr-Latn-ME"/>
        </w:rPr>
        <w:t>Pomoćne supstance sa potvrđenim dejstvom</w:t>
      </w:r>
      <w:r w:rsidR="001B4D09" w:rsidRPr="00D06084">
        <w:rPr>
          <w:sz w:val="22"/>
          <w:szCs w:val="22"/>
          <w:lang w:val="sr-Latn-ME"/>
        </w:rPr>
        <w:t xml:space="preserve">: glukoza </w:t>
      </w:r>
      <w:proofErr w:type="spellStart"/>
      <w:r w:rsidR="001B4D09" w:rsidRPr="00D06084">
        <w:rPr>
          <w:sz w:val="22"/>
          <w:szCs w:val="22"/>
          <w:lang w:val="sr-Latn-ME"/>
        </w:rPr>
        <w:t>monohidrat</w:t>
      </w:r>
      <w:proofErr w:type="spellEnd"/>
      <w:r w:rsidR="00016EF8" w:rsidRPr="00D06084">
        <w:rPr>
          <w:sz w:val="22"/>
          <w:szCs w:val="22"/>
          <w:lang w:val="sr-Latn-ME"/>
        </w:rPr>
        <w:t xml:space="preserve">, </w:t>
      </w:r>
      <w:r w:rsidR="001B4D09" w:rsidRPr="00D06084">
        <w:rPr>
          <w:sz w:val="22"/>
          <w:szCs w:val="22"/>
          <w:lang w:val="sr-Latn-ME"/>
        </w:rPr>
        <w:t>saharoza</w:t>
      </w:r>
      <w:r w:rsidR="00016EF8" w:rsidRPr="00D06084">
        <w:rPr>
          <w:sz w:val="22"/>
          <w:szCs w:val="22"/>
          <w:lang w:val="sr-Latn-ME"/>
        </w:rPr>
        <w:t xml:space="preserve"> i etanol</w:t>
      </w:r>
      <w:r w:rsidR="001B4D09" w:rsidRPr="00D06084">
        <w:rPr>
          <w:sz w:val="22"/>
          <w:szCs w:val="22"/>
          <w:lang w:val="sr-Latn-ME"/>
        </w:rPr>
        <w:t>.</w:t>
      </w:r>
    </w:p>
    <w:p w14:paraId="762822F1" w14:textId="77777777" w:rsidR="005A0B2E" w:rsidRPr="00D06084" w:rsidRDefault="005A0B2E" w:rsidP="00016EF8">
      <w:pPr>
        <w:jc w:val="both"/>
        <w:rPr>
          <w:sz w:val="22"/>
          <w:szCs w:val="22"/>
          <w:lang w:val="sr-Latn-ME"/>
        </w:rPr>
      </w:pPr>
    </w:p>
    <w:p w14:paraId="762822F2" w14:textId="77777777" w:rsidR="0003793F" w:rsidRPr="00D06084" w:rsidRDefault="0003793F" w:rsidP="00016EF8">
      <w:pPr>
        <w:jc w:val="both"/>
        <w:rPr>
          <w:sz w:val="22"/>
          <w:szCs w:val="22"/>
          <w:lang w:val="sr-Latn-ME"/>
        </w:rPr>
      </w:pPr>
      <w:r w:rsidRPr="00D06084">
        <w:rPr>
          <w:sz w:val="22"/>
          <w:szCs w:val="22"/>
          <w:lang w:val="sr-Latn-ME"/>
        </w:rPr>
        <w:t xml:space="preserve">Za spisak svih </w:t>
      </w:r>
      <w:proofErr w:type="spellStart"/>
      <w:r w:rsidRPr="00D06084">
        <w:rPr>
          <w:sz w:val="22"/>
          <w:szCs w:val="22"/>
          <w:lang w:val="sr-Latn-ME"/>
        </w:rPr>
        <w:t>ekscipijenasa</w:t>
      </w:r>
      <w:proofErr w:type="spellEnd"/>
      <w:r w:rsidRPr="00D06084">
        <w:rPr>
          <w:sz w:val="22"/>
          <w:szCs w:val="22"/>
          <w:lang w:val="sr-Latn-ME"/>
        </w:rPr>
        <w:t>, pogledati dio 6.1.</w:t>
      </w:r>
    </w:p>
    <w:p w14:paraId="762822F4" w14:textId="1015CD87" w:rsidR="00C37FD7" w:rsidRPr="00D06084" w:rsidRDefault="00C37FD7" w:rsidP="00016EF8">
      <w:pPr>
        <w:jc w:val="both"/>
        <w:rPr>
          <w:sz w:val="22"/>
          <w:szCs w:val="22"/>
          <w:lang w:val="sr-Latn-ME"/>
        </w:rPr>
      </w:pPr>
    </w:p>
    <w:p w14:paraId="2F7A5AC8" w14:textId="77777777" w:rsidR="00D936C5" w:rsidRPr="00D06084" w:rsidRDefault="00D936C5" w:rsidP="00016EF8">
      <w:pPr>
        <w:jc w:val="both"/>
        <w:rPr>
          <w:sz w:val="22"/>
          <w:szCs w:val="22"/>
          <w:lang w:val="sr-Latn-ME"/>
        </w:rPr>
      </w:pPr>
    </w:p>
    <w:p w14:paraId="762822F5" w14:textId="77777777" w:rsidR="00411B4B" w:rsidRPr="00D06084" w:rsidRDefault="00411B4B" w:rsidP="00016EF8">
      <w:pPr>
        <w:tabs>
          <w:tab w:val="left" w:pos="540"/>
          <w:tab w:val="left" w:pos="569"/>
        </w:tabs>
        <w:jc w:val="both"/>
        <w:rPr>
          <w:b/>
          <w:bCs/>
          <w:sz w:val="22"/>
          <w:szCs w:val="22"/>
          <w:lang w:val="sr-Latn-ME"/>
        </w:rPr>
      </w:pPr>
      <w:r w:rsidRPr="00D06084">
        <w:rPr>
          <w:b/>
          <w:bCs/>
          <w:sz w:val="22"/>
          <w:szCs w:val="22"/>
          <w:lang w:val="sr-Latn-ME"/>
        </w:rPr>
        <w:t xml:space="preserve">3. </w:t>
      </w:r>
      <w:r w:rsidR="00F5167F" w:rsidRPr="00D06084">
        <w:rPr>
          <w:b/>
          <w:bCs/>
          <w:sz w:val="22"/>
          <w:szCs w:val="22"/>
          <w:lang w:val="sr-Latn-ME"/>
        </w:rPr>
        <w:tab/>
      </w:r>
      <w:r w:rsidRPr="00D06084">
        <w:rPr>
          <w:b/>
          <w:bCs/>
          <w:sz w:val="22"/>
          <w:szCs w:val="22"/>
          <w:lang w:val="sr-Latn-ME"/>
        </w:rPr>
        <w:t>FARMACEUTSKI OBLIK</w:t>
      </w:r>
      <w:r w:rsidR="009F2D23" w:rsidRPr="00D06084">
        <w:rPr>
          <w:b/>
          <w:bCs/>
          <w:sz w:val="22"/>
          <w:szCs w:val="22"/>
          <w:lang w:val="sr-Latn-ME"/>
        </w:rPr>
        <w:t xml:space="preserve"> </w:t>
      </w:r>
    </w:p>
    <w:p w14:paraId="762822F6" w14:textId="77777777" w:rsidR="00411B4B" w:rsidRPr="00D06084" w:rsidRDefault="00411B4B" w:rsidP="00016EF8">
      <w:pPr>
        <w:jc w:val="both"/>
        <w:rPr>
          <w:bCs/>
          <w:sz w:val="22"/>
          <w:szCs w:val="22"/>
          <w:lang w:val="sr-Latn-ME"/>
        </w:rPr>
      </w:pPr>
    </w:p>
    <w:p w14:paraId="762822F7" w14:textId="77777777" w:rsidR="001B4D09" w:rsidRPr="00D06084" w:rsidRDefault="001B4D09" w:rsidP="00016EF8">
      <w:pPr>
        <w:pStyle w:val="Header"/>
        <w:tabs>
          <w:tab w:val="left" w:pos="284"/>
        </w:tabs>
        <w:jc w:val="both"/>
        <w:rPr>
          <w:sz w:val="22"/>
          <w:szCs w:val="22"/>
          <w:lang w:val="sr-Latn-ME"/>
        </w:rPr>
      </w:pPr>
      <w:r w:rsidRPr="00D06084">
        <w:rPr>
          <w:sz w:val="22"/>
          <w:szCs w:val="22"/>
          <w:lang w:val="sr-Latn-ME"/>
        </w:rPr>
        <w:t xml:space="preserve">Prašak za oralnu suspenziju. </w:t>
      </w:r>
    </w:p>
    <w:p w14:paraId="4738DCD3" w14:textId="77777777" w:rsidR="00D936C5" w:rsidRPr="00D06084" w:rsidRDefault="00D936C5" w:rsidP="006769EC">
      <w:pPr>
        <w:pStyle w:val="Header"/>
        <w:tabs>
          <w:tab w:val="left" w:pos="284"/>
        </w:tabs>
        <w:jc w:val="both"/>
        <w:rPr>
          <w:sz w:val="22"/>
          <w:szCs w:val="22"/>
          <w:lang w:val="sr-Latn-ME"/>
        </w:rPr>
      </w:pPr>
    </w:p>
    <w:p w14:paraId="762822F8" w14:textId="231B37E4" w:rsidR="001B4D09" w:rsidRPr="00D06084" w:rsidRDefault="00016EF8" w:rsidP="006769EC">
      <w:pPr>
        <w:pStyle w:val="Header"/>
        <w:tabs>
          <w:tab w:val="left" w:pos="284"/>
        </w:tabs>
        <w:jc w:val="both"/>
        <w:rPr>
          <w:sz w:val="22"/>
          <w:szCs w:val="22"/>
          <w:lang w:val="sr-Latn-ME"/>
        </w:rPr>
      </w:pPr>
      <w:r w:rsidRPr="00D06084">
        <w:rPr>
          <w:sz w:val="22"/>
          <w:szCs w:val="22"/>
          <w:lang w:val="sr-Latn-ME"/>
        </w:rPr>
        <w:t xml:space="preserve">Prašak </w:t>
      </w:r>
      <w:proofErr w:type="spellStart"/>
      <w:r w:rsidRPr="00D06084">
        <w:rPr>
          <w:sz w:val="22"/>
          <w:szCs w:val="22"/>
          <w:lang w:val="sr-Latn-ME"/>
        </w:rPr>
        <w:t>zelenkastob</w:t>
      </w:r>
      <w:r w:rsidR="00EC1F76" w:rsidRPr="00D06084">
        <w:rPr>
          <w:sz w:val="22"/>
          <w:szCs w:val="22"/>
          <w:lang w:val="sr-Latn-ME"/>
        </w:rPr>
        <w:t>ij</w:t>
      </w:r>
      <w:r w:rsidRPr="00D06084">
        <w:rPr>
          <w:sz w:val="22"/>
          <w:szCs w:val="22"/>
          <w:lang w:val="sr-Latn-ME"/>
        </w:rPr>
        <w:t>ele</w:t>
      </w:r>
      <w:proofErr w:type="spellEnd"/>
      <w:r w:rsidRPr="00D06084">
        <w:rPr>
          <w:sz w:val="22"/>
          <w:szCs w:val="22"/>
          <w:lang w:val="sr-Latn-ME"/>
        </w:rPr>
        <w:t xml:space="preserve"> do </w:t>
      </w:r>
      <w:proofErr w:type="spellStart"/>
      <w:r w:rsidRPr="00D06084">
        <w:rPr>
          <w:sz w:val="22"/>
          <w:szCs w:val="22"/>
          <w:lang w:val="sr-Latn-ME"/>
        </w:rPr>
        <w:t>žutosmeđe</w:t>
      </w:r>
      <w:proofErr w:type="spellEnd"/>
      <w:r w:rsidRPr="00D06084">
        <w:rPr>
          <w:sz w:val="22"/>
          <w:szCs w:val="22"/>
          <w:lang w:val="sr-Latn-ME"/>
        </w:rPr>
        <w:t xml:space="preserve"> boje</w:t>
      </w:r>
      <w:r w:rsidR="001B4D09" w:rsidRPr="00D06084">
        <w:rPr>
          <w:sz w:val="22"/>
          <w:szCs w:val="22"/>
          <w:lang w:val="sr-Latn-ME"/>
        </w:rPr>
        <w:t>, mirisa na pomorandžu</w:t>
      </w:r>
      <w:r w:rsidRPr="00D06084">
        <w:rPr>
          <w:sz w:val="22"/>
          <w:szCs w:val="22"/>
          <w:lang w:val="sr-Latn-ME"/>
        </w:rPr>
        <w:t xml:space="preserve"> prilikom pripreme suspenzije</w:t>
      </w:r>
      <w:r w:rsidR="001B4D09" w:rsidRPr="00D06084">
        <w:rPr>
          <w:sz w:val="22"/>
          <w:szCs w:val="22"/>
          <w:lang w:val="sr-Latn-ME"/>
        </w:rPr>
        <w:t>.</w:t>
      </w:r>
    </w:p>
    <w:p w14:paraId="762822F9" w14:textId="2580DDAA" w:rsidR="00EC2532" w:rsidRPr="00D06084" w:rsidRDefault="00EC2532" w:rsidP="00016EF8">
      <w:pPr>
        <w:jc w:val="both"/>
        <w:rPr>
          <w:bCs/>
          <w:sz w:val="22"/>
          <w:szCs w:val="22"/>
          <w:lang w:val="sr-Latn-ME"/>
        </w:rPr>
      </w:pPr>
    </w:p>
    <w:p w14:paraId="5BC49674" w14:textId="77777777" w:rsidR="00D936C5" w:rsidRPr="00D06084" w:rsidRDefault="00D936C5" w:rsidP="00016EF8">
      <w:pPr>
        <w:jc w:val="both"/>
        <w:rPr>
          <w:bCs/>
          <w:sz w:val="22"/>
          <w:szCs w:val="22"/>
          <w:lang w:val="sr-Latn-ME"/>
        </w:rPr>
      </w:pPr>
    </w:p>
    <w:p w14:paraId="762822FA" w14:textId="77777777" w:rsidR="00411B4B" w:rsidRPr="00D06084" w:rsidRDefault="00411B4B" w:rsidP="0026099B">
      <w:pPr>
        <w:tabs>
          <w:tab w:val="left" w:pos="540"/>
          <w:tab w:val="left" w:pos="569"/>
        </w:tabs>
        <w:jc w:val="both"/>
        <w:rPr>
          <w:b/>
          <w:bCs/>
          <w:sz w:val="22"/>
          <w:szCs w:val="22"/>
          <w:lang w:val="sr-Latn-ME"/>
        </w:rPr>
      </w:pPr>
      <w:r w:rsidRPr="00D06084">
        <w:rPr>
          <w:b/>
          <w:bCs/>
          <w:sz w:val="22"/>
          <w:szCs w:val="22"/>
          <w:lang w:val="sr-Latn-ME"/>
        </w:rPr>
        <w:t xml:space="preserve">4. </w:t>
      </w:r>
      <w:r w:rsidR="00480FB1" w:rsidRPr="00D06084">
        <w:rPr>
          <w:b/>
          <w:bCs/>
          <w:sz w:val="22"/>
          <w:szCs w:val="22"/>
          <w:lang w:val="sr-Latn-ME"/>
        </w:rPr>
        <w:tab/>
      </w:r>
      <w:r w:rsidRPr="00D06084">
        <w:rPr>
          <w:b/>
          <w:bCs/>
          <w:sz w:val="22"/>
          <w:szCs w:val="22"/>
          <w:lang w:val="sr-Latn-ME"/>
        </w:rPr>
        <w:t>KLINIČKI PODACI</w:t>
      </w:r>
    </w:p>
    <w:p w14:paraId="762822FB" w14:textId="77777777" w:rsidR="00CD6F02" w:rsidRPr="00D06084" w:rsidRDefault="00CD6F02" w:rsidP="0026099B">
      <w:pPr>
        <w:tabs>
          <w:tab w:val="left" w:pos="540"/>
          <w:tab w:val="left" w:pos="569"/>
        </w:tabs>
        <w:jc w:val="both"/>
        <w:rPr>
          <w:bCs/>
          <w:sz w:val="22"/>
          <w:szCs w:val="22"/>
          <w:lang w:val="sr-Latn-ME"/>
        </w:rPr>
      </w:pPr>
    </w:p>
    <w:p w14:paraId="762822FC" w14:textId="5D28D838" w:rsidR="00411B4B" w:rsidRPr="00D06084" w:rsidRDefault="00411B4B" w:rsidP="0026099B">
      <w:pPr>
        <w:tabs>
          <w:tab w:val="left" w:pos="540"/>
          <w:tab w:val="left" w:pos="569"/>
        </w:tabs>
        <w:jc w:val="both"/>
        <w:rPr>
          <w:b/>
          <w:bCs/>
          <w:sz w:val="22"/>
          <w:szCs w:val="22"/>
          <w:lang w:val="sr-Latn-ME"/>
        </w:rPr>
      </w:pPr>
      <w:r w:rsidRPr="00D06084">
        <w:rPr>
          <w:b/>
          <w:bCs/>
          <w:sz w:val="22"/>
          <w:szCs w:val="22"/>
          <w:lang w:val="sr-Latn-ME"/>
        </w:rPr>
        <w:t xml:space="preserve">4.1. </w:t>
      </w:r>
      <w:r w:rsidR="00480FB1" w:rsidRPr="00D06084">
        <w:rPr>
          <w:b/>
          <w:bCs/>
          <w:sz w:val="22"/>
          <w:szCs w:val="22"/>
          <w:lang w:val="sr-Latn-ME"/>
        </w:rPr>
        <w:tab/>
      </w:r>
      <w:r w:rsidRPr="00D06084">
        <w:rPr>
          <w:b/>
          <w:bCs/>
          <w:sz w:val="22"/>
          <w:szCs w:val="22"/>
          <w:lang w:val="sr-Latn-ME"/>
        </w:rPr>
        <w:t>Terapijske indikacije</w:t>
      </w:r>
    </w:p>
    <w:p w14:paraId="02FBB19E" w14:textId="77777777" w:rsidR="00E5542E" w:rsidRPr="00D06084" w:rsidRDefault="00E5542E" w:rsidP="0026099B">
      <w:pPr>
        <w:tabs>
          <w:tab w:val="left" w:pos="540"/>
          <w:tab w:val="left" w:pos="569"/>
        </w:tabs>
        <w:jc w:val="both"/>
        <w:rPr>
          <w:b/>
          <w:bCs/>
          <w:sz w:val="22"/>
          <w:szCs w:val="22"/>
          <w:lang w:val="sr-Latn-ME"/>
        </w:rPr>
      </w:pPr>
    </w:p>
    <w:p w14:paraId="762822FD" w14:textId="031B9785" w:rsidR="00016EF8" w:rsidRPr="00D06084" w:rsidRDefault="001B4D09" w:rsidP="0026099B">
      <w:pPr>
        <w:pStyle w:val="Header"/>
        <w:numPr>
          <w:ilvl w:val="0"/>
          <w:numId w:val="12"/>
        </w:numPr>
        <w:tabs>
          <w:tab w:val="clear" w:pos="4320"/>
          <w:tab w:val="clear" w:pos="8640"/>
          <w:tab w:val="left" w:pos="284"/>
        </w:tabs>
        <w:jc w:val="both"/>
        <w:rPr>
          <w:sz w:val="22"/>
          <w:szCs w:val="22"/>
          <w:lang w:val="sr-Latn-ME"/>
        </w:rPr>
      </w:pPr>
      <w:r w:rsidRPr="00D06084">
        <w:rPr>
          <w:sz w:val="22"/>
          <w:szCs w:val="22"/>
          <w:lang w:val="sr-Latn-ME"/>
        </w:rPr>
        <w:t xml:space="preserve">Terapija akutne dijareje kod djece uzrasta iznad 2 godine uz oralnu </w:t>
      </w:r>
      <w:proofErr w:type="spellStart"/>
      <w:r w:rsidRPr="00D06084">
        <w:rPr>
          <w:sz w:val="22"/>
          <w:szCs w:val="22"/>
          <w:lang w:val="sr-Latn-ME"/>
        </w:rPr>
        <w:t>rehidrataciju</w:t>
      </w:r>
      <w:proofErr w:type="spellEnd"/>
      <w:r w:rsidR="00016EF8" w:rsidRPr="00D06084">
        <w:rPr>
          <w:sz w:val="22"/>
          <w:szCs w:val="22"/>
          <w:lang w:val="sr-Latn-ME"/>
        </w:rPr>
        <w:t>, kao</w:t>
      </w:r>
      <w:r w:rsidRPr="00D06084">
        <w:rPr>
          <w:sz w:val="22"/>
          <w:szCs w:val="22"/>
          <w:lang w:val="sr-Latn-ME"/>
        </w:rPr>
        <w:t xml:space="preserve"> i </w:t>
      </w:r>
      <w:r w:rsidR="00016EF8" w:rsidRPr="00D06084">
        <w:rPr>
          <w:sz w:val="22"/>
          <w:szCs w:val="22"/>
          <w:lang w:val="sr-Latn-ME"/>
        </w:rPr>
        <w:t xml:space="preserve">kod </w:t>
      </w:r>
      <w:r w:rsidRPr="00D06084">
        <w:rPr>
          <w:sz w:val="22"/>
          <w:szCs w:val="22"/>
          <w:lang w:val="sr-Latn-ME"/>
        </w:rPr>
        <w:t>odraslih</w:t>
      </w:r>
      <w:r w:rsidR="00F0511D" w:rsidRPr="00D06084">
        <w:rPr>
          <w:sz w:val="22"/>
          <w:szCs w:val="22"/>
          <w:lang w:val="sr-Latn-ME"/>
        </w:rPr>
        <w:t>.</w:t>
      </w:r>
    </w:p>
    <w:p w14:paraId="762822FE" w14:textId="77777777" w:rsidR="001B4D09" w:rsidRPr="00D06084" w:rsidRDefault="001B4D09" w:rsidP="0026099B">
      <w:pPr>
        <w:pStyle w:val="Header"/>
        <w:numPr>
          <w:ilvl w:val="0"/>
          <w:numId w:val="12"/>
        </w:numPr>
        <w:tabs>
          <w:tab w:val="clear" w:pos="4320"/>
          <w:tab w:val="clear" w:pos="8640"/>
          <w:tab w:val="left" w:pos="284"/>
        </w:tabs>
        <w:jc w:val="both"/>
        <w:rPr>
          <w:sz w:val="22"/>
          <w:szCs w:val="22"/>
          <w:lang w:val="sr-Latn-ME"/>
        </w:rPr>
      </w:pPr>
      <w:proofErr w:type="spellStart"/>
      <w:r w:rsidRPr="00D06084">
        <w:rPr>
          <w:sz w:val="22"/>
          <w:szCs w:val="22"/>
          <w:lang w:val="sr-Latn-ME"/>
        </w:rPr>
        <w:t>Simptomatska</w:t>
      </w:r>
      <w:proofErr w:type="spellEnd"/>
      <w:r w:rsidRPr="00D06084">
        <w:rPr>
          <w:sz w:val="22"/>
          <w:szCs w:val="22"/>
          <w:lang w:val="sr-Latn-ME"/>
        </w:rPr>
        <w:t xml:space="preserve"> terapija hronične dijareje kod odraslih.</w:t>
      </w:r>
    </w:p>
    <w:p w14:paraId="762822FF" w14:textId="77777777" w:rsidR="001B4D09" w:rsidRPr="00D06084" w:rsidRDefault="001B4D09" w:rsidP="0026099B">
      <w:pPr>
        <w:pStyle w:val="Header"/>
        <w:numPr>
          <w:ilvl w:val="0"/>
          <w:numId w:val="12"/>
        </w:numPr>
        <w:tabs>
          <w:tab w:val="clear" w:pos="4320"/>
          <w:tab w:val="clear" w:pos="8640"/>
          <w:tab w:val="left" w:pos="284"/>
        </w:tabs>
        <w:jc w:val="both"/>
        <w:rPr>
          <w:sz w:val="22"/>
          <w:szCs w:val="22"/>
          <w:lang w:val="sr-Latn-ME"/>
        </w:rPr>
      </w:pPr>
      <w:proofErr w:type="spellStart"/>
      <w:r w:rsidRPr="00D06084">
        <w:rPr>
          <w:sz w:val="22"/>
          <w:szCs w:val="22"/>
          <w:lang w:val="sr-Latn-ME"/>
        </w:rPr>
        <w:t>Simptomatska</w:t>
      </w:r>
      <w:proofErr w:type="spellEnd"/>
      <w:r w:rsidRPr="00D06084">
        <w:rPr>
          <w:sz w:val="22"/>
          <w:szCs w:val="22"/>
          <w:lang w:val="sr-Latn-ME"/>
        </w:rPr>
        <w:t xml:space="preserve"> terapija bola povezanog sa funkcionalnom bolešću crijeva kod odraslih. </w:t>
      </w:r>
    </w:p>
    <w:p w14:paraId="76282300" w14:textId="77777777" w:rsidR="00411B4B" w:rsidRPr="00D06084" w:rsidRDefault="00411B4B" w:rsidP="0026099B">
      <w:pPr>
        <w:tabs>
          <w:tab w:val="left" w:pos="540"/>
          <w:tab w:val="left" w:pos="569"/>
        </w:tabs>
        <w:jc w:val="both"/>
        <w:rPr>
          <w:bCs/>
          <w:sz w:val="22"/>
          <w:szCs w:val="22"/>
          <w:lang w:val="sr-Latn-ME"/>
        </w:rPr>
      </w:pPr>
    </w:p>
    <w:p w14:paraId="76282301" w14:textId="77777777" w:rsidR="00411B4B" w:rsidRPr="00D06084" w:rsidRDefault="00411B4B" w:rsidP="0026099B">
      <w:pPr>
        <w:tabs>
          <w:tab w:val="left" w:pos="540"/>
          <w:tab w:val="left" w:pos="569"/>
        </w:tabs>
        <w:jc w:val="both"/>
        <w:rPr>
          <w:b/>
          <w:bCs/>
          <w:sz w:val="22"/>
          <w:szCs w:val="22"/>
          <w:lang w:val="sr-Latn-ME"/>
        </w:rPr>
      </w:pPr>
      <w:r w:rsidRPr="00D06084">
        <w:rPr>
          <w:b/>
          <w:bCs/>
          <w:sz w:val="22"/>
          <w:szCs w:val="22"/>
          <w:lang w:val="sr-Latn-ME"/>
        </w:rPr>
        <w:t xml:space="preserve">4.2. </w:t>
      </w:r>
      <w:r w:rsidR="00480FB1" w:rsidRPr="00D06084">
        <w:rPr>
          <w:b/>
          <w:bCs/>
          <w:sz w:val="22"/>
          <w:szCs w:val="22"/>
          <w:lang w:val="sr-Latn-ME"/>
        </w:rPr>
        <w:tab/>
      </w:r>
      <w:r w:rsidRPr="00D06084">
        <w:rPr>
          <w:b/>
          <w:bCs/>
          <w:sz w:val="22"/>
          <w:szCs w:val="22"/>
          <w:lang w:val="sr-Latn-ME"/>
        </w:rPr>
        <w:t>Doziranje i način primjene</w:t>
      </w:r>
    </w:p>
    <w:p w14:paraId="76282302" w14:textId="77777777" w:rsidR="0072020E" w:rsidRPr="00D06084" w:rsidRDefault="0072020E" w:rsidP="0026099B">
      <w:pPr>
        <w:tabs>
          <w:tab w:val="left" w:pos="540"/>
          <w:tab w:val="left" w:pos="569"/>
        </w:tabs>
        <w:jc w:val="both"/>
        <w:rPr>
          <w:bCs/>
          <w:sz w:val="22"/>
          <w:szCs w:val="22"/>
          <w:lang w:val="sr-Latn-ME"/>
        </w:rPr>
      </w:pPr>
    </w:p>
    <w:p w14:paraId="76282303" w14:textId="77777777" w:rsidR="00452E9D" w:rsidRPr="00D06084" w:rsidRDefault="00452E9D" w:rsidP="0026099B">
      <w:pPr>
        <w:tabs>
          <w:tab w:val="left" w:pos="540"/>
          <w:tab w:val="left" w:pos="569"/>
        </w:tabs>
        <w:jc w:val="both"/>
        <w:rPr>
          <w:bCs/>
          <w:sz w:val="22"/>
          <w:szCs w:val="22"/>
          <w:u w:val="single"/>
          <w:lang w:val="sr-Latn-ME"/>
        </w:rPr>
      </w:pPr>
      <w:r w:rsidRPr="00D06084">
        <w:rPr>
          <w:bCs/>
          <w:sz w:val="22"/>
          <w:szCs w:val="22"/>
          <w:u w:val="single"/>
          <w:lang w:val="sr-Latn-ME"/>
        </w:rPr>
        <w:t>Doziranje</w:t>
      </w:r>
    </w:p>
    <w:p w14:paraId="76282304" w14:textId="77777777" w:rsidR="00F22266" w:rsidRPr="00D06084" w:rsidRDefault="00F22266" w:rsidP="0026099B">
      <w:pPr>
        <w:jc w:val="both"/>
        <w:rPr>
          <w:sz w:val="22"/>
          <w:szCs w:val="22"/>
          <w:u w:val="single"/>
          <w:lang w:val="sr-Latn-ME"/>
        </w:rPr>
      </w:pPr>
    </w:p>
    <w:p w14:paraId="76282305" w14:textId="77777777" w:rsidR="001B4D09" w:rsidRPr="00D06084" w:rsidRDefault="001B4D09" w:rsidP="0026099B">
      <w:pPr>
        <w:jc w:val="both"/>
        <w:rPr>
          <w:sz w:val="22"/>
          <w:szCs w:val="22"/>
          <w:u w:val="single"/>
          <w:lang w:val="sr-Latn-ME"/>
        </w:rPr>
      </w:pPr>
      <w:r w:rsidRPr="00D06084">
        <w:rPr>
          <w:sz w:val="22"/>
          <w:szCs w:val="22"/>
          <w:u w:val="single"/>
          <w:lang w:val="sr-Latn-ME"/>
        </w:rPr>
        <w:t>Terapija akutne dijareje</w:t>
      </w:r>
    </w:p>
    <w:p w14:paraId="76282306" w14:textId="77777777" w:rsidR="001B4D09" w:rsidRPr="00D06084" w:rsidRDefault="001B4D09" w:rsidP="0026099B">
      <w:pPr>
        <w:jc w:val="both"/>
        <w:rPr>
          <w:sz w:val="22"/>
          <w:szCs w:val="22"/>
          <w:lang w:val="sr-Latn-ME"/>
        </w:rPr>
      </w:pPr>
      <w:r w:rsidRPr="00D06084">
        <w:rPr>
          <w:i/>
          <w:sz w:val="22"/>
          <w:szCs w:val="22"/>
          <w:lang w:val="sr-Latn-ME"/>
        </w:rPr>
        <w:t>Djeca uzrasta iznad 2 godine:</w:t>
      </w:r>
      <w:r w:rsidRPr="00D06084">
        <w:rPr>
          <w:sz w:val="22"/>
          <w:szCs w:val="22"/>
          <w:lang w:val="sr-Latn-ME"/>
        </w:rPr>
        <w:t xml:space="preserve"> 4 kesice dnevno 3 dana, nakon toga 2 kesice dnevno 4 dana.</w:t>
      </w:r>
    </w:p>
    <w:p w14:paraId="76282307" w14:textId="77777777" w:rsidR="001B4D09" w:rsidRPr="00D06084" w:rsidRDefault="001B4D09" w:rsidP="0026099B">
      <w:pPr>
        <w:jc w:val="both"/>
        <w:rPr>
          <w:sz w:val="22"/>
          <w:szCs w:val="22"/>
          <w:lang w:val="sr-Latn-ME"/>
        </w:rPr>
      </w:pPr>
      <w:r w:rsidRPr="00D06084">
        <w:rPr>
          <w:i/>
          <w:sz w:val="22"/>
          <w:szCs w:val="22"/>
          <w:lang w:val="sr-Latn-ME"/>
        </w:rPr>
        <w:t xml:space="preserve">Odrasli: </w:t>
      </w:r>
      <w:r w:rsidRPr="00D06084">
        <w:rPr>
          <w:sz w:val="22"/>
          <w:szCs w:val="22"/>
          <w:lang w:val="sr-Latn-ME"/>
        </w:rPr>
        <w:t>prosječno se koriste 3 kesice dnevno, 7 dana. U praksi, dnevna doza može biti udvostručena na početku terapije.</w:t>
      </w:r>
    </w:p>
    <w:p w14:paraId="76282308" w14:textId="77777777" w:rsidR="001B4D09" w:rsidRPr="00D06084" w:rsidRDefault="001B4D09" w:rsidP="0026099B">
      <w:pPr>
        <w:ind w:left="1068"/>
        <w:jc w:val="both"/>
        <w:rPr>
          <w:sz w:val="22"/>
          <w:szCs w:val="22"/>
          <w:lang w:val="sr-Latn-ME"/>
        </w:rPr>
      </w:pPr>
    </w:p>
    <w:p w14:paraId="76282309" w14:textId="77777777" w:rsidR="001B4D09" w:rsidRPr="00D06084" w:rsidRDefault="001B4D09" w:rsidP="0026099B">
      <w:pPr>
        <w:jc w:val="both"/>
        <w:rPr>
          <w:sz w:val="22"/>
          <w:szCs w:val="22"/>
          <w:u w:val="single"/>
          <w:lang w:val="sr-Latn-ME"/>
        </w:rPr>
      </w:pPr>
      <w:r w:rsidRPr="00D06084">
        <w:rPr>
          <w:sz w:val="22"/>
          <w:szCs w:val="22"/>
          <w:u w:val="single"/>
          <w:lang w:val="sr-Latn-ME"/>
        </w:rPr>
        <w:t>Ostale indikacije:</w:t>
      </w:r>
    </w:p>
    <w:p w14:paraId="7628230A" w14:textId="77777777" w:rsidR="001B4D09" w:rsidRPr="00D06084" w:rsidRDefault="001B4D09" w:rsidP="0026099B">
      <w:pPr>
        <w:jc w:val="both"/>
        <w:rPr>
          <w:sz w:val="22"/>
          <w:szCs w:val="22"/>
          <w:lang w:val="sr-Latn-ME"/>
        </w:rPr>
      </w:pPr>
    </w:p>
    <w:p w14:paraId="7628230B" w14:textId="48A97F2D" w:rsidR="001B4D09" w:rsidRPr="00D06084" w:rsidRDefault="00016EF8" w:rsidP="0026099B">
      <w:pPr>
        <w:jc w:val="both"/>
        <w:rPr>
          <w:sz w:val="22"/>
          <w:szCs w:val="22"/>
          <w:lang w:val="sr-Latn-ME"/>
        </w:rPr>
      </w:pPr>
      <w:r w:rsidRPr="00D06084">
        <w:rPr>
          <w:sz w:val="22"/>
          <w:szCs w:val="22"/>
          <w:lang w:val="sr-Latn-ME"/>
        </w:rPr>
        <w:t>Odrasli</w:t>
      </w:r>
      <w:r w:rsidR="001B4D09" w:rsidRPr="00D06084">
        <w:rPr>
          <w:sz w:val="22"/>
          <w:szCs w:val="22"/>
          <w:lang w:val="sr-Latn-ME"/>
        </w:rPr>
        <w:t xml:space="preserve">: </w:t>
      </w:r>
      <w:r w:rsidR="00A72F2A" w:rsidRPr="00D06084">
        <w:rPr>
          <w:sz w:val="22"/>
          <w:szCs w:val="22"/>
          <w:lang w:val="sr-Latn-ME"/>
        </w:rPr>
        <w:t>p</w:t>
      </w:r>
      <w:r w:rsidR="001B4D09" w:rsidRPr="00D06084">
        <w:rPr>
          <w:sz w:val="22"/>
          <w:szCs w:val="22"/>
          <w:lang w:val="sr-Latn-ME"/>
        </w:rPr>
        <w:t>rosječno se koriste 3 kesice dnevno.</w:t>
      </w:r>
    </w:p>
    <w:p w14:paraId="7628230C" w14:textId="77777777" w:rsidR="00016EF8" w:rsidRPr="00D06084" w:rsidRDefault="00016EF8" w:rsidP="0026099B">
      <w:pPr>
        <w:jc w:val="both"/>
        <w:rPr>
          <w:sz w:val="22"/>
          <w:szCs w:val="22"/>
          <w:lang w:val="sr-Latn-ME"/>
        </w:rPr>
      </w:pPr>
      <w:bookmarkStart w:id="1" w:name="_Hlk8660128"/>
    </w:p>
    <w:p w14:paraId="7628230D" w14:textId="77777777" w:rsidR="00016EF8" w:rsidRPr="00D06084" w:rsidRDefault="00016EF8" w:rsidP="0026099B">
      <w:pPr>
        <w:jc w:val="both"/>
        <w:rPr>
          <w:sz w:val="22"/>
          <w:szCs w:val="22"/>
          <w:lang w:val="sr-Latn-ME"/>
        </w:rPr>
      </w:pPr>
      <w:r w:rsidRPr="00D06084">
        <w:rPr>
          <w:sz w:val="22"/>
          <w:szCs w:val="22"/>
          <w:lang w:val="sr-Latn-ME"/>
        </w:rPr>
        <w:t>Ukoliko u roku od 3 dana od početka prim</w:t>
      </w:r>
      <w:r w:rsidR="00EC1F76" w:rsidRPr="00D06084">
        <w:rPr>
          <w:sz w:val="22"/>
          <w:szCs w:val="22"/>
          <w:lang w:val="sr-Latn-ME"/>
        </w:rPr>
        <w:t>j</w:t>
      </w:r>
      <w:r w:rsidRPr="00D06084">
        <w:rPr>
          <w:sz w:val="22"/>
          <w:szCs w:val="22"/>
          <w:lang w:val="sr-Latn-ME"/>
        </w:rPr>
        <w:t>ene l</w:t>
      </w:r>
      <w:r w:rsidR="00EC1F76" w:rsidRPr="00D06084">
        <w:rPr>
          <w:sz w:val="22"/>
          <w:szCs w:val="22"/>
          <w:lang w:val="sr-Latn-ME"/>
        </w:rPr>
        <w:t>ij</w:t>
      </w:r>
      <w:r w:rsidRPr="00D06084">
        <w:rPr>
          <w:sz w:val="22"/>
          <w:szCs w:val="22"/>
          <w:lang w:val="sr-Latn-ME"/>
        </w:rPr>
        <w:t>eka ne dođe do povlačenja simptoma ili se simptomi pogoršaju, pacijent treba da se obrati svom l</w:t>
      </w:r>
      <w:r w:rsidR="00EC1F76" w:rsidRPr="00D06084">
        <w:rPr>
          <w:sz w:val="22"/>
          <w:szCs w:val="22"/>
          <w:lang w:val="sr-Latn-ME"/>
        </w:rPr>
        <w:t>j</w:t>
      </w:r>
      <w:r w:rsidRPr="00D06084">
        <w:rPr>
          <w:sz w:val="22"/>
          <w:szCs w:val="22"/>
          <w:lang w:val="sr-Latn-ME"/>
        </w:rPr>
        <w:t>ekaru.</w:t>
      </w:r>
      <w:bookmarkEnd w:id="1"/>
    </w:p>
    <w:p w14:paraId="7628230E" w14:textId="77777777" w:rsidR="001B4D09" w:rsidRPr="00D06084" w:rsidRDefault="001B4D09" w:rsidP="0026099B">
      <w:pPr>
        <w:jc w:val="both"/>
        <w:rPr>
          <w:sz w:val="22"/>
          <w:szCs w:val="22"/>
          <w:lang w:val="sr-Latn-ME"/>
        </w:rPr>
      </w:pPr>
    </w:p>
    <w:p w14:paraId="7628230F" w14:textId="0CD9A2A3" w:rsidR="001B4D09" w:rsidRPr="00D06084" w:rsidRDefault="001B4D09" w:rsidP="0026099B">
      <w:pPr>
        <w:tabs>
          <w:tab w:val="left" w:pos="540"/>
          <w:tab w:val="left" w:pos="569"/>
        </w:tabs>
        <w:jc w:val="both"/>
        <w:rPr>
          <w:bCs/>
          <w:sz w:val="22"/>
          <w:szCs w:val="22"/>
          <w:u w:val="single"/>
          <w:lang w:val="sr-Latn-ME"/>
        </w:rPr>
      </w:pPr>
      <w:r w:rsidRPr="00D06084">
        <w:rPr>
          <w:bCs/>
          <w:sz w:val="22"/>
          <w:szCs w:val="22"/>
          <w:u w:val="single"/>
          <w:lang w:val="sr-Latn-ME"/>
        </w:rPr>
        <w:t>Način primjene</w:t>
      </w:r>
    </w:p>
    <w:p w14:paraId="14410F73" w14:textId="77777777" w:rsidR="00E5542E" w:rsidRPr="00D06084" w:rsidRDefault="00E5542E" w:rsidP="0026099B">
      <w:pPr>
        <w:tabs>
          <w:tab w:val="left" w:pos="540"/>
          <w:tab w:val="left" w:pos="569"/>
        </w:tabs>
        <w:jc w:val="both"/>
        <w:rPr>
          <w:bCs/>
          <w:sz w:val="22"/>
          <w:szCs w:val="22"/>
          <w:u w:val="single"/>
          <w:lang w:val="sr-Latn-ME"/>
        </w:rPr>
      </w:pPr>
    </w:p>
    <w:p w14:paraId="76282310" w14:textId="2A3D63F9" w:rsidR="001B4D09" w:rsidRPr="00D06084" w:rsidRDefault="001B4D09" w:rsidP="0026099B">
      <w:pPr>
        <w:jc w:val="both"/>
        <w:rPr>
          <w:sz w:val="22"/>
          <w:szCs w:val="22"/>
          <w:lang w:val="sr-Latn-ME"/>
        </w:rPr>
      </w:pPr>
      <w:r w:rsidRPr="00D06084">
        <w:rPr>
          <w:sz w:val="22"/>
          <w:szCs w:val="22"/>
          <w:lang w:val="sr-Latn-ME"/>
        </w:rPr>
        <w:t>Oralna upotreba</w:t>
      </w:r>
      <w:r w:rsidR="00F0511D" w:rsidRPr="00D06084">
        <w:rPr>
          <w:sz w:val="22"/>
          <w:szCs w:val="22"/>
          <w:lang w:val="sr-Latn-ME"/>
        </w:rPr>
        <w:t>.</w:t>
      </w:r>
    </w:p>
    <w:p w14:paraId="76282311" w14:textId="77777777" w:rsidR="001B4D09" w:rsidRPr="00D06084" w:rsidRDefault="001B4D09" w:rsidP="0026099B">
      <w:pPr>
        <w:jc w:val="both"/>
        <w:rPr>
          <w:sz w:val="22"/>
          <w:szCs w:val="22"/>
          <w:lang w:val="sr-Latn-ME"/>
        </w:rPr>
      </w:pPr>
      <w:r w:rsidRPr="00D06084">
        <w:rPr>
          <w:sz w:val="22"/>
          <w:szCs w:val="22"/>
          <w:lang w:val="sr-Latn-ME"/>
        </w:rPr>
        <w:t xml:space="preserve">Sadržaj kesice se mora </w:t>
      </w:r>
      <w:proofErr w:type="spellStart"/>
      <w:r w:rsidRPr="00D06084">
        <w:rPr>
          <w:sz w:val="22"/>
          <w:szCs w:val="22"/>
          <w:lang w:val="sr-Latn-ME"/>
        </w:rPr>
        <w:t>rekonstituisati</w:t>
      </w:r>
      <w:proofErr w:type="spellEnd"/>
      <w:r w:rsidRPr="00D06084">
        <w:rPr>
          <w:sz w:val="22"/>
          <w:szCs w:val="22"/>
          <w:lang w:val="sr-Latn-ME"/>
        </w:rPr>
        <w:t xml:space="preserve"> neposredno prije primjene.</w:t>
      </w:r>
    </w:p>
    <w:p w14:paraId="76282313" w14:textId="77777777" w:rsidR="001B4D09" w:rsidRPr="00D06084" w:rsidRDefault="001B4D09" w:rsidP="0026099B">
      <w:pPr>
        <w:jc w:val="both"/>
        <w:rPr>
          <w:sz w:val="22"/>
          <w:szCs w:val="22"/>
          <w:lang w:val="sr-Latn-ME"/>
        </w:rPr>
      </w:pPr>
      <w:r w:rsidRPr="00D06084">
        <w:rPr>
          <w:sz w:val="22"/>
          <w:szCs w:val="22"/>
          <w:lang w:val="sr-Latn-ME"/>
        </w:rPr>
        <w:lastRenderedPageBreak/>
        <w:t>Djeca:</w:t>
      </w:r>
    </w:p>
    <w:p w14:paraId="76282314" w14:textId="38F887AF" w:rsidR="001B4D09" w:rsidRPr="00D06084" w:rsidRDefault="001B4D09" w:rsidP="0026099B">
      <w:pPr>
        <w:jc w:val="both"/>
        <w:rPr>
          <w:sz w:val="22"/>
          <w:szCs w:val="22"/>
          <w:lang w:val="sr-Latn-ME"/>
        </w:rPr>
      </w:pPr>
      <w:r w:rsidRPr="00D06084">
        <w:rPr>
          <w:sz w:val="22"/>
          <w:szCs w:val="22"/>
          <w:lang w:val="sr-Latn-ME"/>
        </w:rPr>
        <w:t xml:space="preserve">Sadržaj kesice </w:t>
      </w:r>
      <w:proofErr w:type="spellStart"/>
      <w:r w:rsidRPr="00D06084">
        <w:rPr>
          <w:sz w:val="22"/>
          <w:szCs w:val="22"/>
          <w:lang w:val="sr-Latn-ME"/>
        </w:rPr>
        <w:t>rekonstituisati</w:t>
      </w:r>
      <w:proofErr w:type="spellEnd"/>
      <w:r w:rsidRPr="00D06084">
        <w:rPr>
          <w:sz w:val="22"/>
          <w:szCs w:val="22"/>
          <w:lang w:val="sr-Latn-ME"/>
        </w:rPr>
        <w:t xml:space="preserve"> u bočici sa 50 m</w:t>
      </w:r>
      <w:r w:rsidR="00F0511D" w:rsidRPr="00D06084">
        <w:rPr>
          <w:sz w:val="22"/>
          <w:szCs w:val="22"/>
          <w:lang w:val="sr-Latn-ME"/>
        </w:rPr>
        <w:t>l</w:t>
      </w:r>
      <w:r w:rsidRPr="00D06084">
        <w:rPr>
          <w:sz w:val="22"/>
          <w:szCs w:val="22"/>
          <w:lang w:val="sr-Latn-ME"/>
        </w:rPr>
        <w:t xml:space="preserve"> prokuvane i ohlađene vode i koristiti tokom dana za piće ili ga dobro izmiješati sa </w:t>
      </w:r>
      <w:proofErr w:type="spellStart"/>
      <w:r w:rsidRPr="00D06084">
        <w:rPr>
          <w:sz w:val="22"/>
          <w:szCs w:val="22"/>
          <w:lang w:val="sr-Latn-ME"/>
        </w:rPr>
        <w:t>polutečnom</w:t>
      </w:r>
      <w:proofErr w:type="spellEnd"/>
      <w:r w:rsidRPr="00D06084">
        <w:rPr>
          <w:sz w:val="22"/>
          <w:szCs w:val="22"/>
          <w:lang w:val="sr-Latn-ME"/>
        </w:rPr>
        <w:t xml:space="preserve"> hranom: supom, barenim voćem, pasiranim povrćem ili dječijom </w:t>
      </w:r>
      <w:proofErr w:type="spellStart"/>
      <w:r w:rsidRPr="00D06084">
        <w:rPr>
          <w:sz w:val="22"/>
          <w:szCs w:val="22"/>
          <w:lang w:val="sr-Latn-ME"/>
        </w:rPr>
        <w:t>kašicom</w:t>
      </w:r>
      <w:proofErr w:type="spellEnd"/>
      <w:r w:rsidRPr="00D06084">
        <w:rPr>
          <w:sz w:val="22"/>
          <w:szCs w:val="22"/>
          <w:lang w:val="sr-Latn-ME"/>
        </w:rPr>
        <w:t>.</w:t>
      </w:r>
    </w:p>
    <w:p w14:paraId="76282315" w14:textId="77777777" w:rsidR="001B4D09" w:rsidRPr="00D06084" w:rsidRDefault="001B4D09" w:rsidP="0026099B">
      <w:pPr>
        <w:jc w:val="both"/>
        <w:rPr>
          <w:sz w:val="22"/>
          <w:szCs w:val="22"/>
          <w:lang w:val="sr-Latn-ME"/>
        </w:rPr>
      </w:pPr>
    </w:p>
    <w:p w14:paraId="76282316" w14:textId="77777777" w:rsidR="001B4D09" w:rsidRPr="00D06084" w:rsidRDefault="001B4D09" w:rsidP="0026099B">
      <w:pPr>
        <w:jc w:val="both"/>
        <w:rPr>
          <w:sz w:val="22"/>
          <w:szCs w:val="22"/>
          <w:lang w:val="sr-Latn-ME"/>
        </w:rPr>
      </w:pPr>
      <w:r w:rsidRPr="00D06084">
        <w:rPr>
          <w:sz w:val="22"/>
          <w:szCs w:val="22"/>
          <w:lang w:val="sr-Latn-ME"/>
        </w:rPr>
        <w:t>Odrasli:</w:t>
      </w:r>
    </w:p>
    <w:p w14:paraId="76282317" w14:textId="77777777" w:rsidR="001B4D09" w:rsidRPr="00D06084" w:rsidRDefault="001B4D09" w:rsidP="0026099B">
      <w:pPr>
        <w:jc w:val="both"/>
        <w:rPr>
          <w:sz w:val="22"/>
          <w:szCs w:val="22"/>
          <w:lang w:val="sr-Latn-ME"/>
        </w:rPr>
      </w:pPr>
      <w:r w:rsidRPr="00D06084">
        <w:rPr>
          <w:sz w:val="22"/>
          <w:szCs w:val="22"/>
          <w:lang w:val="sr-Latn-ME"/>
        </w:rPr>
        <w:t xml:space="preserve">Sadržaj kesice </w:t>
      </w:r>
      <w:proofErr w:type="spellStart"/>
      <w:r w:rsidRPr="00D06084">
        <w:rPr>
          <w:sz w:val="22"/>
          <w:szCs w:val="22"/>
          <w:lang w:val="sr-Latn-ME"/>
        </w:rPr>
        <w:t>rekonstituisati</w:t>
      </w:r>
      <w:proofErr w:type="spellEnd"/>
      <w:r w:rsidRPr="00D06084">
        <w:rPr>
          <w:sz w:val="22"/>
          <w:szCs w:val="22"/>
          <w:lang w:val="sr-Latn-ME"/>
        </w:rPr>
        <w:t xml:space="preserve"> u pola čaše vode. </w:t>
      </w:r>
    </w:p>
    <w:p w14:paraId="76282318" w14:textId="77777777" w:rsidR="00452E9D" w:rsidRPr="00D06084" w:rsidRDefault="00452E9D" w:rsidP="0026099B">
      <w:pPr>
        <w:tabs>
          <w:tab w:val="left" w:pos="540"/>
          <w:tab w:val="left" w:pos="569"/>
        </w:tabs>
        <w:jc w:val="both"/>
        <w:rPr>
          <w:bCs/>
          <w:sz w:val="22"/>
          <w:szCs w:val="22"/>
          <w:lang w:val="sr-Latn-ME"/>
        </w:rPr>
      </w:pPr>
    </w:p>
    <w:p w14:paraId="76282319" w14:textId="1EFA7D25" w:rsidR="00411B4B" w:rsidRPr="00D06084" w:rsidRDefault="00411B4B" w:rsidP="0026099B">
      <w:pPr>
        <w:tabs>
          <w:tab w:val="left" w:pos="540"/>
          <w:tab w:val="left" w:pos="569"/>
        </w:tabs>
        <w:jc w:val="both"/>
        <w:rPr>
          <w:b/>
          <w:bCs/>
          <w:sz w:val="22"/>
          <w:szCs w:val="22"/>
          <w:lang w:val="sr-Latn-ME"/>
        </w:rPr>
      </w:pPr>
      <w:r w:rsidRPr="00D06084">
        <w:rPr>
          <w:b/>
          <w:bCs/>
          <w:sz w:val="22"/>
          <w:szCs w:val="22"/>
          <w:lang w:val="sr-Latn-ME"/>
        </w:rPr>
        <w:t xml:space="preserve">4.3. </w:t>
      </w:r>
      <w:r w:rsidR="00480FB1" w:rsidRPr="00D06084">
        <w:rPr>
          <w:b/>
          <w:bCs/>
          <w:sz w:val="22"/>
          <w:szCs w:val="22"/>
          <w:lang w:val="sr-Latn-ME"/>
        </w:rPr>
        <w:tab/>
      </w:r>
      <w:proofErr w:type="spellStart"/>
      <w:r w:rsidRPr="00D06084">
        <w:rPr>
          <w:b/>
          <w:bCs/>
          <w:sz w:val="22"/>
          <w:szCs w:val="22"/>
          <w:lang w:val="sr-Latn-ME"/>
        </w:rPr>
        <w:t>Kontraindikacije</w:t>
      </w:r>
      <w:proofErr w:type="spellEnd"/>
    </w:p>
    <w:p w14:paraId="0A9FBEE3" w14:textId="77777777" w:rsidR="00E5542E" w:rsidRPr="00D06084" w:rsidRDefault="00E5542E" w:rsidP="0026099B">
      <w:pPr>
        <w:tabs>
          <w:tab w:val="left" w:pos="540"/>
          <w:tab w:val="left" w:pos="569"/>
        </w:tabs>
        <w:jc w:val="both"/>
        <w:rPr>
          <w:b/>
          <w:bCs/>
          <w:sz w:val="22"/>
          <w:szCs w:val="22"/>
          <w:lang w:val="sr-Latn-ME"/>
        </w:rPr>
      </w:pPr>
    </w:p>
    <w:p w14:paraId="7628231A" w14:textId="317A12BA" w:rsidR="001B4D09" w:rsidRPr="00D06084" w:rsidRDefault="001B4D09" w:rsidP="0026099B">
      <w:pPr>
        <w:pStyle w:val="Header"/>
        <w:numPr>
          <w:ilvl w:val="0"/>
          <w:numId w:val="13"/>
        </w:numPr>
        <w:tabs>
          <w:tab w:val="clear" w:pos="4320"/>
          <w:tab w:val="clear" w:pos="8640"/>
          <w:tab w:val="left" w:pos="284"/>
        </w:tabs>
        <w:jc w:val="both"/>
        <w:rPr>
          <w:sz w:val="22"/>
          <w:szCs w:val="22"/>
          <w:lang w:val="sr-Latn-ME"/>
        </w:rPr>
      </w:pPr>
      <w:r w:rsidRPr="00D06084">
        <w:rPr>
          <w:sz w:val="22"/>
          <w:szCs w:val="22"/>
          <w:lang w:val="sr-Latn-ME"/>
        </w:rPr>
        <w:t xml:space="preserve">Preosjetljivost na </w:t>
      </w:r>
      <w:proofErr w:type="spellStart"/>
      <w:r w:rsidRPr="00D06084">
        <w:rPr>
          <w:sz w:val="22"/>
          <w:szCs w:val="22"/>
          <w:lang w:val="sr-Latn-ME"/>
        </w:rPr>
        <w:t>diosmektit</w:t>
      </w:r>
      <w:proofErr w:type="spellEnd"/>
      <w:r w:rsidRPr="00D06084">
        <w:rPr>
          <w:sz w:val="22"/>
          <w:szCs w:val="22"/>
          <w:lang w:val="sr-Latn-ME"/>
        </w:rPr>
        <w:t xml:space="preserve"> ili na </w:t>
      </w:r>
      <w:r w:rsidR="00016EF8" w:rsidRPr="00D06084">
        <w:rPr>
          <w:sz w:val="22"/>
          <w:szCs w:val="22"/>
          <w:lang w:val="sr-Latn-ME"/>
        </w:rPr>
        <w:t xml:space="preserve">bilo koju od </w:t>
      </w:r>
      <w:r w:rsidRPr="00D06084">
        <w:rPr>
          <w:sz w:val="22"/>
          <w:szCs w:val="22"/>
          <w:lang w:val="sr-Latn-ME"/>
        </w:rPr>
        <w:t>pomoćn</w:t>
      </w:r>
      <w:r w:rsidR="00016EF8" w:rsidRPr="00D06084">
        <w:rPr>
          <w:sz w:val="22"/>
          <w:szCs w:val="22"/>
          <w:lang w:val="sr-Latn-ME"/>
        </w:rPr>
        <w:t>ih</w:t>
      </w:r>
      <w:r w:rsidRPr="00D06084">
        <w:rPr>
          <w:sz w:val="22"/>
          <w:szCs w:val="22"/>
          <w:lang w:val="sr-Latn-ME"/>
        </w:rPr>
        <w:t xml:space="preserve"> supstanc</w:t>
      </w:r>
      <w:r w:rsidR="00016EF8" w:rsidRPr="00D06084">
        <w:rPr>
          <w:sz w:val="22"/>
          <w:szCs w:val="22"/>
          <w:lang w:val="sr-Latn-ME"/>
        </w:rPr>
        <w:t>i</w:t>
      </w:r>
      <w:r w:rsidRPr="00D06084">
        <w:rPr>
          <w:sz w:val="22"/>
          <w:szCs w:val="22"/>
          <w:lang w:val="sr-Latn-ME"/>
        </w:rPr>
        <w:t xml:space="preserve"> naveden</w:t>
      </w:r>
      <w:r w:rsidR="00033115" w:rsidRPr="00D06084">
        <w:rPr>
          <w:sz w:val="22"/>
          <w:szCs w:val="22"/>
          <w:lang w:val="sr-Latn-ME"/>
        </w:rPr>
        <w:t>ih</w:t>
      </w:r>
      <w:r w:rsidRPr="00D06084">
        <w:rPr>
          <w:sz w:val="22"/>
          <w:szCs w:val="22"/>
          <w:lang w:val="sr-Latn-ME"/>
        </w:rPr>
        <w:t xml:space="preserve"> u </w:t>
      </w:r>
      <w:r w:rsidR="00F0511D" w:rsidRPr="00D06084">
        <w:rPr>
          <w:sz w:val="22"/>
          <w:szCs w:val="22"/>
          <w:lang w:val="sr-Latn-ME"/>
        </w:rPr>
        <w:t xml:space="preserve">dijelu </w:t>
      </w:r>
      <w:r w:rsidRPr="00D06084">
        <w:rPr>
          <w:sz w:val="22"/>
          <w:szCs w:val="22"/>
          <w:lang w:val="sr-Latn-ME"/>
        </w:rPr>
        <w:t>6.1.</w:t>
      </w:r>
    </w:p>
    <w:p w14:paraId="7628231B" w14:textId="77777777" w:rsidR="0072020E" w:rsidRPr="00D06084" w:rsidRDefault="0072020E" w:rsidP="0026099B">
      <w:pPr>
        <w:tabs>
          <w:tab w:val="left" w:pos="540"/>
          <w:tab w:val="left" w:pos="569"/>
        </w:tabs>
        <w:jc w:val="both"/>
        <w:rPr>
          <w:bCs/>
          <w:sz w:val="22"/>
          <w:szCs w:val="22"/>
          <w:lang w:val="sr-Latn-ME"/>
        </w:rPr>
      </w:pPr>
    </w:p>
    <w:p w14:paraId="7628231C" w14:textId="2D6ABC68" w:rsidR="00411B4B" w:rsidRPr="00D06084" w:rsidRDefault="00411B4B" w:rsidP="0026099B">
      <w:pPr>
        <w:tabs>
          <w:tab w:val="left" w:pos="540"/>
          <w:tab w:val="left" w:pos="569"/>
        </w:tabs>
        <w:jc w:val="both"/>
        <w:rPr>
          <w:b/>
          <w:bCs/>
          <w:sz w:val="22"/>
          <w:szCs w:val="22"/>
          <w:lang w:val="sr-Latn-ME"/>
        </w:rPr>
      </w:pPr>
      <w:r w:rsidRPr="00D06084">
        <w:rPr>
          <w:b/>
          <w:bCs/>
          <w:sz w:val="22"/>
          <w:szCs w:val="22"/>
          <w:lang w:val="sr-Latn-ME"/>
        </w:rPr>
        <w:t xml:space="preserve">4.4. </w:t>
      </w:r>
      <w:r w:rsidR="00480FB1" w:rsidRPr="00D06084">
        <w:rPr>
          <w:b/>
          <w:bCs/>
          <w:sz w:val="22"/>
          <w:szCs w:val="22"/>
          <w:lang w:val="sr-Latn-ME"/>
        </w:rPr>
        <w:tab/>
      </w:r>
      <w:r w:rsidRPr="00D06084">
        <w:rPr>
          <w:b/>
          <w:bCs/>
          <w:sz w:val="22"/>
          <w:szCs w:val="22"/>
          <w:lang w:val="sr-Latn-ME"/>
        </w:rPr>
        <w:t>Posebna upozorenja i mjere opreza pri upotrebi lijeka</w:t>
      </w:r>
    </w:p>
    <w:p w14:paraId="72CAAADF" w14:textId="77777777" w:rsidR="00E5542E" w:rsidRPr="00D06084" w:rsidRDefault="00E5542E" w:rsidP="0026099B">
      <w:pPr>
        <w:tabs>
          <w:tab w:val="left" w:pos="540"/>
          <w:tab w:val="left" w:pos="569"/>
        </w:tabs>
        <w:jc w:val="both"/>
        <w:rPr>
          <w:b/>
          <w:bCs/>
          <w:sz w:val="22"/>
          <w:szCs w:val="22"/>
          <w:lang w:val="sr-Latn-ME"/>
        </w:rPr>
      </w:pPr>
    </w:p>
    <w:p w14:paraId="7628231D" w14:textId="77777777" w:rsidR="001B4D09" w:rsidRPr="00D06084" w:rsidRDefault="001B4D09" w:rsidP="0026099B">
      <w:pPr>
        <w:pStyle w:val="Header"/>
        <w:tabs>
          <w:tab w:val="left" w:pos="284"/>
        </w:tabs>
        <w:jc w:val="both"/>
        <w:rPr>
          <w:sz w:val="22"/>
          <w:szCs w:val="22"/>
          <w:lang w:val="sr-Latn-ME"/>
        </w:rPr>
      </w:pPr>
      <w:r w:rsidRPr="00D06084">
        <w:rPr>
          <w:sz w:val="22"/>
          <w:szCs w:val="22"/>
          <w:lang w:val="sr-Latn-ME"/>
        </w:rPr>
        <w:t xml:space="preserve">Lijek </w:t>
      </w:r>
      <w:r w:rsidR="00033115" w:rsidRPr="00D06084">
        <w:rPr>
          <w:sz w:val="22"/>
          <w:szCs w:val="22"/>
          <w:lang w:val="sr-Latn-ME"/>
        </w:rPr>
        <w:t xml:space="preserve">se mora </w:t>
      </w:r>
      <w:r w:rsidRPr="00D06084">
        <w:rPr>
          <w:sz w:val="22"/>
          <w:szCs w:val="22"/>
          <w:lang w:val="sr-Latn-ME"/>
        </w:rPr>
        <w:t xml:space="preserve">primjenjivati sa oprezom kod pacijenata kod kojih je u istoriji </w:t>
      </w:r>
      <w:r w:rsidR="00033115" w:rsidRPr="00D06084">
        <w:rPr>
          <w:sz w:val="22"/>
          <w:szCs w:val="22"/>
          <w:lang w:val="sr-Latn-ME"/>
        </w:rPr>
        <w:t xml:space="preserve">bolesti </w:t>
      </w:r>
      <w:r w:rsidRPr="00D06084">
        <w:rPr>
          <w:sz w:val="22"/>
          <w:szCs w:val="22"/>
          <w:lang w:val="sr-Latn-ME"/>
        </w:rPr>
        <w:t>prisutna hronična teška konstipacija.</w:t>
      </w:r>
    </w:p>
    <w:p w14:paraId="7628231E" w14:textId="77777777" w:rsidR="001B4D09" w:rsidRPr="00D06084" w:rsidRDefault="001B4D09" w:rsidP="0026099B">
      <w:pPr>
        <w:tabs>
          <w:tab w:val="left" w:pos="540"/>
          <w:tab w:val="left" w:pos="569"/>
        </w:tabs>
        <w:jc w:val="both"/>
        <w:rPr>
          <w:bCs/>
          <w:sz w:val="22"/>
          <w:szCs w:val="22"/>
          <w:lang w:val="sr-Latn-ME"/>
        </w:rPr>
      </w:pPr>
    </w:p>
    <w:p w14:paraId="7628231F" w14:textId="77777777" w:rsidR="001B4D09" w:rsidRPr="00D06084" w:rsidRDefault="001B4D09" w:rsidP="0026099B">
      <w:pPr>
        <w:tabs>
          <w:tab w:val="left" w:pos="540"/>
          <w:tab w:val="left" w:pos="569"/>
        </w:tabs>
        <w:jc w:val="both"/>
        <w:rPr>
          <w:sz w:val="22"/>
          <w:szCs w:val="22"/>
          <w:u w:val="single"/>
          <w:lang w:val="sr-Latn-ME"/>
        </w:rPr>
      </w:pPr>
      <w:r w:rsidRPr="00D06084">
        <w:rPr>
          <w:sz w:val="22"/>
          <w:szCs w:val="22"/>
          <w:u w:val="single"/>
          <w:lang w:val="sr-Latn-ME"/>
        </w:rPr>
        <w:t>Pedijatrijska populacija</w:t>
      </w:r>
    </w:p>
    <w:p w14:paraId="76282321" w14:textId="19641C4D" w:rsidR="001B4D09" w:rsidRPr="00D06084" w:rsidRDefault="001B4D09" w:rsidP="0026099B">
      <w:pPr>
        <w:pStyle w:val="Header"/>
        <w:tabs>
          <w:tab w:val="left" w:pos="284"/>
        </w:tabs>
        <w:jc w:val="both"/>
        <w:rPr>
          <w:sz w:val="22"/>
          <w:szCs w:val="22"/>
          <w:lang w:val="sr-Latn-ME"/>
        </w:rPr>
      </w:pPr>
      <w:r w:rsidRPr="00D06084">
        <w:rPr>
          <w:sz w:val="22"/>
          <w:szCs w:val="22"/>
          <w:lang w:val="sr-Latn-ME"/>
        </w:rPr>
        <w:t xml:space="preserve">Lijek </w:t>
      </w:r>
      <w:proofErr w:type="spellStart"/>
      <w:r w:rsidRPr="00D06084">
        <w:rPr>
          <w:sz w:val="22"/>
          <w:szCs w:val="22"/>
          <w:lang w:val="sr-Latn-ME"/>
        </w:rPr>
        <w:t>Smecta</w:t>
      </w:r>
      <w:proofErr w:type="spellEnd"/>
      <w:r w:rsidRPr="00D06084">
        <w:rPr>
          <w:sz w:val="22"/>
          <w:szCs w:val="22"/>
          <w:lang w:val="sr-Latn-ME"/>
        </w:rPr>
        <w:t xml:space="preserve"> ne treba davati odojčadi i djeci uzrasta do 2 godine. Referentna terapija akutne dijareje je rastvor za oralnu </w:t>
      </w:r>
      <w:proofErr w:type="spellStart"/>
      <w:r w:rsidRPr="00D06084">
        <w:rPr>
          <w:sz w:val="22"/>
          <w:szCs w:val="22"/>
          <w:lang w:val="sr-Latn-ME"/>
        </w:rPr>
        <w:t>rehidrataciju</w:t>
      </w:r>
      <w:proofErr w:type="spellEnd"/>
      <w:r w:rsidRPr="00D06084">
        <w:rPr>
          <w:sz w:val="22"/>
          <w:szCs w:val="22"/>
          <w:lang w:val="sr-Latn-ME"/>
        </w:rPr>
        <w:t>.</w:t>
      </w:r>
    </w:p>
    <w:p w14:paraId="76282322" w14:textId="77777777" w:rsidR="001B4D09" w:rsidRPr="00D06084" w:rsidRDefault="001B4D09" w:rsidP="0026099B">
      <w:pPr>
        <w:pStyle w:val="Header"/>
        <w:tabs>
          <w:tab w:val="left" w:pos="284"/>
        </w:tabs>
        <w:jc w:val="both"/>
        <w:rPr>
          <w:sz w:val="22"/>
          <w:szCs w:val="22"/>
          <w:lang w:val="sr-Latn-ME"/>
        </w:rPr>
      </w:pPr>
    </w:p>
    <w:p w14:paraId="76282323" w14:textId="77777777" w:rsidR="001B4D09" w:rsidRPr="00D06084" w:rsidRDefault="001B4D09" w:rsidP="0026099B">
      <w:pPr>
        <w:pStyle w:val="Header"/>
        <w:tabs>
          <w:tab w:val="left" w:pos="284"/>
        </w:tabs>
        <w:jc w:val="both"/>
        <w:rPr>
          <w:sz w:val="22"/>
          <w:szCs w:val="22"/>
          <w:lang w:val="sr-Latn-ME"/>
        </w:rPr>
      </w:pPr>
      <w:r w:rsidRPr="00D06084">
        <w:rPr>
          <w:sz w:val="22"/>
          <w:szCs w:val="22"/>
          <w:lang w:val="sr-Latn-ME"/>
        </w:rPr>
        <w:t xml:space="preserve">Kod djece, uzrasta iznad 2 godine, liječenje akutne dijareje lijekom </w:t>
      </w:r>
      <w:proofErr w:type="spellStart"/>
      <w:r w:rsidRPr="00D06084">
        <w:rPr>
          <w:sz w:val="22"/>
          <w:szCs w:val="22"/>
          <w:lang w:val="sr-Latn-ME"/>
        </w:rPr>
        <w:t>Smecta</w:t>
      </w:r>
      <w:proofErr w:type="spellEnd"/>
      <w:r w:rsidRPr="00D06084">
        <w:rPr>
          <w:sz w:val="22"/>
          <w:szCs w:val="22"/>
          <w:lang w:val="sr-Latn-ME"/>
        </w:rPr>
        <w:t xml:space="preserve"> mora započeti sa ranom upotrebom rastvora za oralnu </w:t>
      </w:r>
      <w:proofErr w:type="spellStart"/>
      <w:r w:rsidRPr="00D06084">
        <w:rPr>
          <w:sz w:val="22"/>
          <w:szCs w:val="22"/>
          <w:lang w:val="sr-Latn-ME"/>
        </w:rPr>
        <w:t>rehidrataciju</w:t>
      </w:r>
      <w:proofErr w:type="spellEnd"/>
      <w:r w:rsidRPr="00D06084">
        <w:rPr>
          <w:sz w:val="22"/>
          <w:szCs w:val="22"/>
          <w:lang w:val="sr-Latn-ME"/>
        </w:rPr>
        <w:t xml:space="preserve">, kako bi se spriječila dehidratacija. Hroničnu upotrebu lijeka </w:t>
      </w:r>
      <w:proofErr w:type="spellStart"/>
      <w:r w:rsidRPr="00D06084">
        <w:rPr>
          <w:sz w:val="22"/>
          <w:szCs w:val="22"/>
          <w:lang w:val="sr-Latn-ME"/>
        </w:rPr>
        <w:t>Smecta</w:t>
      </w:r>
      <w:proofErr w:type="spellEnd"/>
      <w:r w:rsidRPr="00D06084">
        <w:rPr>
          <w:sz w:val="22"/>
          <w:szCs w:val="22"/>
          <w:lang w:val="sr-Latn-ME"/>
        </w:rPr>
        <w:t xml:space="preserve"> treba izbjegavati.</w:t>
      </w:r>
    </w:p>
    <w:p w14:paraId="76282324" w14:textId="77777777" w:rsidR="001B4D09" w:rsidRPr="00D06084" w:rsidRDefault="001B4D09" w:rsidP="0026099B">
      <w:pPr>
        <w:pStyle w:val="Header"/>
        <w:tabs>
          <w:tab w:val="left" w:pos="284"/>
        </w:tabs>
        <w:jc w:val="both"/>
        <w:rPr>
          <w:sz w:val="22"/>
          <w:szCs w:val="22"/>
          <w:lang w:val="sr-Latn-ME"/>
        </w:rPr>
      </w:pPr>
    </w:p>
    <w:p w14:paraId="76282325" w14:textId="77777777" w:rsidR="001B4D09" w:rsidRPr="00D06084" w:rsidRDefault="001B4D09" w:rsidP="0026099B">
      <w:pPr>
        <w:pStyle w:val="Header"/>
        <w:tabs>
          <w:tab w:val="left" w:pos="284"/>
        </w:tabs>
        <w:jc w:val="both"/>
        <w:rPr>
          <w:sz w:val="22"/>
          <w:szCs w:val="22"/>
          <w:lang w:val="sr-Latn-ME"/>
        </w:rPr>
      </w:pPr>
      <w:r w:rsidRPr="00D06084">
        <w:rPr>
          <w:sz w:val="22"/>
          <w:szCs w:val="22"/>
          <w:lang w:val="sr-Latn-ME"/>
        </w:rPr>
        <w:t xml:space="preserve">Kod odraslih, </w:t>
      </w:r>
      <w:proofErr w:type="spellStart"/>
      <w:r w:rsidRPr="00D06084">
        <w:rPr>
          <w:sz w:val="22"/>
          <w:szCs w:val="22"/>
          <w:lang w:val="sr-Latn-ME"/>
        </w:rPr>
        <w:t>rehidratacija</w:t>
      </w:r>
      <w:proofErr w:type="spellEnd"/>
      <w:r w:rsidRPr="00D06084">
        <w:rPr>
          <w:sz w:val="22"/>
          <w:szCs w:val="22"/>
          <w:lang w:val="sr-Latn-ME"/>
        </w:rPr>
        <w:t xml:space="preserve"> se može izostaviti, ukoliko nije neophodna.</w:t>
      </w:r>
    </w:p>
    <w:p w14:paraId="76282326" w14:textId="77777777" w:rsidR="001308A5" w:rsidRPr="00D06084" w:rsidRDefault="001308A5" w:rsidP="0026099B">
      <w:pPr>
        <w:pStyle w:val="Header"/>
        <w:tabs>
          <w:tab w:val="left" w:pos="284"/>
        </w:tabs>
        <w:jc w:val="both"/>
        <w:rPr>
          <w:sz w:val="22"/>
          <w:szCs w:val="22"/>
          <w:lang w:val="sr-Latn-ME"/>
        </w:rPr>
      </w:pPr>
    </w:p>
    <w:p w14:paraId="76282327" w14:textId="77777777" w:rsidR="001B4D09" w:rsidRPr="00D06084" w:rsidRDefault="001B4D09" w:rsidP="0026099B">
      <w:pPr>
        <w:pStyle w:val="Header"/>
        <w:tabs>
          <w:tab w:val="left" w:pos="284"/>
        </w:tabs>
        <w:jc w:val="both"/>
        <w:rPr>
          <w:sz w:val="22"/>
          <w:szCs w:val="22"/>
          <w:lang w:val="sr-Latn-ME"/>
        </w:rPr>
      </w:pPr>
      <w:r w:rsidRPr="00D06084">
        <w:rPr>
          <w:sz w:val="22"/>
          <w:szCs w:val="22"/>
          <w:lang w:val="sr-Latn-ME"/>
        </w:rPr>
        <w:t xml:space="preserve">Stepen </w:t>
      </w:r>
      <w:proofErr w:type="spellStart"/>
      <w:r w:rsidRPr="00D06084">
        <w:rPr>
          <w:sz w:val="22"/>
          <w:szCs w:val="22"/>
          <w:lang w:val="sr-Latn-ME"/>
        </w:rPr>
        <w:t>rehidratacije</w:t>
      </w:r>
      <w:proofErr w:type="spellEnd"/>
      <w:r w:rsidRPr="00D06084">
        <w:rPr>
          <w:sz w:val="22"/>
          <w:szCs w:val="22"/>
          <w:lang w:val="sr-Latn-ME"/>
        </w:rPr>
        <w:t xml:space="preserve"> kao i izbor načina </w:t>
      </w:r>
      <w:proofErr w:type="spellStart"/>
      <w:r w:rsidRPr="00D06084">
        <w:rPr>
          <w:sz w:val="22"/>
          <w:szCs w:val="22"/>
          <w:lang w:val="sr-Latn-ME"/>
        </w:rPr>
        <w:t>rehidratacije</w:t>
      </w:r>
      <w:proofErr w:type="spellEnd"/>
      <w:r w:rsidRPr="00D06084">
        <w:rPr>
          <w:sz w:val="22"/>
          <w:szCs w:val="22"/>
          <w:lang w:val="sr-Latn-ME"/>
        </w:rPr>
        <w:t xml:space="preserve"> (oralno ili </w:t>
      </w:r>
      <w:proofErr w:type="spellStart"/>
      <w:r w:rsidRPr="00D06084">
        <w:rPr>
          <w:sz w:val="22"/>
          <w:szCs w:val="22"/>
          <w:lang w:val="sr-Latn-ME"/>
        </w:rPr>
        <w:t>intravenski</w:t>
      </w:r>
      <w:proofErr w:type="spellEnd"/>
      <w:r w:rsidRPr="00D06084">
        <w:rPr>
          <w:sz w:val="22"/>
          <w:szCs w:val="22"/>
          <w:lang w:val="sr-Latn-ME"/>
        </w:rPr>
        <w:t xml:space="preserve">), treba  prilagoditi intenzitetu dijareje i starosti pacijenta u skladu sa kliničkom slikom. </w:t>
      </w:r>
    </w:p>
    <w:p w14:paraId="76282328" w14:textId="77777777" w:rsidR="002A6CF6" w:rsidRPr="00D06084" w:rsidRDefault="002A6CF6" w:rsidP="0026099B">
      <w:pPr>
        <w:pStyle w:val="Header"/>
        <w:tabs>
          <w:tab w:val="left" w:pos="284"/>
        </w:tabs>
        <w:jc w:val="both"/>
        <w:rPr>
          <w:sz w:val="22"/>
          <w:szCs w:val="22"/>
          <w:lang w:val="sr-Latn-ME"/>
        </w:rPr>
      </w:pPr>
    </w:p>
    <w:p w14:paraId="76282329" w14:textId="4FCB1861" w:rsidR="001B4D09" w:rsidRPr="00D06084" w:rsidRDefault="001B4D09" w:rsidP="0026099B">
      <w:pPr>
        <w:pStyle w:val="Header"/>
        <w:tabs>
          <w:tab w:val="left" w:pos="284"/>
        </w:tabs>
        <w:jc w:val="both"/>
        <w:rPr>
          <w:sz w:val="22"/>
          <w:szCs w:val="22"/>
          <w:lang w:val="sr-Latn-ME"/>
        </w:rPr>
      </w:pPr>
      <w:r w:rsidRPr="00D06084">
        <w:rPr>
          <w:sz w:val="22"/>
          <w:szCs w:val="22"/>
          <w:lang w:val="sr-Latn-ME"/>
        </w:rPr>
        <w:t>Pacijenta treba  informisati o potrebi:</w:t>
      </w:r>
    </w:p>
    <w:p w14:paraId="7628232A" w14:textId="55608D92" w:rsidR="001B4D09" w:rsidRPr="00D06084" w:rsidRDefault="001B4D09" w:rsidP="0026099B">
      <w:pPr>
        <w:numPr>
          <w:ilvl w:val="0"/>
          <w:numId w:val="14"/>
        </w:numPr>
        <w:jc w:val="both"/>
        <w:rPr>
          <w:sz w:val="22"/>
          <w:szCs w:val="22"/>
          <w:lang w:val="sr-Latn-ME"/>
        </w:rPr>
      </w:pPr>
      <w:proofErr w:type="spellStart"/>
      <w:r w:rsidRPr="00D06084">
        <w:rPr>
          <w:sz w:val="22"/>
          <w:szCs w:val="22"/>
          <w:lang w:val="sr-Latn-ME"/>
        </w:rPr>
        <w:t>Rehidratacije</w:t>
      </w:r>
      <w:proofErr w:type="spellEnd"/>
      <w:r w:rsidRPr="00D06084">
        <w:rPr>
          <w:sz w:val="22"/>
          <w:szCs w:val="22"/>
          <w:lang w:val="sr-Latn-ME"/>
        </w:rPr>
        <w:t xml:space="preserve"> sa mnogo slane ili slatke tečnosti, kako bi se nadoknadio gubitak tečnosti </w:t>
      </w:r>
      <w:proofErr w:type="spellStart"/>
      <w:r w:rsidRPr="00D06084">
        <w:rPr>
          <w:sz w:val="22"/>
          <w:szCs w:val="22"/>
          <w:lang w:val="sr-Latn-ME"/>
        </w:rPr>
        <w:t>usljed</w:t>
      </w:r>
      <w:proofErr w:type="spellEnd"/>
      <w:r w:rsidRPr="00D06084">
        <w:rPr>
          <w:sz w:val="22"/>
          <w:szCs w:val="22"/>
          <w:lang w:val="sr-Latn-ME"/>
        </w:rPr>
        <w:t xml:space="preserve"> </w:t>
      </w:r>
    </w:p>
    <w:p w14:paraId="7628232B" w14:textId="08A17708" w:rsidR="001B4D09" w:rsidRPr="00D06084" w:rsidRDefault="001B4D09" w:rsidP="0026099B">
      <w:pPr>
        <w:ind w:left="113" w:firstLine="607"/>
        <w:jc w:val="both"/>
        <w:rPr>
          <w:sz w:val="22"/>
          <w:szCs w:val="22"/>
          <w:lang w:val="sr-Latn-ME"/>
        </w:rPr>
      </w:pPr>
      <w:r w:rsidRPr="00D06084">
        <w:rPr>
          <w:sz w:val="22"/>
          <w:szCs w:val="22"/>
          <w:lang w:val="sr-Latn-ME"/>
        </w:rPr>
        <w:t>dijareje (</w:t>
      </w:r>
      <w:r w:rsidR="00B82CF6" w:rsidRPr="00D06084">
        <w:rPr>
          <w:sz w:val="22"/>
          <w:szCs w:val="22"/>
          <w:lang w:val="sr-Latn-ME"/>
        </w:rPr>
        <w:t xml:space="preserve">prosječna </w:t>
      </w:r>
      <w:r w:rsidRPr="00D06084">
        <w:rPr>
          <w:sz w:val="22"/>
          <w:szCs w:val="22"/>
          <w:lang w:val="sr-Latn-ME"/>
        </w:rPr>
        <w:t>dnevna potreba za unosom vode kod odraslih je 2 litr</w:t>
      </w:r>
      <w:r w:rsidR="000E2529" w:rsidRPr="00D06084">
        <w:rPr>
          <w:sz w:val="22"/>
          <w:szCs w:val="22"/>
          <w:lang w:val="sr-Latn-ME"/>
        </w:rPr>
        <w:t>e</w:t>
      </w:r>
      <w:r w:rsidRPr="00D06084">
        <w:rPr>
          <w:sz w:val="22"/>
          <w:szCs w:val="22"/>
          <w:lang w:val="sr-Latn-ME"/>
        </w:rPr>
        <w:t>)</w:t>
      </w:r>
    </w:p>
    <w:p w14:paraId="7628232C" w14:textId="77777777" w:rsidR="001B4D09" w:rsidRPr="00D06084" w:rsidRDefault="001B4D09" w:rsidP="0026099B">
      <w:pPr>
        <w:numPr>
          <w:ilvl w:val="0"/>
          <w:numId w:val="14"/>
        </w:numPr>
        <w:jc w:val="both"/>
        <w:rPr>
          <w:sz w:val="22"/>
          <w:szCs w:val="22"/>
          <w:lang w:val="sr-Latn-ME"/>
        </w:rPr>
      </w:pPr>
      <w:r w:rsidRPr="00D06084">
        <w:rPr>
          <w:sz w:val="22"/>
          <w:szCs w:val="22"/>
          <w:lang w:val="sr-Latn-ME"/>
        </w:rPr>
        <w:t xml:space="preserve">Pridržavanja  unosa sljedećih namirnica </w:t>
      </w:r>
      <w:r w:rsidR="002A6CF6" w:rsidRPr="00D06084">
        <w:rPr>
          <w:sz w:val="22"/>
          <w:szCs w:val="22"/>
          <w:lang w:val="sr-Latn-ME"/>
        </w:rPr>
        <w:t>tokom</w:t>
      </w:r>
      <w:r w:rsidRPr="00D06084">
        <w:rPr>
          <w:sz w:val="22"/>
          <w:szCs w:val="22"/>
          <w:lang w:val="sr-Latn-ME"/>
        </w:rPr>
        <w:t xml:space="preserve"> dijareje:</w:t>
      </w:r>
    </w:p>
    <w:p w14:paraId="7628232D" w14:textId="77777777" w:rsidR="001B4D09" w:rsidRPr="00D06084" w:rsidRDefault="001B4D09" w:rsidP="0026099B">
      <w:pPr>
        <w:pStyle w:val="Header"/>
        <w:tabs>
          <w:tab w:val="left" w:pos="709"/>
        </w:tabs>
        <w:jc w:val="both"/>
        <w:rPr>
          <w:sz w:val="22"/>
          <w:szCs w:val="22"/>
          <w:lang w:val="sr-Latn-ME"/>
        </w:rPr>
      </w:pPr>
      <w:r w:rsidRPr="00D06084">
        <w:rPr>
          <w:sz w:val="22"/>
          <w:szCs w:val="22"/>
          <w:lang w:val="sr-Latn-ME"/>
        </w:rPr>
        <w:t xml:space="preserve"> </w:t>
      </w:r>
      <w:r w:rsidRPr="00D06084">
        <w:rPr>
          <w:sz w:val="22"/>
          <w:szCs w:val="22"/>
          <w:lang w:val="sr-Latn-ME"/>
        </w:rPr>
        <w:tab/>
        <w:t>- izbjegavati sirovo i zeleno povrće, voće, začinjenu hranu kao i smrznutu i hladnu hranu i pića,</w:t>
      </w:r>
    </w:p>
    <w:p w14:paraId="7628232E" w14:textId="77777777" w:rsidR="001B4D09" w:rsidRPr="00D06084" w:rsidRDefault="001B4D09" w:rsidP="0026099B">
      <w:pPr>
        <w:tabs>
          <w:tab w:val="left" w:pos="540"/>
          <w:tab w:val="left" w:pos="569"/>
        </w:tabs>
        <w:jc w:val="both"/>
        <w:rPr>
          <w:sz w:val="22"/>
          <w:szCs w:val="22"/>
          <w:lang w:val="sr-Latn-ME"/>
        </w:rPr>
      </w:pPr>
      <w:r w:rsidRPr="00D06084">
        <w:rPr>
          <w:sz w:val="22"/>
          <w:szCs w:val="22"/>
          <w:lang w:val="sr-Latn-ME"/>
        </w:rPr>
        <w:tab/>
      </w:r>
      <w:r w:rsidRPr="00D06084">
        <w:rPr>
          <w:sz w:val="22"/>
          <w:szCs w:val="22"/>
          <w:lang w:val="sr-Latn-ME"/>
        </w:rPr>
        <w:tab/>
      </w:r>
      <w:r w:rsidRPr="00D06084">
        <w:rPr>
          <w:sz w:val="22"/>
          <w:szCs w:val="22"/>
          <w:lang w:val="sr-Latn-ME"/>
        </w:rPr>
        <w:tab/>
        <w:t xml:space="preserve">- jesti </w:t>
      </w:r>
      <w:proofErr w:type="spellStart"/>
      <w:r w:rsidRPr="00D06084">
        <w:rPr>
          <w:sz w:val="22"/>
          <w:szCs w:val="22"/>
          <w:lang w:val="sr-Latn-ME"/>
        </w:rPr>
        <w:t>grilovano</w:t>
      </w:r>
      <w:proofErr w:type="spellEnd"/>
      <w:r w:rsidRPr="00D06084">
        <w:rPr>
          <w:sz w:val="22"/>
          <w:szCs w:val="22"/>
          <w:lang w:val="sr-Latn-ME"/>
        </w:rPr>
        <w:t xml:space="preserve"> meso i pirinač.</w:t>
      </w:r>
    </w:p>
    <w:p w14:paraId="7628232F" w14:textId="77777777" w:rsidR="001B4D09" w:rsidRPr="00D06084" w:rsidRDefault="001B4D09" w:rsidP="0026099B">
      <w:pPr>
        <w:pStyle w:val="Header"/>
        <w:tabs>
          <w:tab w:val="left" w:pos="284"/>
        </w:tabs>
        <w:ind w:left="113"/>
        <w:jc w:val="both"/>
        <w:rPr>
          <w:sz w:val="22"/>
          <w:szCs w:val="22"/>
          <w:lang w:val="sr-Latn-ME"/>
        </w:rPr>
      </w:pPr>
    </w:p>
    <w:p w14:paraId="76282330" w14:textId="77777777" w:rsidR="002A6CF6" w:rsidRPr="00D06084" w:rsidRDefault="001B4D09" w:rsidP="0026099B">
      <w:pPr>
        <w:pStyle w:val="Header"/>
        <w:tabs>
          <w:tab w:val="left" w:pos="284"/>
        </w:tabs>
        <w:jc w:val="both"/>
        <w:rPr>
          <w:sz w:val="22"/>
          <w:szCs w:val="22"/>
          <w:lang w:val="sr-Latn-ME"/>
        </w:rPr>
      </w:pPr>
      <w:r w:rsidRPr="00D06084">
        <w:rPr>
          <w:sz w:val="22"/>
          <w:szCs w:val="22"/>
          <w:lang w:val="sr-Latn-ME"/>
        </w:rPr>
        <w:t xml:space="preserve">Ovaj lijek sadrži glukozu i saharozu. </w:t>
      </w:r>
    </w:p>
    <w:p w14:paraId="76282331" w14:textId="77777777" w:rsidR="001B4D09" w:rsidRPr="00D06084" w:rsidRDefault="001B4D09" w:rsidP="0026099B">
      <w:pPr>
        <w:pStyle w:val="Header"/>
        <w:tabs>
          <w:tab w:val="left" w:pos="284"/>
        </w:tabs>
        <w:jc w:val="both"/>
        <w:rPr>
          <w:sz w:val="22"/>
          <w:szCs w:val="22"/>
          <w:lang w:val="sr-Latn-ME"/>
        </w:rPr>
      </w:pPr>
      <w:r w:rsidRPr="00D06084">
        <w:rPr>
          <w:sz w:val="22"/>
          <w:szCs w:val="22"/>
          <w:lang w:val="sr-Latn-ME"/>
        </w:rPr>
        <w:t xml:space="preserve">Pacijenti sa rijetkim </w:t>
      </w:r>
      <w:proofErr w:type="spellStart"/>
      <w:r w:rsidRPr="00D06084">
        <w:rPr>
          <w:sz w:val="22"/>
          <w:szCs w:val="22"/>
          <w:lang w:val="sr-Latn-ME"/>
        </w:rPr>
        <w:t>nasljednim</w:t>
      </w:r>
      <w:proofErr w:type="spellEnd"/>
      <w:r w:rsidRPr="00D06084">
        <w:rPr>
          <w:sz w:val="22"/>
          <w:szCs w:val="22"/>
          <w:lang w:val="sr-Latn-ME"/>
        </w:rPr>
        <w:t xml:space="preserve"> </w:t>
      </w:r>
      <w:r w:rsidR="002A6CF6" w:rsidRPr="00D06084">
        <w:rPr>
          <w:sz w:val="22"/>
          <w:szCs w:val="22"/>
          <w:lang w:val="sr-Latn-ME"/>
        </w:rPr>
        <w:t>oboljenjem i</w:t>
      </w:r>
      <w:r w:rsidRPr="00D06084">
        <w:rPr>
          <w:sz w:val="22"/>
          <w:szCs w:val="22"/>
          <w:lang w:val="sr-Latn-ME"/>
        </w:rPr>
        <w:t xml:space="preserve">ntolerancije na </w:t>
      </w:r>
      <w:proofErr w:type="spellStart"/>
      <w:r w:rsidRPr="00D06084">
        <w:rPr>
          <w:sz w:val="22"/>
          <w:szCs w:val="22"/>
          <w:lang w:val="sr-Latn-ME"/>
        </w:rPr>
        <w:t>fruktozu</w:t>
      </w:r>
      <w:proofErr w:type="spellEnd"/>
      <w:r w:rsidRPr="00D06084">
        <w:rPr>
          <w:sz w:val="22"/>
          <w:szCs w:val="22"/>
          <w:lang w:val="sr-Latn-ME"/>
        </w:rPr>
        <w:t xml:space="preserve">, </w:t>
      </w:r>
      <w:proofErr w:type="spellStart"/>
      <w:r w:rsidRPr="00D06084">
        <w:rPr>
          <w:sz w:val="22"/>
          <w:szCs w:val="22"/>
          <w:lang w:val="sr-Latn-ME"/>
        </w:rPr>
        <w:t>glukozno-galaktoznom</w:t>
      </w:r>
      <w:proofErr w:type="spellEnd"/>
      <w:r w:rsidRPr="00D06084">
        <w:rPr>
          <w:sz w:val="22"/>
          <w:szCs w:val="22"/>
          <w:lang w:val="sr-Latn-ME"/>
        </w:rPr>
        <w:t xml:space="preserve"> </w:t>
      </w:r>
      <w:proofErr w:type="spellStart"/>
      <w:r w:rsidRPr="00D06084">
        <w:rPr>
          <w:sz w:val="22"/>
          <w:szCs w:val="22"/>
          <w:lang w:val="sr-Latn-ME"/>
        </w:rPr>
        <w:t>malapsorpcijom</w:t>
      </w:r>
      <w:proofErr w:type="spellEnd"/>
      <w:r w:rsidRPr="00D06084">
        <w:rPr>
          <w:sz w:val="22"/>
          <w:szCs w:val="22"/>
          <w:lang w:val="sr-Latn-ME"/>
        </w:rPr>
        <w:t xml:space="preserve"> ili </w:t>
      </w:r>
      <w:r w:rsidR="002A6CF6" w:rsidRPr="00D06084">
        <w:rPr>
          <w:sz w:val="22"/>
          <w:szCs w:val="22"/>
          <w:lang w:val="sr-Latn-ME"/>
        </w:rPr>
        <w:t xml:space="preserve">nedostatkom </w:t>
      </w:r>
      <w:r w:rsidRPr="00D06084">
        <w:rPr>
          <w:sz w:val="22"/>
          <w:szCs w:val="22"/>
          <w:lang w:val="sr-Latn-ME"/>
        </w:rPr>
        <w:t>sahar</w:t>
      </w:r>
      <w:r w:rsidR="002A6CF6" w:rsidRPr="00D06084">
        <w:rPr>
          <w:sz w:val="22"/>
          <w:szCs w:val="22"/>
          <w:lang w:val="sr-Latn-ME"/>
        </w:rPr>
        <w:t>o</w:t>
      </w:r>
      <w:r w:rsidRPr="00D06084">
        <w:rPr>
          <w:sz w:val="22"/>
          <w:szCs w:val="22"/>
          <w:lang w:val="sr-Latn-ME"/>
        </w:rPr>
        <w:t>z</w:t>
      </w:r>
      <w:r w:rsidR="002A6CF6" w:rsidRPr="00D06084">
        <w:rPr>
          <w:sz w:val="22"/>
          <w:szCs w:val="22"/>
          <w:lang w:val="sr-Latn-ME"/>
        </w:rPr>
        <w:t>a</w:t>
      </w:r>
      <w:r w:rsidRPr="00D06084">
        <w:rPr>
          <w:sz w:val="22"/>
          <w:szCs w:val="22"/>
          <w:lang w:val="sr-Latn-ME"/>
        </w:rPr>
        <w:t>/</w:t>
      </w:r>
      <w:proofErr w:type="spellStart"/>
      <w:r w:rsidRPr="00D06084">
        <w:rPr>
          <w:sz w:val="22"/>
          <w:szCs w:val="22"/>
          <w:lang w:val="sr-Latn-ME"/>
        </w:rPr>
        <w:t>izomaltaze</w:t>
      </w:r>
      <w:proofErr w:type="spellEnd"/>
      <w:r w:rsidRPr="00D06084">
        <w:rPr>
          <w:sz w:val="22"/>
          <w:szCs w:val="22"/>
          <w:lang w:val="sr-Latn-ME"/>
        </w:rPr>
        <w:t xml:space="preserve"> ne smiju korist</w:t>
      </w:r>
      <w:r w:rsidR="002A6CF6" w:rsidRPr="00D06084">
        <w:rPr>
          <w:sz w:val="22"/>
          <w:szCs w:val="22"/>
          <w:lang w:val="sr-Latn-ME"/>
        </w:rPr>
        <w:t>iti</w:t>
      </w:r>
      <w:r w:rsidRPr="00D06084">
        <w:rPr>
          <w:sz w:val="22"/>
          <w:szCs w:val="22"/>
          <w:lang w:val="sr-Latn-ME"/>
        </w:rPr>
        <w:t xml:space="preserve"> ovaj lijek.</w:t>
      </w:r>
    </w:p>
    <w:p w14:paraId="76282332" w14:textId="77777777" w:rsidR="001B4D09" w:rsidRPr="00D06084" w:rsidRDefault="001B4D09" w:rsidP="0026099B">
      <w:pPr>
        <w:tabs>
          <w:tab w:val="left" w:pos="540"/>
          <w:tab w:val="left" w:pos="569"/>
        </w:tabs>
        <w:jc w:val="both"/>
        <w:rPr>
          <w:sz w:val="22"/>
          <w:szCs w:val="22"/>
          <w:lang w:val="sr-Latn-ME"/>
        </w:rPr>
      </w:pPr>
    </w:p>
    <w:p w14:paraId="76282333" w14:textId="77777777" w:rsidR="001B4D09" w:rsidRPr="00D06084" w:rsidRDefault="001B4D09" w:rsidP="0026099B">
      <w:pPr>
        <w:tabs>
          <w:tab w:val="left" w:pos="540"/>
          <w:tab w:val="left" w:pos="569"/>
        </w:tabs>
        <w:jc w:val="both"/>
        <w:rPr>
          <w:sz w:val="22"/>
          <w:szCs w:val="22"/>
          <w:lang w:val="sr-Latn-ME"/>
        </w:rPr>
      </w:pPr>
      <w:r w:rsidRPr="00D06084">
        <w:rPr>
          <w:sz w:val="22"/>
          <w:szCs w:val="22"/>
          <w:lang w:val="sr-Latn-ME"/>
        </w:rPr>
        <w:t>Ovaj lijek sadrži ma</w:t>
      </w:r>
      <w:r w:rsidR="002A6CF6" w:rsidRPr="00D06084">
        <w:rPr>
          <w:sz w:val="22"/>
          <w:szCs w:val="22"/>
          <w:lang w:val="sr-Latn-ME"/>
        </w:rPr>
        <w:t>nj</w:t>
      </w:r>
      <w:r w:rsidRPr="00D06084">
        <w:rPr>
          <w:sz w:val="22"/>
          <w:szCs w:val="22"/>
          <w:lang w:val="sr-Latn-ME"/>
        </w:rPr>
        <w:t>e količine etanola (alkohol</w:t>
      </w:r>
      <w:r w:rsidR="002A6CF6" w:rsidRPr="00D06084">
        <w:rPr>
          <w:sz w:val="22"/>
          <w:szCs w:val="22"/>
          <w:lang w:val="sr-Latn-ME"/>
        </w:rPr>
        <w:t>a</w:t>
      </w:r>
      <w:r w:rsidRPr="00D06084">
        <w:rPr>
          <w:sz w:val="22"/>
          <w:szCs w:val="22"/>
          <w:lang w:val="sr-Latn-ME"/>
        </w:rPr>
        <w:t xml:space="preserve">), manje od 100 mg </w:t>
      </w:r>
      <w:r w:rsidR="002A6CF6" w:rsidRPr="00D06084">
        <w:rPr>
          <w:sz w:val="22"/>
          <w:szCs w:val="22"/>
          <w:lang w:val="sr-Latn-ME"/>
        </w:rPr>
        <w:t xml:space="preserve">po </w:t>
      </w:r>
      <w:r w:rsidRPr="00D06084">
        <w:rPr>
          <w:sz w:val="22"/>
          <w:szCs w:val="22"/>
          <w:lang w:val="sr-Latn-ME"/>
        </w:rPr>
        <w:t>dnevnoj dozi.</w:t>
      </w:r>
    </w:p>
    <w:p w14:paraId="76282334" w14:textId="77777777" w:rsidR="00057E35" w:rsidRPr="00D06084" w:rsidRDefault="00057E35" w:rsidP="0026099B">
      <w:pPr>
        <w:tabs>
          <w:tab w:val="left" w:pos="540"/>
          <w:tab w:val="left" w:pos="569"/>
        </w:tabs>
        <w:jc w:val="both"/>
        <w:rPr>
          <w:bCs/>
          <w:sz w:val="22"/>
          <w:szCs w:val="22"/>
          <w:lang w:val="sr-Latn-ME"/>
        </w:rPr>
      </w:pPr>
    </w:p>
    <w:p w14:paraId="76282335" w14:textId="640A2156" w:rsidR="00411B4B" w:rsidRPr="00D06084" w:rsidRDefault="00411B4B" w:rsidP="0026099B">
      <w:pPr>
        <w:tabs>
          <w:tab w:val="left" w:pos="540"/>
          <w:tab w:val="left" w:pos="569"/>
        </w:tabs>
        <w:jc w:val="both"/>
        <w:rPr>
          <w:b/>
          <w:bCs/>
          <w:sz w:val="22"/>
          <w:szCs w:val="22"/>
          <w:lang w:val="sr-Latn-ME"/>
        </w:rPr>
      </w:pPr>
      <w:r w:rsidRPr="00D06084">
        <w:rPr>
          <w:b/>
          <w:bCs/>
          <w:sz w:val="22"/>
          <w:szCs w:val="22"/>
          <w:lang w:val="sr-Latn-ME"/>
        </w:rPr>
        <w:t>4.5.</w:t>
      </w:r>
      <w:r w:rsidR="000D60CC" w:rsidRPr="00D06084">
        <w:rPr>
          <w:b/>
          <w:bCs/>
          <w:sz w:val="22"/>
          <w:szCs w:val="22"/>
          <w:lang w:val="sr-Latn-ME"/>
        </w:rPr>
        <w:tab/>
      </w:r>
      <w:r w:rsidRPr="00D06084">
        <w:rPr>
          <w:b/>
          <w:bCs/>
          <w:sz w:val="22"/>
          <w:szCs w:val="22"/>
          <w:lang w:val="sr-Latn-ME"/>
        </w:rPr>
        <w:t>Interakcije sa drugim ljekovima i druge vrste interakcija</w:t>
      </w:r>
    </w:p>
    <w:p w14:paraId="73ADCD43" w14:textId="77777777" w:rsidR="00E5542E" w:rsidRPr="00D06084" w:rsidRDefault="00E5542E" w:rsidP="0026099B">
      <w:pPr>
        <w:tabs>
          <w:tab w:val="left" w:pos="540"/>
          <w:tab w:val="left" w:pos="569"/>
        </w:tabs>
        <w:jc w:val="both"/>
        <w:rPr>
          <w:b/>
          <w:bCs/>
          <w:sz w:val="22"/>
          <w:szCs w:val="22"/>
          <w:lang w:val="sr-Latn-ME"/>
        </w:rPr>
      </w:pPr>
    </w:p>
    <w:p w14:paraId="76282336" w14:textId="086B5163" w:rsidR="001B4D09" w:rsidRPr="00D06084" w:rsidRDefault="001B4D09" w:rsidP="0026099B">
      <w:pPr>
        <w:pStyle w:val="BodyText3"/>
        <w:shd w:val="clear" w:color="auto" w:fill="auto"/>
        <w:spacing w:after="92" w:line="250" w:lineRule="exact"/>
        <w:ind w:left="20" w:right="20"/>
        <w:jc w:val="both"/>
        <w:rPr>
          <w:sz w:val="22"/>
          <w:szCs w:val="22"/>
          <w:lang w:val="sr-Latn-ME"/>
        </w:rPr>
      </w:pPr>
      <w:r w:rsidRPr="00D06084">
        <w:rPr>
          <w:sz w:val="22"/>
          <w:szCs w:val="22"/>
          <w:lang w:val="sr-Latn-ME"/>
        </w:rPr>
        <w:t xml:space="preserve">Uzimajući u obzir </w:t>
      </w:r>
      <w:proofErr w:type="spellStart"/>
      <w:r w:rsidRPr="00D06084">
        <w:rPr>
          <w:sz w:val="22"/>
          <w:szCs w:val="22"/>
          <w:lang w:val="sr-Latn-ME"/>
        </w:rPr>
        <w:t>adsorbujuća</w:t>
      </w:r>
      <w:proofErr w:type="spellEnd"/>
      <w:r w:rsidRPr="00D06084">
        <w:rPr>
          <w:sz w:val="22"/>
          <w:szCs w:val="22"/>
          <w:lang w:val="sr-Latn-ME"/>
        </w:rPr>
        <w:t xml:space="preserve"> svojstva lijeka </w:t>
      </w:r>
      <w:proofErr w:type="spellStart"/>
      <w:r w:rsidRPr="00D06084">
        <w:rPr>
          <w:sz w:val="22"/>
          <w:szCs w:val="22"/>
          <w:lang w:val="sr-Latn-ME"/>
        </w:rPr>
        <w:t>Smecta</w:t>
      </w:r>
      <w:proofErr w:type="spellEnd"/>
      <w:r w:rsidRPr="00D06084">
        <w:rPr>
          <w:sz w:val="22"/>
          <w:szCs w:val="22"/>
          <w:lang w:val="sr-Latn-ME"/>
        </w:rPr>
        <w:t>, koja mogu da utiču na resorpciju ljekova, ne preporučuje se istovremena primjena sa drugim ljekovima (više od dva sata, ukoliko je moguće).</w:t>
      </w:r>
    </w:p>
    <w:p w14:paraId="76282337" w14:textId="77777777" w:rsidR="0072020E" w:rsidRPr="00D06084" w:rsidRDefault="0072020E" w:rsidP="0026099B">
      <w:pPr>
        <w:tabs>
          <w:tab w:val="left" w:pos="540"/>
          <w:tab w:val="left" w:pos="569"/>
        </w:tabs>
        <w:jc w:val="both"/>
        <w:rPr>
          <w:bCs/>
          <w:sz w:val="22"/>
          <w:szCs w:val="22"/>
          <w:lang w:val="sr-Latn-ME"/>
        </w:rPr>
      </w:pPr>
    </w:p>
    <w:p w14:paraId="76282338" w14:textId="77777777" w:rsidR="0072020E" w:rsidRPr="00D06084" w:rsidRDefault="0072020E" w:rsidP="0026099B">
      <w:pPr>
        <w:tabs>
          <w:tab w:val="left" w:pos="540"/>
          <w:tab w:val="left" w:pos="569"/>
        </w:tabs>
        <w:jc w:val="both"/>
        <w:rPr>
          <w:b/>
          <w:sz w:val="22"/>
          <w:szCs w:val="22"/>
          <w:lang w:val="sr-Latn-ME"/>
        </w:rPr>
      </w:pPr>
      <w:r w:rsidRPr="00D06084">
        <w:rPr>
          <w:b/>
          <w:bCs/>
          <w:sz w:val="22"/>
          <w:szCs w:val="22"/>
          <w:lang w:val="sr-Latn-ME"/>
        </w:rPr>
        <w:t xml:space="preserve">4.6. </w:t>
      </w:r>
      <w:r w:rsidR="00480FB1" w:rsidRPr="00D06084">
        <w:rPr>
          <w:b/>
          <w:bCs/>
          <w:sz w:val="22"/>
          <w:szCs w:val="22"/>
          <w:lang w:val="sr-Latn-ME"/>
        </w:rPr>
        <w:tab/>
      </w:r>
      <w:r w:rsidR="006D20A5" w:rsidRPr="00D06084">
        <w:rPr>
          <w:b/>
          <w:sz w:val="22"/>
          <w:szCs w:val="22"/>
          <w:lang w:val="sr-Latn-ME"/>
        </w:rPr>
        <w:t>Plodnost, trudnoća i dojenje</w:t>
      </w:r>
    </w:p>
    <w:p w14:paraId="76282339" w14:textId="77777777" w:rsidR="002031B3" w:rsidRPr="00D06084" w:rsidRDefault="002031B3" w:rsidP="0026099B">
      <w:pPr>
        <w:tabs>
          <w:tab w:val="left" w:pos="540"/>
          <w:tab w:val="left" w:pos="569"/>
        </w:tabs>
        <w:jc w:val="both"/>
        <w:rPr>
          <w:sz w:val="22"/>
          <w:szCs w:val="22"/>
          <w:u w:val="single"/>
          <w:lang w:val="sr-Latn-ME"/>
        </w:rPr>
      </w:pPr>
    </w:p>
    <w:p w14:paraId="7628233A" w14:textId="77777777" w:rsidR="001B4D09" w:rsidRPr="00D06084" w:rsidRDefault="001B4D09" w:rsidP="0026099B">
      <w:pPr>
        <w:pStyle w:val="Header"/>
        <w:tabs>
          <w:tab w:val="left" w:pos="284"/>
        </w:tabs>
        <w:jc w:val="both"/>
        <w:rPr>
          <w:sz w:val="22"/>
          <w:szCs w:val="22"/>
          <w:u w:val="single"/>
          <w:lang w:val="sr-Latn-ME"/>
        </w:rPr>
      </w:pPr>
      <w:r w:rsidRPr="00D06084">
        <w:rPr>
          <w:sz w:val="22"/>
          <w:szCs w:val="22"/>
          <w:u w:val="single"/>
          <w:lang w:val="sr-Latn-ME"/>
        </w:rPr>
        <w:t>Trudnoća</w:t>
      </w:r>
    </w:p>
    <w:p w14:paraId="7628233B" w14:textId="77777777" w:rsidR="001B4D09" w:rsidRPr="00D06084" w:rsidRDefault="001B4D09" w:rsidP="0026099B">
      <w:pPr>
        <w:pStyle w:val="Header"/>
        <w:jc w:val="both"/>
        <w:rPr>
          <w:sz w:val="22"/>
          <w:szCs w:val="22"/>
          <w:lang w:val="sr-Latn-ME"/>
        </w:rPr>
      </w:pPr>
      <w:r w:rsidRPr="00D06084">
        <w:rPr>
          <w:sz w:val="22"/>
          <w:szCs w:val="22"/>
          <w:lang w:val="sr-Latn-ME"/>
        </w:rPr>
        <w:t xml:space="preserve">Nema podataka ili su podaci o primjeni </w:t>
      </w:r>
      <w:proofErr w:type="spellStart"/>
      <w:r w:rsidRPr="00D06084">
        <w:rPr>
          <w:sz w:val="22"/>
          <w:szCs w:val="22"/>
          <w:lang w:val="sr-Latn-ME"/>
        </w:rPr>
        <w:t>diosmektita</w:t>
      </w:r>
      <w:proofErr w:type="spellEnd"/>
      <w:r w:rsidRPr="00D06084">
        <w:rPr>
          <w:sz w:val="22"/>
          <w:szCs w:val="22"/>
          <w:lang w:val="sr-Latn-ME"/>
        </w:rPr>
        <w:t xml:space="preserve"> kod trudnica ograničeni (manje od 300 trudnoća).</w:t>
      </w:r>
    </w:p>
    <w:p w14:paraId="7628233C" w14:textId="77777777" w:rsidR="001B4D09" w:rsidRPr="00D06084" w:rsidRDefault="001B4D09" w:rsidP="0026099B">
      <w:pPr>
        <w:pStyle w:val="Header"/>
        <w:jc w:val="both"/>
        <w:rPr>
          <w:sz w:val="22"/>
          <w:szCs w:val="22"/>
          <w:lang w:val="sr-Latn-ME"/>
        </w:rPr>
      </w:pPr>
      <w:r w:rsidRPr="00D06084">
        <w:rPr>
          <w:sz w:val="22"/>
          <w:szCs w:val="22"/>
          <w:lang w:val="sr-Latn-ME"/>
        </w:rPr>
        <w:t>Rezultati studija na životinjama su nedovoljni da bi se donio konačan zaključak o reproduktivnoj toksičnosti.</w:t>
      </w:r>
    </w:p>
    <w:p w14:paraId="7628233D" w14:textId="77777777" w:rsidR="001B4D09" w:rsidRPr="00D06084" w:rsidRDefault="001B4D09" w:rsidP="0026099B">
      <w:pPr>
        <w:pStyle w:val="Header"/>
        <w:tabs>
          <w:tab w:val="left" w:pos="284"/>
        </w:tabs>
        <w:jc w:val="both"/>
        <w:rPr>
          <w:sz w:val="22"/>
          <w:szCs w:val="22"/>
          <w:lang w:val="sr-Latn-ME"/>
        </w:rPr>
      </w:pPr>
      <w:r w:rsidRPr="00D06084">
        <w:rPr>
          <w:sz w:val="22"/>
          <w:szCs w:val="22"/>
          <w:lang w:val="sr-Latn-ME"/>
        </w:rPr>
        <w:t xml:space="preserve">Ne preporučuje se upotreba lijeka </w:t>
      </w:r>
      <w:proofErr w:type="spellStart"/>
      <w:r w:rsidRPr="00D06084">
        <w:rPr>
          <w:sz w:val="22"/>
          <w:szCs w:val="22"/>
          <w:lang w:val="sr-Latn-ME"/>
        </w:rPr>
        <w:t>Smecta</w:t>
      </w:r>
      <w:proofErr w:type="spellEnd"/>
      <w:r w:rsidRPr="00D06084">
        <w:rPr>
          <w:sz w:val="22"/>
          <w:szCs w:val="22"/>
          <w:lang w:val="sr-Latn-ME"/>
        </w:rPr>
        <w:t xml:space="preserve"> tokom trudnoće.</w:t>
      </w:r>
    </w:p>
    <w:p w14:paraId="7628233E" w14:textId="020CEA45" w:rsidR="001B4D09" w:rsidRPr="00D06084" w:rsidRDefault="001B4D09" w:rsidP="0026099B">
      <w:pPr>
        <w:pStyle w:val="Header"/>
        <w:tabs>
          <w:tab w:val="left" w:pos="284"/>
        </w:tabs>
        <w:jc w:val="both"/>
        <w:rPr>
          <w:sz w:val="22"/>
          <w:szCs w:val="22"/>
          <w:lang w:val="sr-Latn-ME"/>
        </w:rPr>
      </w:pPr>
    </w:p>
    <w:p w14:paraId="4483FAB6" w14:textId="77777777" w:rsidR="00D936C5" w:rsidRPr="00D06084" w:rsidRDefault="00D936C5" w:rsidP="0026099B">
      <w:pPr>
        <w:pStyle w:val="Header"/>
        <w:tabs>
          <w:tab w:val="left" w:pos="284"/>
        </w:tabs>
        <w:jc w:val="both"/>
        <w:rPr>
          <w:sz w:val="22"/>
          <w:szCs w:val="22"/>
          <w:lang w:val="sr-Latn-ME"/>
        </w:rPr>
      </w:pPr>
    </w:p>
    <w:p w14:paraId="7628233F" w14:textId="77777777" w:rsidR="001B4D09" w:rsidRPr="00D06084" w:rsidRDefault="001B4D09" w:rsidP="0026099B">
      <w:pPr>
        <w:pStyle w:val="Header"/>
        <w:tabs>
          <w:tab w:val="left" w:pos="284"/>
        </w:tabs>
        <w:jc w:val="both"/>
        <w:rPr>
          <w:sz w:val="22"/>
          <w:szCs w:val="22"/>
          <w:u w:val="single"/>
          <w:lang w:val="sr-Latn-ME"/>
        </w:rPr>
      </w:pPr>
      <w:r w:rsidRPr="00D06084">
        <w:rPr>
          <w:sz w:val="22"/>
          <w:szCs w:val="22"/>
          <w:u w:val="single"/>
          <w:lang w:val="sr-Latn-ME"/>
        </w:rPr>
        <w:lastRenderedPageBreak/>
        <w:t>Dojenje</w:t>
      </w:r>
    </w:p>
    <w:p w14:paraId="76282340" w14:textId="77777777" w:rsidR="001B4D09" w:rsidRPr="00D06084" w:rsidRDefault="001B4D09" w:rsidP="0026099B">
      <w:pPr>
        <w:pStyle w:val="Header"/>
        <w:jc w:val="both"/>
        <w:rPr>
          <w:sz w:val="22"/>
          <w:szCs w:val="22"/>
          <w:lang w:val="sr-Latn-ME"/>
        </w:rPr>
      </w:pPr>
      <w:r w:rsidRPr="00D06084">
        <w:rPr>
          <w:sz w:val="22"/>
          <w:szCs w:val="22"/>
          <w:lang w:val="sr-Latn-ME"/>
        </w:rPr>
        <w:t xml:space="preserve">Nema dovoljno podataka o upotrebi lijeka </w:t>
      </w:r>
      <w:proofErr w:type="spellStart"/>
      <w:r w:rsidRPr="00D06084">
        <w:rPr>
          <w:sz w:val="22"/>
          <w:szCs w:val="22"/>
          <w:lang w:val="sr-Latn-ME"/>
        </w:rPr>
        <w:t>Smecta</w:t>
      </w:r>
      <w:proofErr w:type="spellEnd"/>
      <w:r w:rsidRPr="00D06084">
        <w:rPr>
          <w:sz w:val="22"/>
          <w:szCs w:val="22"/>
          <w:lang w:val="sr-Latn-ME"/>
        </w:rPr>
        <w:t xml:space="preserve"> tokom dojenja.</w:t>
      </w:r>
    </w:p>
    <w:p w14:paraId="76282341" w14:textId="77777777" w:rsidR="001B4D09" w:rsidRPr="00D06084" w:rsidRDefault="001B4D09" w:rsidP="0026099B">
      <w:pPr>
        <w:pStyle w:val="Header"/>
        <w:tabs>
          <w:tab w:val="left" w:pos="284"/>
        </w:tabs>
        <w:jc w:val="both"/>
        <w:rPr>
          <w:sz w:val="22"/>
          <w:szCs w:val="22"/>
          <w:lang w:val="sr-Latn-ME"/>
        </w:rPr>
      </w:pPr>
      <w:r w:rsidRPr="00D06084">
        <w:rPr>
          <w:sz w:val="22"/>
          <w:szCs w:val="22"/>
          <w:lang w:val="sr-Latn-ME"/>
        </w:rPr>
        <w:t xml:space="preserve">Ne preporučuje se upotreba lijeka </w:t>
      </w:r>
      <w:proofErr w:type="spellStart"/>
      <w:r w:rsidRPr="00D06084">
        <w:rPr>
          <w:sz w:val="22"/>
          <w:szCs w:val="22"/>
          <w:lang w:val="sr-Latn-ME"/>
        </w:rPr>
        <w:t>Smecta</w:t>
      </w:r>
      <w:proofErr w:type="spellEnd"/>
      <w:r w:rsidRPr="00D06084">
        <w:rPr>
          <w:sz w:val="22"/>
          <w:szCs w:val="22"/>
          <w:lang w:val="sr-Latn-ME"/>
        </w:rPr>
        <w:t xml:space="preserve"> tokom dojenja.</w:t>
      </w:r>
    </w:p>
    <w:p w14:paraId="76282342" w14:textId="77777777" w:rsidR="002A6CF6" w:rsidRPr="00D06084" w:rsidRDefault="002A6CF6" w:rsidP="0026099B">
      <w:pPr>
        <w:pStyle w:val="Header"/>
        <w:tabs>
          <w:tab w:val="left" w:pos="284"/>
        </w:tabs>
        <w:jc w:val="both"/>
        <w:rPr>
          <w:sz w:val="22"/>
          <w:szCs w:val="22"/>
          <w:lang w:val="sr-Latn-ME"/>
        </w:rPr>
      </w:pPr>
    </w:p>
    <w:p w14:paraId="76282343" w14:textId="77777777" w:rsidR="002A6CF6" w:rsidRPr="00D06084" w:rsidRDefault="002A6CF6" w:rsidP="0026099B">
      <w:pPr>
        <w:pStyle w:val="Header"/>
        <w:tabs>
          <w:tab w:val="left" w:pos="284"/>
        </w:tabs>
        <w:jc w:val="both"/>
        <w:rPr>
          <w:sz w:val="22"/>
          <w:szCs w:val="22"/>
          <w:u w:val="single"/>
          <w:lang w:val="sr-Latn-ME"/>
        </w:rPr>
      </w:pPr>
      <w:r w:rsidRPr="00D06084">
        <w:rPr>
          <w:sz w:val="22"/>
          <w:szCs w:val="22"/>
          <w:u w:val="single"/>
          <w:lang w:val="sr-Latn-ME"/>
        </w:rPr>
        <w:t>Plodnost</w:t>
      </w:r>
    </w:p>
    <w:p w14:paraId="76282344" w14:textId="77777777" w:rsidR="002A6CF6" w:rsidRPr="00D06084" w:rsidRDefault="002A6CF6" w:rsidP="0026099B">
      <w:pPr>
        <w:tabs>
          <w:tab w:val="left" w:pos="540"/>
          <w:tab w:val="left" w:pos="569"/>
        </w:tabs>
        <w:jc w:val="both"/>
        <w:rPr>
          <w:b/>
          <w:bCs/>
          <w:sz w:val="22"/>
          <w:szCs w:val="22"/>
          <w:lang w:val="sr-Latn-ME"/>
        </w:rPr>
      </w:pPr>
      <w:r w:rsidRPr="00D06084">
        <w:rPr>
          <w:sz w:val="22"/>
          <w:szCs w:val="22"/>
          <w:lang w:val="sr-Latn-ME"/>
        </w:rPr>
        <w:t xml:space="preserve">Uticaj ovog lijeka na plodnost kod </w:t>
      </w:r>
      <w:proofErr w:type="spellStart"/>
      <w:r w:rsidRPr="00D06084">
        <w:rPr>
          <w:sz w:val="22"/>
          <w:szCs w:val="22"/>
          <w:lang w:val="sr-Latn-ME"/>
        </w:rPr>
        <w:t>ljudi</w:t>
      </w:r>
      <w:proofErr w:type="spellEnd"/>
      <w:r w:rsidRPr="00D06084">
        <w:rPr>
          <w:sz w:val="22"/>
          <w:szCs w:val="22"/>
          <w:lang w:val="sr-Latn-ME"/>
        </w:rPr>
        <w:t xml:space="preserve"> nije ispitan.</w:t>
      </w:r>
    </w:p>
    <w:p w14:paraId="76282345" w14:textId="77777777" w:rsidR="00227BDB" w:rsidRPr="00D06084" w:rsidRDefault="00227BDB" w:rsidP="0026099B">
      <w:pPr>
        <w:tabs>
          <w:tab w:val="left" w:pos="540"/>
          <w:tab w:val="left" w:pos="569"/>
        </w:tabs>
        <w:ind w:left="540" w:hanging="540"/>
        <w:jc w:val="both"/>
        <w:rPr>
          <w:b/>
          <w:bCs/>
          <w:sz w:val="22"/>
          <w:szCs w:val="22"/>
          <w:lang w:val="sr-Latn-ME"/>
        </w:rPr>
      </w:pPr>
    </w:p>
    <w:p w14:paraId="05293470" w14:textId="77777777" w:rsidR="00E5542E" w:rsidRPr="00D06084" w:rsidRDefault="0072020E" w:rsidP="0026099B">
      <w:pPr>
        <w:tabs>
          <w:tab w:val="left" w:pos="540"/>
          <w:tab w:val="left" w:pos="569"/>
        </w:tabs>
        <w:ind w:left="540" w:hanging="540"/>
        <w:jc w:val="both"/>
        <w:rPr>
          <w:b/>
          <w:bCs/>
          <w:sz w:val="22"/>
          <w:szCs w:val="22"/>
          <w:lang w:val="sr-Latn-ME"/>
        </w:rPr>
      </w:pPr>
      <w:r w:rsidRPr="00D06084">
        <w:rPr>
          <w:b/>
          <w:bCs/>
          <w:sz w:val="22"/>
          <w:szCs w:val="22"/>
          <w:lang w:val="sr-Latn-ME"/>
        </w:rPr>
        <w:t xml:space="preserve">4.7. </w:t>
      </w:r>
      <w:r w:rsidR="00480FB1" w:rsidRPr="00D06084">
        <w:rPr>
          <w:b/>
          <w:bCs/>
          <w:sz w:val="22"/>
          <w:szCs w:val="22"/>
          <w:lang w:val="sr-Latn-ME"/>
        </w:rPr>
        <w:tab/>
      </w:r>
      <w:r w:rsidRPr="00D06084">
        <w:rPr>
          <w:b/>
          <w:bCs/>
          <w:sz w:val="22"/>
          <w:szCs w:val="22"/>
          <w:lang w:val="sr-Latn-ME"/>
        </w:rPr>
        <w:t xml:space="preserve">Uticaj na </w:t>
      </w:r>
      <w:r w:rsidR="002031B3" w:rsidRPr="00D06084">
        <w:rPr>
          <w:b/>
          <w:bCs/>
          <w:sz w:val="22"/>
          <w:szCs w:val="22"/>
          <w:lang w:val="sr-Latn-ME"/>
        </w:rPr>
        <w:t xml:space="preserve">sposobnost </w:t>
      </w:r>
      <w:r w:rsidR="00F34554" w:rsidRPr="00D06084">
        <w:rPr>
          <w:b/>
          <w:bCs/>
          <w:sz w:val="22"/>
          <w:szCs w:val="22"/>
          <w:lang w:val="sr-Latn-ME"/>
        </w:rPr>
        <w:t>upravljanja vozili</w:t>
      </w:r>
      <w:r w:rsidRPr="00D06084">
        <w:rPr>
          <w:b/>
          <w:bCs/>
          <w:sz w:val="22"/>
          <w:szCs w:val="22"/>
          <w:lang w:val="sr-Latn-ME"/>
        </w:rPr>
        <w:t>m</w:t>
      </w:r>
      <w:r w:rsidR="00F34554" w:rsidRPr="00D06084">
        <w:rPr>
          <w:b/>
          <w:bCs/>
          <w:sz w:val="22"/>
          <w:szCs w:val="22"/>
          <w:lang w:val="sr-Latn-ME"/>
        </w:rPr>
        <w:t>a</w:t>
      </w:r>
      <w:r w:rsidRPr="00D06084">
        <w:rPr>
          <w:b/>
          <w:bCs/>
          <w:sz w:val="22"/>
          <w:szCs w:val="22"/>
          <w:lang w:val="sr-Latn-ME"/>
        </w:rPr>
        <w:t xml:space="preserve"> i </w:t>
      </w:r>
      <w:r w:rsidR="000D3449" w:rsidRPr="00D06084">
        <w:rPr>
          <w:b/>
          <w:bCs/>
          <w:sz w:val="22"/>
          <w:szCs w:val="22"/>
          <w:lang w:val="sr-Latn-ME"/>
        </w:rPr>
        <w:t xml:space="preserve">rukovanje </w:t>
      </w:r>
      <w:r w:rsidRPr="00D06084">
        <w:rPr>
          <w:b/>
          <w:bCs/>
          <w:sz w:val="22"/>
          <w:szCs w:val="22"/>
          <w:lang w:val="sr-Latn-ME"/>
        </w:rPr>
        <w:t>mašinama</w:t>
      </w:r>
    </w:p>
    <w:p w14:paraId="18AFEB4A" w14:textId="77777777" w:rsidR="00E5542E" w:rsidRPr="00D06084" w:rsidRDefault="00E5542E" w:rsidP="0026099B">
      <w:pPr>
        <w:tabs>
          <w:tab w:val="left" w:pos="540"/>
          <w:tab w:val="left" w:pos="569"/>
        </w:tabs>
        <w:ind w:left="540" w:hanging="540"/>
        <w:jc w:val="both"/>
        <w:rPr>
          <w:b/>
          <w:bCs/>
          <w:sz w:val="22"/>
          <w:szCs w:val="22"/>
          <w:lang w:val="sr-Latn-ME"/>
        </w:rPr>
      </w:pPr>
    </w:p>
    <w:p w14:paraId="76282348" w14:textId="4623C4CC" w:rsidR="001B4D09" w:rsidRPr="00D06084" w:rsidRDefault="001B4D09" w:rsidP="0026099B">
      <w:pPr>
        <w:tabs>
          <w:tab w:val="left" w:pos="0"/>
        </w:tabs>
        <w:jc w:val="both"/>
        <w:rPr>
          <w:b/>
          <w:bCs/>
          <w:sz w:val="22"/>
          <w:szCs w:val="22"/>
          <w:lang w:val="sr-Latn-ME"/>
        </w:rPr>
      </w:pPr>
      <w:r w:rsidRPr="00D06084">
        <w:rPr>
          <w:sz w:val="22"/>
          <w:szCs w:val="22"/>
          <w:lang w:val="sr-Latn-ME"/>
        </w:rPr>
        <w:t>Nijesu sprovedena ispitivanja uticaja ovog lijeka na sposobnost upravljanja vozilima i rukovanja</w:t>
      </w:r>
      <w:r w:rsidR="00E5542E" w:rsidRPr="00D06084">
        <w:rPr>
          <w:sz w:val="22"/>
          <w:szCs w:val="22"/>
          <w:lang w:val="sr-Latn-ME"/>
        </w:rPr>
        <w:t xml:space="preserve"> </w:t>
      </w:r>
      <w:r w:rsidRPr="00D06084">
        <w:rPr>
          <w:sz w:val="22"/>
          <w:szCs w:val="22"/>
          <w:lang w:val="sr-Latn-ME"/>
        </w:rPr>
        <w:t xml:space="preserve">mašinama. Ipak, očekuje se </w:t>
      </w:r>
      <w:r w:rsidR="002A6CF6" w:rsidRPr="00D06084">
        <w:rPr>
          <w:sz w:val="22"/>
          <w:szCs w:val="22"/>
          <w:lang w:val="sr-Latn-ME"/>
        </w:rPr>
        <w:t xml:space="preserve">da lijek nema ili ima zanemarljiv </w:t>
      </w:r>
      <w:r w:rsidRPr="00D06084">
        <w:rPr>
          <w:sz w:val="22"/>
          <w:szCs w:val="22"/>
          <w:lang w:val="sr-Latn-ME"/>
        </w:rPr>
        <w:t>uticaj.</w:t>
      </w:r>
    </w:p>
    <w:p w14:paraId="76282349" w14:textId="77777777" w:rsidR="0072020E" w:rsidRPr="00D06084" w:rsidRDefault="0072020E" w:rsidP="0026099B">
      <w:pPr>
        <w:tabs>
          <w:tab w:val="left" w:pos="540"/>
          <w:tab w:val="left" w:pos="569"/>
        </w:tabs>
        <w:jc w:val="both"/>
        <w:rPr>
          <w:b/>
          <w:bCs/>
          <w:sz w:val="22"/>
          <w:szCs w:val="22"/>
          <w:lang w:val="sr-Latn-ME"/>
        </w:rPr>
      </w:pPr>
    </w:p>
    <w:p w14:paraId="7628234A" w14:textId="77777777" w:rsidR="0072020E" w:rsidRPr="00D06084" w:rsidRDefault="0072020E" w:rsidP="0026099B">
      <w:pPr>
        <w:tabs>
          <w:tab w:val="left" w:pos="540"/>
          <w:tab w:val="left" w:pos="569"/>
        </w:tabs>
        <w:jc w:val="both"/>
        <w:rPr>
          <w:b/>
          <w:bCs/>
          <w:sz w:val="22"/>
          <w:szCs w:val="22"/>
          <w:lang w:val="sr-Latn-ME"/>
        </w:rPr>
      </w:pPr>
      <w:r w:rsidRPr="00D06084">
        <w:rPr>
          <w:b/>
          <w:bCs/>
          <w:sz w:val="22"/>
          <w:szCs w:val="22"/>
          <w:lang w:val="sr-Latn-ME"/>
        </w:rPr>
        <w:t xml:space="preserve">4.8. </w:t>
      </w:r>
      <w:r w:rsidR="00480FB1" w:rsidRPr="00D06084">
        <w:rPr>
          <w:b/>
          <w:bCs/>
          <w:sz w:val="22"/>
          <w:szCs w:val="22"/>
          <w:lang w:val="sr-Latn-ME"/>
        </w:rPr>
        <w:tab/>
      </w:r>
      <w:r w:rsidRPr="00D06084">
        <w:rPr>
          <w:b/>
          <w:bCs/>
          <w:sz w:val="22"/>
          <w:szCs w:val="22"/>
          <w:lang w:val="sr-Latn-ME"/>
        </w:rPr>
        <w:t>Neželjena dejstva</w:t>
      </w:r>
    </w:p>
    <w:p w14:paraId="3BB52BBE" w14:textId="77777777" w:rsidR="00E5542E" w:rsidRPr="00D06084" w:rsidRDefault="00E5542E" w:rsidP="0026099B">
      <w:pPr>
        <w:pStyle w:val="Header"/>
        <w:tabs>
          <w:tab w:val="left" w:pos="284"/>
        </w:tabs>
        <w:jc w:val="both"/>
        <w:rPr>
          <w:sz w:val="22"/>
          <w:szCs w:val="22"/>
          <w:lang w:val="sr-Latn-ME"/>
        </w:rPr>
      </w:pPr>
    </w:p>
    <w:p w14:paraId="7628234C" w14:textId="1272084D" w:rsidR="001B4D09" w:rsidRPr="00D06084" w:rsidRDefault="001B4D09" w:rsidP="0026099B">
      <w:pPr>
        <w:pStyle w:val="Header"/>
        <w:tabs>
          <w:tab w:val="left" w:pos="284"/>
        </w:tabs>
        <w:jc w:val="both"/>
        <w:rPr>
          <w:sz w:val="22"/>
          <w:szCs w:val="22"/>
          <w:lang w:val="sr-Latn-ME"/>
        </w:rPr>
      </w:pPr>
      <w:r w:rsidRPr="00D06084">
        <w:rPr>
          <w:sz w:val="22"/>
          <w:szCs w:val="22"/>
          <w:lang w:val="sr-Latn-ME"/>
        </w:rPr>
        <w:t xml:space="preserve">Najčešće prijavljivano neželjeno dejstvo tokom terapije je konstipacija, koja se javlja kod približno 7 % odraslih i 1 % djece. Ukoliko se javi konstipacija, primjenu </w:t>
      </w:r>
      <w:proofErr w:type="spellStart"/>
      <w:r w:rsidRPr="00D06084">
        <w:rPr>
          <w:sz w:val="22"/>
          <w:szCs w:val="22"/>
          <w:lang w:val="sr-Latn-ME"/>
        </w:rPr>
        <w:t>diosmektita</w:t>
      </w:r>
      <w:proofErr w:type="spellEnd"/>
      <w:r w:rsidRPr="00D06084">
        <w:rPr>
          <w:sz w:val="22"/>
          <w:szCs w:val="22"/>
          <w:lang w:val="sr-Latn-ME"/>
        </w:rPr>
        <w:t xml:space="preserve"> treba prekinuti i ukoliko je neophodno ponovo započeti sa nižom dozom. </w:t>
      </w:r>
    </w:p>
    <w:p w14:paraId="7628234D" w14:textId="77777777" w:rsidR="001B4D09" w:rsidRPr="00D06084" w:rsidRDefault="001B4D09" w:rsidP="0026099B">
      <w:pPr>
        <w:pStyle w:val="Header"/>
        <w:tabs>
          <w:tab w:val="left" w:pos="284"/>
        </w:tabs>
        <w:jc w:val="both"/>
        <w:rPr>
          <w:sz w:val="22"/>
          <w:szCs w:val="22"/>
          <w:lang w:val="sr-Latn-ME"/>
        </w:rPr>
      </w:pPr>
    </w:p>
    <w:p w14:paraId="7628234E" w14:textId="77777777" w:rsidR="001B4D09" w:rsidRPr="00D06084" w:rsidRDefault="001B4D09" w:rsidP="0026099B">
      <w:pPr>
        <w:pStyle w:val="Header"/>
        <w:tabs>
          <w:tab w:val="left" w:pos="284"/>
        </w:tabs>
        <w:jc w:val="both"/>
        <w:rPr>
          <w:sz w:val="22"/>
          <w:szCs w:val="22"/>
          <w:lang w:val="sr-Latn-ME"/>
        </w:rPr>
      </w:pPr>
      <w:r w:rsidRPr="00D06084">
        <w:rPr>
          <w:sz w:val="22"/>
          <w:szCs w:val="22"/>
          <w:lang w:val="sr-Latn-ME"/>
        </w:rPr>
        <w:t xml:space="preserve">U tabeli </w:t>
      </w:r>
      <w:r w:rsidR="002A6CF6" w:rsidRPr="00D06084">
        <w:rPr>
          <w:sz w:val="22"/>
          <w:szCs w:val="22"/>
          <w:lang w:val="sr-Latn-ME"/>
        </w:rPr>
        <w:t xml:space="preserve">u nastavku su </w:t>
      </w:r>
      <w:r w:rsidRPr="00D06084">
        <w:rPr>
          <w:sz w:val="22"/>
          <w:szCs w:val="22"/>
          <w:lang w:val="sr-Latn-ME"/>
        </w:rPr>
        <w:t xml:space="preserve">prikazana neželjena dejstva prijavljena tokom kliničkih studija i u </w:t>
      </w:r>
      <w:proofErr w:type="spellStart"/>
      <w:r w:rsidRPr="00D06084">
        <w:rPr>
          <w:sz w:val="22"/>
          <w:szCs w:val="22"/>
          <w:lang w:val="sr-Latn-ME"/>
        </w:rPr>
        <w:t>postmarketinškom</w:t>
      </w:r>
      <w:proofErr w:type="spellEnd"/>
      <w:r w:rsidRPr="00D06084">
        <w:rPr>
          <w:sz w:val="22"/>
          <w:szCs w:val="22"/>
          <w:lang w:val="sr-Latn-ME"/>
        </w:rPr>
        <w:t xml:space="preserve"> periodu. Učestalost ispoljavanja neželjenih dejstava je klasifikovana na sljedeći način: veoma čest</w:t>
      </w:r>
      <w:r w:rsidR="002A6CF6" w:rsidRPr="00D06084">
        <w:rPr>
          <w:sz w:val="22"/>
          <w:szCs w:val="22"/>
          <w:lang w:val="sr-Latn-ME"/>
        </w:rPr>
        <w:t>o</w:t>
      </w:r>
      <w:r w:rsidRPr="00D06084">
        <w:rPr>
          <w:sz w:val="22"/>
          <w:szCs w:val="22"/>
          <w:lang w:val="sr-Latn-ME"/>
        </w:rPr>
        <w:t xml:space="preserve">  </w:t>
      </w:r>
      <w:r w:rsidRPr="00D06084">
        <w:rPr>
          <w:spacing w:val="-3"/>
          <w:sz w:val="22"/>
          <w:szCs w:val="22"/>
          <w:lang w:val="sr-Latn-ME"/>
        </w:rPr>
        <w:t xml:space="preserve">( ≥ 1/10), </w:t>
      </w:r>
      <w:r w:rsidRPr="00D06084">
        <w:rPr>
          <w:sz w:val="22"/>
          <w:szCs w:val="22"/>
          <w:lang w:val="sr-Latn-ME"/>
        </w:rPr>
        <w:t>čest</w:t>
      </w:r>
      <w:r w:rsidR="002A6CF6" w:rsidRPr="00D06084">
        <w:rPr>
          <w:sz w:val="22"/>
          <w:szCs w:val="22"/>
          <w:lang w:val="sr-Latn-ME"/>
        </w:rPr>
        <w:t>o</w:t>
      </w:r>
      <w:r w:rsidRPr="00D06084">
        <w:rPr>
          <w:sz w:val="22"/>
          <w:szCs w:val="22"/>
          <w:lang w:val="sr-Latn-ME"/>
        </w:rPr>
        <w:t xml:space="preserve"> </w:t>
      </w:r>
      <w:r w:rsidRPr="00D06084">
        <w:rPr>
          <w:spacing w:val="-3"/>
          <w:sz w:val="22"/>
          <w:szCs w:val="22"/>
          <w:lang w:val="sr-Latn-ME"/>
        </w:rPr>
        <w:t>( ≥ 1/100 do &lt; 1/10), povremen</w:t>
      </w:r>
      <w:r w:rsidR="002A6CF6" w:rsidRPr="00D06084">
        <w:rPr>
          <w:spacing w:val="-3"/>
          <w:sz w:val="22"/>
          <w:szCs w:val="22"/>
          <w:lang w:val="sr-Latn-ME"/>
        </w:rPr>
        <w:t>o</w:t>
      </w:r>
      <w:r w:rsidRPr="00D06084">
        <w:rPr>
          <w:spacing w:val="-3"/>
          <w:sz w:val="22"/>
          <w:szCs w:val="22"/>
          <w:lang w:val="sr-Latn-ME"/>
        </w:rPr>
        <w:t xml:space="preserve"> (≥ 1/1000, do &lt; 1/100), rijetk</w:t>
      </w:r>
      <w:r w:rsidR="002A6CF6" w:rsidRPr="00D06084">
        <w:rPr>
          <w:spacing w:val="-3"/>
          <w:sz w:val="22"/>
          <w:szCs w:val="22"/>
          <w:lang w:val="sr-Latn-ME"/>
        </w:rPr>
        <w:t>o</w:t>
      </w:r>
      <w:r w:rsidRPr="00D06084">
        <w:rPr>
          <w:spacing w:val="-3"/>
          <w:sz w:val="22"/>
          <w:szCs w:val="22"/>
          <w:lang w:val="sr-Latn-ME"/>
        </w:rPr>
        <w:t xml:space="preserve"> ( ≥ 1/10000 do &lt; 1/1000), </w:t>
      </w:r>
      <w:r w:rsidRPr="00D06084">
        <w:rPr>
          <w:sz w:val="22"/>
          <w:szCs w:val="22"/>
          <w:lang w:val="sr-Latn-ME"/>
        </w:rPr>
        <w:t>nepoznat</w:t>
      </w:r>
      <w:r w:rsidR="002A6CF6" w:rsidRPr="00D06084">
        <w:rPr>
          <w:sz w:val="22"/>
          <w:szCs w:val="22"/>
          <w:lang w:val="sr-Latn-ME"/>
        </w:rPr>
        <w:t>o</w:t>
      </w:r>
      <w:r w:rsidRPr="00D06084">
        <w:rPr>
          <w:sz w:val="22"/>
          <w:szCs w:val="22"/>
          <w:lang w:val="sr-Latn-ME"/>
        </w:rPr>
        <w:t xml:space="preserve"> (ne može se </w:t>
      </w:r>
      <w:proofErr w:type="spellStart"/>
      <w:r w:rsidRPr="00D06084">
        <w:rPr>
          <w:sz w:val="22"/>
          <w:szCs w:val="22"/>
          <w:lang w:val="sr-Latn-ME"/>
        </w:rPr>
        <w:t>procjeniti</w:t>
      </w:r>
      <w:proofErr w:type="spellEnd"/>
      <w:r w:rsidRPr="00D06084">
        <w:rPr>
          <w:sz w:val="22"/>
          <w:szCs w:val="22"/>
          <w:lang w:val="sr-Latn-ME"/>
        </w:rPr>
        <w:t xml:space="preserve"> na osnovu dostupnih podataka)</w:t>
      </w:r>
      <w:r w:rsidRPr="00D06084">
        <w:rPr>
          <w:spacing w:val="-3"/>
          <w:sz w:val="22"/>
          <w:szCs w:val="22"/>
          <w:lang w:val="sr-Latn-ME"/>
        </w:rPr>
        <w:t xml:space="preserve">. </w:t>
      </w:r>
    </w:p>
    <w:p w14:paraId="7628234F" w14:textId="77777777" w:rsidR="001B4D09" w:rsidRPr="00D06084" w:rsidRDefault="001B4D09" w:rsidP="0026099B">
      <w:pPr>
        <w:pStyle w:val="Header"/>
        <w:tabs>
          <w:tab w:val="left" w:pos="284"/>
        </w:tabs>
        <w:jc w:val="both"/>
        <w:rPr>
          <w:spacing w:val="-3"/>
          <w:sz w:val="22"/>
          <w:szCs w:val="22"/>
          <w:lang w:val="sr-Latn-ME"/>
        </w:rPr>
      </w:pPr>
    </w:p>
    <w:p w14:paraId="76282350" w14:textId="77777777" w:rsidR="001B4D09" w:rsidRPr="00D06084" w:rsidRDefault="001B4D09" w:rsidP="0026099B">
      <w:pPr>
        <w:pStyle w:val="Header"/>
        <w:tabs>
          <w:tab w:val="left" w:pos="284"/>
        </w:tabs>
        <w:jc w:val="both"/>
        <w:rPr>
          <w:sz w:val="22"/>
          <w:szCs w:val="22"/>
          <w:lang w:val="sr-Latn-ME"/>
        </w:rPr>
      </w:pPr>
      <w:r w:rsidRPr="00D06084">
        <w:rPr>
          <w:sz w:val="22"/>
          <w:szCs w:val="22"/>
          <w:lang w:val="sr-Latn-ME"/>
        </w:rPr>
        <w:t xml:space="preserve">Neželjena dejstva zabilježena tokom kliničkih studija i u </w:t>
      </w:r>
      <w:proofErr w:type="spellStart"/>
      <w:r w:rsidRPr="00D06084">
        <w:rPr>
          <w:sz w:val="22"/>
          <w:szCs w:val="22"/>
          <w:lang w:val="sr-Latn-ME"/>
        </w:rPr>
        <w:t>postmarketinškom</w:t>
      </w:r>
      <w:proofErr w:type="spellEnd"/>
      <w:r w:rsidRPr="00D06084">
        <w:rPr>
          <w:sz w:val="22"/>
          <w:szCs w:val="22"/>
          <w:lang w:val="sr-Latn-ME"/>
        </w:rPr>
        <w:t xml:space="preserve"> periodu</w:t>
      </w:r>
    </w:p>
    <w:p w14:paraId="76282351" w14:textId="77777777" w:rsidR="001B4D09" w:rsidRPr="00D06084" w:rsidRDefault="001B4D09" w:rsidP="0026099B">
      <w:pPr>
        <w:pStyle w:val="Header"/>
        <w:tabs>
          <w:tab w:val="left" w:pos="284"/>
        </w:tab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3008"/>
        <w:gridCol w:w="3020"/>
      </w:tblGrid>
      <w:tr w:rsidR="001B4D09" w:rsidRPr="00D06084" w14:paraId="76282355" w14:textId="77777777" w:rsidTr="0026099B">
        <w:trPr>
          <w:trHeight w:val="346"/>
        </w:trPr>
        <w:tc>
          <w:tcPr>
            <w:tcW w:w="3047" w:type="dxa"/>
            <w:shd w:val="clear" w:color="auto" w:fill="auto"/>
          </w:tcPr>
          <w:p w14:paraId="76282352" w14:textId="77777777" w:rsidR="001B4D09" w:rsidRPr="00D06084" w:rsidRDefault="001B4D09" w:rsidP="0026099B">
            <w:pPr>
              <w:pStyle w:val="Header"/>
              <w:tabs>
                <w:tab w:val="left" w:pos="284"/>
              </w:tabs>
              <w:jc w:val="both"/>
              <w:rPr>
                <w:rFonts w:eastAsia="Calibri"/>
                <w:b/>
                <w:spacing w:val="-3"/>
                <w:sz w:val="22"/>
                <w:szCs w:val="22"/>
                <w:lang w:val="sr-Latn-ME"/>
              </w:rPr>
            </w:pPr>
            <w:r w:rsidRPr="00D06084">
              <w:rPr>
                <w:rFonts w:eastAsia="Calibri"/>
                <w:b/>
                <w:spacing w:val="-3"/>
                <w:sz w:val="22"/>
                <w:szCs w:val="22"/>
                <w:lang w:val="sr-Latn-ME"/>
              </w:rPr>
              <w:t>Klasa sistema organa</w:t>
            </w:r>
          </w:p>
        </w:tc>
        <w:tc>
          <w:tcPr>
            <w:tcW w:w="3008" w:type="dxa"/>
            <w:shd w:val="clear" w:color="auto" w:fill="auto"/>
          </w:tcPr>
          <w:p w14:paraId="76282353" w14:textId="77777777" w:rsidR="001B4D09" w:rsidRPr="00D06084" w:rsidRDefault="001B4D09" w:rsidP="0026099B">
            <w:pPr>
              <w:pStyle w:val="Header"/>
              <w:tabs>
                <w:tab w:val="left" w:pos="284"/>
              </w:tabs>
              <w:jc w:val="both"/>
              <w:rPr>
                <w:rFonts w:eastAsia="Calibri"/>
                <w:b/>
                <w:spacing w:val="-3"/>
                <w:sz w:val="22"/>
                <w:szCs w:val="22"/>
                <w:lang w:val="sr-Latn-ME"/>
              </w:rPr>
            </w:pPr>
            <w:r w:rsidRPr="00D06084">
              <w:rPr>
                <w:rFonts w:eastAsia="Calibri"/>
                <w:b/>
                <w:spacing w:val="-3"/>
                <w:sz w:val="22"/>
                <w:szCs w:val="22"/>
                <w:lang w:val="sr-Latn-ME"/>
              </w:rPr>
              <w:t>Učestalost</w:t>
            </w:r>
          </w:p>
        </w:tc>
        <w:tc>
          <w:tcPr>
            <w:tcW w:w="3020" w:type="dxa"/>
            <w:shd w:val="clear" w:color="auto" w:fill="auto"/>
          </w:tcPr>
          <w:p w14:paraId="76282354" w14:textId="77777777" w:rsidR="001B4D09" w:rsidRPr="00D06084" w:rsidRDefault="001B4D09" w:rsidP="0026099B">
            <w:pPr>
              <w:pStyle w:val="Header"/>
              <w:tabs>
                <w:tab w:val="left" w:pos="284"/>
              </w:tabs>
              <w:jc w:val="both"/>
              <w:rPr>
                <w:rFonts w:eastAsia="Calibri"/>
                <w:b/>
                <w:spacing w:val="-3"/>
                <w:sz w:val="22"/>
                <w:szCs w:val="22"/>
                <w:lang w:val="sr-Latn-ME"/>
              </w:rPr>
            </w:pPr>
            <w:r w:rsidRPr="00D06084">
              <w:rPr>
                <w:rFonts w:eastAsia="Calibri"/>
                <w:b/>
                <w:spacing w:val="-3"/>
                <w:sz w:val="22"/>
                <w:szCs w:val="22"/>
                <w:lang w:val="sr-Latn-ME"/>
              </w:rPr>
              <w:t>Neželjeno dejstvo</w:t>
            </w:r>
          </w:p>
        </w:tc>
      </w:tr>
      <w:tr w:rsidR="0026099B" w:rsidRPr="00D06084" w14:paraId="7628235B" w14:textId="77777777" w:rsidTr="0026099B">
        <w:trPr>
          <w:trHeight w:val="183"/>
        </w:trPr>
        <w:tc>
          <w:tcPr>
            <w:tcW w:w="3047" w:type="dxa"/>
            <w:vMerge w:val="restart"/>
            <w:shd w:val="clear" w:color="auto" w:fill="auto"/>
          </w:tcPr>
          <w:p w14:paraId="76282356" w14:textId="77777777" w:rsidR="0026099B" w:rsidRPr="00D06084" w:rsidRDefault="0026099B"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Gastrointestinalni poremećaji</w:t>
            </w:r>
          </w:p>
        </w:tc>
        <w:tc>
          <w:tcPr>
            <w:tcW w:w="3008" w:type="dxa"/>
            <w:shd w:val="clear" w:color="auto" w:fill="auto"/>
          </w:tcPr>
          <w:p w14:paraId="76282358" w14:textId="49E73BFA" w:rsidR="0026099B" w:rsidRPr="00D06084" w:rsidRDefault="0026099B"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često*</w:t>
            </w:r>
          </w:p>
        </w:tc>
        <w:tc>
          <w:tcPr>
            <w:tcW w:w="3020" w:type="dxa"/>
            <w:shd w:val="clear" w:color="auto" w:fill="auto"/>
          </w:tcPr>
          <w:p w14:paraId="7628235A" w14:textId="4580E474" w:rsidR="0026099B" w:rsidRPr="00D06084" w:rsidRDefault="0026099B"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konstipacija</w:t>
            </w:r>
          </w:p>
        </w:tc>
      </w:tr>
      <w:tr w:rsidR="0026099B" w:rsidRPr="00D06084" w14:paraId="0652E2BD" w14:textId="77777777" w:rsidTr="0026099B">
        <w:trPr>
          <w:trHeight w:val="182"/>
        </w:trPr>
        <w:tc>
          <w:tcPr>
            <w:tcW w:w="3047" w:type="dxa"/>
            <w:vMerge/>
            <w:shd w:val="clear" w:color="auto" w:fill="auto"/>
          </w:tcPr>
          <w:p w14:paraId="7107F0F9" w14:textId="77777777" w:rsidR="0026099B" w:rsidRPr="00D06084" w:rsidRDefault="0026099B" w:rsidP="0026099B">
            <w:pPr>
              <w:pStyle w:val="Header"/>
              <w:tabs>
                <w:tab w:val="left" w:pos="284"/>
              </w:tabs>
              <w:jc w:val="both"/>
              <w:rPr>
                <w:rFonts w:eastAsia="Calibri"/>
                <w:spacing w:val="-3"/>
                <w:sz w:val="22"/>
                <w:szCs w:val="22"/>
                <w:lang w:val="sr-Latn-ME"/>
              </w:rPr>
            </w:pPr>
          </w:p>
        </w:tc>
        <w:tc>
          <w:tcPr>
            <w:tcW w:w="3008" w:type="dxa"/>
            <w:shd w:val="clear" w:color="auto" w:fill="auto"/>
          </w:tcPr>
          <w:p w14:paraId="58B467C8" w14:textId="2CC92DBA" w:rsidR="0026099B" w:rsidRPr="00D06084" w:rsidRDefault="0026099B"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povremeno</w:t>
            </w:r>
          </w:p>
        </w:tc>
        <w:tc>
          <w:tcPr>
            <w:tcW w:w="3020" w:type="dxa"/>
            <w:shd w:val="clear" w:color="auto" w:fill="auto"/>
          </w:tcPr>
          <w:p w14:paraId="1BFE5014" w14:textId="0CE0BDAE" w:rsidR="0026099B" w:rsidRPr="00D06084" w:rsidRDefault="0026099B"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povraćanje</w:t>
            </w:r>
          </w:p>
        </w:tc>
      </w:tr>
      <w:tr w:rsidR="001B4D09" w:rsidRPr="00D06084" w14:paraId="7628235F" w14:textId="77777777" w:rsidTr="0026099B">
        <w:trPr>
          <w:trHeight w:val="346"/>
        </w:trPr>
        <w:tc>
          <w:tcPr>
            <w:tcW w:w="3047" w:type="dxa"/>
            <w:vMerge w:val="restart"/>
            <w:shd w:val="clear" w:color="auto" w:fill="auto"/>
          </w:tcPr>
          <w:p w14:paraId="7628235C" w14:textId="77777777" w:rsidR="001B4D09" w:rsidRPr="00D06084" w:rsidRDefault="001B4D09"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Poremećaji kože i potkožnog tkiva</w:t>
            </w:r>
          </w:p>
        </w:tc>
        <w:tc>
          <w:tcPr>
            <w:tcW w:w="3008" w:type="dxa"/>
            <w:shd w:val="clear" w:color="auto" w:fill="auto"/>
          </w:tcPr>
          <w:p w14:paraId="7628235D" w14:textId="77777777" w:rsidR="001B4D09" w:rsidRPr="00D06084" w:rsidRDefault="001B4D09"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povremeno*</w:t>
            </w:r>
          </w:p>
        </w:tc>
        <w:tc>
          <w:tcPr>
            <w:tcW w:w="3020" w:type="dxa"/>
            <w:shd w:val="clear" w:color="auto" w:fill="auto"/>
          </w:tcPr>
          <w:p w14:paraId="7628235E" w14:textId="77777777" w:rsidR="001B4D09" w:rsidRPr="00D06084" w:rsidRDefault="001B4D09"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osip</w:t>
            </w:r>
          </w:p>
        </w:tc>
      </w:tr>
      <w:tr w:rsidR="001B4D09" w:rsidRPr="00D06084" w14:paraId="76282363" w14:textId="77777777" w:rsidTr="0026099B">
        <w:trPr>
          <w:trHeight w:val="346"/>
        </w:trPr>
        <w:tc>
          <w:tcPr>
            <w:tcW w:w="3047" w:type="dxa"/>
            <w:vMerge/>
            <w:shd w:val="clear" w:color="auto" w:fill="auto"/>
          </w:tcPr>
          <w:p w14:paraId="76282360" w14:textId="77777777" w:rsidR="001B4D09" w:rsidRPr="00D06084" w:rsidRDefault="001B4D09" w:rsidP="0026099B">
            <w:pPr>
              <w:pStyle w:val="Header"/>
              <w:tabs>
                <w:tab w:val="left" w:pos="284"/>
              </w:tabs>
              <w:jc w:val="both"/>
              <w:rPr>
                <w:rFonts w:eastAsia="Calibri"/>
                <w:spacing w:val="-3"/>
                <w:sz w:val="22"/>
                <w:szCs w:val="22"/>
                <w:lang w:val="sr-Latn-ME"/>
              </w:rPr>
            </w:pPr>
          </w:p>
        </w:tc>
        <w:tc>
          <w:tcPr>
            <w:tcW w:w="3008" w:type="dxa"/>
            <w:shd w:val="clear" w:color="auto" w:fill="auto"/>
          </w:tcPr>
          <w:p w14:paraId="76282361" w14:textId="77777777" w:rsidR="001B4D09" w:rsidRPr="00D06084" w:rsidRDefault="001B4D09"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rijetko*</w:t>
            </w:r>
          </w:p>
        </w:tc>
        <w:tc>
          <w:tcPr>
            <w:tcW w:w="3020" w:type="dxa"/>
            <w:shd w:val="clear" w:color="auto" w:fill="auto"/>
          </w:tcPr>
          <w:p w14:paraId="76282362" w14:textId="77777777" w:rsidR="001B4D09" w:rsidRPr="00D06084" w:rsidRDefault="001B4D09"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urtikarija</w:t>
            </w:r>
          </w:p>
        </w:tc>
      </w:tr>
      <w:tr w:rsidR="001B4D09" w:rsidRPr="00D06084" w14:paraId="76282367" w14:textId="77777777" w:rsidTr="0026099B">
        <w:trPr>
          <w:trHeight w:val="346"/>
        </w:trPr>
        <w:tc>
          <w:tcPr>
            <w:tcW w:w="3047" w:type="dxa"/>
            <w:vMerge/>
            <w:shd w:val="clear" w:color="auto" w:fill="auto"/>
          </w:tcPr>
          <w:p w14:paraId="76282364" w14:textId="77777777" w:rsidR="001B4D09" w:rsidRPr="00D06084" w:rsidRDefault="001B4D09" w:rsidP="0026099B">
            <w:pPr>
              <w:pStyle w:val="Header"/>
              <w:tabs>
                <w:tab w:val="left" w:pos="284"/>
              </w:tabs>
              <w:jc w:val="both"/>
              <w:rPr>
                <w:rFonts w:eastAsia="Calibri"/>
                <w:spacing w:val="-3"/>
                <w:sz w:val="22"/>
                <w:szCs w:val="22"/>
                <w:lang w:val="sr-Latn-ME"/>
              </w:rPr>
            </w:pPr>
          </w:p>
        </w:tc>
        <w:tc>
          <w:tcPr>
            <w:tcW w:w="3008" w:type="dxa"/>
            <w:shd w:val="clear" w:color="auto" w:fill="auto"/>
          </w:tcPr>
          <w:p w14:paraId="76282365" w14:textId="77777777" w:rsidR="001B4D09" w:rsidRPr="00D06084" w:rsidRDefault="001B4D09"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nepoznato</w:t>
            </w:r>
          </w:p>
        </w:tc>
        <w:tc>
          <w:tcPr>
            <w:tcW w:w="3020" w:type="dxa"/>
            <w:shd w:val="clear" w:color="auto" w:fill="auto"/>
          </w:tcPr>
          <w:p w14:paraId="76282366" w14:textId="0B74803F" w:rsidR="001B4D09" w:rsidRPr="00D06084" w:rsidRDefault="001B4D09" w:rsidP="0026099B">
            <w:pPr>
              <w:pStyle w:val="Header"/>
              <w:tabs>
                <w:tab w:val="left" w:pos="284"/>
              </w:tabs>
              <w:jc w:val="both"/>
              <w:rPr>
                <w:rFonts w:eastAsia="Calibri"/>
                <w:spacing w:val="-3"/>
                <w:sz w:val="22"/>
                <w:szCs w:val="22"/>
                <w:lang w:val="sr-Latn-ME"/>
              </w:rPr>
            </w:pPr>
            <w:proofErr w:type="spellStart"/>
            <w:r w:rsidRPr="00D06084">
              <w:rPr>
                <w:rFonts w:eastAsia="Calibri"/>
                <w:spacing w:val="-3"/>
                <w:sz w:val="22"/>
                <w:szCs w:val="22"/>
                <w:lang w:val="sr-Latn-ME"/>
              </w:rPr>
              <w:t>angioedem</w:t>
            </w:r>
            <w:proofErr w:type="spellEnd"/>
            <w:r w:rsidRPr="00D06084">
              <w:rPr>
                <w:rFonts w:eastAsia="Calibri"/>
                <w:spacing w:val="-3"/>
                <w:sz w:val="22"/>
                <w:szCs w:val="22"/>
                <w:lang w:val="sr-Latn-ME"/>
              </w:rPr>
              <w:t>, svrab</w:t>
            </w:r>
          </w:p>
        </w:tc>
      </w:tr>
      <w:tr w:rsidR="001B4D09" w:rsidRPr="00D06084" w14:paraId="7628236B" w14:textId="77777777" w:rsidTr="0026099B">
        <w:trPr>
          <w:trHeight w:val="346"/>
        </w:trPr>
        <w:tc>
          <w:tcPr>
            <w:tcW w:w="3047" w:type="dxa"/>
            <w:shd w:val="clear" w:color="auto" w:fill="auto"/>
          </w:tcPr>
          <w:p w14:paraId="76282368" w14:textId="77777777" w:rsidR="001B4D09" w:rsidRPr="00D06084" w:rsidRDefault="001B4D09"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 xml:space="preserve">Poremećaji </w:t>
            </w:r>
            <w:proofErr w:type="spellStart"/>
            <w:r w:rsidRPr="00D06084">
              <w:rPr>
                <w:rFonts w:eastAsia="Calibri"/>
                <w:spacing w:val="-3"/>
                <w:sz w:val="22"/>
                <w:szCs w:val="22"/>
                <w:lang w:val="sr-Latn-ME"/>
              </w:rPr>
              <w:t>imunskog</w:t>
            </w:r>
            <w:proofErr w:type="spellEnd"/>
            <w:r w:rsidRPr="00D06084">
              <w:rPr>
                <w:rFonts w:eastAsia="Calibri"/>
                <w:spacing w:val="-3"/>
                <w:sz w:val="22"/>
                <w:szCs w:val="22"/>
                <w:lang w:val="sr-Latn-ME"/>
              </w:rPr>
              <w:t xml:space="preserve"> sistema</w:t>
            </w:r>
          </w:p>
        </w:tc>
        <w:tc>
          <w:tcPr>
            <w:tcW w:w="3008" w:type="dxa"/>
            <w:shd w:val="clear" w:color="auto" w:fill="auto"/>
          </w:tcPr>
          <w:p w14:paraId="76282369" w14:textId="77777777" w:rsidR="001B4D09" w:rsidRPr="00D06084" w:rsidRDefault="001B4D09"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nepoznato</w:t>
            </w:r>
          </w:p>
        </w:tc>
        <w:tc>
          <w:tcPr>
            <w:tcW w:w="3020" w:type="dxa"/>
            <w:shd w:val="clear" w:color="auto" w:fill="auto"/>
          </w:tcPr>
          <w:p w14:paraId="7628236A" w14:textId="77777777" w:rsidR="001B4D09" w:rsidRPr="00D06084" w:rsidRDefault="001B4D09" w:rsidP="0026099B">
            <w:pPr>
              <w:pStyle w:val="Header"/>
              <w:tabs>
                <w:tab w:val="left" w:pos="284"/>
              </w:tabs>
              <w:jc w:val="both"/>
              <w:rPr>
                <w:rFonts w:eastAsia="Calibri"/>
                <w:spacing w:val="-3"/>
                <w:sz w:val="22"/>
                <w:szCs w:val="22"/>
                <w:lang w:val="sr-Latn-ME"/>
              </w:rPr>
            </w:pPr>
            <w:r w:rsidRPr="00D06084">
              <w:rPr>
                <w:rFonts w:eastAsia="Calibri"/>
                <w:spacing w:val="-3"/>
                <w:sz w:val="22"/>
                <w:szCs w:val="22"/>
                <w:lang w:val="sr-Latn-ME"/>
              </w:rPr>
              <w:t>preosjetljivost</w:t>
            </w:r>
          </w:p>
        </w:tc>
      </w:tr>
    </w:tbl>
    <w:p w14:paraId="7628236C" w14:textId="77777777" w:rsidR="001B4D09" w:rsidRPr="00D06084" w:rsidRDefault="001B4D09" w:rsidP="0026099B">
      <w:pPr>
        <w:pStyle w:val="Header"/>
        <w:tabs>
          <w:tab w:val="left" w:pos="284"/>
        </w:tabs>
        <w:jc w:val="both"/>
        <w:rPr>
          <w:spacing w:val="-3"/>
          <w:sz w:val="22"/>
          <w:szCs w:val="22"/>
          <w:lang w:val="sr-Latn-ME"/>
        </w:rPr>
      </w:pPr>
      <w:r w:rsidRPr="00D06084">
        <w:rPr>
          <w:spacing w:val="-3"/>
          <w:sz w:val="22"/>
          <w:szCs w:val="22"/>
          <w:lang w:val="sr-Latn-ME"/>
        </w:rPr>
        <w:t xml:space="preserve">* učestalost </w:t>
      </w:r>
      <w:proofErr w:type="spellStart"/>
      <w:r w:rsidRPr="00D06084">
        <w:rPr>
          <w:spacing w:val="-3"/>
          <w:sz w:val="22"/>
          <w:szCs w:val="22"/>
          <w:lang w:val="sr-Latn-ME"/>
        </w:rPr>
        <w:t>procjenjena</w:t>
      </w:r>
      <w:proofErr w:type="spellEnd"/>
      <w:r w:rsidRPr="00D06084">
        <w:rPr>
          <w:spacing w:val="-3"/>
          <w:sz w:val="22"/>
          <w:szCs w:val="22"/>
          <w:lang w:val="sr-Latn-ME"/>
        </w:rPr>
        <w:t xml:space="preserve"> na osnovu učestalosti tokom kliničkih studija</w:t>
      </w:r>
    </w:p>
    <w:p w14:paraId="7628236D" w14:textId="77777777" w:rsidR="001B4D09" w:rsidRPr="00D06084" w:rsidRDefault="001B4D09" w:rsidP="0026099B">
      <w:pPr>
        <w:tabs>
          <w:tab w:val="left" w:pos="540"/>
          <w:tab w:val="left" w:pos="569"/>
        </w:tabs>
        <w:jc w:val="both"/>
        <w:rPr>
          <w:b/>
          <w:bCs/>
          <w:sz w:val="22"/>
          <w:szCs w:val="22"/>
          <w:lang w:val="sr-Latn-ME"/>
        </w:rPr>
      </w:pPr>
    </w:p>
    <w:p w14:paraId="369C57E6" w14:textId="77777777" w:rsidR="00F0511D" w:rsidRPr="00D06084" w:rsidRDefault="00F0511D" w:rsidP="006D6BFB">
      <w:pPr>
        <w:spacing w:after="200" w:line="276" w:lineRule="auto"/>
        <w:jc w:val="both"/>
        <w:rPr>
          <w:rFonts w:eastAsia="Calibri"/>
          <w:sz w:val="22"/>
          <w:szCs w:val="22"/>
          <w:u w:val="single"/>
          <w:lang w:val="sr-Latn-ME"/>
        </w:rPr>
      </w:pPr>
      <w:r w:rsidRPr="00D06084">
        <w:rPr>
          <w:rFonts w:eastAsia="Calibri"/>
          <w:sz w:val="22"/>
          <w:szCs w:val="22"/>
          <w:u w:val="single"/>
          <w:lang w:val="sr-Latn-ME"/>
        </w:rPr>
        <w:t>Prijavljivanje sumnji na neželjena dejstva</w:t>
      </w:r>
    </w:p>
    <w:p w14:paraId="26E4D671" w14:textId="77777777" w:rsidR="00F0511D" w:rsidRPr="00D06084" w:rsidRDefault="00F0511D" w:rsidP="0026099B">
      <w:pPr>
        <w:spacing w:after="200"/>
        <w:jc w:val="both"/>
        <w:rPr>
          <w:rFonts w:eastAsia="Calibri"/>
          <w:sz w:val="22"/>
          <w:szCs w:val="22"/>
          <w:lang w:val="sr-Latn-ME"/>
        </w:rPr>
      </w:pPr>
      <w:r w:rsidRPr="00D06084">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4037642" w14:textId="77777777" w:rsidR="00F0511D" w:rsidRPr="00D06084" w:rsidRDefault="00F0511D" w:rsidP="0026099B">
      <w:pPr>
        <w:pStyle w:val="NoSpacing"/>
        <w:jc w:val="both"/>
        <w:rPr>
          <w:rFonts w:eastAsia="Calibri"/>
          <w:sz w:val="22"/>
          <w:szCs w:val="22"/>
          <w:lang w:val="sr-Latn-ME"/>
        </w:rPr>
      </w:pPr>
      <w:r w:rsidRPr="00D06084">
        <w:rPr>
          <w:rFonts w:eastAsia="Calibri"/>
          <w:sz w:val="22"/>
          <w:szCs w:val="22"/>
          <w:lang w:val="sr-Latn-ME"/>
        </w:rPr>
        <w:t xml:space="preserve">Institut za ljekove i medicinska sredstva </w:t>
      </w:r>
    </w:p>
    <w:p w14:paraId="03DC8737" w14:textId="77777777" w:rsidR="00F0511D" w:rsidRPr="00D06084" w:rsidRDefault="00F0511D" w:rsidP="0026099B">
      <w:pPr>
        <w:pStyle w:val="NoSpacing"/>
        <w:jc w:val="both"/>
        <w:rPr>
          <w:rFonts w:eastAsia="Calibri"/>
          <w:sz w:val="22"/>
          <w:szCs w:val="22"/>
          <w:lang w:val="sr-Latn-ME"/>
        </w:rPr>
      </w:pPr>
      <w:r w:rsidRPr="00D06084">
        <w:rPr>
          <w:rFonts w:eastAsia="Calibri"/>
          <w:sz w:val="22"/>
          <w:szCs w:val="22"/>
          <w:lang w:val="sr-Latn-ME"/>
        </w:rPr>
        <w:t xml:space="preserve">Odjeljenje za </w:t>
      </w:r>
      <w:proofErr w:type="spellStart"/>
      <w:r w:rsidRPr="00D06084">
        <w:rPr>
          <w:rFonts w:eastAsia="Calibri"/>
          <w:sz w:val="22"/>
          <w:szCs w:val="22"/>
          <w:lang w:val="sr-Latn-ME"/>
        </w:rPr>
        <w:t>farmakovigilancu</w:t>
      </w:r>
      <w:proofErr w:type="spellEnd"/>
    </w:p>
    <w:p w14:paraId="3E3BF62A" w14:textId="77777777" w:rsidR="00F0511D" w:rsidRPr="00D06084" w:rsidRDefault="00F0511D">
      <w:pPr>
        <w:pStyle w:val="NoSpacing"/>
        <w:jc w:val="both"/>
        <w:rPr>
          <w:rFonts w:eastAsia="Calibri"/>
          <w:sz w:val="22"/>
          <w:szCs w:val="22"/>
          <w:lang w:val="sr-Latn-ME"/>
        </w:rPr>
      </w:pPr>
      <w:r w:rsidRPr="00D06084">
        <w:rPr>
          <w:rFonts w:eastAsia="Calibri"/>
          <w:sz w:val="22"/>
          <w:szCs w:val="22"/>
          <w:lang w:val="sr-Latn-ME"/>
        </w:rPr>
        <w:t>Bulevar Ivana Crnojevića 64a, 81000 Podgorica</w:t>
      </w:r>
    </w:p>
    <w:p w14:paraId="1D5F710B" w14:textId="77777777" w:rsidR="00F0511D" w:rsidRPr="00D06084" w:rsidRDefault="00F0511D" w:rsidP="006D6BFB">
      <w:pPr>
        <w:pStyle w:val="NoSpacing"/>
        <w:jc w:val="both"/>
        <w:rPr>
          <w:rFonts w:eastAsia="Calibri"/>
          <w:sz w:val="22"/>
          <w:szCs w:val="22"/>
          <w:lang w:val="sr-Latn-ME"/>
        </w:rPr>
      </w:pPr>
    </w:p>
    <w:p w14:paraId="718066EB" w14:textId="77777777" w:rsidR="00F0511D" w:rsidRPr="00D06084" w:rsidRDefault="00F0511D" w:rsidP="0026099B">
      <w:pPr>
        <w:pStyle w:val="NoSpacing"/>
        <w:jc w:val="both"/>
        <w:rPr>
          <w:rFonts w:eastAsia="Calibri"/>
          <w:sz w:val="22"/>
          <w:szCs w:val="22"/>
          <w:lang w:val="sr-Latn-ME"/>
        </w:rPr>
      </w:pPr>
      <w:r w:rsidRPr="00D06084">
        <w:rPr>
          <w:rFonts w:eastAsia="Calibri"/>
          <w:sz w:val="22"/>
          <w:szCs w:val="22"/>
          <w:lang w:val="sr-Latn-ME"/>
        </w:rPr>
        <w:t>tel: +382 (0) 20 310 280</w:t>
      </w:r>
    </w:p>
    <w:p w14:paraId="65F940DA" w14:textId="77777777" w:rsidR="00F0511D" w:rsidRPr="00D06084" w:rsidRDefault="00F0511D" w:rsidP="0026099B">
      <w:pPr>
        <w:pStyle w:val="NoSpacing"/>
        <w:tabs>
          <w:tab w:val="left" w:pos="6720"/>
        </w:tabs>
        <w:jc w:val="both"/>
        <w:rPr>
          <w:rFonts w:eastAsia="Calibri"/>
          <w:sz w:val="22"/>
          <w:szCs w:val="22"/>
          <w:lang w:val="sr-Latn-ME"/>
        </w:rPr>
      </w:pPr>
      <w:proofErr w:type="spellStart"/>
      <w:r w:rsidRPr="00D06084">
        <w:rPr>
          <w:rFonts w:eastAsia="Calibri"/>
          <w:sz w:val="22"/>
          <w:szCs w:val="22"/>
          <w:lang w:val="sr-Latn-ME"/>
        </w:rPr>
        <w:t>fax</w:t>
      </w:r>
      <w:proofErr w:type="spellEnd"/>
      <w:r w:rsidRPr="00D06084">
        <w:rPr>
          <w:rFonts w:eastAsia="Calibri"/>
          <w:sz w:val="22"/>
          <w:szCs w:val="22"/>
          <w:lang w:val="sr-Latn-ME"/>
        </w:rPr>
        <w:t>: +382 (0) 20 310 581</w:t>
      </w:r>
      <w:r w:rsidRPr="00D06084">
        <w:rPr>
          <w:rFonts w:eastAsia="Calibri"/>
          <w:sz w:val="22"/>
          <w:szCs w:val="22"/>
          <w:lang w:val="sr-Latn-ME"/>
        </w:rPr>
        <w:tab/>
      </w:r>
    </w:p>
    <w:p w14:paraId="2639D239" w14:textId="77777777" w:rsidR="00F0511D" w:rsidRPr="00D06084" w:rsidRDefault="004E4524" w:rsidP="0026099B">
      <w:pPr>
        <w:pStyle w:val="NoSpacing"/>
        <w:jc w:val="both"/>
        <w:rPr>
          <w:rFonts w:eastAsia="Calibri"/>
          <w:sz w:val="22"/>
          <w:szCs w:val="22"/>
          <w:lang w:val="sr-Latn-ME"/>
        </w:rPr>
      </w:pPr>
      <w:hyperlink r:id="rId8" w:history="1">
        <w:r w:rsidR="00F0511D" w:rsidRPr="00D06084">
          <w:rPr>
            <w:rStyle w:val="Hyperlink"/>
            <w:rFonts w:eastAsia="Calibri"/>
            <w:sz w:val="22"/>
            <w:szCs w:val="22"/>
            <w:lang w:val="sr-Latn-ME"/>
          </w:rPr>
          <w:t>www.cinmed.me</w:t>
        </w:r>
      </w:hyperlink>
    </w:p>
    <w:p w14:paraId="1342A52F" w14:textId="77777777" w:rsidR="00F0511D" w:rsidRPr="00D06084" w:rsidRDefault="004E4524" w:rsidP="0026099B">
      <w:pPr>
        <w:pStyle w:val="NoSpacing"/>
        <w:jc w:val="both"/>
        <w:rPr>
          <w:rFonts w:eastAsia="Calibri"/>
          <w:color w:val="0000FF"/>
          <w:sz w:val="22"/>
          <w:szCs w:val="22"/>
          <w:u w:val="single"/>
          <w:lang w:val="sr-Latn-ME"/>
        </w:rPr>
      </w:pPr>
      <w:hyperlink r:id="rId9" w:history="1">
        <w:r w:rsidR="00F0511D" w:rsidRPr="00D06084">
          <w:rPr>
            <w:rStyle w:val="Hyperlink"/>
            <w:rFonts w:eastAsia="Calibri"/>
            <w:sz w:val="22"/>
            <w:szCs w:val="22"/>
            <w:lang w:val="sr-Latn-ME"/>
          </w:rPr>
          <w:t>nezeljenadejstva@cinmed.me</w:t>
        </w:r>
      </w:hyperlink>
    </w:p>
    <w:p w14:paraId="7EC7B2B2" w14:textId="77777777" w:rsidR="00F0511D" w:rsidRPr="00D06084" w:rsidRDefault="00F0511D" w:rsidP="0026099B">
      <w:pPr>
        <w:pStyle w:val="NoSpacing"/>
        <w:jc w:val="both"/>
        <w:rPr>
          <w:rFonts w:eastAsia="Calibri"/>
          <w:sz w:val="22"/>
          <w:szCs w:val="22"/>
          <w:lang w:val="sr-Latn-ME"/>
        </w:rPr>
      </w:pPr>
      <w:r w:rsidRPr="00D06084">
        <w:rPr>
          <w:rFonts w:eastAsia="Calibri"/>
          <w:sz w:val="22"/>
          <w:szCs w:val="22"/>
          <w:lang w:val="sr-Latn-ME"/>
        </w:rPr>
        <w:t>putem IS zdravstvene zaštite</w:t>
      </w:r>
    </w:p>
    <w:p w14:paraId="4E1F4076" w14:textId="77777777" w:rsidR="00F0511D" w:rsidRPr="00D06084" w:rsidRDefault="00F0511D">
      <w:pPr>
        <w:pStyle w:val="NoSpacing"/>
        <w:jc w:val="both"/>
        <w:rPr>
          <w:rFonts w:eastAsia="Calibri"/>
          <w:sz w:val="22"/>
          <w:szCs w:val="22"/>
          <w:lang w:val="sr-Latn-ME"/>
        </w:rPr>
      </w:pPr>
      <w:r w:rsidRPr="00D06084">
        <w:rPr>
          <w:rFonts w:eastAsia="Calibri"/>
          <w:sz w:val="22"/>
          <w:szCs w:val="22"/>
          <w:lang w:val="sr-Latn-ME"/>
        </w:rPr>
        <w:t xml:space="preserve">QR kod za </w:t>
      </w:r>
      <w:proofErr w:type="spellStart"/>
      <w:r w:rsidRPr="00D06084">
        <w:rPr>
          <w:rFonts w:eastAsia="Calibri"/>
          <w:sz w:val="22"/>
          <w:szCs w:val="22"/>
          <w:lang w:val="sr-Latn-ME"/>
        </w:rPr>
        <w:t>online</w:t>
      </w:r>
      <w:proofErr w:type="spellEnd"/>
      <w:r w:rsidRPr="00D06084">
        <w:rPr>
          <w:rFonts w:eastAsia="Calibri"/>
          <w:sz w:val="22"/>
          <w:szCs w:val="22"/>
          <w:lang w:val="sr-Latn-ME"/>
        </w:rPr>
        <w:t xml:space="preserve"> prijavu sumnje na neželjeno dejstvo lijeka:</w:t>
      </w:r>
    </w:p>
    <w:p w14:paraId="1FF8DAFE" w14:textId="77777777" w:rsidR="00F0511D" w:rsidRPr="00D06084" w:rsidRDefault="00F0511D">
      <w:pPr>
        <w:pStyle w:val="NoSpacing"/>
        <w:jc w:val="both"/>
        <w:rPr>
          <w:rFonts w:eastAsia="Calibri"/>
          <w:sz w:val="22"/>
          <w:szCs w:val="22"/>
          <w:lang w:val="sr-Latn-ME"/>
        </w:rPr>
      </w:pPr>
    </w:p>
    <w:p w14:paraId="28F5F9DF" w14:textId="64535F18" w:rsidR="00F0511D" w:rsidRPr="00D06084" w:rsidRDefault="0026099B" w:rsidP="006D6BFB">
      <w:pPr>
        <w:pStyle w:val="NoSpacing"/>
        <w:jc w:val="both"/>
        <w:rPr>
          <w:rFonts w:eastAsia="Calibri"/>
          <w:sz w:val="22"/>
          <w:szCs w:val="22"/>
          <w:lang w:val="sr-Latn-ME"/>
        </w:rPr>
      </w:pPr>
      <w:r w:rsidRPr="00D06084">
        <w:rPr>
          <w:b/>
          <w:bCs/>
          <w:noProof/>
          <w:sz w:val="22"/>
          <w:szCs w:val="22"/>
          <w:lang w:val="sr-Latn-ME"/>
        </w:rPr>
        <w:lastRenderedPageBreak/>
        <w:drawing>
          <wp:inline distT="0" distB="0" distL="0" distR="0" wp14:anchorId="2DD2B7A5" wp14:editId="6875305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6282379" w14:textId="77777777" w:rsidR="00836B35" w:rsidRPr="00D06084" w:rsidRDefault="00836B35" w:rsidP="0026099B">
      <w:pPr>
        <w:tabs>
          <w:tab w:val="left" w:pos="540"/>
          <w:tab w:val="left" w:pos="569"/>
        </w:tabs>
        <w:jc w:val="both"/>
        <w:rPr>
          <w:b/>
          <w:bCs/>
          <w:sz w:val="22"/>
          <w:szCs w:val="22"/>
          <w:lang w:val="sr-Latn-ME"/>
        </w:rPr>
      </w:pPr>
    </w:p>
    <w:p w14:paraId="7628237A" w14:textId="77777777" w:rsidR="00CD6F02" w:rsidRPr="00D06084" w:rsidRDefault="0072020E" w:rsidP="0026099B">
      <w:pPr>
        <w:tabs>
          <w:tab w:val="left" w:pos="540"/>
          <w:tab w:val="left" w:pos="569"/>
        </w:tabs>
        <w:jc w:val="both"/>
        <w:rPr>
          <w:b/>
          <w:bCs/>
          <w:sz w:val="22"/>
          <w:szCs w:val="22"/>
          <w:lang w:val="sr-Latn-ME"/>
        </w:rPr>
      </w:pPr>
      <w:r w:rsidRPr="00D06084">
        <w:rPr>
          <w:b/>
          <w:bCs/>
          <w:sz w:val="22"/>
          <w:szCs w:val="22"/>
          <w:lang w:val="sr-Latn-ME"/>
        </w:rPr>
        <w:t xml:space="preserve">4.9. </w:t>
      </w:r>
      <w:r w:rsidR="00480FB1" w:rsidRPr="00D06084">
        <w:rPr>
          <w:b/>
          <w:bCs/>
          <w:sz w:val="22"/>
          <w:szCs w:val="22"/>
          <w:lang w:val="sr-Latn-ME"/>
        </w:rPr>
        <w:tab/>
      </w:r>
      <w:proofErr w:type="spellStart"/>
      <w:r w:rsidRPr="00D06084">
        <w:rPr>
          <w:b/>
          <w:bCs/>
          <w:sz w:val="22"/>
          <w:szCs w:val="22"/>
          <w:lang w:val="sr-Latn-ME"/>
        </w:rPr>
        <w:t>Predoziranje</w:t>
      </w:r>
      <w:proofErr w:type="spellEnd"/>
      <w:r w:rsidR="002846DB" w:rsidRPr="00D06084">
        <w:rPr>
          <w:b/>
          <w:bCs/>
          <w:sz w:val="22"/>
          <w:szCs w:val="22"/>
          <w:lang w:val="sr-Latn-ME"/>
        </w:rPr>
        <w:t xml:space="preserve"> </w:t>
      </w:r>
    </w:p>
    <w:p w14:paraId="7628237B" w14:textId="77777777" w:rsidR="00CD6F02" w:rsidRPr="00D06084" w:rsidRDefault="00CD6F02" w:rsidP="0026099B">
      <w:pPr>
        <w:tabs>
          <w:tab w:val="left" w:pos="540"/>
          <w:tab w:val="left" w:pos="569"/>
        </w:tabs>
        <w:jc w:val="both"/>
        <w:rPr>
          <w:b/>
          <w:bCs/>
          <w:sz w:val="22"/>
          <w:szCs w:val="22"/>
          <w:lang w:val="sr-Latn-ME"/>
        </w:rPr>
      </w:pPr>
    </w:p>
    <w:p w14:paraId="7628237C" w14:textId="77777777" w:rsidR="001B4D09" w:rsidRPr="00D06084" w:rsidRDefault="001B4D09">
      <w:pPr>
        <w:pStyle w:val="Header"/>
        <w:tabs>
          <w:tab w:val="left" w:pos="284"/>
        </w:tabs>
        <w:jc w:val="both"/>
        <w:rPr>
          <w:bCs/>
          <w:sz w:val="22"/>
          <w:szCs w:val="22"/>
          <w:lang w:val="sr-Latn-ME"/>
        </w:rPr>
      </w:pPr>
      <w:proofErr w:type="spellStart"/>
      <w:r w:rsidRPr="00D06084">
        <w:rPr>
          <w:sz w:val="22"/>
          <w:szCs w:val="22"/>
          <w:lang w:val="sr-Latn-ME"/>
        </w:rPr>
        <w:t>Predoziranje</w:t>
      </w:r>
      <w:proofErr w:type="spellEnd"/>
      <w:r w:rsidRPr="00D06084">
        <w:rPr>
          <w:sz w:val="22"/>
          <w:szCs w:val="22"/>
          <w:lang w:val="sr-Latn-ME"/>
        </w:rPr>
        <w:t xml:space="preserve"> može da dovede do ozbiljne konstipacije.</w:t>
      </w:r>
    </w:p>
    <w:p w14:paraId="7628237D" w14:textId="2878033D" w:rsidR="00227BDB" w:rsidRPr="00D06084" w:rsidRDefault="00227BDB">
      <w:pPr>
        <w:tabs>
          <w:tab w:val="left" w:pos="540"/>
          <w:tab w:val="left" w:pos="569"/>
        </w:tabs>
        <w:jc w:val="both"/>
        <w:rPr>
          <w:b/>
          <w:bCs/>
          <w:sz w:val="22"/>
          <w:szCs w:val="22"/>
          <w:lang w:val="sr-Latn-ME"/>
        </w:rPr>
      </w:pPr>
    </w:p>
    <w:p w14:paraId="1F20F229" w14:textId="77777777" w:rsidR="00D936C5" w:rsidRPr="00D06084" w:rsidRDefault="00D936C5">
      <w:pPr>
        <w:tabs>
          <w:tab w:val="left" w:pos="540"/>
          <w:tab w:val="left" w:pos="569"/>
        </w:tabs>
        <w:jc w:val="both"/>
        <w:rPr>
          <w:b/>
          <w:bCs/>
          <w:sz w:val="22"/>
          <w:szCs w:val="22"/>
          <w:lang w:val="sr-Latn-ME"/>
        </w:rPr>
      </w:pPr>
    </w:p>
    <w:p w14:paraId="7628237E" w14:textId="77777777" w:rsidR="0072020E" w:rsidRPr="00D06084" w:rsidRDefault="0072020E">
      <w:pPr>
        <w:tabs>
          <w:tab w:val="left" w:pos="540"/>
          <w:tab w:val="left" w:pos="569"/>
        </w:tabs>
        <w:jc w:val="both"/>
        <w:rPr>
          <w:b/>
          <w:bCs/>
          <w:sz w:val="22"/>
          <w:szCs w:val="22"/>
          <w:lang w:val="sr-Latn-ME"/>
        </w:rPr>
      </w:pPr>
      <w:r w:rsidRPr="00D06084">
        <w:rPr>
          <w:b/>
          <w:bCs/>
          <w:sz w:val="22"/>
          <w:szCs w:val="22"/>
          <w:lang w:val="sr-Latn-ME"/>
        </w:rPr>
        <w:t xml:space="preserve">5. </w:t>
      </w:r>
      <w:r w:rsidR="00480FB1" w:rsidRPr="00D06084">
        <w:rPr>
          <w:b/>
          <w:bCs/>
          <w:sz w:val="22"/>
          <w:szCs w:val="22"/>
          <w:lang w:val="sr-Latn-ME"/>
        </w:rPr>
        <w:tab/>
      </w:r>
      <w:r w:rsidRPr="00D06084">
        <w:rPr>
          <w:b/>
          <w:bCs/>
          <w:sz w:val="22"/>
          <w:szCs w:val="22"/>
          <w:lang w:val="sr-Latn-ME"/>
        </w:rPr>
        <w:t>FARMAKOLOŠK</w:t>
      </w:r>
      <w:r w:rsidR="000D425A" w:rsidRPr="00D06084">
        <w:rPr>
          <w:b/>
          <w:bCs/>
          <w:sz w:val="22"/>
          <w:szCs w:val="22"/>
          <w:lang w:val="sr-Latn-ME"/>
        </w:rPr>
        <w:t>I</w:t>
      </w:r>
      <w:r w:rsidRPr="00D06084">
        <w:rPr>
          <w:b/>
          <w:bCs/>
          <w:sz w:val="22"/>
          <w:szCs w:val="22"/>
          <w:lang w:val="sr-Latn-ME"/>
        </w:rPr>
        <w:t xml:space="preserve"> PODACI</w:t>
      </w:r>
    </w:p>
    <w:p w14:paraId="7628237F" w14:textId="77777777" w:rsidR="0072020E" w:rsidRPr="00D06084" w:rsidRDefault="0072020E">
      <w:pPr>
        <w:tabs>
          <w:tab w:val="left" w:pos="540"/>
          <w:tab w:val="left" w:pos="569"/>
        </w:tabs>
        <w:jc w:val="both"/>
        <w:rPr>
          <w:b/>
          <w:bCs/>
          <w:sz w:val="22"/>
          <w:szCs w:val="22"/>
          <w:lang w:val="sr-Latn-ME"/>
        </w:rPr>
      </w:pPr>
    </w:p>
    <w:p w14:paraId="76282380" w14:textId="77777777" w:rsidR="0072020E" w:rsidRPr="00D06084" w:rsidRDefault="0072020E">
      <w:pPr>
        <w:tabs>
          <w:tab w:val="left" w:pos="540"/>
          <w:tab w:val="left" w:pos="569"/>
        </w:tabs>
        <w:jc w:val="both"/>
        <w:rPr>
          <w:b/>
          <w:bCs/>
          <w:sz w:val="22"/>
          <w:szCs w:val="22"/>
          <w:lang w:val="sr-Latn-ME"/>
        </w:rPr>
      </w:pPr>
      <w:r w:rsidRPr="00D06084">
        <w:rPr>
          <w:b/>
          <w:bCs/>
          <w:sz w:val="22"/>
          <w:szCs w:val="22"/>
          <w:lang w:val="sr-Latn-ME"/>
        </w:rPr>
        <w:t xml:space="preserve">5.1. </w:t>
      </w:r>
      <w:r w:rsidR="00480FB1" w:rsidRPr="00D06084">
        <w:rPr>
          <w:b/>
          <w:bCs/>
          <w:sz w:val="22"/>
          <w:szCs w:val="22"/>
          <w:lang w:val="sr-Latn-ME"/>
        </w:rPr>
        <w:tab/>
      </w:r>
      <w:proofErr w:type="spellStart"/>
      <w:r w:rsidRPr="00D06084">
        <w:rPr>
          <w:b/>
          <w:bCs/>
          <w:sz w:val="22"/>
          <w:szCs w:val="22"/>
          <w:lang w:val="sr-Latn-ME"/>
        </w:rPr>
        <w:t>Farmakodinamski</w:t>
      </w:r>
      <w:proofErr w:type="spellEnd"/>
      <w:r w:rsidRPr="00D06084">
        <w:rPr>
          <w:b/>
          <w:bCs/>
          <w:sz w:val="22"/>
          <w:szCs w:val="22"/>
          <w:lang w:val="sr-Latn-ME"/>
        </w:rPr>
        <w:t xml:space="preserve"> podaci</w:t>
      </w:r>
      <w:r w:rsidR="003A7059" w:rsidRPr="00D06084">
        <w:rPr>
          <w:b/>
          <w:bCs/>
          <w:sz w:val="22"/>
          <w:szCs w:val="22"/>
          <w:lang w:val="sr-Latn-ME"/>
        </w:rPr>
        <w:t xml:space="preserve"> </w:t>
      </w:r>
    </w:p>
    <w:p w14:paraId="76282381" w14:textId="77777777" w:rsidR="00F45F77" w:rsidRPr="00D06084" w:rsidRDefault="00F45F77">
      <w:pPr>
        <w:tabs>
          <w:tab w:val="left" w:pos="540"/>
          <w:tab w:val="left" w:pos="569"/>
        </w:tabs>
        <w:jc w:val="both"/>
        <w:rPr>
          <w:b/>
          <w:bCs/>
          <w:sz w:val="22"/>
          <w:szCs w:val="22"/>
          <w:lang w:val="sr-Latn-ME"/>
        </w:rPr>
      </w:pPr>
    </w:p>
    <w:p w14:paraId="76282382" w14:textId="77777777" w:rsidR="002A6CF6" w:rsidRPr="00D06084" w:rsidRDefault="001B4D09">
      <w:pPr>
        <w:tabs>
          <w:tab w:val="left" w:pos="540"/>
          <w:tab w:val="left" w:pos="569"/>
        </w:tabs>
        <w:jc w:val="both"/>
        <w:rPr>
          <w:sz w:val="22"/>
          <w:szCs w:val="22"/>
          <w:lang w:val="sr-Latn-ME"/>
        </w:rPr>
      </w:pPr>
      <w:proofErr w:type="spellStart"/>
      <w:r w:rsidRPr="00D06084">
        <w:rPr>
          <w:bCs/>
          <w:sz w:val="22"/>
          <w:szCs w:val="22"/>
          <w:lang w:val="sr-Latn-ME"/>
        </w:rPr>
        <w:t>Farmakoterapijska</w:t>
      </w:r>
      <w:proofErr w:type="spellEnd"/>
      <w:r w:rsidRPr="00D06084">
        <w:rPr>
          <w:bCs/>
          <w:sz w:val="22"/>
          <w:szCs w:val="22"/>
          <w:lang w:val="sr-Latn-ME"/>
        </w:rPr>
        <w:t xml:space="preserve"> grupa: </w:t>
      </w:r>
      <w:proofErr w:type="spellStart"/>
      <w:r w:rsidR="002A6CF6" w:rsidRPr="00D06084">
        <w:rPr>
          <w:sz w:val="22"/>
          <w:szCs w:val="22"/>
          <w:lang w:val="sr-Latn-ME"/>
        </w:rPr>
        <w:t>Antidijaroici</w:t>
      </w:r>
      <w:proofErr w:type="spellEnd"/>
      <w:r w:rsidR="002A6CF6" w:rsidRPr="00D06084">
        <w:rPr>
          <w:sz w:val="22"/>
          <w:szCs w:val="22"/>
          <w:lang w:val="sr-Latn-ME"/>
        </w:rPr>
        <w:t xml:space="preserve">, intestinalni </w:t>
      </w:r>
      <w:proofErr w:type="spellStart"/>
      <w:r w:rsidR="002A6CF6" w:rsidRPr="00D06084">
        <w:rPr>
          <w:sz w:val="22"/>
          <w:szCs w:val="22"/>
          <w:lang w:val="sr-Latn-ME"/>
        </w:rPr>
        <w:t>antiinflamatorni</w:t>
      </w:r>
      <w:proofErr w:type="spellEnd"/>
      <w:r w:rsidR="002A6CF6" w:rsidRPr="00D06084">
        <w:rPr>
          <w:sz w:val="22"/>
          <w:szCs w:val="22"/>
          <w:lang w:val="sr-Latn-ME"/>
        </w:rPr>
        <w:t>/</w:t>
      </w:r>
      <w:proofErr w:type="spellStart"/>
      <w:r w:rsidR="002A6CF6" w:rsidRPr="00D06084">
        <w:rPr>
          <w:sz w:val="22"/>
          <w:szCs w:val="22"/>
          <w:lang w:val="sr-Latn-ME"/>
        </w:rPr>
        <w:t>antiinfektivni</w:t>
      </w:r>
      <w:proofErr w:type="spellEnd"/>
      <w:r w:rsidR="002A6CF6" w:rsidRPr="00D06084">
        <w:rPr>
          <w:sz w:val="22"/>
          <w:szCs w:val="22"/>
          <w:lang w:val="sr-Latn-ME"/>
        </w:rPr>
        <w:t xml:space="preserve"> l</w:t>
      </w:r>
      <w:r w:rsidR="002C64EF" w:rsidRPr="00D06084">
        <w:rPr>
          <w:sz w:val="22"/>
          <w:szCs w:val="22"/>
          <w:lang w:val="sr-Latn-ME"/>
        </w:rPr>
        <w:t>j</w:t>
      </w:r>
      <w:r w:rsidR="002A6CF6" w:rsidRPr="00D06084">
        <w:rPr>
          <w:sz w:val="22"/>
          <w:szCs w:val="22"/>
          <w:lang w:val="sr-Latn-ME"/>
        </w:rPr>
        <w:t>ekovi;</w:t>
      </w:r>
    </w:p>
    <w:p w14:paraId="76282383" w14:textId="77777777" w:rsidR="001B4D09" w:rsidRPr="00D06084" w:rsidRDefault="001B4D09">
      <w:pPr>
        <w:tabs>
          <w:tab w:val="left" w:pos="540"/>
          <w:tab w:val="left" w:pos="569"/>
        </w:tabs>
        <w:jc w:val="both"/>
        <w:rPr>
          <w:bCs/>
          <w:sz w:val="22"/>
          <w:szCs w:val="22"/>
          <w:lang w:val="sr-Latn-ME"/>
        </w:rPr>
      </w:pPr>
      <w:r w:rsidRPr="00D06084">
        <w:rPr>
          <w:sz w:val="22"/>
          <w:szCs w:val="22"/>
          <w:lang w:val="sr-Latn-ME"/>
        </w:rPr>
        <w:t xml:space="preserve">Ostali intestinalni </w:t>
      </w:r>
      <w:proofErr w:type="spellStart"/>
      <w:r w:rsidRPr="00D06084">
        <w:rPr>
          <w:sz w:val="22"/>
          <w:szCs w:val="22"/>
          <w:lang w:val="sr-Latn-ME"/>
        </w:rPr>
        <w:t>adsorbensi</w:t>
      </w:r>
      <w:proofErr w:type="spellEnd"/>
    </w:p>
    <w:p w14:paraId="76282384" w14:textId="77777777" w:rsidR="001B4D09" w:rsidRPr="00D06084" w:rsidRDefault="001B4D09">
      <w:pPr>
        <w:tabs>
          <w:tab w:val="left" w:pos="540"/>
          <w:tab w:val="left" w:pos="569"/>
        </w:tabs>
        <w:jc w:val="both"/>
        <w:rPr>
          <w:bCs/>
          <w:sz w:val="22"/>
          <w:szCs w:val="22"/>
          <w:lang w:val="sr-Latn-ME"/>
        </w:rPr>
      </w:pPr>
    </w:p>
    <w:p w14:paraId="76282385" w14:textId="77777777" w:rsidR="001B4D09" w:rsidRPr="00D06084" w:rsidRDefault="001B4D09">
      <w:pPr>
        <w:tabs>
          <w:tab w:val="left" w:pos="540"/>
          <w:tab w:val="left" w:pos="569"/>
        </w:tabs>
        <w:jc w:val="both"/>
        <w:rPr>
          <w:b/>
          <w:bCs/>
          <w:sz w:val="22"/>
          <w:szCs w:val="22"/>
          <w:lang w:val="sr-Latn-ME"/>
        </w:rPr>
      </w:pPr>
      <w:r w:rsidRPr="00D06084">
        <w:rPr>
          <w:bCs/>
          <w:sz w:val="22"/>
          <w:szCs w:val="22"/>
          <w:lang w:val="sr-Latn-ME"/>
        </w:rPr>
        <w:t xml:space="preserve">ATC kod: </w:t>
      </w:r>
      <w:r w:rsidRPr="00D06084">
        <w:rPr>
          <w:sz w:val="22"/>
          <w:szCs w:val="22"/>
          <w:lang w:val="sr-Latn-ME"/>
        </w:rPr>
        <w:t xml:space="preserve">A07BC05   </w:t>
      </w:r>
    </w:p>
    <w:p w14:paraId="76282386" w14:textId="77777777" w:rsidR="001B4D09" w:rsidRPr="00D06084" w:rsidRDefault="001B4D09">
      <w:pPr>
        <w:tabs>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p>
    <w:p w14:paraId="76282387" w14:textId="77777777" w:rsidR="001B4D09" w:rsidRPr="00D06084" w:rsidRDefault="001B4D09">
      <w:pPr>
        <w:tabs>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proofErr w:type="spellStart"/>
      <w:r w:rsidRPr="00D06084">
        <w:rPr>
          <w:sz w:val="22"/>
          <w:szCs w:val="22"/>
          <w:lang w:val="sr-Latn-ME"/>
        </w:rPr>
        <w:t>Diosmektit</w:t>
      </w:r>
      <w:proofErr w:type="spellEnd"/>
      <w:r w:rsidRPr="00D06084">
        <w:rPr>
          <w:sz w:val="22"/>
          <w:szCs w:val="22"/>
          <w:lang w:val="sr-Latn-ME"/>
        </w:rPr>
        <w:t xml:space="preserve"> je pokazao kliničko farmakološko dejstvo:</w:t>
      </w:r>
    </w:p>
    <w:p w14:paraId="76282388" w14:textId="7F6E4EE1" w:rsidR="001B4D09" w:rsidRPr="00D06084" w:rsidRDefault="000E2529">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165"/>
        </w:tabs>
        <w:spacing w:after="0" w:line="240" w:lineRule="auto"/>
        <w:jc w:val="both"/>
        <w:rPr>
          <w:rFonts w:ascii="Times New Roman" w:hAnsi="Times New Roman"/>
          <w:lang w:val="sr-Latn-ME"/>
        </w:rPr>
      </w:pPr>
      <w:r w:rsidRPr="00D06084">
        <w:rPr>
          <w:rFonts w:ascii="Times New Roman" w:hAnsi="Times New Roman"/>
          <w:lang w:val="sr-Latn-ME"/>
        </w:rPr>
        <w:t xml:space="preserve">da </w:t>
      </w:r>
      <w:proofErr w:type="spellStart"/>
      <w:r w:rsidR="001B4D09" w:rsidRPr="00D06084">
        <w:rPr>
          <w:rFonts w:ascii="Times New Roman" w:hAnsi="Times New Roman"/>
          <w:lang w:val="sr-Latn-ME"/>
        </w:rPr>
        <w:t>adsorbuje</w:t>
      </w:r>
      <w:proofErr w:type="spellEnd"/>
      <w:r w:rsidR="001B4D09" w:rsidRPr="00D06084">
        <w:rPr>
          <w:rFonts w:ascii="Times New Roman" w:hAnsi="Times New Roman"/>
          <w:lang w:val="sr-Latn-ME"/>
        </w:rPr>
        <w:t xml:space="preserve"> intestinalne gasove kod odraslih</w:t>
      </w:r>
    </w:p>
    <w:p w14:paraId="76282389" w14:textId="70B6D89A" w:rsidR="001B4D09" w:rsidRPr="00D06084" w:rsidRDefault="000E2529">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165"/>
        </w:tabs>
        <w:spacing w:after="0" w:line="240" w:lineRule="auto"/>
        <w:jc w:val="both"/>
        <w:rPr>
          <w:rFonts w:ascii="Times New Roman" w:hAnsi="Times New Roman"/>
          <w:lang w:val="sr-Latn-ME"/>
        </w:rPr>
      </w:pPr>
      <w:r w:rsidRPr="00D06084">
        <w:rPr>
          <w:rFonts w:ascii="Times New Roman" w:hAnsi="Times New Roman"/>
          <w:lang w:val="sr-Latn-ME"/>
        </w:rPr>
        <w:t xml:space="preserve">da </w:t>
      </w:r>
      <w:r w:rsidR="001B4D09" w:rsidRPr="00D06084">
        <w:rPr>
          <w:rFonts w:ascii="Times New Roman" w:hAnsi="Times New Roman"/>
          <w:lang w:val="sr-Latn-ME"/>
        </w:rPr>
        <w:t xml:space="preserve">obnavlja permeabilnost </w:t>
      </w:r>
      <w:proofErr w:type="spellStart"/>
      <w:r w:rsidR="001B4D09" w:rsidRPr="00D06084">
        <w:rPr>
          <w:rFonts w:ascii="Times New Roman" w:hAnsi="Times New Roman"/>
          <w:lang w:val="sr-Latn-ME"/>
        </w:rPr>
        <w:t>mukusa</w:t>
      </w:r>
      <w:proofErr w:type="spellEnd"/>
      <w:r w:rsidR="001B4D09" w:rsidRPr="00D06084">
        <w:rPr>
          <w:rFonts w:ascii="Times New Roman" w:hAnsi="Times New Roman"/>
          <w:lang w:val="sr-Latn-ME"/>
        </w:rPr>
        <w:t xml:space="preserve"> u kliničkim studijama sprovedenim kod djece sa </w:t>
      </w:r>
      <w:proofErr w:type="spellStart"/>
      <w:r w:rsidR="001B4D09" w:rsidRPr="00D06084">
        <w:rPr>
          <w:rFonts w:ascii="Times New Roman" w:hAnsi="Times New Roman"/>
          <w:lang w:val="sr-Latn-ME"/>
        </w:rPr>
        <w:t>gastroenteritisom</w:t>
      </w:r>
      <w:proofErr w:type="spellEnd"/>
      <w:r w:rsidR="001B4D09" w:rsidRPr="00D06084">
        <w:rPr>
          <w:rFonts w:ascii="Times New Roman" w:hAnsi="Times New Roman"/>
          <w:lang w:val="sr-Latn-ME"/>
        </w:rPr>
        <w:t>.</w:t>
      </w:r>
    </w:p>
    <w:p w14:paraId="7628238A" w14:textId="77777777" w:rsidR="001B4D09" w:rsidRPr="00D06084" w:rsidRDefault="001B4D09">
      <w:pPr>
        <w:tabs>
          <w:tab w:val="left" w:pos="708"/>
          <w:tab w:val="left" w:pos="1416"/>
          <w:tab w:val="left" w:pos="2124"/>
          <w:tab w:val="left" w:pos="2832"/>
          <w:tab w:val="left" w:pos="3540"/>
          <w:tab w:val="left" w:pos="4248"/>
          <w:tab w:val="left" w:pos="4956"/>
          <w:tab w:val="left" w:pos="5664"/>
          <w:tab w:val="left" w:pos="6165"/>
        </w:tabs>
        <w:jc w:val="both"/>
        <w:rPr>
          <w:sz w:val="22"/>
          <w:szCs w:val="22"/>
          <w:lang w:val="sr-Latn-ME"/>
        </w:rPr>
      </w:pPr>
    </w:p>
    <w:p w14:paraId="7628238B" w14:textId="77777777" w:rsidR="001B4D09" w:rsidRPr="00D06084" w:rsidRDefault="001B4D09">
      <w:pPr>
        <w:pStyle w:val="Header"/>
        <w:tabs>
          <w:tab w:val="left" w:pos="284"/>
        </w:tabs>
        <w:jc w:val="both"/>
        <w:rPr>
          <w:sz w:val="22"/>
          <w:szCs w:val="22"/>
          <w:lang w:val="sr-Latn-ME"/>
        </w:rPr>
      </w:pPr>
      <w:r w:rsidRPr="00D06084">
        <w:rPr>
          <w:sz w:val="22"/>
          <w:szCs w:val="22"/>
          <w:lang w:val="sr-Latn-ME"/>
        </w:rPr>
        <w:t xml:space="preserve">Zahvaljujući svojoj slojevitoj strukturi i velikom plastičnom viskozitetu, </w:t>
      </w:r>
      <w:proofErr w:type="spellStart"/>
      <w:r w:rsidRPr="00D06084">
        <w:rPr>
          <w:sz w:val="22"/>
          <w:szCs w:val="22"/>
          <w:lang w:val="sr-Latn-ME"/>
        </w:rPr>
        <w:t>diosmektit</w:t>
      </w:r>
      <w:proofErr w:type="spellEnd"/>
      <w:r w:rsidRPr="00D06084">
        <w:rPr>
          <w:sz w:val="22"/>
          <w:szCs w:val="22"/>
          <w:vertAlign w:val="superscript"/>
          <w:lang w:val="sr-Latn-ME"/>
        </w:rPr>
        <w:t xml:space="preserve"> </w:t>
      </w:r>
      <w:r w:rsidRPr="00D06084">
        <w:rPr>
          <w:sz w:val="22"/>
          <w:szCs w:val="22"/>
          <w:lang w:val="sr-Latn-ME"/>
        </w:rPr>
        <w:t>oblaže sluzokožu gastrointestinalnog trakta.</w:t>
      </w:r>
    </w:p>
    <w:p w14:paraId="7628238C" w14:textId="77777777" w:rsidR="001B4D09" w:rsidRPr="00D06084" w:rsidRDefault="001B4D09">
      <w:pPr>
        <w:pStyle w:val="Header"/>
        <w:tabs>
          <w:tab w:val="left" w:pos="284"/>
        </w:tabs>
        <w:jc w:val="both"/>
        <w:rPr>
          <w:sz w:val="22"/>
          <w:szCs w:val="22"/>
          <w:lang w:val="sr-Latn-ME"/>
        </w:rPr>
      </w:pPr>
    </w:p>
    <w:p w14:paraId="7628238D" w14:textId="77777777" w:rsidR="001B4D09" w:rsidRPr="00D06084" w:rsidRDefault="001B4D09">
      <w:pPr>
        <w:pStyle w:val="Header"/>
        <w:tabs>
          <w:tab w:val="left" w:pos="284"/>
        </w:tabs>
        <w:jc w:val="both"/>
        <w:rPr>
          <w:sz w:val="22"/>
          <w:szCs w:val="22"/>
          <w:lang w:val="sr-Latn-ME"/>
        </w:rPr>
      </w:pPr>
      <w:r w:rsidRPr="00D06084">
        <w:rPr>
          <w:sz w:val="22"/>
          <w:szCs w:val="22"/>
          <w:lang w:val="sr-Latn-ME"/>
        </w:rPr>
        <w:t xml:space="preserve">Kombinovani rezultati dvije dvostruko slijepe </w:t>
      </w:r>
      <w:proofErr w:type="spellStart"/>
      <w:r w:rsidRPr="00D06084">
        <w:rPr>
          <w:sz w:val="22"/>
          <w:szCs w:val="22"/>
          <w:lang w:val="sr-Latn-ME"/>
        </w:rPr>
        <w:t>randomizovane</w:t>
      </w:r>
      <w:proofErr w:type="spellEnd"/>
      <w:r w:rsidRPr="00D06084">
        <w:rPr>
          <w:sz w:val="22"/>
          <w:szCs w:val="22"/>
          <w:lang w:val="sr-Latn-ME"/>
        </w:rPr>
        <w:t xml:space="preserve"> studije u koje je bilo uključeno 602 pacijenta sa akutnom dijarejom uzrasta između 1 i 36 mjeseci, koje su poredile efikasnost lijeka </w:t>
      </w:r>
      <w:proofErr w:type="spellStart"/>
      <w:r w:rsidRPr="00D06084">
        <w:rPr>
          <w:sz w:val="22"/>
          <w:szCs w:val="22"/>
          <w:lang w:val="sr-Latn-ME"/>
        </w:rPr>
        <w:t>Smecta</w:t>
      </w:r>
      <w:proofErr w:type="spellEnd"/>
      <w:r w:rsidRPr="00D06084">
        <w:rPr>
          <w:sz w:val="22"/>
          <w:szCs w:val="22"/>
          <w:lang w:val="sr-Latn-ME"/>
        </w:rPr>
        <w:t xml:space="preserve"> u odnosu na </w:t>
      </w:r>
      <w:proofErr w:type="spellStart"/>
      <w:r w:rsidRPr="00D06084">
        <w:rPr>
          <w:sz w:val="22"/>
          <w:szCs w:val="22"/>
          <w:lang w:val="sr-Latn-ME"/>
        </w:rPr>
        <w:t>placebo</w:t>
      </w:r>
      <w:proofErr w:type="spellEnd"/>
      <w:r w:rsidRPr="00D06084">
        <w:rPr>
          <w:sz w:val="22"/>
          <w:szCs w:val="22"/>
          <w:lang w:val="sr-Latn-ME"/>
        </w:rPr>
        <w:t>, pokazal</w:t>
      </w:r>
      <w:r w:rsidR="002A6CF6" w:rsidRPr="00D06084">
        <w:rPr>
          <w:sz w:val="22"/>
          <w:szCs w:val="22"/>
          <w:lang w:val="sr-Latn-ME"/>
        </w:rPr>
        <w:t>e</w:t>
      </w:r>
      <w:r w:rsidRPr="00D06084">
        <w:rPr>
          <w:sz w:val="22"/>
          <w:szCs w:val="22"/>
          <w:lang w:val="sr-Latn-ME"/>
        </w:rPr>
        <w:t xml:space="preserve"> su značajno smanjenje broja stolica u toku prva 72 sata u grupi pacijenata tretiranih lijekom </w:t>
      </w:r>
      <w:proofErr w:type="spellStart"/>
      <w:r w:rsidRPr="00D06084">
        <w:rPr>
          <w:sz w:val="22"/>
          <w:szCs w:val="22"/>
          <w:lang w:val="sr-Latn-ME"/>
        </w:rPr>
        <w:t>Smecta</w:t>
      </w:r>
      <w:proofErr w:type="spellEnd"/>
      <w:r w:rsidRPr="00D06084">
        <w:rPr>
          <w:sz w:val="22"/>
          <w:szCs w:val="22"/>
          <w:lang w:val="sr-Latn-ME"/>
        </w:rPr>
        <w:t xml:space="preserve">, uz oralnu </w:t>
      </w:r>
      <w:proofErr w:type="spellStart"/>
      <w:r w:rsidRPr="00D06084">
        <w:rPr>
          <w:sz w:val="22"/>
          <w:szCs w:val="22"/>
          <w:lang w:val="sr-Latn-ME"/>
        </w:rPr>
        <w:t>rehidrataciju</w:t>
      </w:r>
      <w:proofErr w:type="spellEnd"/>
      <w:r w:rsidRPr="00D06084">
        <w:rPr>
          <w:sz w:val="22"/>
          <w:szCs w:val="22"/>
          <w:lang w:val="sr-Latn-ME"/>
        </w:rPr>
        <w:t xml:space="preserve">. </w:t>
      </w:r>
    </w:p>
    <w:p w14:paraId="7628238E" w14:textId="77777777" w:rsidR="002E37A5" w:rsidRPr="00D06084" w:rsidRDefault="002E37A5">
      <w:pPr>
        <w:tabs>
          <w:tab w:val="left" w:pos="540"/>
          <w:tab w:val="left" w:pos="569"/>
        </w:tabs>
        <w:jc w:val="both"/>
        <w:rPr>
          <w:b/>
          <w:bCs/>
          <w:sz w:val="22"/>
          <w:szCs w:val="22"/>
          <w:lang w:val="sr-Latn-ME"/>
        </w:rPr>
      </w:pPr>
    </w:p>
    <w:p w14:paraId="7628238F" w14:textId="77777777" w:rsidR="0072020E" w:rsidRPr="00D06084" w:rsidRDefault="0072020E">
      <w:pPr>
        <w:tabs>
          <w:tab w:val="left" w:pos="540"/>
          <w:tab w:val="left" w:pos="569"/>
        </w:tabs>
        <w:jc w:val="both"/>
        <w:rPr>
          <w:b/>
          <w:bCs/>
          <w:sz w:val="22"/>
          <w:szCs w:val="22"/>
          <w:lang w:val="sr-Latn-ME"/>
        </w:rPr>
      </w:pPr>
      <w:r w:rsidRPr="00D06084">
        <w:rPr>
          <w:b/>
          <w:bCs/>
          <w:sz w:val="22"/>
          <w:szCs w:val="22"/>
          <w:lang w:val="sr-Latn-ME"/>
        </w:rPr>
        <w:t xml:space="preserve">5.2. </w:t>
      </w:r>
      <w:r w:rsidR="00480FB1" w:rsidRPr="00D06084">
        <w:rPr>
          <w:b/>
          <w:bCs/>
          <w:sz w:val="22"/>
          <w:szCs w:val="22"/>
          <w:lang w:val="sr-Latn-ME"/>
        </w:rPr>
        <w:tab/>
      </w:r>
      <w:proofErr w:type="spellStart"/>
      <w:r w:rsidRPr="00D06084">
        <w:rPr>
          <w:b/>
          <w:bCs/>
          <w:sz w:val="22"/>
          <w:szCs w:val="22"/>
          <w:lang w:val="sr-Latn-ME"/>
        </w:rPr>
        <w:t>Farmakokinetički</w:t>
      </w:r>
      <w:proofErr w:type="spellEnd"/>
      <w:r w:rsidRPr="00D06084">
        <w:rPr>
          <w:b/>
          <w:bCs/>
          <w:sz w:val="22"/>
          <w:szCs w:val="22"/>
          <w:lang w:val="sr-Latn-ME"/>
        </w:rPr>
        <w:t xml:space="preserve"> podaci</w:t>
      </w:r>
      <w:r w:rsidR="003A7059" w:rsidRPr="00D06084">
        <w:rPr>
          <w:b/>
          <w:bCs/>
          <w:sz w:val="22"/>
          <w:szCs w:val="22"/>
          <w:lang w:val="sr-Latn-ME"/>
        </w:rPr>
        <w:t xml:space="preserve"> </w:t>
      </w:r>
    </w:p>
    <w:p w14:paraId="76282390" w14:textId="77777777" w:rsidR="002A6CF6" w:rsidRPr="00D06084" w:rsidRDefault="002A6CF6">
      <w:pPr>
        <w:tabs>
          <w:tab w:val="left" w:pos="540"/>
          <w:tab w:val="left" w:pos="569"/>
        </w:tabs>
        <w:jc w:val="both"/>
        <w:rPr>
          <w:sz w:val="22"/>
          <w:szCs w:val="22"/>
          <w:lang w:val="sr-Latn-ME"/>
        </w:rPr>
      </w:pPr>
    </w:p>
    <w:p w14:paraId="76282391" w14:textId="332B9783" w:rsidR="001B4D09" w:rsidRPr="00D06084" w:rsidRDefault="001B4D09">
      <w:pPr>
        <w:tabs>
          <w:tab w:val="left" w:pos="540"/>
          <w:tab w:val="left" w:pos="569"/>
        </w:tabs>
        <w:jc w:val="both"/>
        <w:rPr>
          <w:bCs/>
          <w:sz w:val="22"/>
          <w:szCs w:val="22"/>
          <w:lang w:val="sr-Latn-ME"/>
        </w:rPr>
      </w:pPr>
      <w:proofErr w:type="spellStart"/>
      <w:r w:rsidRPr="00D06084">
        <w:rPr>
          <w:sz w:val="22"/>
          <w:szCs w:val="22"/>
          <w:lang w:val="sr-Latn-ME"/>
        </w:rPr>
        <w:t>Usljed</w:t>
      </w:r>
      <w:proofErr w:type="spellEnd"/>
      <w:r w:rsidRPr="00D06084">
        <w:rPr>
          <w:sz w:val="22"/>
          <w:szCs w:val="22"/>
          <w:lang w:val="sr-Latn-ME"/>
        </w:rPr>
        <w:t xml:space="preserve"> strukture </w:t>
      </w:r>
      <w:proofErr w:type="spellStart"/>
      <w:r w:rsidRPr="00D06084">
        <w:rPr>
          <w:sz w:val="22"/>
          <w:szCs w:val="22"/>
          <w:lang w:val="sr-Latn-ME"/>
        </w:rPr>
        <w:t>diosmektita</w:t>
      </w:r>
      <w:proofErr w:type="spellEnd"/>
      <w:r w:rsidRPr="00D06084">
        <w:rPr>
          <w:sz w:val="22"/>
          <w:szCs w:val="22"/>
          <w:lang w:val="sr-Latn-ME"/>
        </w:rPr>
        <w:t xml:space="preserve">, lijek </w:t>
      </w:r>
      <w:proofErr w:type="spellStart"/>
      <w:r w:rsidRPr="00D06084">
        <w:rPr>
          <w:sz w:val="22"/>
          <w:szCs w:val="22"/>
          <w:lang w:val="sr-Latn-ME"/>
        </w:rPr>
        <w:t>Smecta</w:t>
      </w:r>
      <w:proofErr w:type="spellEnd"/>
      <w:r w:rsidRPr="00D06084">
        <w:rPr>
          <w:sz w:val="22"/>
          <w:szCs w:val="22"/>
          <w:lang w:val="sr-Latn-ME"/>
        </w:rPr>
        <w:t xml:space="preserve"> ostaje na </w:t>
      </w:r>
      <w:proofErr w:type="spellStart"/>
      <w:r w:rsidRPr="00D06084">
        <w:rPr>
          <w:sz w:val="22"/>
          <w:szCs w:val="22"/>
          <w:lang w:val="sr-Latn-ME"/>
        </w:rPr>
        <w:t>luminalnoj</w:t>
      </w:r>
      <w:proofErr w:type="spellEnd"/>
      <w:r w:rsidRPr="00D06084">
        <w:rPr>
          <w:sz w:val="22"/>
          <w:szCs w:val="22"/>
          <w:lang w:val="sr-Latn-ME"/>
        </w:rPr>
        <w:t xml:space="preserve"> strani crijevnog </w:t>
      </w:r>
      <w:proofErr w:type="spellStart"/>
      <w:r w:rsidRPr="00D06084">
        <w:rPr>
          <w:sz w:val="22"/>
          <w:szCs w:val="22"/>
          <w:lang w:val="sr-Latn-ME"/>
        </w:rPr>
        <w:t>epitela</w:t>
      </w:r>
      <w:proofErr w:type="spellEnd"/>
      <w:r w:rsidR="002A6CF6" w:rsidRPr="00D06084">
        <w:rPr>
          <w:sz w:val="22"/>
          <w:szCs w:val="22"/>
          <w:lang w:val="sr-Latn-ME"/>
        </w:rPr>
        <w:t>.</w:t>
      </w:r>
      <w:r w:rsidRPr="00D06084">
        <w:rPr>
          <w:sz w:val="22"/>
          <w:szCs w:val="22"/>
          <w:lang w:val="sr-Latn-ME"/>
        </w:rPr>
        <w:t xml:space="preserve"> </w:t>
      </w:r>
      <w:r w:rsidR="002A6CF6" w:rsidRPr="00D06084">
        <w:rPr>
          <w:sz w:val="22"/>
          <w:szCs w:val="22"/>
          <w:lang w:val="sr-Latn-ME"/>
        </w:rPr>
        <w:t>L</w:t>
      </w:r>
      <w:r w:rsidRPr="00D06084">
        <w:rPr>
          <w:sz w:val="22"/>
          <w:szCs w:val="22"/>
          <w:lang w:val="sr-Latn-ME"/>
        </w:rPr>
        <w:t xml:space="preserve">ijek </w:t>
      </w:r>
      <w:proofErr w:type="spellStart"/>
      <w:r w:rsidRPr="00D06084">
        <w:rPr>
          <w:sz w:val="22"/>
          <w:szCs w:val="22"/>
          <w:lang w:val="sr-Latn-ME"/>
        </w:rPr>
        <w:t>Smecta</w:t>
      </w:r>
      <w:proofErr w:type="spellEnd"/>
      <w:r w:rsidRPr="00D06084">
        <w:rPr>
          <w:sz w:val="22"/>
          <w:szCs w:val="22"/>
          <w:lang w:val="sr-Latn-ME"/>
        </w:rPr>
        <w:t xml:space="preserve"> se ne resorbuje i ne </w:t>
      </w:r>
      <w:proofErr w:type="spellStart"/>
      <w:r w:rsidRPr="00D06084">
        <w:rPr>
          <w:sz w:val="22"/>
          <w:szCs w:val="22"/>
          <w:lang w:val="sr-Latn-ME"/>
        </w:rPr>
        <w:t>metaboliše</w:t>
      </w:r>
      <w:proofErr w:type="spellEnd"/>
      <w:r w:rsidRPr="00D06084">
        <w:rPr>
          <w:sz w:val="22"/>
          <w:szCs w:val="22"/>
          <w:lang w:val="sr-Latn-ME"/>
        </w:rPr>
        <w:t>.</w:t>
      </w:r>
    </w:p>
    <w:p w14:paraId="76282392" w14:textId="77777777" w:rsidR="001B4D09" w:rsidRPr="00D06084" w:rsidRDefault="001B4D09">
      <w:pPr>
        <w:pStyle w:val="BodyText3"/>
        <w:shd w:val="clear" w:color="auto" w:fill="auto"/>
        <w:spacing w:after="0" w:line="240" w:lineRule="auto"/>
        <w:jc w:val="both"/>
        <w:rPr>
          <w:sz w:val="22"/>
          <w:szCs w:val="22"/>
          <w:lang w:val="sr-Latn-ME"/>
        </w:rPr>
      </w:pPr>
      <w:proofErr w:type="spellStart"/>
      <w:r w:rsidRPr="00D06084">
        <w:rPr>
          <w:sz w:val="22"/>
          <w:szCs w:val="22"/>
          <w:lang w:val="sr-Latn-ME"/>
        </w:rPr>
        <w:t>Diosmektit</w:t>
      </w:r>
      <w:proofErr w:type="spellEnd"/>
      <w:r w:rsidRPr="00D06084">
        <w:rPr>
          <w:sz w:val="22"/>
          <w:szCs w:val="22"/>
          <w:lang w:val="sr-Latn-ME"/>
        </w:rPr>
        <w:t xml:space="preserve"> se izlučuje </w:t>
      </w:r>
      <w:proofErr w:type="spellStart"/>
      <w:r w:rsidRPr="00D06084">
        <w:rPr>
          <w:sz w:val="22"/>
          <w:szCs w:val="22"/>
          <w:lang w:val="sr-Latn-ME"/>
        </w:rPr>
        <w:t>fecesom</w:t>
      </w:r>
      <w:proofErr w:type="spellEnd"/>
      <w:r w:rsidRPr="00D06084">
        <w:rPr>
          <w:sz w:val="22"/>
          <w:szCs w:val="22"/>
          <w:lang w:val="sr-Latn-ME"/>
        </w:rPr>
        <w:t xml:space="preserve"> u toku procesa normalnog intestinalnog tranzita.</w:t>
      </w:r>
    </w:p>
    <w:p w14:paraId="76282393" w14:textId="77777777" w:rsidR="0072020E" w:rsidRPr="00D06084" w:rsidRDefault="0072020E">
      <w:pPr>
        <w:tabs>
          <w:tab w:val="left" w:pos="540"/>
          <w:tab w:val="left" w:pos="569"/>
        </w:tabs>
        <w:jc w:val="both"/>
        <w:rPr>
          <w:bCs/>
          <w:sz w:val="22"/>
          <w:szCs w:val="22"/>
          <w:lang w:val="sr-Latn-ME"/>
        </w:rPr>
      </w:pPr>
    </w:p>
    <w:p w14:paraId="76282394" w14:textId="77777777" w:rsidR="0072020E" w:rsidRPr="00D06084" w:rsidRDefault="0072020E">
      <w:pPr>
        <w:tabs>
          <w:tab w:val="left" w:pos="540"/>
          <w:tab w:val="left" w:pos="569"/>
        </w:tabs>
        <w:jc w:val="both"/>
        <w:rPr>
          <w:b/>
          <w:bCs/>
          <w:sz w:val="22"/>
          <w:szCs w:val="22"/>
          <w:lang w:val="sr-Latn-ME"/>
        </w:rPr>
      </w:pPr>
      <w:r w:rsidRPr="00D06084">
        <w:rPr>
          <w:b/>
          <w:bCs/>
          <w:sz w:val="22"/>
          <w:szCs w:val="22"/>
          <w:lang w:val="sr-Latn-ME"/>
        </w:rPr>
        <w:t xml:space="preserve">5.3. </w:t>
      </w:r>
      <w:r w:rsidR="00480FB1" w:rsidRPr="00D06084">
        <w:rPr>
          <w:b/>
          <w:bCs/>
          <w:sz w:val="22"/>
          <w:szCs w:val="22"/>
          <w:lang w:val="sr-Latn-ME"/>
        </w:rPr>
        <w:tab/>
      </w:r>
      <w:proofErr w:type="spellStart"/>
      <w:r w:rsidRPr="00D06084">
        <w:rPr>
          <w:b/>
          <w:bCs/>
          <w:sz w:val="22"/>
          <w:szCs w:val="22"/>
          <w:lang w:val="sr-Latn-ME"/>
        </w:rPr>
        <w:t>Pretklinički</w:t>
      </w:r>
      <w:proofErr w:type="spellEnd"/>
      <w:r w:rsidRPr="00D06084">
        <w:rPr>
          <w:b/>
          <w:bCs/>
          <w:sz w:val="22"/>
          <w:szCs w:val="22"/>
          <w:lang w:val="sr-Latn-ME"/>
        </w:rPr>
        <w:t xml:space="preserve"> podaci o bezbjednosti </w:t>
      </w:r>
    </w:p>
    <w:p w14:paraId="76282395" w14:textId="77777777" w:rsidR="001B4D09" w:rsidRPr="00D06084" w:rsidRDefault="001B4D09">
      <w:pPr>
        <w:pStyle w:val="Header"/>
        <w:tabs>
          <w:tab w:val="left" w:pos="284"/>
        </w:tabs>
        <w:jc w:val="both"/>
        <w:rPr>
          <w:sz w:val="22"/>
          <w:szCs w:val="22"/>
          <w:lang w:val="sr-Latn-ME"/>
        </w:rPr>
      </w:pPr>
    </w:p>
    <w:p w14:paraId="76282396" w14:textId="4E16FDAA" w:rsidR="001B4D09" w:rsidRPr="00D06084" w:rsidRDefault="001B4D09">
      <w:pPr>
        <w:pStyle w:val="Header"/>
        <w:tabs>
          <w:tab w:val="left" w:pos="284"/>
        </w:tabs>
        <w:jc w:val="both"/>
        <w:rPr>
          <w:sz w:val="22"/>
          <w:szCs w:val="22"/>
          <w:lang w:val="sr-Latn-ME"/>
        </w:rPr>
      </w:pPr>
      <w:proofErr w:type="spellStart"/>
      <w:r w:rsidRPr="00D06084">
        <w:rPr>
          <w:sz w:val="22"/>
          <w:szCs w:val="22"/>
          <w:lang w:val="sr-Latn-ME"/>
        </w:rPr>
        <w:t>Pretklinički</w:t>
      </w:r>
      <w:proofErr w:type="spellEnd"/>
      <w:r w:rsidRPr="00D06084">
        <w:rPr>
          <w:sz w:val="22"/>
          <w:szCs w:val="22"/>
          <w:lang w:val="sr-Latn-ME"/>
        </w:rPr>
        <w:t xml:space="preserve"> podaci</w:t>
      </w:r>
      <w:r w:rsidR="002A6CF6" w:rsidRPr="00D06084">
        <w:rPr>
          <w:sz w:val="22"/>
          <w:szCs w:val="22"/>
          <w:lang w:val="sr-Latn-ME"/>
        </w:rPr>
        <w:t xml:space="preserve"> dobijeni na osnovu konvencionalnih studija</w:t>
      </w:r>
      <w:r w:rsidRPr="00D06084">
        <w:rPr>
          <w:sz w:val="22"/>
          <w:szCs w:val="22"/>
          <w:lang w:val="sr-Latn-ME"/>
        </w:rPr>
        <w:t xml:space="preserve"> </w:t>
      </w:r>
      <w:proofErr w:type="spellStart"/>
      <w:r w:rsidRPr="00D06084">
        <w:rPr>
          <w:sz w:val="22"/>
          <w:szCs w:val="22"/>
          <w:lang w:val="sr-Latn-ME"/>
        </w:rPr>
        <w:t>bezbjednos</w:t>
      </w:r>
      <w:r w:rsidR="002A6CF6" w:rsidRPr="00D06084">
        <w:rPr>
          <w:sz w:val="22"/>
          <w:szCs w:val="22"/>
          <w:lang w:val="sr-Latn-ME"/>
        </w:rPr>
        <w:t>ne</w:t>
      </w:r>
      <w:proofErr w:type="spellEnd"/>
      <w:r w:rsidRPr="00D06084">
        <w:rPr>
          <w:sz w:val="22"/>
          <w:szCs w:val="22"/>
          <w:lang w:val="sr-Latn-ME"/>
        </w:rPr>
        <w:t xml:space="preserve"> </w:t>
      </w:r>
      <w:r w:rsidR="002A6CF6" w:rsidRPr="00D06084">
        <w:rPr>
          <w:sz w:val="22"/>
          <w:szCs w:val="22"/>
          <w:lang w:val="sr-Latn-ME"/>
        </w:rPr>
        <w:t xml:space="preserve">farmakologije i </w:t>
      </w:r>
      <w:r w:rsidRPr="00D06084">
        <w:rPr>
          <w:sz w:val="22"/>
          <w:szCs w:val="22"/>
          <w:lang w:val="sr-Latn-ME"/>
        </w:rPr>
        <w:t xml:space="preserve"> toksičnosti ponovljeni</w:t>
      </w:r>
      <w:r w:rsidR="002A6CF6" w:rsidRPr="00D06084">
        <w:rPr>
          <w:sz w:val="22"/>
          <w:szCs w:val="22"/>
          <w:lang w:val="sr-Latn-ME"/>
        </w:rPr>
        <w:t>h</w:t>
      </w:r>
      <w:r w:rsidRPr="00D06084">
        <w:rPr>
          <w:sz w:val="22"/>
          <w:szCs w:val="22"/>
          <w:lang w:val="sr-Latn-ME"/>
        </w:rPr>
        <w:t xml:space="preserve"> doza, </w:t>
      </w:r>
      <w:proofErr w:type="spellStart"/>
      <w:r w:rsidRPr="00D06084">
        <w:rPr>
          <w:sz w:val="22"/>
          <w:szCs w:val="22"/>
          <w:lang w:val="sr-Latn-ME"/>
        </w:rPr>
        <w:t>genotoksičnosti</w:t>
      </w:r>
      <w:proofErr w:type="spellEnd"/>
      <w:r w:rsidRPr="00D06084">
        <w:rPr>
          <w:sz w:val="22"/>
          <w:szCs w:val="22"/>
          <w:lang w:val="sr-Latn-ME"/>
        </w:rPr>
        <w:t xml:space="preserve">, ne ukazuju na </w:t>
      </w:r>
      <w:r w:rsidR="002A6CF6" w:rsidRPr="00D06084">
        <w:rPr>
          <w:sz w:val="22"/>
          <w:szCs w:val="22"/>
          <w:lang w:val="sr-Latn-ME"/>
        </w:rPr>
        <w:t xml:space="preserve">posebne </w:t>
      </w:r>
      <w:r w:rsidRPr="00D06084">
        <w:rPr>
          <w:sz w:val="22"/>
          <w:szCs w:val="22"/>
          <w:lang w:val="sr-Latn-ME"/>
        </w:rPr>
        <w:t>rizik</w:t>
      </w:r>
      <w:r w:rsidR="002A6CF6" w:rsidRPr="00D06084">
        <w:rPr>
          <w:sz w:val="22"/>
          <w:szCs w:val="22"/>
          <w:lang w:val="sr-Latn-ME"/>
        </w:rPr>
        <w:t>e pri prim</w:t>
      </w:r>
      <w:r w:rsidR="00EC1F76" w:rsidRPr="00D06084">
        <w:rPr>
          <w:sz w:val="22"/>
          <w:szCs w:val="22"/>
          <w:lang w:val="sr-Latn-ME"/>
        </w:rPr>
        <w:t>j</w:t>
      </w:r>
      <w:r w:rsidR="002A6CF6" w:rsidRPr="00D06084">
        <w:rPr>
          <w:sz w:val="22"/>
          <w:szCs w:val="22"/>
          <w:lang w:val="sr-Latn-ME"/>
        </w:rPr>
        <w:t>eni</w:t>
      </w:r>
      <w:r w:rsidRPr="00D06084">
        <w:rPr>
          <w:sz w:val="22"/>
          <w:szCs w:val="22"/>
          <w:lang w:val="sr-Latn-ME"/>
        </w:rPr>
        <w:t xml:space="preserve"> kod </w:t>
      </w:r>
      <w:proofErr w:type="spellStart"/>
      <w:r w:rsidRPr="00D06084">
        <w:rPr>
          <w:sz w:val="22"/>
          <w:szCs w:val="22"/>
          <w:lang w:val="sr-Latn-ME"/>
        </w:rPr>
        <w:t>ljudi</w:t>
      </w:r>
      <w:proofErr w:type="spellEnd"/>
      <w:r w:rsidRPr="00D06084">
        <w:rPr>
          <w:sz w:val="22"/>
          <w:szCs w:val="22"/>
          <w:lang w:val="sr-Latn-ME"/>
        </w:rPr>
        <w:t>.</w:t>
      </w:r>
    </w:p>
    <w:p w14:paraId="76282398" w14:textId="7318D280" w:rsidR="00396DFD" w:rsidRPr="00D06084" w:rsidRDefault="00396DFD">
      <w:pPr>
        <w:tabs>
          <w:tab w:val="left" w:pos="540"/>
          <w:tab w:val="left" w:pos="569"/>
        </w:tabs>
        <w:jc w:val="both"/>
        <w:rPr>
          <w:b/>
          <w:bCs/>
          <w:sz w:val="22"/>
          <w:szCs w:val="22"/>
          <w:lang w:val="sr-Latn-ME"/>
        </w:rPr>
      </w:pPr>
    </w:p>
    <w:p w14:paraId="1A505C62" w14:textId="77777777" w:rsidR="00D936C5" w:rsidRPr="00D06084" w:rsidRDefault="00D936C5">
      <w:pPr>
        <w:tabs>
          <w:tab w:val="left" w:pos="540"/>
          <w:tab w:val="left" w:pos="569"/>
        </w:tabs>
        <w:jc w:val="both"/>
        <w:rPr>
          <w:b/>
          <w:bCs/>
          <w:sz w:val="22"/>
          <w:szCs w:val="22"/>
          <w:lang w:val="sr-Latn-ME"/>
        </w:rPr>
      </w:pPr>
    </w:p>
    <w:p w14:paraId="76282399" w14:textId="77777777" w:rsidR="0072020E" w:rsidRPr="00D06084" w:rsidRDefault="0072020E">
      <w:pPr>
        <w:tabs>
          <w:tab w:val="left" w:pos="540"/>
          <w:tab w:val="left" w:pos="569"/>
        </w:tabs>
        <w:jc w:val="both"/>
        <w:rPr>
          <w:b/>
          <w:bCs/>
          <w:sz w:val="22"/>
          <w:szCs w:val="22"/>
          <w:lang w:val="sr-Latn-ME"/>
        </w:rPr>
      </w:pPr>
      <w:r w:rsidRPr="00D06084">
        <w:rPr>
          <w:b/>
          <w:bCs/>
          <w:sz w:val="22"/>
          <w:szCs w:val="22"/>
          <w:lang w:val="sr-Latn-ME"/>
        </w:rPr>
        <w:t xml:space="preserve">6. </w:t>
      </w:r>
      <w:r w:rsidR="00480FB1" w:rsidRPr="00D06084">
        <w:rPr>
          <w:b/>
          <w:bCs/>
          <w:sz w:val="22"/>
          <w:szCs w:val="22"/>
          <w:lang w:val="sr-Latn-ME"/>
        </w:rPr>
        <w:tab/>
      </w:r>
      <w:r w:rsidRPr="00D06084">
        <w:rPr>
          <w:b/>
          <w:bCs/>
          <w:sz w:val="22"/>
          <w:szCs w:val="22"/>
          <w:lang w:val="sr-Latn-ME"/>
        </w:rPr>
        <w:t>FARMACEUTSKI PODACI</w:t>
      </w:r>
    </w:p>
    <w:p w14:paraId="7628239A" w14:textId="77777777" w:rsidR="00836B35" w:rsidRPr="00D06084" w:rsidRDefault="00836B35" w:rsidP="00016EF8">
      <w:pPr>
        <w:tabs>
          <w:tab w:val="left" w:pos="540"/>
          <w:tab w:val="left" w:pos="569"/>
        </w:tabs>
        <w:jc w:val="both"/>
        <w:rPr>
          <w:bCs/>
          <w:sz w:val="22"/>
          <w:szCs w:val="22"/>
          <w:lang w:val="sr-Latn-ME"/>
        </w:rPr>
      </w:pPr>
    </w:p>
    <w:p w14:paraId="7628239B" w14:textId="5CCC1FE1" w:rsidR="0072020E" w:rsidRPr="00D06084" w:rsidRDefault="0072020E" w:rsidP="00016EF8">
      <w:pPr>
        <w:tabs>
          <w:tab w:val="left" w:pos="540"/>
          <w:tab w:val="left" w:pos="569"/>
        </w:tabs>
        <w:jc w:val="both"/>
        <w:rPr>
          <w:b/>
          <w:bCs/>
          <w:sz w:val="22"/>
          <w:szCs w:val="22"/>
          <w:lang w:val="sr-Latn-ME"/>
        </w:rPr>
      </w:pPr>
      <w:r w:rsidRPr="00D06084">
        <w:rPr>
          <w:b/>
          <w:bCs/>
          <w:sz w:val="22"/>
          <w:szCs w:val="22"/>
          <w:lang w:val="sr-Latn-ME"/>
        </w:rPr>
        <w:t xml:space="preserve">6.1. </w:t>
      </w:r>
      <w:r w:rsidR="00480FB1" w:rsidRPr="00D06084">
        <w:rPr>
          <w:b/>
          <w:bCs/>
          <w:sz w:val="22"/>
          <w:szCs w:val="22"/>
          <w:lang w:val="sr-Latn-ME"/>
        </w:rPr>
        <w:tab/>
      </w:r>
      <w:r w:rsidRPr="00D06084">
        <w:rPr>
          <w:b/>
          <w:bCs/>
          <w:sz w:val="22"/>
          <w:szCs w:val="22"/>
          <w:lang w:val="sr-Latn-ME"/>
        </w:rPr>
        <w:t>Lista pomoćnih supstanci</w:t>
      </w:r>
      <w:r w:rsidR="002E0135" w:rsidRPr="00D06084">
        <w:rPr>
          <w:b/>
          <w:bCs/>
          <w:sz w:val="22"/>
          <w:szCs w:val="22"/>
          <w:lang w:val="sr-Latn-ME"/>
        </w:rPr>
        <w:t xml:space="preserve"> (</w:t>
      </w:r>
      <w:proofErr w:type="spellStart"/>
      <w:r w:rsidR="002E0135" w:rsidRPr="00D06084">
        <w:rPr>
          <w:b/>
          <w:bCs/>
          <w:sz w:val="22"/>
          <w:szCs w:val="22"/>
          <w:lang w:val="sr-Latn-ME"/>
        </w:rPr>
        <w:t>ekscipijenasa</w:t>
      </w:r>
      <w:proofErr w:type="spellEnd"/>
      <w:r w:rsidR="002E0135" w:rsidRPr="00D06084">
        <w:rPr>
          <w:b/>
          <w:bCs/>
          <w:sz w:val="22"/>
          <w:szCs w:val="22"/>
          <w:lang w:val="sr-Latn-ME"/>
        </w:rPr>
        <w:t>)</w:t>
      </w:r>
    </w:p>
    <w:p w14:paraId="1DEFD195" w14:textId="77777777" w:rsidR="00E5542E" w:rsidRPr="00D06084" w:rsidRDefault="00E5542E" w:rsidP="00016EF8">
      <w:pPr>
        <w:tabs>
          <w:tab w:val="left" w:pos="540"/>
          <w:tab w:val="left" w:pos="569"/>
        </w:tabs>
        <w:jc w:val="both"/>
        <w:rPr>
          <w:b/>
          <w:bCs/>
          <w:sz w:val="22"/>
          <w:szCs w:val="22"/>
          <w:lang w:val="sr-Latn-ME"/>
        </w:rPr>
      </w:pPr>
    </w:p>
    <w:p w14:paraId="7628239C" w14:textId="6871BD12" w:rsidR="001B4D09" w:rsidRPr="00D06084" w:rsidRDefault="001B4D09" w:rsidP="00016EF8">
      <w:pPr>
        <w:jc w:val="both"/>
        <w:rPr>
          <w:sz w:val="22"/>
          <w:szCs w:val="22"/>
          <w:lang w:val="sr-Latn-ME"/>
        </w:rPr>
      </w:pPr>
      <w:r w:rsidRPr="00D06084">
        <w:rPr>
          <w:sz w:val="22"/>
          <w:szCs w:val="22"/>
          <w:lang w:val="sr-Latn-ME"/>
        </w:rPr>
        <w:t xml:space="preserve">Glukoza </w:t>
      </w:r>
      <w:proofErr w:type="spellStart"/>
      <w:r w:rsidRPr="00D06084">
        <w:rPr>
          <w:sz w:val="22"/>
          <w:szCs w:val="22"/>
          <w:lang w:val="sr-Latn-ME"/>
        </w:rPr>
        <w:t>monohidrat</w:t>
      </w:r>
      <w:proofErr w:type="spellEnd"/>
      <w:r w:rsidRPr="00D06084">
        <w:rPr>
          <w:sz w:val="22"/>
          <w:szCs w:val="22"/>
          <w:lang w:val="sr-Latn-ME"/>
        </w:rPr>
        <w:tab/>
      </w:r>
      <w:r w:rsidRPr="00D06084">
        <w:rPr>
          <w:sz w:val="22"/>
          <w:szCs w:val="22"/>
          <w:lang w:val="sr-Latn-ME"/>
        </w:rPr>
        <w:tab/>
      </w:r>
    </w:p>
    <w:p w14:paraId="7628239D" w14:textId="77777777" w:rsidR="001B4D09" w:rsidRPr="00D06084" w:rsidRDefault="001B4D09" w:rsidP="00016EF8">
      <w:pPr>
        <w:jc w:val="both"/>
        <w:rPr>
          <w:sz w:val="22"/>
          <w:szCs w:val="22"/>
          <w:lang w:val="sr-Latn-ME"/>
        </w:rPr>
      </w:pPr>
      <w:r w:rsidRPr="00D06084">
        <w:rPr>
          <w:sz w:val="22"/>
          <w:szCs w:val="22"/>
          <w:lang w:val="sr-Latn-ME"/>
        </w:rPr>
        <w:t>Saharin natrijum</w:t>
      </w:r>
      <w:r w:rsidRPr="00D06084">
        <w:rPr>
          <w:sz w:val="22"/>
          <w:szCs w:val="22"/>
          <w:lang w:val="sr-Latn-ME"/>
        </w:rPr>
        <w:tab/>
      </w:r>
      <w:r w:rsidRPr="00D06084">
        <w:rPr>
          <w:sz w:val="22"/>
          <w:szCs w:val="22"/>
          <w:lang w:val="sr-Latn-ME"/>
        </w:rPr>
        <w:tab/>
      </w:r>
    </w:p>
    <w:p w14:paraId="7628239E" w14:textId="77777777" w:rsidR="001B4D09" w:rsidRPr="00D06084" w:rsidRDefault="001B4D09" w:rsidP="00016EF8">
      <w:pPr>
        <w:jc w:val="both"/>
        <w:rPr>
          <w:sz w:val="22"/>
          <w:szCs w:val="22"/>
          <w:lang w:val="sr-Latn-ME"/>
        </w:rPr>
      </w:pPr>
      <w:r w:rsidRPr="00D06084">
        <w:rPr>
          <w:sz w:val="22"/>
          <w:szCs w:val="22"/>
          <w:lang w:val="sr-Latn-ME"/>
        </w:rPr>
        <w:t xml:space="preserve">Aroma pomorandže*             </w:t>
      </w:r>
    </w:p>
    <w:p w14:paraId="7628239F" w14:textId="77777777" w:rsidR="001B4D09" w:rsidRPr="00D06084" w:rsidRDefault="001B4D09" w:rsidP="00016EF8">
      <w:pPr>
        <w:jc w:val="both"/>
        <w:rPr>
          <w:sz w:val="22"/>
          <w:szCs w:val="22"/>
          <w:lang w:val="sr-Latn-ME"/>
        </w:rPr>
      </w:pPr>
      <w:r w:rsidRPr="00D06084">
        <w:rPr>
          <w:sz w:val="22"/>
          <w:szCs w:val="22"/>
          <w:lang w:val="sr-Latn-ME"/>
        </w:rPr>
        <w:t xml:space="preserve">Aroma vanile* </w:t>
      </w:r>
      <w:r w:rsidRPr="00D06084">
        <w:rPr>
          <w:sz w:val="22"/>
          <w:szCs w:val="22"/>
          <w:lang w:val="sr-Latn-ME"/>
        </w:rPr>
        <w:tab/>
      </w:r>
      <w:r w:rsidRPr="00D06084">
        <w:rPr>
          <w:sz w:val="22"/>
          <w:szCs w:val="22"/>
          <w:lang w:val="sr-Latn-ME"/>
        </w:rPr>
        <w:tab/>
      </w:r>
    </w:p>
    <w:p w14:paraId="762823A0" w14:textId="77777777" w:rsidR="001B4D09" w:rsidRPr="00D06084" w:rsidRDefault="001B4D09" w:rsidP="00016EF8">
      <w:pPr>
        <w:tabs>
          <w:tab w:val="left" w:pos="708"/>
          <w:tab w:val="left" w:pos="1416"/>
          <w:tab w:val="left" w:pos="2124"/>
          <w:tab w:val="left" w:pos="2832"/>
          <w:tab w:val="left" w:pos="3540"/>
          <w:tab w:val="left" w:pos="4248"/>
          <w:tab w:val="left" w:pos="4956"/>
          <w:tab w:val="left" w:pos="5664"/>
          <w:tab w:val="left" w:pos="6165"/>
        </w:tabs>
        <w:jc w:val="both"/>
        <w:rPr>
          <w:spacing w:val="-2"/>
          <w:sz w:val="22"/>
          <w:szCs w:val="22"/>
          <w:lang w:val="sr-Latn-ME"/>
        </w:rPr>
      </w:pPr>
    </w:p>
    <w:p w14:paraId="762823A1" w14:textId="2E5405F4" w:rsidR="001B4D09" w:rsidRPr="00D06084" w:rsidRDefault="001B4D09" w:rsidP="00016EF8">
      <w:pPr>
        <w:tabs>
          <w:tab w:val="left" w:pos="708"/>
          <w:tab w:val="left" w:pos="1416"/>
          <w:tab w:val="left" w:pos="2124"/>
          <w:tab w:val="left" w:pos="2832"/>
          <w:tab w:val="left" w:pos="3540"/>
          <w:tab w:val="left" w:pos="4248"/>
          <w:tab w:val="left" w:pos="4956"/>
          <w:tab w:val="left" w:pos="5664"/>
          <w:tab w:val="left" w:pos="6165"/>
        </w:tabs>
        <w:jc w:val="both"/>
        <w:rPr>
          <w:spacing w:val="-2"/>
          <w:sz w:val="22"/>
          <w:szCs w:val="22"/>
          <w:lang w:val="sr-Latn-ME"/>
        </w:rPr>
      </w:pPr>
      <w:r w:rsidRPr="00D06084">
        <w:rPr>
          <w:spacing w:val="-2"/>
          <w:sz w:val="22"/>
          <w:szCs w:val="22"/>
          <w:lang w:val="sr-Latn-ME"/>
        </w:rPr>
        <w:t xml:space="preserve">*Sastav arome </w:t>
      </w:r>
      <w:r w:rsidRPr="00D06084">
        <w:rPr>
          <w:sz w:val="22"/>
          <w:szCs w:val="22"/>
          <w:lang w:val="sr-Latn-ME"/>
        </w:rPr>
        <w:t>pomorandže</w:t>
      </w:r>
      <w:r w:rsidRPr="00D06084">
        <w:rPr>
          <w:spacing w:val="-2"/>
          <w:sz w:val="22"/>
          <w:szCs w:val="22"/>
          <w:lang w:val="sr-Latn-ME"/>
        </w:rPr>
        <w:t xml:space="preserve">: </w:t>
      </w:r>
      <w:proofErr w:type="spellStart"/>
      <w:r w:rsidRPr="00D06084">
        <w:rPr>
          <w:spacing w:val="-2"/>
          <w:sz w:val="22"/>
          <w:szCs w:val="22"/>
          <w:lang w:val="sr-Latn-ME"/>
        </w:rPr>
        <w:t>maltodekstrin</w:t>
      </w:r>
      <w:proofErr w:type="spellEnd"/>
      <w:r w:rsidRPr="00D06084">
        <w:rPr>
          <w:spacing w:val="-2"/>
          <w:sz w:val="22"/>
          <w:szCs w:val="22"/>
          <w:lang w:val="sr-Latn-ME"/>
        </w:rPr>
        <w:t xml:space="preserve">, saharoza, arapska guma (E414), </w:t>
      </w:r>
      <w:proofErr w:type="spellStart"/>
      <w:r w:rsidRPr="00D06084">
        <w:rPr>
          <w:spacing w:val="-2"/>
          <w:sz w:val="22"/>
          <w:szCs w:val="22"/>
          <w:lang w:val="sr-Latn-ME"/>
        </w:rPr>
        <w:t>mono</w:t>
      </w:r>
      <w:proofErr w:type="spellEnd"/>
      <w:r w:rsidRPr="00D06084">
        <w:rPr>
          <w:spacing w:val="-2"/>
          <w:sz w:val="22"/>
          <w:szCs w:val="22"/>
          <w:lang w:val="sr-Latn-ME"/>
        </w:rPr>
        <w:t xml:space="preserve"> i </w:t>
      </w:r>
      <w:proofErr w:type="spellStart"/>
      <w:r w:rsidRPr="00D06084">
        <w:rPr>
          <w:spacing w:val="-2"/>
          <w:sz w:val="22"/>
          <w:szCs w:val="22"/>
          <w:lang w:val="sr-Latn-ME"/>
        </w:rPr>
        <w:t>diacetiltartaratni</w:t>
      </w:r>
      <w:proofErr w:type="spellEnd"/>
      <w:r w:rsidRPr="00D06084">
        <w:rPr>
          <w:spacing w:val="-2"/>
          <w:sz w:val="22"/>
          <w:szCs w:val="22"/>
          <w:lang w:val="sr-Latn-ME"/>
        </w:rPr>
        <w:t xml:space="preserve"> </w:t>
      </w:r>
      <w:proofErr w:type="spellStart"/>
      <w:r w:rsidRPr="00D06084">
        <w:rPr>
          <w:spacing w:val="-2"/>
          <w:sz w:val="22"/>
          <w:szCs w:val="22"/>
          <w:lang w:val="sr-Latn-ME"/>
        </w:rPr>
        <w:t>estri</w:t>
      </w:r>
      <w:proofErr w:type="spellEnd"/>
      <w:r w:rsidRPr="00D06084">
        <w:rPr>
          <w:spacing w:val="-2"/>
          <w:sz w:val="22"/>
          <w:szCs w:val="22"/>
          <w:lang w:val="sr-Latn-ME"/>
        </w:rPr>
        <w:t xml:space="preserve"> </w:t>
      </w:r>
      <w:proofErr w:type="spellStart"/>
      <w:r w:rsidRPr="00D06084">
        <w:rPr>
          <w:spacing w:val="-2"/>
          <w:sz w:val="22"/>
          <w:szCs w:val="22"/>
          <w:lang w:val="sr-Latn-ME"/>
        </w:rPr>
        <w:t>mono</w:t>
      </w:r>
      <w:proofErr w:type="spellEnd"/>
      <w:r w:rsidRPr="00D06084">
        <w:rPr>
          <w:spacing w:val="-2"/>
          <w:sz w:val="22"/>
          <w:szCs w:val="22"/>
          <w:lang w:val="sr-Latn-ME"/>
        </w:rPr>
        <w:t xml:space="preserve"> i </w:t>
      </w:r>
      <w:proofErr w:type="spellStart"/>
      <w:r w:rsidRPr="00D06084">
        <w:rPr>
          <w:spacing w:val="-2"/>
          <w:sz w:val="22"/>
          <w:szCs w:val="22"/>
          <w:lang w:val="sr-Latn-ME"/>
        </w:rPr>
        <w:t>diglicerid</w:t>
      </w:r>
      <w:r w:rsidR="006D6BFB" w:rsidRPr="00D06084">
        <w:rPr>
          <w:spacing w:val="-2"/>
          <w:sz w:val="22"/>
          <w:szCs w:val="22"/>
          <w:lang w:val="sr-Latn-ME"/>
        </w:rPr>
        <w:t>a</w:t>
      </w:r>
      <w:proofErr w:type="spellEnd"/>
      <w:r w:rsidRPr="00D06084">
        <w:rPr>
          <w:spacing w:val="-2"/>
          <w:sz w:val="22"/>
          <w:szCs w:val="22"/>
          <w:lang w:val="sr-Latn-ME"/>
        </w:rPr>
        <w:t xml:space="preserve"> masnih kiselina (E472e), silicijum dioksid (E551), aroma</w:t>
      </w:r>
      <w:r w:rsidR="00573A4D" w:rsidRPr="00D06084">
        <w:rPr>
          <w:spacing w:val="-2"/>
          <w:sz w:val="22"/>
          <w:szCs w:val="22"/>
          <w:lang w:val="sr-Latn-ME"/>
        </w:rPr>
        <w:t>tični sastojci</w:t>
      </w:r>
      <w:r w:rsidRPr="00D06084">
        <w:rPr>
          <w:spacing w:val="-2"/>
          <w:sz w:val="22"/>
          <w:szCs w:val="22"/>
          <w:lang w:val="sr-Latn-ME"/>
        </w:rPr>
        <w:t>.</w:t>
      </w:r>
    </w:p>
    <w:p w14:paraId="762823A2" w14:textId="77777777" w:rsidR="002A6CF6" w:rsidRPr="00D06084" w:rsidRDefault="002A6CF6" w:rsidP="00016EF8">
      <w:pPr>
        <w:tabs>
          <w:tab w:val="left" w:pos="708"/>
          <w:tab w:val="left" w:pos="1416"/>
          <w:tab w:val="left" w:pos="2124"/>
          <w:tab w:val="left" w:pos="2832"/>
          <w:tab w:val="left" w:pos="3540"/>
          <w:tab w:val="left" w:pos="4248"/>
          <w:tab w:val="left" w:pos="4956"/>
          <w:tab w:val="left" w:pos="5664"/>
          <w:tab w:val="left" w:pos="6165"/>
        </w:tabs>
        <w:jc w:val="both"/>
        <w:rPr>
          <w:spacing w:val="-2"/>
          <w:sz w:val="22"/>
          <w:szCs w:val="22"/>
          <w:lang w:val="sr-Latn-ME"/>
        </w:rPr>
      </w:pPr>
    </w:p>
    <w:p w14:paraId="762823A3" w14:textId="2EBE01D4" w:rsidR="001B4D09" w:rsidRPr="00D06084" w:rsidRDefault="001B4D09" w:rsidP="00016EF8">
      <w:pPr>
        <w:tabs>
          <w:tab w:val="left" w:pos="540"/>
          <w:tab w:val="left" w:pos="569"/>
        </w:tabs>
        <w:jc w:val="both"/>
        <w:rPr>
          <w:spacing w:val="-2"/>
          <w:sz w:val="22"/>
          <w:szCs w:val="22"/>
          <w:lang w:val="sr-Latn-ME"/>
        </w:rPr>
      </w:pPr>
      <w:r w:rsidRPr="00D06084">
        <w:rPr>
          <w:spacing w:val="-2"/>
          <w:sz w:val="22"/>
          <w:szCs w:val="22"/>
          <w:lang w:val="sr-Latn-ME"/>
        </w:rPr>
        <w:t xml:space="preserve">*Sastav arome vanile: </w:t>
      </w:r>
      <w:proofErr w:type="spellStart"/>
      <w:r w:rsidRPr="00D06084">
        <w:rPr>
          <w:spacing w:val="-2"/>
          <w:sz w:val="22"/>
          <w:szCs w:val="22"/>
          <w:lang w:val="sr-Latn-ME"/>
        </w:rPr>
        <w:t>maltodekstrin</w:t>
      </w:r>
      <w:proofErr w:type="spellEnd"/>
      <w:r w:rsidRPr="00D06084">
        <w:rPr>
          <w:spacing w:val="-2"/>
          <w:sz w:val="22"/>
          <w:szCs w:val="22"/>
          <w:lang w:val="sr-Latn-ME"/>
        </w:rPr>
        <w:t xml:space="preserve">, saharoza, </w:t>
      </w:r>
      <w:proofErr w:type="spellStart"/>
      <w:r w:rsidRPr="00D06084">
        <w:rPr>
          <w:spacing w:val="-2"/>
          <w:sz w:val="22"/>
          <w:szCs w:val="22"/>
          <w:lang w:val="sr-Latn-ME"/>
        </w:rPr>
        <w:t>glicerol</w:t>
      </w:r>
      <w:proofErr w:type="spellEnd"/>
      <w:r w:rsidR="00777B69" w:rsidRPr="00D06084">
        <w:rPr>
          <w:spacing w:val="-2"/>
          <w:sz w:val="22"/>
          <w:szCs w:val="22"/>
          <w:lang w:val="sr-Latn-ME"/>
        </w:rPr>
        <w:t xml:space="preserve"> </w:t>
      </w:r>
      <w:proofErr w:type="spellStart"/>
      <w:r w:rsidRPr="00D06084">
        <w:rPr>
          <w:spacing w:val="-2"/>
          <w:sz w:val="22"/>
          <w:szCs w:val="22"/>
          <w:lang w:val="sr-Latn-ME"/>
        </w:rPr>
        <w:t>triacetat</w:t>
      </w:r>
      <w:proofErr w:type="spellEnd"/>
      <w:r w:rsidRPr="00D06084">
        <w:rPr>
          <w:spacing w:val="-2"/>
          <w:sz w:val="22"/>
          <w:szCs w:val="22"/>
          <w:lang w:val="sr-Latn-ME"/>
        </w:rPr>
        <w:t xml:space="preserve"> (E1518), silicijum dioksid (E551), etanol, soja </w:t>
      </w:r>
      <w:proofErr w:type="spellStart"/>
      <w:r w:rsidRPr="00D06084">
        <w:rPr>
          <w:spacing w:val="-2"/>
          <w:sz w:val="22"/>
          <w:szCs w:val="22"/>
          <w:lang w:val="sr-Latn-ME"/>
        </w:rPr>
        <w:t>lecitin</w:t>
      </w:r>
      <w:proofErr w:type="spellEnd"/>
      <w:r w:rsidRPr="00D06084">
        <w:rPr>
          <w:spacing w:val="-2"/>
          <w:sz w:val="22"/>
          <w:szCs w:val="22"/>
          <w:lang w:val="sr-Latn-ME"/>
        </w:rPr>
        <w:t xml:space="preserve"> (E322), </w:t>
      </w:r>
      <w:r w:rsidR="00573A4D" w:rsidRPr="00D06084">
        <w:rPr>
          <w:spacing w:val="-2"/>
          <w:sz w:val="22"/>
          <w:szCs w:val="22"/>
          <w:lang w:val="sr-Latn-ME"/>
        </w:rPr>
        <w:t>aromatični sastojci</w:t>
      </w:r>
      <w:r w:rsidRPr="00D06084">
        <w:rPr>
          <w:spacing w:val="-2"/>
          <w:sz w:val="22"/>
          <w:szCs w:val="22"/>
          <w:lang w:val="sr-Latn-ME"/>
        </w:rPr>
        <w:t>.</w:t>
      </w:r>
    </w:p>
    <w:p w14:paraId="762823A4" w14:textId="77777777" w:rsidR="0072020E" w:rsidRPr="00D06084" w:rsidRDefault="0072020E" w:rsidP="00016EF8">
      <w:pPr>
        <w:tabs>
          <w:tab w:val="left" w:pos="540"/>
          <w:tab w:val="left" w:pos="569"/>
        </w:tabs>
        <w:jc w:val="both"/>
        <w:rPr>
          <w:bCs/>
          <w:sz w:val="22"/>
          <w:szCs w:val="22"/>
          <w:lang w:val="sr-Latn-ME"/>
        </w:rPr>
      </w:pPr>
    </w:p>
    <w:p w14:paraId="762823A5" w14:textId="77777777" w:rsidR="0072020E" w:rsidRPr="00D06084" w:rsidRDefault="0072020E" w:rsidP="00016EF8">
      <w:pPr>
        <w:tabs>
          <w:tab w:val="left" w:pos="540"/>
          <w:tab w:val="left" w:pos="569"/>
        </w:tabs>
        <w:jc w:val="both"/>
        <w:rPr>
          <w:b/>
          <w:bCs/>
          <w:sz w:val="22"/>
          <w:szCs w:val="22"/>
          <w:lang w:val="sr-Latn-ME"/>
        </w:rPr>
      </w:pPr>
      <w:r w:rsidRPr="00D06084">
        <w:rPr>
          <w:b/>
          <w:bCs/>
          <w:sz w:val="22"/>
          <w:szCs w:val="22"/>
          <w:lang w:val="sr-Latn-ME"/>
        </w:rPr>
        <w:t xml:space="preserve">6.2. </w:t>
      </w:r>
      <w:r w:rsidR="00480FB1" w:rsidRPr="00D06084">
        <w:rPr>
          <w:b/>
          <w:bCs/>
          <w:sz w:val="22"/>
          <w:szCs w:val="22"/>
          <w:lang w:val="sr-Latn-ME"/>
        </w:rPr>
        <w:tab/>
      </w:r>
      <w:r w:rsidRPr="00D06084">
        <w:rPr>
          <w:b/>
          <w:bCs/>
          <w:sz w:val="22"/>
          <w:szCs w:val="22"/>
          <w:lang w:val="sr-Latn-ME"/>
        </w:rPr>
        <w:t>Inkompatibilnost</w:t>
      </w:r>
      <w:r w:rsidR="002846DB" w:rsidRPr="00D06084">
        <w:rPr>
          <w:b/>
          <w:bCs/>
          <w:sz w:val="22"/>
          <w:szCs w:val="22"/>
          <w:lang w:val="sr-Latn-ME"/>
        </w:rPr>
        <w:t>i</w:t>
      </w:r>
    </w:p>
    <w:p w14:paraId="762823A6" w14:textId="77777777" w:rsidR="002A6CF6" w:rsidRPr="00D06084" w:rsidRDefault="002A6CF6" w:rsidP="00016EF8">
      <w:pPr>
        <w:pStyle w:val="Header"/>
        <w:tabs>
          <w:tab w:val="left" w:pos="284"/>
        </w:tabs>
        <w:jc w:val="both"/>
        <w:rPr>
          <w:sz w:val="22"/>
          <w:szCs w:val="22"/>
          <w:lang w:val="sr-Latn-ME"/>
        </w:rPr>
      </w:pPr>
    </w:p>
    <w:p w14:paraId="762823A7" w14:textId="77777777" w:rsidR="001B4D09" w:rsidRPr="00D06084" w:rsidRDefault="001B4D09" w:rsidP="00016EF8">
      <w:pPr>
        <w:pStyle w:val="Header"/>
        <w:tabs>
          <w:tab w:val="left" w:pos="284"/>
        </w:tabs>
        <w:jc w:val="both"/>
        <w:rPr>
          <w:sz w:val="22"/>
          <w:szCs w:val="22"/>
          <w:lang w:val="sr-Latn-ME"/>
        </w:rPr>
      </w:pPr>
      <w:r w:rsidRPr="00D06084">
        <w:rPr>
          <w:sz w:val="22"/>
          <w:szCs w:val="22"/>
          <w:lang w:val="sr-Latn-ME"/>
        </w:rPr>
        <w:t>Ne preporučuje se istovremena primjena sa drugim ljekovima.</w:t>
      </w:r>
    </w:p>
    <w:p w14:paraId="762823A8" w14:textId="77777777" w:rsidR="0072020E" w:rsidRPr="00D06084" w:rsidRDefault="0072020E" w:rsidP="00016EF8">
      <w:pPr>
        <w:tabs>
          <w:tab w:val="left" w:pos="540"/>
          <w:tab w:val="left" w:pos="569"/>
        </w:tabs>
        <w:jc w:val="both"/>
        <w:rPr>
          <w:bCs/>
          <w:sz w:val="22"/>
          <w:szCs w:val="22"/>
          <w:lang w:val="sr-Latn-ME"/>
        </w:rPr>
      </w:pPr>
    </w:p>
    <w:p w14:paraId="762823A9" w14:textId="77777777" w:rsidR="0072020E" w:rsidRPr="00D06084" w:rsidRDefault="0072020E" w:rsidP="00016EF8">
      <w:pPr>
        <w:tabs>
          <w:tab w:val="left" w:pos="540"/>
          <w:tab w:val="left" w:pos="569"/>
        </w:tabs>
        <w:jc w:val="both"/>
        <w:rPr>
          <w:b/>
          <w:bCs/>
          <w:sz w:val="22"/>
          <w:szCs w:val="22"/>
          <w:lang w:val="sr-Latn-ME"/>
        </w:rPr>
      </w:pPr>
      <w:r w:rsidRPr="00D06084">
        <w:rPr>
          <w:b/>
          <w:bCs/>
          <w:sz w:val="22"/>
          <w:szCs w:val="22"/>
          <w:lang w:val="sr-Latn-ME"/>
        </w:rPr>
        <w:t>6.3.</w:t>
      </w:r>
      <w:r w:rsidR="00C05DF8" w:rsidRPr="00D06084">
        <w:rPr>
          <w:b/>
          <w:bCs/>
          <w:sz w:val="22"/>
          <w:szCs w:val="22"/>
          <w:lang w:val="sr-Latn-ME"/>
        </w:rPr>
        <w:t xml:space="preserve"> </w:t>
      </w:r>
      <w:r w:rsidR="00480FB1" w:rsidRPr="00D06084">
        <w:rPr>
          <w:b/>
          <w:bCs/>
          <w:sz w:val="22"/>
          <w:szCs w:val="22"/>
          <w:lang w:val="sr-Latn-ME"/>
        </w:rPr>
        <w:tab/>
      </w:r>
      <w:r w:rsidRPr="00D06084">
        <w:rPr>
          <w:b/>
          <w:bCs/>
          <w:sz w:val="22"/>
          <w:szCs w:val="22"/>
          <w:lang w:val="sr-Latn-ME"/>
        </w:rPr>
        <w:t>Rok upotrebe</w:t>
      </w:r>
    </w:p>
    <w:p w14:paraId="762823AA" w14:textId="77777777" w:rsidR="002A6CF6" w:rsidRPr="00D06084" w:rsidRDefault="002A6CF6" w:rsidP="00016EF8">
      <w:pPr>
        <w:tabs>
          <w:tab w:val="left" w:pos="540"/>
          <w:tab w:val="left" w:pos="569"/>
        </w:tabs>
        <w:jc w:val="both"/>
        <w:rPr>
          <w:sz w:val="22"/>
          <w:szCs w:val="22"/>
          <w:lang w:val="sr-Latn-ME"/>
        </w:rPr>
      </w:pPr>
    </w:p>
    <w:p w14:paraId="762823AB" w14:textId="77777777" w:rsidR="001B4D09" w:rsidRPr="00D06084" w:rsidRDefault="001B4D09" w:rsidP="00016EF8">
      <w:pPr>
        <w:tabs>
          <w:tab w:val="left" w:pos="540"/>
          <w:tab w:val="left" w:pos="569"/>
        </w:tabs>
        <w:jc w:val="both"/>
        <w:rPr>
          <w:bCs/>
          <w:sz w:val="22"/>
          <w:szCs w:val="22"/>
          <w:lang w:val="sr-Latn-ME"/>
        </w:rPr>
      </w:pPr>
      <w:r w:rsidRPr="00D06084">
        <w:rPr>
          <w:sz w:val="22"/>
          <w:szCs w:val="22"/>
          <w:lang w:val="sr-Latn-ME"/>
        </w:rPr>
        <w:t>3 godine.</w:t>
      </w:r>
    </w:p>
    <w:p w14:paraId="762823AC" w14:textId="77777777" w:rsidR="0072020E" w:rsidRPr="00D06084" w:rsidRDefault="0072020E" w:rsidP="00016EF8">
      <w:pPr>
        <w:tabs>
          <w:tab w:val="left" w:pos="540"/>
          <w:tab w:val="left" w:pos="569"/>
        </w:tabs>
        <w:jc w:val="both"/>
        <w:rPr>
          <w:bCs/>
          <w:sz w:val="22"/>
          <w:szCs w:val="22"/>
          <w:lang w:val="sr-Latn-ME"/>
        </w:rPr>
      </w:pPr>
    </w:p>
    <w:p w14:paraId="762823AD" w14:textId="77777777" w:rsidR="0072020E" w:rsidRPr="00D06084" w:rsidRDefault="0072020E" w:rsidP="00016EF8">
      <w:pPr>
        <w:tabs>
          <w:tab w:val="left" w:pos="540"/>
          <w:tab w:val="left" w:pos="569"/>
        </w:tabs>
        <w:jc w:val="both"/>
        <w:rPr>
          <w:b/>
          <w:bCs/>
          <w:sz w:val="22"/>
          <w:szCs w:val="22"/>
          <w:lang w:val="sr-Latn-ME"/>
        </w:rPr>
      </w:pPr>
      <w:r w:rsidRPr="00D06084">
        <w:rPr>
          <w:b/>
          <w:bCs/>
          <w:sz w:val="22"/>
          <w:szCs w:val="22"/>
          <w:lang w:val="sr-Latn-ME"/>
        </w:rPr>
        <w:t xml:space="preserve">6.4. </w:t>
      </w:r>
      <w:r w:rsidR="00480FB1" w:rsidRPr="00D06084">
        <w:rPr>
          <w:b/>
          <w:bCs/>
          <w:sz w:val="22"/>
          <w:szCs w:val="22"/>
          <w:lang w:val="sr-Latn-ME"/>
        </w:rPr>
        <w:tab/>
      </w:r>
      <w:r w:rsidRPr="00D06084">
        <w:rPr>
          <w:b/>
          <w:bCs/>
          <w:sz w:val="22"/>
          <w:szCs w:val="22"/>
          <w:lang w:val="sr-Latn-ME"/>
        </w:rPr>
        <w:t>Posebne mjere upozorenja pri čuvanju</w:t>
      </w:r>
      <w:r w:rsidR="00F8570A" w:rsidRPr="00D06084">
        <w:rPr>
          <w:b/>
          <w:bCs/>
          <w:sz w:val="22"/>
          <w:szCs w:val="22"/>
          <w:lang w:val="sr-Latn-ME"/>
        </w:rPr>
        <w:t xml:space="preserve"> lijeka</w:t>
      </w:r>
    </w:p>
    <w:p w14:paraId="762823AE" w14:textId="77777777" w:rsidR="002A6CF6" w:rsidRPr="00D06084" w:rsidRDefault="002A6CF6" w:rsidP="00016EF8">
      <w:pPr>
        <w:jc w:val="both"/>
        <w:rPr>
          <w:sz w:val="22"/>
          <w:szCs w:val="22"/>
          <w:lang w:val="sr-Latn-ME"/>
        </w:rPr>
      </w:pPr>
    </w:p>
    <w:p w14:paraId="762823AF" w14:textId="77777777" w:rsidR="001B4D09" w:rsidRPr="00D06084" w:rsidRDefault="002A6CF6" w:rsidP="00016EF8">
      <w:pPr>
        <w:jc w:val="both"/>
        <w:rPr>
          <w:sz w:val="22"/>
          <w:szCs w:val="22"/>
          <w:lang w:val="sr-Latn-ME"/>
        </w:rPr>
      </w:pPr>
      <w:r w:rsidRPr="00D06084">
        <w:rPr>
          <w:sz w:val="22"/>
          <w:szCs w:val="22"/>
          <w:lang w:val="sr-Latn-ME"/>
        </w:rPr>
        <w:t xml:space="preserve">Ovaj lijek </w:t>
      </w:r>
      <w:r w:rsidR="001B4D09" w:rsidRPr="00D06084">
        <w:rPr>
          <w:sz w:val="22"/>
          <w:szCs w:val="22"/>
          <w:lang w:val="sr-Latn-ME"/>
        </w:rPr>
        <w:t>ne zahtijeva posebne uslove čuvanja.</w:t>
      </w:r>
    </w:p>
    <w:p w14:paraId="762823B0" w14:textId="77777777" w:rsidR="00EC2532" w:rsidRPr="00D06084" w:rsidRDefault="00EC2532" w:rsidP="00016EF8">
      <w:pPr>
        <w:tabs>
          <w:tab w:val="left" w:pos="540"/>
          <w:tab w:val="left" w:pos="569"/>
        </w:tabs>
        <w:jc w:val="both"/>
        <w:rPr>
          <w:bCs/>
          <w:sz w:val="22"/>
          <w:szCs w:val="22"/>
          <w:lang w:val="sr-Latn-ME"/>
        </w:rPr>
      </w:pPr>
    </w:p>
    <w:p w14:paraId="762823B1" w14:textId="77777777" w:rsidR="0072020E" w:rsidRPr="00D06084" w:rsidRDefault="0072020E" w:rsidP="00016EF8">
      <w:pPr>
        <w:tabs>
          <w:tab w:val="left" w:pos="540"/>
          <w:tab w:val="left" w:pos="569"/>
        </w:tabs>
        <w:jc w:val="both"/>
        <w:rPr>
          <w:b/>
          <w:bCs/>
          <w:sz w:val="22"/>
          <w:szCs w:val="22"/>
          <w:lang w:val="sr-Latn-ME"/>
        </w:rPr>
      </w:pPr>
      <w:r w:rsidRPr="00D06084">
        <w:rPr>
          <w:b/>
          <w:bCs/>
          <w:sz w:val="22"/>
          <w:szCs w:val="22"/>
          <w:lang w:val="sr-Latn-ME"/>
        </w:rPr>
        <w:t xml:space="preserve">6.5. </w:t>
      </w:r>
      <w:r w:rsidR="00480FB1" w:rsidRPr="00D06084">
        <w:rPr>
          <w:b/>
          <w:bCs/>
          <w:sz w:val="22"/>
          <w:szCs w:val="22"/>
          <w:lang w:val="sr-Latn-ME"/>
        </w:rPr>
        <w:tab/>
      </w:r>
      <w:r w:rsidR="002846DB" w:rsidRPr="00D06084">
        <w:rPr>
          <w:b/>
          <w:bCs/>
          <w:sz w:val="22"/>
          <w:szCs w:val="22"/>
          <w:lang w:val="sr-Latn-ME"/>
        </w:rPr>
        <w:t xml:space="preserve">Vrsta i sadržaj </w:t>
      </w:r>
      <w:r w:rsidR="00F8570A" w:rsidRPr="00D06084">
        <w:rPr>
          <w:b/>
          <w:bCs/>
          <w:sz w:val="22"/>
          <w:szCs w:val="22"/>
          <w:lang w:val="sr-Latn-ME"/>
        </w:rPr>
        <w:t>pakovanja</w:t>
      </w:r>
      <w:r w:rsidR="00C06864" w:rsidRPr="00D06084">
        <w:rPr>
          <w:b/>
          <w:bCs/>
          <w:sz w:val="22"/>
          <w:szCs w:val="22"/>
          <w:lang w:val="sr-Latn-ME"/>
        </w:rPr>
        <w:t xml:space="preserve"> </w:t>
      </w:r>
    </w:p>
    <w:p w14:paraId="762823B2" w14:textId="77777777" w:rsidR="002A6CF6" w:rsidRPr="00D06084" w:rsidRDefault="002A6CF6" w:rsidP="00016EF8">
      <w:pPr>
        <w:pStyle w:val="Header"/>
        <w:tabs>
          <w:tab w:val="left" w:pos="284"/>
        </w:tabs>
        <w:jc w:val="both"/>
        <w:rPr>
          <w:sz w:val="22"/>
          <w:szCs w:val="22"/>
          <w:lang w:val="sr-Latn-ME"/>
        </w:rPr>
      </w:pPr>
    </w:p>
    <w:p w14:paraId="762823B3" w14:textId="77777777" w:rsidR="001B4D09" w:rsidRPr="00D06084" w:rsidRDefault="00046CE1" w:rsidP="00016EF8">
      <w:pPr>
        <w:pStyle w:val="Header"/>
        <w:tabs>
          <w:tab w:val="left" w:pos="284"/>
        </w:tabs>
        <w:jc w:val="both"/>
        <w:rPr>
          <w:sz w:val="22"/>
          <w:szCs w:val="22"/>
          <w:lang w:val="sr-Latn-ME"/>
        </w:rPr>
      </w:pPr>
      <w:r w:rsidRPr="00D06084">
        <w:rPr>
          <w:sz w:val="22"/>
          <w:szCs w:val="22"/>
          <w:lang w:val="sr-Latn-ME"/>
        </w:rPr>
        <w:t>Unutrašnje pakovanje l</w:t>
      </w:r>
      <w:r w:rsidR="00EC1F76" w:rsidRPr="00D06084">
        <w:rPr>
          <w:sz w:val="22"/>
          <w:szCs w:val="22"/>
          <w:lang w:val="sr-Latn-ME"/>
        </w:rPr>
        <w:t>ij</w:t>
      </w:r>
      <w:r w:rsidRPr="00D06084">
        <w:rPr>
          <w:sz w:val="22"/>
          <w:szCs w:val="22"/>
          <w:lang w:val="sr-Latn-ME"/>
        </w:rPr>
        <w:t>eka je k</w:t>
      </w:r>
      <w:r w:rsidR="001B4D09" w:rsidRPr="00D06084">
        <w:rPr>
          <w:sz w:val="22"/>
          <w:szCs w:val="22"/>
          <w:lang w:val="sr-Latn-ME"/>
        </w:rPr>
        <w:t>esica (</w:t>
      </w:r>
      <w:proofErr w:type="spellStart"/>
      <w:r w:rsidRPr="00D06084">
        <w:rPr>
          <w:sz w:val="22"/>
          <w:szCs w:val="22"/>
          <w:lang w:val="sr-Latn-ME"/>
        </w:rPr>
        <w:t>k</w:t>
      </w:r>
      <w:r w:rsidR="001B4D09" w:rsidRPr="00D06084">
        <w:rPr>
          <w:sz w:val="22"/>
          <w:szCs w:val="22"/>
          <w:lang w:val="sr-Latn-ME"/>
        </w:rPr>
        <w:t>raft</w:t>
      </w:r>
      <w:proofErr w:type="spellEnd"/>
      <w:r w:rsidR="001B4D09" w:rsidRPr="00D06084">
        <w:rPr>
          <w:sz w:val="22"/>
          <w:szCs w:val="22"/>
          <w:lang w:val="sr-Latn-ME"/>
        </w:rPr>
        <w:t xml:space="preserve"> papir, aluminijumska folija, </w:t>
      </w:r>
      <w:proofErr w:type="spellStart"/>
      <w:r w:rsidR="001B4D09" w:rsidRPr="00D06084">
        <w:rPr>
          <w:sz w:val="22"/>
          <w:szCs w:val="22"/>
          <w:lang w:val="sr-Latn-ME"/>
        </w:rPr>
        <w:t>polietilen</w:t>
      </w:r>
      <w:proofErr w:type="spellEnd"/>
      <w:r w:rsidR="001B4D09" w:rsidRPr="00D06084">
        <w:rPr>
          <w:sz w:val="22"/>
          <w:szCs w:val="22"/>
          <w:lang w:val="sr-Latn-ME"/>
        </w:rPr>
        <w:t>) sa 3,76 g praška  za oralnu suspenziju.</w:t>
      </w:r>
    </w:p>
    <w:p w14:paraId="762823B4" w14:textId="4A58DBA3" w:rsidR="00046CE1" w:rsidRPr="00D06084" w:rsidRDefault="00046CE1" w:rsidP="006769EC">
      <w:pPr>
        <w:pStyle w:val="Header"/>
        <w:tabs>
          <w:tab w:val="left" w:pos="284"/>
        </w:tabs>
        <w:jc w:val="both"/>
        <w:rPr>
          <w:sz w:val="22"/>
          <w:szCs w:val="22"/>
          <w:lang w:val="sr-Latn-ME"/>
        </w:rPr>
      </w:pPr>
      <w:r w:rsidRPr="00D06084">
        <w:rPr>
          <w:sz w:val="22"/>
          <w:szCs w:val="22"/>
          <w:lang w:val="sr-Latn-ME"/>
        </w:rPr>
        <w:t>Spoljnje pakovanje l</w:t>
      </w:r>
      <w:r w:rsidR="00EC1F76" w:rsidRPr="00D06084">
        <w:rPr>
          <w:sz w:val="22"/>
          <w:szCs w:val="22"/>
          <w:lang w:val="sr-Latn-ME"/>
        </w:rPr>
        <w:t>ij</w:t>
      </w:r>
      <w:r w:rsidRPr="00D06084">
        <w:rPr>
          <w:sz w:val="22"/>
          <w:szCs w:val="22"/>
          <w:lang w:val="sr-Latn-ME"/>
        </w:rPr>
        <w:t xml:space="preserve">eka je </w:t>
      </w:r>
      <w:proofErr w:type="spellStart"/>
      <w:r w:rsidRPr="00D06084">
        <w:rPr>
          <w:sz w:val="22"/>
          <w:szCs w:val="22"/>
          <w:lang w:val="sr-Latn-ME"/>
        </w:rPr>
        <w:t>složiva</w:t>
      </w:r>
      <w:proofErr w:type="spellEnd"/>
      <w:r w:rsidRPr="00D06084">
        <w:rPr>
          <w:sz w:val="22"/>
          <w:szCs w:val="22"/>
          <w:lang w:val="sr-Latn-ME"/>
        </w:rPr>
        <w:t xml:space="preserve"> kartonska kutija </w:t>
      </w:r>
      <w:r w:rsidR="00D936C5" w:rsidRPr="00D06084">
        <w:rPr>
          <w:sz w:val="22"/>
          <w:szCs w:val="22"/>
          <w:lang w:val="sr-Latn-ME"/>
        </w:rPr>
        <w:t>u kojoj se nalazi</w:t>
      </w:r>
      <w:r w:rsidRPr="00D06084">
        <w:rPr>
          <w:sz w:val="22"/>
          <w:szCs w:val="22"/>
          <w:lang w:val="sr-Latn-ME"/>
        </w:rPr>
        <w:t xml:space="preserve"> 10 kesica i Uputstvo za l</w:t>
      </w:r>
      <w:r w:rsidR="00EC1F76" w:rsidRPr="00D06084">
        <w:rPr>
          <w:sz w:val="22"/>
          <w:szCs w:val="22"/>
          <w:lang w:val="sr-Latn-ME"/>
        </w:rPr>
        <w:t>ij</w:t>
      </w:r>
      <w:r w:rsidRPr="00D06084">
        <w:rPr>
          <w:sz w:val="22"/>
          <w:szCs w:val="22"/>
          <w:lang w:val="sr-Latn-ME"/>
        </w:rPr>
        <w:t>ek.</w:t>
      </w:r>
    </w:p>
    <w:p w14:paraId="762823B5" w14:textId="77777777" w:rsidR="0072020E" w:rsidRPr="00D06084" w:rsidRDefault="0072020E" w:rsidP="00016EF8">
      <w:pPr>
        <w:tabs>
          <w:tab w:val="left" w:pos="540"/>
          <w:tab w:val="left" w:pos="569"/>
        </w:tabs>
        <w:jc w:val="both"/>
        <w:rPr>
          <w:bCs/>
          <w:sz w:val="22"/>
          <w:szCs w:val="22"/>
          <w:lang w:val="sr-Latn-ME"/>
        </w:rPr>
      </w:pPr>
    </w:p>
    <w:p w14:paraId="762823B6" w14:textId="77777777" w:rsidR="002846DB" w:rsidRPr="00D06084" w:rsidRDefault="0072020E" w:rsidP="00016EF8">
      <w:pPr>
        <w:tabs>
          <w:tab w:val="left" w:pos="540"/>
          <w:tab w:val="left" w:pos="569"/>
        </w:tabs>
        <w:jc w:val="both"/>
        <w:rPr>
          <w:b/>
          <w:bCs/>
          <w:sz w:val="22"/>
          <w:szCs w:val="22"/>
          <w:lang w:val="sr-Latn-ME"/>
        </w:rPr>
      </w:pPr>
      <w:r w:rsidRPr="00D06084">
        <w:rPr>
          <w:b/>
          <w:bCs/>
          <w:sz w:val="22"/>
          <w:szCs w:val="22"/>
          <w:lang w:val="sr-Latn-ME"/>
        </w:rPr>
        <w:t xml:space="preserve">6.6. </w:t>
      </w:r>
      <w:r w:rsidR="00480FB1" w:rsidRPr="00D06084">
        <w:rPr>
          <w:b/>
          <w:bCs/>
          <w:sz w:val="22"/>
          <w:szCs w:val="22"/>
          <w:lang w:val="sr-Latn-ME"/>
        </w:rPr>
        <w:tab/>
      </w:r>
      <w:r w:rsidRPr="00D06084">
        <w:rPr>
          <w:b/>
          <w:bCs/>
          <w:color w:val="000000"/>
          <w:sz w:val="22"/>
          <w:szCs w:val="22"/>
          <w:lang w:val="sr-Latn-ME"/>
        </w:rPr>
        <w:t>Posebne mjere opreza pri odlaganju materijala koji treba odbaciti nakon primjene lijeka</w:t>
      </w:r>
      <w:r w:rsidRPr="00D06084">
        <w:rPr>
          <w:b/>
          <w:bCs/>
          <w:sz w:val="22"/>
          <w:szCs w:val="22"/>
          <w:lang w:val="sr-Latn-ME"/>
        </w:rPr>
        <w:t xml:space="preserve"> </w:t>
      </w:r>
      <w:r w:rsidR="00310F03" w:rsidRPr="00D06084">
        <w:rPr>
          <w:b/>
          <w:bCs/>
          <w:sz w:val="22"/>
          <w:szCs w:val="22"/>
          <w:lang w:val="sr-Latn-ME"/>
        </w:rPr>
        <w:t xml:space="preserve">(i druga </w:t>
      </w:r>
      <w:proofErr w:type="spellStart"/>
      <w:r w:rsidR="00310F03" w:rsidRPr="00D06084">
        <w:rPr>
          <w:b/>
          <w:bCs/>
          <w:sz w:val="22"/>
          <w:szCs w:val="22"/>
          <w:lang w:val="sr-Latn-ME"/>
        </w:rPr>
        <w:t>uputsva</w:t>
      </w:r>
      <w:proofErr w:type="spellEnd"/>
      <w:r w:rsidR="00310F03" w:rsidRPr="00D06084">
        <w:rPr>
          <w:b/>
          <w:bCs/>
          <w:sz w:val="22"/>
          <w:szCs w:val="22"/>
          <w:lang w:val="sr-Latn-ME"/>
        </w:rPr>
        <w:t xml:space="preserve"> za rukovanje lijekom) </w:t>
      </w:r>
    </w:p>
    <w:p w14:paraId="762823B7" w14:textId="77777777" w:rsidR="00B66A70" w:rsidRPr="00D06084" w:rsidRDefault="00B66A70" w:rsidP="00016EF8">
      <w:pPr>
        <w:tabs>
          <w:tab w:val="left" w:pos="540"/>
          <w:tab w:val="left" w:pos="569"/>
        </w:tabs>
        <w:jc w:val="both"/>
        <w:rPr>
          <w:b/>
          <w:bCs/>
          <w:sz w:val="22"/>
          <w:szCs w:val="22"/>
          <w:lang w:val="sr-Latn-ME"/>
        </w:rPr>
      </w:pPr>
    </w:p>
    <w:p w14:paraId="762823B8" w14:textId="77777777" w:rsidR="00046CE1" w:rsidRPr="00D06084" w:rsidRDefault="00046CE1" w:rsidP="00046CE1">
      <w:pPr>
        <w:tabs>
          <w:tab w:val="left" w:pos="284"/>
        </w:tabs>
        <w:jc w:val="both"/>
        <w:rPr>
          <w:sz w:val="22"/>
          <w:szCs w:val="22"/>
          <w:lang w:val="sr-Latn-ME"/>
        </w:rPr>
      </w:pPr>
      <w:r w:rsidRPr="00D06084">
        <w:rPr>
          <w:sz w:val="22"/>
          <w:szCs w:val="22"/>
          <w:lang w:val="sr-Latn-ME"/>
        </w:rPr>
        <w:t>Svu neiskorišćenu količinu l</w:t>
      </w:r>
      <w:r w:rsidR="00EC1F76" w:rsidRPr="00D06084">
        <w:rPr>
          <w:sz w:val="22"/>
          <w:szCs w:val="22"/>
          <w:lang w:val="sr-Latn-ME"/>
        </w:rPr>
        <w:t>ij</w:t>
      </w:r>
      <w:r w:rsidRPr="00D06084">
        <w:rPr>
          <w:sz w:val="22"/>
          <w:szCs w:val="22"/>
          <w:lang w:val="sr-Latn-ME"/>
        </w:rPr>
        <w:t>eka ili otpadnog materijala nakon njegove upotrebe treba ukloniti, u skladu sa važećim propisima.</w:t>
      </w:r>
    </w:p>
    <w:p w14:paraId="762823BA" w14:textId="651E0131" w:rsidR="001B4D09" w:rsidRPr="00D06084" w:rsidRDefault="001B4D09" w:rsidP="00016EF8">
      <w:pPr>
        <w:tabs>
          <w:tab w:val="left" w:pos="540"/>
          <w:tab w:val="left" w:pos="569"/>
        </w:tabs>
        <w:jc w:val="both"/>
        <w:rPr>
          <w:bCs/>
          <w:sz w:val="22"/>
          <w:szCs w:val="22"/>
          <w:lang w:val="sr-Latn-ME"/>
        </w:rPr>
      </w:pPr>
    </w:p>
    <w:p w14:paraId="4B20B42E" w14:textId="77777777" w:rsidR="00D936C5" w:rsidRPr="00D06084" w:rsidRDefault="00D936C5" w:rsidP="00016EF8">
      <w:pPr>
        <w:tabs>
          <w:tab w:val="left" w:pos="540"/>
          <w:tab w:val="left" w:pos="569"/>
        </w:tabs>
        <w:jc w:val="both"/>
        <w:rPr>
          <w:bCs/>
          <w:sz w:val="22"/>
          <w:szCs w:val="22"/>
          <w:lang w:val="sr-Latn-ME"/>
        </w:rPr>
      </w:pPr>
    </w:p>
    <w:p w14:paraId="762823BB" w14:textId="6BFF7A61" w:rsidR="00F8570A" w:rsidRPr="00D06084" w:rsidRDefault="0072020E" w:rsidP="00016EF8">
      <w:pPr>
        <w:tabs>
          <w:tab w:val="left" w:pos="540"/>
          <w:tab w:val="left" w:pos="569"/>
        </w:tabs>
        <w:jc w:val="both"/>
        <w:rPr>
          <w:b/>
          <w:bCs/>
          <w:sz w:val="22"/>
          <w:szCs w:val="22"/>
          <w:lang w:val="sr-Latn-ME"/>
        </w:rPr>
      </w:pPr>
      <w:r w:rsidRPr="00D06084">
        <w:rPr>
          <w:b/>
          <w:bCs/>
          <w:sz w:val="22"/>
          <w:szCs w:val="22"/>
          <w:lang w:val="sr-Latn-ME"/>
        </w:rPr>
        <w:t xml:space="preserve">7. </w:t>
      </w:r>
      <w:r w:rsidR="00480FB1" w:rsidRPr="00D06084">
        <w:rPr>
          <w:b/>
          <w:bCs/>
          <w:sz w:val="22"/>
          <w:szCs w:val="22"/>
          <w:lang w:val="sr-Latn-ME"/>
        </w:rPr>
        <w:tab/>
      </w:r>
      <w:r w:rsidRPr="00D06084">
        <w:rPr>
          <w:b/>
          <w:bCs/>
          <w:sz w:val="22"/>
          <w:szCs w:val="22"/>
          <w:lang w:val="sr-Latn-ME"/>
        </w:rPr>
        <w:t>NOSILAC DOZVOLE</w:t>
      </w:r>
      <w:r w:rsidR="00483928" w:rsidRPr="00D06084">
        <w:rPr>
          <w:b/>
          <w:bCs/>
          <w:sz w:val="22"/>
          <w:szCs w:val="22"/>
          <w:lang w:val="sr-Latn-ME"/>
        </w:rPr>
        <w:t xml:space="preserve"> </w:t>
      </w:r>
    </w:p>
    <w:p w14:paraId="4306C0C4" w14:textId="77777777" w:rsidR="00E5542E" w:rsidRPr="00D06084" w:rsidRDefault="00E5542E" w:rsidP="00016EF8">
      <w:pPr>
        <w:tabs>
          <w:tab w:val="left" w:pos="540"/>
          <w:tab w:val="left" w:pos="569"/>
        </w:tabs>
        <w:jc w:val="both"/>
        <w:rPr>
          <w:b/>
          <w:bCs/>
          <w:sz w:val="22"/>
          <w:szCs w:val="22"/>
          <w:lang w:val="sr-Latn-ME"/>
        </w:rPr>
      </w:pPr>
    </w:p>
    <w:p w14:paraId="762823BC" w14:textId="1D38A679" w:rsidR="001B4D09" w:rsidRPr="00D06084" w:rsidRDefault="00CE7E76" w:rsidP="00016EF8">
      <w:pPr>
        <w:tabs>
          <w:tab w:val="left" w:pos="540"/>
          <w:tab w:val="left" w:pos="569"/>
        </w:tabs>
        <w:jc w:val="both"/>
        <w:rPr>
          <w:bCs/>
          <w:sz w:val="22"/>
          <w:szCs w:val="22"/>
          <w:lang w:val="sr-Latn-ME"/>
        </w:rPr>
      </w:pPr>
      <w:proofErr w:type="spellStart"/>
      <w:r w:rsidRPr="00D06084">
        <w:rPr>
          <w:bCs/>
          <w:sz w:val="22"/>
          <w:szCs w:val="22"/>
          <w:lang w:val="sr-Latn-ME"/>
        </w:rPr>
        <w:t>PharmaSwiss</w:t>
      </w:r>
      <w:proofErr w:type="spellEnd"/>
      <w:r w:rsidR="00D936C5" w:rsidRPr="00D06084">
        <w:rPr>
          <w:bCs/>
          <w:sz w:val="22"/>
          <w:szCs w:val="22"/>
          <w:lang w:val="sr-Latn-ME"/>
        </w:rPr>
        <w:t xml:space="preserve"> </w:t>
      </w:r>
      <w:r w:rsidRPr="00D06084">
        <w:rPr>
          <w:bCs/>
          <w:sz w:val="22"/>
          <w:szCs w:val="22"/>
          <w:lang w:val="sr-Latn-ME"/>
        </w:rPr>
        <w:t>-</w:t>
      </w:r>
      <w:r w:rsidR="00D936C5" w:rsidRPr="00D06084">
        <w:rPr>
          <w:bCs/>
          <w:sz w:val="22"/>
          <w:szCs w:val="22"/>
          <w:lang w:val="sr-Latn-ME"/>
        </w:rPr>
        <w:t xml:space="preserve"> </w:t>
      </w:r>
      <w:proofErr w:type="spellStart"/>
      <w:r w:rsidRPr="00D06084">
        <w:rPr>
          <w:bCs/>
          <w:sz w:val="22"/>
          <w:szCs w:val="22"/>
          <w:lang w:val="sr-Latn-ME"/>
        </w:rPr>
        <w:t>Montenegro</w:t>
      </w:r>
      <w:proofErr w:type="spellEnd"/>
      <w:r w:rsidRPr="00D06084">
        <w:rPr>
          <w:bCs/>
          <w:sz w:val="22"/>
          <w:szCs w:val="22"/>
          <w:lang w:val="sr-Latn-ME"/>
        </w:rPr>
        <w:t xml:space="preserve">, </w:t>
      </w:r>
      <w:proofErr w:type="spellStart"/>
      <w:r w:rsidRPr="00D06084">
        <w:rPr>
          <w:bCs/>
          <w:sz w:val="22"/>
          <w:szCs w:val="22"/>
          <w:lang w:val="sr-Latn-ME"/>
        </w:rPr>
        <w:t>PharmaSwiss</w:t>
      </w:r>
      <w:proofErr w:type="spellEnd"/>
      <w:r w:rsidRPr="00D06084">
        <w:rPr>
          <w:bCs/>
          <w:sz w:val="22"/>
          <w:szCs w:val="22"/>
          <w:lang w:val="sr-Latn-ME"/>
        </w:rPr>
        <w:t xml:space="preserve"> </w:t>
      </w:r>
      <w:proofErr w:type="spellStart"/>
      <w:r w:rsidRPr="00D06084">
        <w:rPr>
          <w:bCs/>
          <w:sz w:val="22"/>
          <w:szCs w:val="22"/>
          <w:lang w:val="sr-Latn-ME"/>
        </w:rPr>
        <w:t>d.o.o</w:t>
      </w:r>
      <w:proofErr w:type="spellEnd"/>
      <w:r w:rsidRPr="00D06084">
        <w:rPr>
          <w:bCs/>
          <w:sz w:val="22"/>
          <w:szCs w:val="22"/>
          <w:lang w:val="sr-Latn-ME"/>
        </w:rPr>
        <w:t>. Beograd</w:t>
      </w:r>
      <w:r w:rsidR="001B4D09" w:rsidRPr="00D06084">
        <w:rPr>
          <w:bCs/>
          <w:sz w:val="22"/>
          <w:szCs w:val="22"/>
          <w:lang w:val="sr-Latn-ME"/>
        </w:rPr>
        <w:t>, dio stranog društva u Podgorici</w:t>
      </w:r>
    </w:p>
    <w:p w14:paraId="762823BD" w14:textId="5520F66F" w:rsidR="00C37FD7" w:rsidRPr="00D06084" w:rsidRDefault="001B4D09" w:rsidP="00016EF8">
      <w:pPr>
        <w:tabs>
          <w:tab w:val="left" w:pos="540"/>
          <w:tab w:val="left" w:pos="569"/>
        </w:tabs>
        <w:jc w:val="both"/>
        <w:rPr>
          <w:sz w:val="22"/>
          <w:szCs w:val="22"/>
          <w:lang w:val="sr-Latn-ME"/>
        </w:rPr>
      </w:pPr>
      <w:r w:rsidRPr="00D06084">
        <w:rPr>
          <w:sz w:val="22"/>
          <w:szCs w:val="22"/>
          <w:lang w:val="sr-Latn-ME"/>
        </w:rPr>
        <w:t xml:space="preserve">Rimski </w:t>
      </w:r>
      <w:r w:rsidR="00D936C5" w:rsidRPr="00D06084">
        <w:rPr>
          <w:sz w:val="22"/>
          <w:szCs w:val="22"/>
          <w:lang w:val="sr-Latn-ME"/>
        </w:rPr>
        <w:t>t</w:t>
      </w:r>
      <w:r w:rsidRPr="00D06084">
        <w:rPr>
          <w:sz w:val="22"/>
          <w:szCs w:val="22"/>
          <w:lang w:val="sr-Latn-ME"/>
        </w:rPr>
        <w:t>rg</w:t>
      </w:r>
      <w:r w:rsidR="00D936C5" w:rsidRPr="00D06084">
        <w:rPr>
          <w:sz w:val="22"/>
          <w:szCs w:val="22"/>
          <w:lang w:val="sr-Latn-ME"/>
        </w:rPr>
        <w:t xml:space="preserve"> br.</w:t>
      </w:r>
      <w:r w:rsidRPr="00D06084">
        <w:rPr>
          <w:sz w:val="22"/>
          <w:szCs w:val="22"/>
          <w:lang w:val="sr-Latn-ME"/>
        </w:rPr>
        <w:t xml:space="preserve"> 16, Podgorica, Crna Gora</w:t>
      </w:r>
    </w:p>
    <w:p w14:paraId="762823BE" w14:textId="1363304E" w:rsidR="00CE7E76" w:rsidRPr="00D06084" w:rsidRDefault="00CE7E76" w:rsidP="00016EF8">
      <w:pPr>
        <w:tabs>
          <w:tab w:val="left" w:pos="540"/>
          <w:tab w:val="left" w:pos="569"/>
        </w:tabs>
        <w:jc w:val="both"/>
        <w:rPr>
          <w:bCs/>
          <w:sz w:val="22"/>
          <w:szCs w:val="22"/>
          <w:lang w:val="sr-Latn-ME"/>
        </w:rPr>
      </w:pPr>
    </w:p>
    <w:p w14:paraId="5F40D097" w14:textId="77777777" w:rsidR="00D936C5" w:rsidRPr="00D06084" w:rsidRDefault="00D936C5" w:rsidP="00016EF8">
      <w:pPr>
        <w:tabs>
          <w:tab w:val="left" w:pos="540"/>
          <w:tab w:val="left" w:pos="569"/>
        </w:tabs>
        <w:jc w:val="both"/>
        <w:rPr>
          <w:bCs/>
          <w:sz w:val="22"/>
          <w:szCs w:val="22"/>
          <w:lang w:val="sr-Latn-ME"/>
        </w:rPr>
      </w:pPr>
    </w:p>
    <w:p w14:paraId="762823BF" w14:textId="77777777" w:rsidR="0072020E" w:rsidRPr="00D06084" w:rsidRDefault="0072020E" w:rsidP="00016EF8">
      <w:pPr>
        <w:tabs>
          <w:tab w:val="left" w:pos="540"/>
          <w:tab w:val="left" w:pos="569"/>
        </w:tabs>
        <w:jc w:val="both"/>
        <w:rPr>
          <w:b/>
          <w:bCs/>
          <w:sz w:val="22"/>
          <w:szCs w:val="22"/>
          <w:lang w:val="sr-Latn-ME"/>
        </w:rPr>
      </w:pPr>
      <w:r w:rsidRPr="00D06084">
        <w:rPr>
          <w:b/>
          <w:bCs/>
          <w:sz w:val="22"/>
          <w:szCs w:val="22"/>
          <w:lang w:val="sr-Latn-ME"/>
        </w:rPr>
        <w:t xml:space="preserve">8. </w:t>
      </w:r>
      <w:r w:rsidR="00480FB1" w:rsidRPr="00D06084">
        <w:rPr>
          <w:b/>
          <w:bCs/>
          <w:sz w:val="22"/>
          <w:szCs w:val="22"/>
          <w:lang w:val="sr-Latn-ME"/>
        </w:rPr>
        <w:tab/>
      </w:r>
      <w:r w:rsidRPr="00D06084">
        <w:rPr>
          <w:b/>
          <w:bCs/>
          <w:sz w:val="22"/>
          <w:szCs w:val="22"/>
          <w:lang w:val="sr-Latn-ME"/>
        </w:rPr>
        <w:t>BROJ DOZVOLE</w:t>
      </w:r>
      <w:r w:rsidR="008A6D43" w:rsidRPr="00D06084">
        <w:rPr>
          <w:b/>
          <w:bCs/>
          <w:sz w:val="22"/>
          <w:szCs w:val="22"/>
          <w:lang w:val="sr-Latn-ME"/>
        </w:rPr>
        <w:t xml:space="preserve"> ZA STAVLJANJE LIJEKA U PROMET</w:t>
      </w:r>
    </w:p>
    <w:p w14:paraId="762823C0" w14:textId="77777777" w:rsidR="0072020E" w:rsidRPr="00D06084" w:rsidRDefault="0072020E" w:rsidP="00016EF8">
      <w:pPr>
        <w:tabs>
          <w:tab w:val="left" w:pos="540"/>
          <w:tab w:val="left" w:pos="569"/>
        </w:tabs>
        <w:jc w:val="both"/>
        <w:rPr>
          <w:bCs/>
          <w:sz w:val="22"/>
          <w:szCs w:val="22"/>
          <w:lang w:val="sr-Latn-ME"/>
        </w:rPr>
      </w:pPr>
    </w:p>
    <w:p w14:paraId="762823C2" w14:textId="49C62B77" w:rsidR="00F45F77" w:rsidRPr="00D06084" w:rsidRDefault="00C5505F" w:rsidP="00016EF8">
      <w:pPr>
        <w:tabs>
          <w:tab w:val="left" w:pos="540"/>
          <w:tab w:val="left" w:pos="569"/>
        </w:tabs>
        <w:jc w:val="both"/>
        <w:rPr>
          <w:bCs/>
          <w:sz w:val="22"/>
          <w:szCs w:val="22"/>
          <w:lang w:val="sr-Latn-ME"/>
        </w:rPr>
      </w:pPr>
      <w:r w:rsidRPr="00D06084">
        <w:rPr>
          <w:bCs/>
          <w:sz w:val="22"/>
          <w:szCs w:val="22"/>
          <w:lang w:val="sr-Latn-ME"/>
        </w:rPr>
        <w:t>2030/24/6202 - 1335</w:t>
      </w:r>
    </w:p>
    <w:p w14:paraId="7646F758" w14:textId="5E218E7D" w:rsidR="00D936C5" w:rsidRPr="00D06084" w:rsidRDefault="00D936C5" w:rsidP="00016EF8">
      <w:pPr>
        <w:tabs>
          <w:tab w:val="left" w:pos="540"/>
          <w:tab w:val="left" w:pos="569"/>
        </w:tabs>
        <w:jc w:val="both"/>
        <w:rPr>
          <w:bCs/>
          <w:sz w:val="22"/>
          <w:szCs w:val="22"/>
          <w:lang w:val="sr-Latn-ME"/>
        </w:rPr>
      </w:pPr>
    </w:p>
    <w:p w14:paraId="4864288D" w14:textId="77777777" w:rsidR="00C5505F" w:rsidRPr="00D06084" w:rsidRDefault="00C5505F" w:rsidP="00016EF8">
      <w:pPr>
        <w:tabs>
          <w:tab w:val="left" w:pos="540"/>
          <w:tab w:val="left" w:pos="569"/>
        </w:tabs>
        <w:jc w:val="both"/>
        <w:rPr>
          <w:bCs/>
          <w:sz w:val="22"/>
          <w:szCs w:val="22"/>
          <w:lang w:val="sr-Latn-ME"/>
        </w:rPr>
      </w:pPr>
    </w:p>
    <w:p w14:paraId="762823C3" w14:textId="77777777" w:rsidR="0072020E" w:rsidRPr="00D06084" w:rsidRDefault="0072020E" w:rsidP="00016EF8">
      <w:pPr>
        <w:tabs>
          <w:tab w:val="left" w:pos="540"/>
          <w:tab w:val="left" w:pos="569"/>
        </w:tabs>
        <w:jc w:val="both"/>
        <w:rPr>
          <w:b/>
          <w:bCs/>
          <w:sz w:val="22"/>
          <w:szCs w:val="22"/>
          <w:lang w:val="sr-Latn-ME"/>
        </w:rPr>
      </w:pPr>
      <w:r w:rsidRPr="00D06084">
        <w:rPr>
          <w:b/>
          <w:bCs/>
          <w:sz w:val="22"/>
          <w:szCs w:val="22"/>
          <w:lang w:val="sr-Latn-ME"/>
        </w:rPr>
        <w:t xml:space="preserve">9. </w:t>
      </w:r>
      <w:r w:rsidR="00480FB1" w:rsidRPr="00D06084">
        <w:rPr>
          <w:b/>
          <w:bCs/>
          <w:sz w:val="22"/>
          <w:szCs w:val="22"/>
          <w:lang w:val="sr-Latn-ME"/>
        </w:rPr>
        <w:tab/>
      </w:r>
      <w:r w:rsidRPr="00D06084">
        <w:rPr>
          <w:b/>
          <w:bCs/>
          <w:sz w:val="22"/>
          <w:szCs w:val="22"/>
          <w:lang w:val="sr-Latn-ME"/>
        </w:rPr>
        <w:t xml:space="preserve">DATUM </w:t>
      </w:r>
      <w:r w:rsidR="00C05DF8" w:rsidRPr="00D06084">
        <w:rPr>
          <w:b/>
          <w:bCs/>
          <w:sz w:val="22"/>
          <w:szCs w:val="22"/>
          <w:lang w:val="sr-Latn-ME"/>
        </w:rPr>
        <w:t xml:space="preserve">PRVE </w:t>
      </w:r>
      <w:r w:rsidR="008A6D43" w:rsidRPr="00D06084">
        <w:rPr>
          <w:b/>
          <w:bCs/>
          <w:sz w:val="22"/>
          <w:szCs w:val="22"/>
          <w:lang w:val="sr-Latn-ME"/>
        </w:rPr>
        <w:t>DOZVOLE</w:t>
      </w:r>
      <w:r w:rsidR="00C05DF8" w:rsidRPr="00D06084">
        <w:rPr>
          <w:b/>
          <w:bCs/>
          <w:sz w:val="22"/>
          <w:szCs w:val="22"/>
          <w:lang w:val="sr-Latn-ME"/>
        </w:rPr>
        <w:t>/OBNOVE DOZVOLE</w:t>
      </w:r>
      <w:r w:rsidR="008A6D43" w:rsidRPr="00D06084">
        <w:rPr>
          <w:b/>
          <w:bCs/>
          <w:sz w:val="22"/>
          <w:szCs w:val="22"/>
          <w:lang w:val="sr-Latn-ME"/>
        </w:rPr>
        <w:t xml:space="preserve"> ZA STAVLJANJE LIJEKA U PROMET</w:t>
      </w:r>
    </w:p>
    <w:p w14:paraId="762823C4" w14:textId="77777777" w:rsidR="0072020E" w:rsidRPr="00D06084" w:rsidRDefault="0072020E" w:rsidP="00016EF8">
      <w:pPr>
        <w:tabs>
          <w:tab w:val="left" w:pos="540"/>
          <w:tab w:val="left" w:pos="569"/>
        </w:tabs>
        <w:jc w:val="both"/>
        <w:rPr>
          <w:bCs/>
          <w:sz w:val="22"/>
          <w:szCs w:val="22"/>
          <w:lang w:val="sr-Latn-ME"/>
        </w:rPr>
      </w:pPr>
    </w:p>
    <w:p w14:paraId="762823C5" w14:textId="02FCE1C6" w:rsidR="001B4D09" w:rsidRPr="00D06084" w:rsidRDefault="000E2529" w:rsidP="00016EF8">
      <w:pPr>
        <w:jc w:val="both"/>
        <w:rPr>
          <w:sz w:val="22"/>
          <w:szCs w:val="22"/>
          <w:lang w:val="sr-Latn-ME"/>
        </w:rPr>
      </w:pPr>
      <w:r w:rsidRPr="00D06084">
        <w:rPr>
          <w:sz w:val="22"/>
          <w:szCs w:val="22"/>
          <w:lang w:val="sr-Latn-ME"/>
        </w:rPr>
        <w:t>Datum prve dozvole: 22.06.2015. godine</w:t>
      </w:r>
    </w:p>
    <w:p w14:paraId="52833AA3" w14:textId="2A545607" w:rsidR="000E2529" w:rsidRPr="00D06084" w:rsidRDefault="000E2529" w:rsidP="00016EF8">
      <w:pPr>
        <w:jc w:val="both"/>
        <w:rPr>
          <w:sz w:val="22"/>
          <w:szCs w:val="22"/>
          <w:lang w:val="sr-Latn-ME"/>
        </w:rPr>
      </w:pPr>
      <w:r w:rsidRPr="00D06084">
        <w:rPr>
          <w:sz w:val="22"/>
          <w:szCs w:val="22"/>
          <w:lang w:val="sr-Latn-ME"/>
        </w:rPr>
        <w:t xml:space="preserve">Datum </w:t>
      </w:r>
      <w:proofErr w:type="spellStart"/>
      <w:r w:rsidRPr="00D06084">
        <w:rPr>
          <w:sz w:val="22"/>
          <w:szCs w:val="22"/>
          <w:lang w:val="sr-Latn-ME"/>
        </w:rPr>
        <w:t>poslednje</w:t>
      </w:r>
      <w:proofErr w:type="spellEnd"/>
      <w:r w:rsidRPr="00D06084">
        <w:rPr>
          <w:sz w:val="22"/>
          <w:szCs w:val="22"/>
          <w:lang w:val="sr-Latn-ME"/>
        </w:rPr>
        <w:t xml:space="preserve"> obnove dozvole:</w:t>
      </w:r>
      <w:r w:rsidR="00C5505F" w:rsidRPr="00D06084">
        <w:rPr>
          <w:sz w:val="22"/>
          <w:szCs w:val="22"/>
          <w:lang w:val="sr-Latn-ME"/>
        </w:rPr>
        <w:t xml:space="preserve"> 27.11.2024. godine</w:t>
      </w:r>
    </w:p>
    <w:p w14:paraId="762823C6" w14:textId="56D968B2" w:rsidR="00836B35" w:rsidRPr="00D06084" w:rsidRDefault="00836B35" w:rsidP="00016EF8">
      <w:pPr>
        <w:tabs>
          <w:tab w:val="left" w:pos="540"/>
          <w:tab w:val="left" w:pos="569"/>
        </w:tabs>
        <w:jc w:val="both"/>
        <w:rPr>
          <w:bCs/>
          <w:sz w:val="22"/>
          <w:szCs w:val="22"/>
          <w:lang w:val="sr-Latn-ME"/>
        </w:rPr>
      </w:pPr>
    </w:p>
    <w:p w14:paraId="6D925AF0" w14:textId="77777777" w:rsidR="00D936C5" w:rsidRPr="00D06084" w:rsidRDefault="00D936C5" w:rsidP="00016EF8">
      <w:pPr>
        <w:tabs>
          <w:tab w:val="left" w:pos="540"/>
          <w:tab w:val="left" w:pos="569"/>
        </w:tabs>
        <w:jc w:val="both"/>
        <w:rPr>
          <w:bCs/>
          <w:sz w:val="22"/>
          <w:szCs w:val="22"/>
          <w:lang w:val="sr-Latn-ME"/>
        </w:rPr>
      </w:pPr>
    </w:p>
    <w:p w14:paraId="762823C7" w14:textId="77777777" w:rsidR="003F6A59" w:rsidRPr="00D06084" w:rsidRDefault="0072020E" w:rsidP="00016EF8">
      <w:pPr>
        <w:tabs>
          <w:tab w:val="left" w:pos="540"/>
          <w:tab w:val="left" w:pos="569"/>
        </w:tabs>
        <w:ind w:left="540" w:hanging="540"/>
        <w:jc w:val="both"/>
        <w:rPr>
          <w:bCs/>
          <w:sz w:val="22"/>
          <w:szCs w:val="22"/>
          <w:lang w:val="sr-Latn-ME"/>
        </w:rPr>
      </w:pPr>
      <w:r w:rsidRPr="00D06084">
        <w:rPr>
          <w:b/>
          <w:bCs/>
          <w:sz w:val="22"/>
          <w:szCs w:val="22"/>
          <w:lang w:val="sr-Latn-ME"/>
        </w:rPr>
        <w:t xml:space="preserve">10. </w:t>
      </w:r>
      <w:r w:rsidR="00480FB1" w:rsidRPr="00D06084">
        <w:rPr>
          <w:b/>
          <w:bCs/>
          <w:sz w:val="22"/>
          <w:szCs w:val="22"/>
          <w:lang w:val="sr-Latn-ME"/>
        </w:rPr>
        <w:tab/>
      </w:r>
      <w:r w:rsidR="002846DB" w:rsidRPr="00D06084">
        <w:rPr>
          <w:b/>
          <w:bCs/>
          <w:sz w:val="22"/>
          <w:szCs w:val="22"/>
          <w:lang w:val="sr-Latn-ME"/>
        </w:rPr>
        <w:t>D</w:t>
      </w:r>
      <w:r w:rsidR="00EC2532" w:rsidRPr="00D06084">
        <w:rPr>
          <w:b/>
          <w:bCs/>
          <w:sz w:val="22"/>
          <w:szCs w:val="22"/>
          <w:lang w:val="sr-Latn-ME"/>
        </w:rPr>
        <w:t xml:space="preserve">ATUM REVIZIJE TEKSTA </w:t>
      </w:r>
    </w:p>
    <w:p w14:paraId="762823C8" w14:textId="77777777" w:rsidR="003F6A59" w:rsidRPr="00D06084" w:rsidRDefault="003F6A59" w:rsidP="00016EF8">
      <w:pPr>
        <w:tabs>
          <w:tab w:val="left" w:pos="540"/>
          <w:tab w:val="left" w:pos="569"/>
        </w:tabs>
        <w:jc w:val="both"/>
        <w:rPr>
          <w:bCs/>
          <w:sz w:val="22"/>
          <w:szCs w:val="22"/>
          <w:lang w:val="sr-Latn-ME"/>
        </w:rPr>
      </w:pPr>
    </w:p>
    <w:p w14:paraId="762823CA" w14:textId="7429BD88" w:rsidR="003F6A59" w:rsidRPr="00D06084" w:rsidRDefault="00C5505F" w:rsidP="00016EF8">
      <w:pPr>
        <w:jc w:val="both"/>
        <w:rPr>
          <w:sz w:val="22"/>
          <w:szCs w:val="22"/>
          <w:lang w:val="sr-Latn-ME"/>
        </w:rPr>
      </w:pPr>
      <w:r w:rsidRPr="00D06084">
        <w:rPr>
          <w:sz w:val="22"/>
          <w:szCs w:val="22"/>
          <w:lang w:val="sr-Latn-ME"/>
        </w:rPr>
        <w:t>Novembar, 2024. godine</w:t>
      </w:r>
    </w:p>
    <w:sectPr w:rsidR="003F6A59" w:rsidRPr="00D06084"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AF8E4" w14:textId="77777777" w:rsidR="004E4524" w:rsidRDefault="004E4524">
      <w:r>
        <w:separator/>
      </w:r>
    </w:p>
  </w:endnote>
  <w:endnote w:type="continuationSeparator" w:id="0">
    <w:p w14:paraId="11BF99D8" w14:textId="77777777" w:rsidR="004E4524" w:rsidRDefault="004E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823D0" w14:textId="501BE17C"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06084">
      <w:rPr>
        <w:noProof/>
        <w:sz w:val="22"/>
        <w:szCs w:val="22"/>
      </w:rPr>
      <w:t>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06084">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B2FA0" w14:textId="77777777" w:rsidR="004E4524" w:rsidRDefault="004E4524">
      <w:r>
        <w:separator/>
      </w:r>
    </w:p>
  </w:footnote>
  <w:footnote w:type="continuationSeparator" w:id="0">
    <w:p w14:paraId="1FD80D6B" w14:textId="77777777" w:rsidR="004E4524" w:rsidRDefault="004E4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5266CB"/>
    <w:multiLevelType w:val="hybridMultilevel"/>
    <w:tmpl w:val="827432D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4EF2FA9"/>
    <w:multiLevelType w:val="hybridMultilevel"/>
    <w:tmpl w:val="4E7E8936"/>
    <w:lvl w:ilvl="0" w:tplc="DCDC67AA">
      <w:start w:val="1"/>
      <w:numFmt w:val="bullet"/>
      <w:lvlText w:val=""/>
      <w:lvlJc w:val="left"/>
      <w:pPr>
        <w:tabs>
          <w:tab w:val="num" w:pos="113"/>
        </w:tabs>
        <w:ind w:left="113" w:firstLine="0"/>
      </w:pPr>
      <w:rPr>
        <w:rFonts w:ascii="Symbol" w:hAnsi="Symbo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3615FD6"/>
    <w:multiLevelType w:val="hybridMultilevel"/>
    <w:tmpl w:val="7FF0C262"/>
    <w:lvl w:ilvl="0" w:tplc="DCDC67AA">
      <w:start w:val="1"/>
      <w:numFmt w:val="bullet"/>
      <w:lvlText w:val=""/>
      <w:lvlJc w:val="left"/>
      <w:pPr>
        <w:tabs>
          <w:tab w:val="num" w:pos="113"/>
        </w:tabs>
        <w:ind w:left="113" w:firstLine="0"/>
      </w:pPr>
      <w:rPr>
        <w:rFonts w:ascii="Symbol" w:hAnsi="Symbol" w:hint="default"/>
        <w:sz w:val="18"/>
      </w:rPr>
    </w:lvl>
    <w:lvl w:ilvl="1" w:tplc="C43CE7AE">
      <w:numFmt w:val="bullet"/>
      <w:lvlText w:val="-"/>
      <w:lvlJc w:val="left"/>
      <w:pPr>
        <w:ind w:left="1965" w:hanging="885"/>
      </w:pPr>
      <w:rPr>
        <w:rFonts w:ascii="Times New Roman" w:eastAsia="Times New Roman" w:hAnsi="Times New Roman" w:cs="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DD107A9"/>
    <w:multiLevelType w:val="hybridMultilevel"/>
    <w:tmpl w:val="93E089B0"/>
    <w:lvl w:ilvl="0" w:tplc="9740191C">
      <w:start w:val="4"/>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2"/>
  </w:num>
  <w:num w:numId="5">
    <w:abstractNumId w:val="5"/>
  </w:num>
  <w:num w:numId="6">
    <w:abstractNumId w:val="1"/>
  </w:num>
  <w:num w:numId="7">
    <w:abstractNumId w:val="10"/>
  </w:num>
  <w:num w:numId="8">
    <w:abstractNumId w:val="4"/>
  </w:num>
  <w:num w:numId="9">
    <w:abstractNumId w:val="8"/>
  </w:num>
  <w:num w:numId="10">
    <w:abstractNumId w:val="14"/>
  </w:num>
  <w:num w:numId="11">
    <w:abstractNumId w:val="7"/>
  </w:num>
  <w:num w:numId="12">
    <w:abstractNumId w:val="2"/>
  </w:num>
  <w:num w:numId="13">
    <w:abstractNumId w:val="6"/>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6EF8"/>
    <w:rsid w:val="000176CA"/>
    <w:rsid w:val="00033115"/>
    <w:rsid w:val="00036FA0"/>
    <w:rsid w:val="0003793F"/>
    <w:rsid w:val="00046CE1"/>
    <w:rsid w:val="00057E35"/>
    <w:rsid w:val="00076726"/>
    <w:rsid w:val="00080303"/>
    <w:rsid w:val="000A3F58"/>
    <w:rsid w:val="000D2343"/>
    <w:rsid w:val="000D3449"/>
    <w:rsid w:val="000D425A"/>
    <w:rsid w:val="000D60CC"/>
    <w:rsid w:val="000E2084"/>
    <w:rsid w:val="000E2529"/>
    <w:rsid w:val="000E6F55"/>
    <w:rsid w:val="000F4ED1"/>
    <w:rsid w:val="000F77FA"/>
    <w:rsid w:val="00107BF7"/>
    <w:rsid w:val="00126F53"/>
    <w:rsid w:val="001308A5"/>
    <w:rsid w:val="0014766D"/>
    <w:rsid w:val="001536CC"/>
    <w:rsid w:val="001A3FBA"/>
    <w:rsid w:val="001A5518"/>
    <w:rsid w:val="001B1C6A"/>
    <w:rsid w:val="001B4D09"/>
    <w:rsid w:val="001C1263"/>
    <w:rsid w:val="001C1417"/>
    <w:rsid w:val="001E390B"/>
    <w:rsid w:val="001F42FB"/>
    <w:rsid w:val="001F719A"/>
    <w:rsid w:val="002031B3"/>
    <w:rsid w:val="00206FDD"/>
    <w:rsid w:val="002137C8"/>
    <w:rsid w:val="00215931"/>
    <w:rsid w:val="00227BDB"/>
    <w:rsid w:val="00234CB1"/>
    <w:rsid w:val="002352F8"/>
    <w:rsid w:val="00241D5C"/>
    <w:rsid w:val="002510A5"/>
    <w:rsid w:val="00254A0A"/>
    <w:rsid w:val="0026099B"/>
    <w:rsid w:val="00266046"/>
    <w:rsid w:val="002846DB"/>
    <w:rsid w:val="00284CCD"/>
    <w:rsid w:val="002A6CF6"/>
    <w:rsid w:val="002C64EF"/>
    <w:rsid w:val="002C6637"/>
    <w:rsid w:val="002E0135"/>
    <w:rsid w:val="002E37A5"/>
    <w:rsid w:val="00310F03"/>
    <w:rsid w:val="003247D2"/>
    <w:rsid w:val="003445C1"/>
    <w:rsid w:val="00355B61"/>
    <w:rsid w:val="00362686"/>
    <w:rsid w:val="003671EF"/>
    <w:rsid w:val="00371510"/>
    <w:rsid w:val="00396DFD"/>
    <w:rsid w:val="003A7059"/>
    <w:rsid w:val="003B7A36"/>
    <w:rsid w:val="003C17AB"/>
    <w:rsid w:val="003C7823"/>
    <w:rsid w:val="003E1DCC"/>
    <w:rsid w:val="003F6A59"/>
    <w:rsid w:val="004065C8"/>
    <w:rsid w:val="00411B4B"/>
    <w:rsid w:val="00415BEE"/>
    <w:rsid w:val="00427F85"/>
    <w:rsid w:val="00436F42"/>
    <w:rsid w:val="004378B4"/>
    <w:rsid w:val="00451314"/>
    <w:rsid w:val="00452E9D"/>
    <w:rsid w:val="004534C7"/>
    <w:rsid w:val="004671AA"/>
    <w:rsid w:val="00480FB1"/>
    <w:rsid w:val="00483928"/>
    <w:rsid w:val="004D6103"/>
    <w:rsid w:val="004E3BCE"/>
    <w:rsid w:val="004E4524"/>
    <w:rsid w:val="004F0E97"/>
    <w:rsid w:val="00515C21"/>
    <w:rsid w:val="00530BD7"/>
    <w:rsid w:val="00545CD2"/>
    <w:rsid w:val="005476F3"/>
    <w:rsid w:val="00572527"/>
    <w:rsid w:val="0057282D"/>
    <w:rsid w:val="00573A4D"/>
    <w:rsid w:val="00573E40"/>
    <w:rsid w:val="00576348"/>
    <w:rsid w:val="00581E4A"/>
    <w:rsid w:val="005A0B2E"/>
    <w:rsid w:val="005A23D2"/>
    <w:rsid w:val="005A36CB"/>
    <w:rsid w:val="005B49B8"/>
    <w:rsid w:val="005C0741"/>
    <w:rsid w:val="005C5EF4"/>
    <w:rsid w:val="005E2E0B"/>
    <w:rsid w:val="005E7A7D"/>
    <w:rsid w:val="00646BD1"/>
    <w:rsid w:val="006561C2"/>
    <w:rsid w:val="00667204"/>
    <w:rsid w:val="00671CB3"/>
    <w:rsid w:val="00674BAF"/>
    <w:rsid w:val="006766D1"/>
    <w:rsid w:val="006769EC"/>
    <w:rsid w:val="00682200"/>
    <w:rsid w:val="00691AF5"/>
    <w:rsid w:val="006A1497"/>
    <w:rsid w:val="006B0BD1"/>
    <w:rsid w:val="006D20A5"/>
    <w:rsid w:val="006D37BF"/>
    <w:rsid w:val="006D6BFB"/>
    <w:rsid w:val="00702E22"/>
    <w:rsid w:val="00707C2E"/>
    <w:rsid w:val="0072020E"/>
    <w:rsid w:val="00777B69"/>
    <w:rsid w:val="00786071"/>
    <w:rsid w:val="007A3ECB"/>
    <w:rsid w:val="007B0CE3"/>
    <w:rsid w:val="00824AB9"/>
    <w:rsid w:val="00836B35"/>
    <w:rsid w:val="00843BDE"/>
    <w:rsid w:val="0089705C"/>
    <w:rsid w:val="008A6D43"/>
    <w:rsid w:val="008B491E"/>
    <w:rsid w:val="008C1A28"/>
    <w:rsid w:val="008C2E98"/>
    <w:rsid w:val="008E49BD"/>
    <w:rsid w:val="008E53E9"/>
    <w:rsid w:val="008E5771"/>
    <w:rsid w:val="00940B9B"/>
    <w:rsid w:val="0095676E"/>
    <w:rsid w:val="00956983"/>
    <w:rsid w:val="00963CF0"/>
    <w:rsid w:val="00964BB1"/>
    <w:rsid w:val="009775D9"/>
    <w:rsid w:val="00997175"/>
    <w:rsid w:val="009A1847"/>
    <w:rsid w:val="009B062A"/>
    <w:rsid w:val="009E7C6F"/>
    <w:rsid w:val="009F1793"/>
    <w:rsid w:val="009F2D23"/>
    <w:rsid w:val="00A01D69"/>
    <w:rsid w:val="00A02335"/>
    <w:rsid w:val="00A46C9A"/>
    <w:rsid w:val="00A540F9"/>
    <w:rsid w:val="00A619F3"/>
    <w:rsid w:val="00A62A73"/>
    <w:rsid w:val="00A72F2A"/>
    <w:rsid w:val="00A87FF6"/>
    <w:rsid w:val="00A97453"/>
    <w:rsid w:val="00AA0A3B"/>
    <w:rsid w:val="00AB0081"/>
    <w:rsid w:val="00AB50CA"/>
    <w:rsid w:val="00AC53CE"/>
    <w:rsid w:val="00AD2193"/>
    <w:rsid w:val="00AD5E9D"/>
    <w:rsid w:val="00AF2AC7"/>
    <w:rsid w:val="00AF74CE"/>
    <w:rsid w:val="00B208DB"/>
    <w:rsid w:val="00B23F69"/>
    <w:rsid w:val="00B60619"/>
    <w:rsid w:val="00B66A70"/>
    <w:rsid w:val="00B67366"/>
    <w:rsid w:val="00B80EE1"/>
    <w:rsid w:val="00B82CF6"/>
    <w:rsid w:val="00B84135"/>
    <w:rsid w:val="00C04D34"/>
    <w:rsid w:val="00C05DF8"/>
    <w:rsid w:val="00C06864"/>
    <w:rsid w:val="00C10F54"/>
    <w:rsid w:val="00C23D8D"/>
    <w:rsid w:val="00C37AA3"/>
    <w:rsid w:val="00C37FD7"/>
    <w:rsid w:val="00C43419"/>
    <w:rsid w:val="00C44CF3"/>
    <w:rsid w:val="00C5505F"/>
    <w:rsid w:val="00C61BE0"/>
    <w:rsid w:val="00C70B0E"/>
    <w:rsid w:val="00C773CA"/>
    <w:rsid w:val="00C83785"/>
    <w:rsid w:val="00C94C0D"/>
    <w:rsid w:val="00CA1FEB"/>
    <w:rsid w:val="00CD4F85"/>
    <w:rsid w:val="00CD6F02"/>
    <w:rsid w:val="00CE246D"/>
    <w:rsid w:val="00CE7E76"/>
    <w:rsid w:val="00CF07A0"/>
    <w:rsid w:val="00CF3E03"/>
    <w:rsid w:val="00D0082A"/>
    <w:rsid w:val="00D06084"/>
    <w:rsid w:val="00D20B8C"/>
    <w:rsid w:val="00D21455"/>
    <w:rsid w:val="00D47634"/>
    <w:rsid w:val="00D709B3"/>
    <w:rsid w:val="00D936C5"/>
    <w:rsid w:val="00DA2ED6"/>
    <w:rsid w:val="00DB76B8"/>
    <w:rsid w:val="00DC1CC6"/>
    <w:rsid w:val="00DC2EA1"/>
    <w:rsid w:val="00DD6AAF"/>
    <w:rsid w:val="00DE3F5C"/>
    <w:rsid w:val="00DF1D20"/>
    <w:rsid w:val="00E21324"/>
    <w:rsid w:val="00E246B9"/>
    <w:rsid w:val="00E31FEA"/>
    <w:rsid w:val="00E45169"/>
    <w:rsid w:val="00E47787"/>
    <w:rsid w:val="00E51C30"/>
    <w:rsid w:val="00E5542E"/>
    <w:rsid w:val="00E64180"/>
    <w:rsid w:val="00E74AEE"/>
    <w:rsid w:val="00E868E5"/>
    <w:rsid w:val="00E9237A"/>
    <w:rsid w:val="00E939FA"/>
    <w:rsid w:val="00EA5765"/>
    <w:rsid w:val="00EC1F76"/>
    <w:rsid w:val="00EC2532"/>
    <w:rsid w:val="00ED7812"/>
    <w:rsid w:val="00EF3B86"/>
    <w:rsid w:val="00F0511D"/>
    <w:rsid w:val="00F22266"/>
    <w:rsid w:val="00F317E9"/>
    <w:rsid w:val="00F34554"/>
    <w:rsid w:val="00F45F77"/>
    <w:rsid w:val="00F5167F"/>
    <w:rsid w:val="00F52258"/>
    <w:rsid w:val="00F8570A"/>
    <w:rsid w:val="00F91C7B"/>
    <w:rsid w:val="00F94E11"/>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822E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locked/>
    <w:rsid w:val="001B4D09"/>
    <w:rPr>
      <w:sz w:val="24"/>
      <w:szCs w:val="24"/>
      <w:lang w:val="en-US" w:eastAsia="en-US"/>
    </w:rPr>
  </w:style>
  <w:style w:type="paragraph" w:customStyle="1" w:styleId="BodyText3">
    <w:name w:val="Body Text3"/>
    <w:basedOn w:val="Normal"/>
    <w:rsid w:val="001B4D09"/>
    <w:pPr>
      <w:shd w:val="clear" w:color="auto" w:fill="FFFFFF"/>
      <w:spacing w:after="600" w:line="254" w:lineRule="exact"/>
      <w:jc w:val="center"/>
    </w:pPr>
    <w:rPr>
      <w:sz w:val="21"/>
      <w:szCs w:val="21"/>
    </w:rPr>
  </w:style>
  <w:style w:type="character" w:customStyle="1" w:styleId="Heading20">
    <w:name w:val="Heading #2_"/>
    <w:link w:val="Heading21"/>
    <w:rsid w:val="001B4D09"/>
    <w:rPr>
      <w:sz w:val="21"/>
      <w:szCs w:val="21"/>
      <w:shd w:val="clear" w:color="auto" w:fill="FFFFFF"/>
    </w:rPr>
  </w:style>
  <w:style w:type="paragraph" w:customStyle="1" w:styleId="Heading21">
    <w:name w:val="Heading #2"/>
    <w:basedOn w:val="Normal"/>
    <w:link w:val="Heading20"/>
    <w:rsid w:val="001B4D09"/>
    <w:pPr>
      <w:shd w:val="clear" w:color="auto" w:fill="FFFFFF"/>
      <w:spacing w:before="300" w:after="300" w:line="0" w:lineRule="atLeast"/>
      <w:outlineLvl w:val="1"/>
    </w:pPr>
    <w:rPr>
      <w:sz w:val="21"/>
      <w:szCs w:val="21"/>
      <w:lang w:val="sr-Latn-ME" w:eastAsia="sr-Latn-ME"/>
    </w:rPr>
  </w:style>
  <w:style w:type="paragraph" w:styleId="ListParagraph">
    <w:name w:val="List Paragraph"/>
    <w:basedOn w:val="Normal"/>
    <w:uiPriority w:val="34"/>
    <w:qFormat/>
    <w:rsid w:val="001B4D0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F0511D"/>
    <w:rPr>
      <w:sz w:val="24"/>
      <w:szCs w:val="24"/>
      <w:lang w:val="en-US" w:eastAsia="en-US"/>
    </w:rPr>
  </w:style>
  <w:style w:type="character" w:styleId="Hyperlink">
    <w:name w:val="Hyperlink"/>
    <w:basedOn w:val="DefaultParagraphFont"/>
    <w:rsid w:val="00F051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8012F-86E7-4F3C-8AF0-E36FBD847A24}">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9307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4</cp:revision>
  <dcterms:created xsi:type="dcterms:W3CDTF">2024-11-27T06:33:00Z</dcterms:created>
  <dcterms:modified xsi:type="dcterms:W3CDTF">2024-11-27T07:01:00Z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2022-09-16T14:20:21Z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c20678a9-d125-4936-8108-5074368a86a3</vt:lpwstr>
  </property>
  <property fmtid="{D5CDD505-2E9C-101B-9397-08002B2CF9AE}" pid="9" name="MSIP_Label_4c4f55c2-b9e5-4e04-bcc7-ae1efcea4b57_ContentBits">
    <vt:lpwstr>0</vt:lpwstr>
  </property>
</Properties>
</file>