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D262B" w14:textId="77777777" w:rsidR="00BE1AF0" w:rsidRDefault="00BE1AF0">
      <w:pPr>
        <w:rPr>
          <w:b/>
          <w:bCs/>
          <w:i/>
          <w:iCs/>
          <w:sz w:val="22"/>
          <w:szCs w:val="22"/>
          <w:u w:val="single"/>
        </w:rPr>
      </w:pPr>
    </w:p>
    <w:p w14:paraId="128E37BC" w14:textId="77777777" w:rsidR="00BE1AF0" w:rsidRDefault="00BE1AF0">
      <w:pPr>
        <w:rPr>
          <w:b/>
          <w:bCs/>
          <w:i/>
          <w:iCs/>
          <w:sz w:val="22"/>
          <w:szCs w:val="22"/>
          <w:u w:val="single"/>
        </w:rPr>
      </w:pPr>
    </w:p>
    <w:p w14:paraId="74FCE14A" w14:textId="77777777" w:rsidR="00BE1AF0" w:rsidRDefault="004F0139">
      <w:pPr>
        <w:jc w:val="center"/>
        <w:rPr>
          <w:b/>
          <w:bCs/>
          <w:iCs/>
          <w:sz w:val="22"/>
          <w:szCs w:val="22"/>
          <w:u w:val="single"/>
          <w:lang w:val="de-DE"/>
        </w:rPr>
      </w:pPr>
      <w:r>
        <w:rPr>
          <w:b/>
          <w:bCs/>
          <w:iCs/>
          <w:sz w:val="22"/>
          <w:szCs w:val="22"/>
          <w:u w:val="single"/>
          <w:lang w:val="de-DE"/>
        </w:rPr>
        <w:t>SAŽETAK KARAKTERISTIKA LIJEKA</w:t>
      </w:r>
    </w:p>
    <w:p w14:paraId="245BC45A" w14:textId="77777777" w:rsidR="00BE1AF0" w:rsidRDefault="00BE1AF0">
      <w:pPr>
        <w:rPr>
          <w:b/>
          <w:bCs/>
          <w:i/>
          <w:iCs/>
          <w:sz w:val="22"/>
          <w:szCs w:val="22"/>
          <w:u w:val="single"/>
          <w:lang w:val="de-DE"/>
        </w:rPr>
      </w:pPr>
    </w:p>
    <w:p w14:paraId="6F887CE5" w14:textId="77777777" w:rsidR="00BE1AF0" w:rsidRDefault="00BE1AF0">
      <w:pPr>
        <w:rPr>
          <w:sz w:val="22"/>
          <w:szCs w:val="22"/>
          <w:lang w:val="sr-Latn-CS"/>
        </w:rPr>
      </w:pPr>
    </w:p>
    <w:p w14:paraId="622C52FA" w14:textId="77777777" w:rsidR="00BE1AF0" w:rsidRDefault="00BE1AF0">
      <w:pPr>
        <w:tabs>
          <w:tab w:val="left" w:pos="540"/>
          <w:tab w:val="left" w:pos="569"/>
        </w:tabs>
        <w:rPr>
          <w:bCs/>
          <w:sz w:val="22"/>
          <w:szCs w:val="22"/>
          <w:lang w:val="de-DE"/>
        </w:rPr>
      </w:pPr>
    </w:p>
    <w:p w14:paraId="59782F57" w14:textId="77777777" w:rsidR="00BE1AF0" w:rsidRDefault="004F0139">
      <w:pPr>
        <w:tabs>
          <w:tab w:val="left" w:pos="540"/>
          <w:tab w:val="left" w:pos="569"/>
        </w:tabs>
        <w:rPr>
          <w:b/>
          <w:bCs/>
          <w:sz w:val="22"/>
          <w:szCs w:val="22"/>
          <w:lang w:val="de-DE"/>
        </w:rPr>
      </w:pPr>
      <w:r>
        <w:rPr>
          <w:b/>
          <w:bCs/>
          <w:sz w:val="22"/>
          <w:szCs w:val="22"/>
          <w:lang w:val="de-DE"/>
        </w:rPr>
        <w:t>1.</w:t>
      </w:r>
      <w:r>
        <w:rPr>
          <w:b/>
          <w:bCs/>
          <w:sz w:val="22"/>
          <w:szCs w:val="22"/>
          <w:lang w:val="de-DE"/>
        </w:rPr>
        <w:tab/>
        <w:t>NAZIV LIJEKA</w:t>
      </w:r>
    </w:p>
    <w:p w14:paraId="72BCF35F" w14:textId="77777777" w:rsidR="00BE1AF0" w:rsidRDefault="00BE1AF0">
      <w:pPr>
        <w:rPr>
          <w:sz w:val="22"/>
          <w:szCs w:val="22"/>
          <w:lang w:val="pl-PL"/>
        </w:rPr>
      </w:pPr>
    </w:p>
    <w:p w14:paraId="55D16A63" w14:textId="77777777" w:rsidR="00BE1AF0" w:rsidRDefault="004F0139">
      <w:pPr>
        <w:widowControl w:val="0"/>
        <w:tabs>
          <w:tab w:val="left" w:pos="567"/>
        </w:tabs>
        <w:rPr>
          <w:iCs/>
          <w:sz w:val="22"/>
          <w:szCs w:val="22"/>
          <w:lang w:val="sr-Latn-ME"/>
        </w:rPr>
      </w:pPr>
      <w:r>
        <w:rPr>
          <w:sz w:val="22"/>
          <w:szCs w:val="22"/>
          <w:lang w:val="sr-Latn-ME"/>
        </w:rPr>
        <w:t>Maymetsi, 850 mg + 50 mg, film tableta</w:t>
      </w:r>
    </w:p>
    <w:p w14:paraId="5DEB40F0" w14:textId="77777777" w:rsidR="00BE1AF0" w:rsidRDefault="004F0139">
      <w:pPr>
        <w:widowControl w:val="0"/>
        <w:tabs>
          <w:tab w:val="left" w:pos="567"/>
        </w:tabs>
        <w:rPr>
          <w:sz w:val="22"/>
          <w:szCs w:val="22"/>
          <w:lang w:val="sr-Latn-ME"/>
        </w:rPr>
      </w:pPr>
      <w:r>
        <w:rPr>
          <w:sz w:val="22"/>
          <w:szCs w:val="22"/>
          <w:lang w:val="sr-Latn-ME"/>
        </w:rPr>
        <w:t>Maymetsi, 1000 mg + 50 mg, film tableta</w:t>
      </w:r>
    </w:p>
    <w:p w14:paraId="25272363" w14:textId="77777777" w:rsidR="00BE1AF0" w:rsidRDefault="00BE1AF0">
      <w:pPr>
        <w:rPr>
          <w:bCs/>
          <w:sz w:val="22"/>
          <w:szCs w:val="22"/>
          <w:lang w:val="sr-Latn-ME"/>
        </w:rPr>
      </w:pPr>
    </w:p>
    <w:p w14:paraId="69854B87" w14:textId="77777777" w:rsidR="00BE1AF0" w:rsidRDefault="004F0139">
      <w:pPr>
        <w:rPr>
          <w:sz w:val="22"/>
          <w:szCs w:val="22"/>
          <w:lang w:val="sr-Latn-ME"/>
        </w:rPr>
      </w:pPr>
      <w:r>
        <w:rPr>
          <w:sz w:val="22"/>
          <w:szCs w:val="22"/>
          <w:lang w:val="sr-Latn-ME"/>
        </w:rPr>
        <w:t>INN: metformin, sitagliptin</w:t>
      </w:r>
    </w:p>
    <w:p w14:paraId="39AF6D95" w14:textId="77777777" w:rsidR="00BE1AF0" w:rsidRDefault="00BE1AF0">
      <w:pPr>
        <w:rPr>
          <w:bCs/>
          <w:sz w:val="22"/>
          <w:szCs w:val="22"/>
          <w:lang w:val="sv-SE"/>
        </w:rPr>
      </w:pPr>
    </w:p>
    <w:p w14:paraId="1A0BCA6B" w14:textId="77777777" w:rsidR="00BE1AF0" w:rsidRDefault="00BE1AF0">
      <w:pPr>
        <w:rPr>
          <w:bCs/>
          <w:sz w:val="22"/>
          <w:szCs w:val="22"/>
          <w:lang w:val="sv-SE"/>
        </w:rPr>
      </w:pPr>
    </w:p>
    <w:p w14:paraId="516123D1" w14:textId="77777777" w:rsidR="00BE1AF0" w:rsidRDefault="004F0139">
      <w:pPr>
        <w:tabs>
          <w:tab w:val="left" w:pos="540"/>
          <w:tab w:val="left" w:pos="569"/>
        </w:tabs>
        <w:rPr>
          <w:b/>
          <w:bCs/>
          <w:sz w:val="22"/>
          <w:szCs w:val="22"/>
        </w:rPr>
      </w:pPr>
      <w:r>
        <w:rPr>
          <w:b/>
          <w:bCs/>
          <w:sz w:val="22"/>
          <w:szCs w:val="22"/>
        </w:rPr>
        <w:t xml:space="preserve">2. </w:t>
      </w:r>
      <w:r>
        <w:rPr>
          <w:b/>
          <w:bCs/>
          <w:sz w:val="22"/>
          <w:szCs w:val="22"/>
        </w:rPr>
        <w:tab/>
        <w:t>KVALITATIVNI I KVANTITATIVNI SASTAV</w:t>
      </w:r>
    </w:p>
    <w:p w14:paraId="16A7E491" w14:textId="77777777" w:rsidR="00BE1AF0" w:rsidRDefault="00BE1AF0">
      <w:pPr>
        <w:rPr>
          <w:sz w:val="22"/>
          <w:szCs w:val="22"/>
          <w:lang w:val="sr-Latn-CS"/>
        </w:rPr>
      </w:pPr>
    </w:p>
    <w:p w14:paraId="41F847C5" w14:textId="77777777" w:rsidR="00BE1AF0" w:rsidRDefault="004F0139">
      <w:pPr>
        <w:widowControl w:val="0"/>
        <w:rPr>
          <w:iCs/>
          <w:sz w:val="22"/>
          <w:szCs w:val="22"/>
          <w:u w:val="single"/>
          <w:lang w:val="sr-Latn-ME"/>
        </w:rPr>
      </w:pPr>
      <w:r>
        <w:rPr>
          <w:sz w:val="22"/>
          <w:szCs w:val="22"/>
          <w:u w:val="single"/>
          <w:lang w:val="sr-Latn-ME"/>
        </w:rPr>
        <w:t>Maymetsi, 850 mg + 50 mg, film tableta:</w:t>
      </w:r>
    </w:p>
    <w:p w14:paraId="6CE63A23" w14:textId="77777777" w:rsidR="00BE1AF0" w:rsidRDefault="004F0139">
      <w:pPr>
        <w:keepNext/>
        <w:tabs>
          <w:tab w:val="left" w:pos="720"/>
        </w:tabs>
        <w:ind w:right="-2"/>
        <w:jc w:val="both"/>
        <w:rPr>
          <w:i/>
          <w:sz w:val="22"/>
          <w:szCs w:val="22"/>
          <w:lang w:val="sr-Latn-ME"/>
        </w:rPr>
      </w:pPr>
      <w:r>
        <w:rPr>
          <w:sz w:val="22"/>
          <w:szCs w:val="22"/>
          <w:lang w:val="sr-Latn-ME" w:eastAsia="sr-Latn-ME"/>
        </w:rPr>
        <w:t>Svaka film tableta sadrži 850 mg metformin hidrohlorida i 50 mg sitagliptina.</w:t>
      </w:r>
    </w:p>
    <w:p w14:paraId="57514E4B" w14:textId="77777777" w:rsidR="00BE1AF0" w:rsidRDefault="004F0139">
      <w:pPr>
        <w:keepNext/>
        <w:tabs>
          <w:tab w:val="left" w:pos="720"/>
        </w:tabs>
        <w:ind w:right="-2"/>
        <w:jc w:val="both"/>
        <w:rPr>
          <w:i/>
          <w:sz w:val="22"/>
          <w:szCs w:val="22"/>
          <w:lang w:val="sr-Latn-ME"/>
        </w:rPr>
      </w:pPr>
      <w:r>
        <w:rPr>
          <w:sz w:val="22"/>
          <w:szCs w:val="22"/>
          <w:u w:val="single"/>
          <w:lang w:val="sr-Latn-ME"/>
        </w:rPr>
        <w:t>Maymetsi, 1000 mg + 50 mg, film tableta:</w:t>
      </w:r>
    </w:p>
    <w:p w14:paraId="65357D91" w14:textId="77777777" w:rsidR="00BE1AF0" w:rsidRDefault="004F0139">
      <w:pPr>
        <w:keepNext/>
        <w:tabs>
          <w:tab w:val="left" w:pos="720"/>
        </w:tabs>
        <w:ind w:right="-2"/>
        <w:jc w:val="both"/>
        <w:rPr>
          <w:i/>
          <w:sz w:val="22"/>
          <w:szCs w:val="22"/>
          <w:lang w:val="sr-Latn-ME"/>
        </w:rPr>
      </w:pPr>
      <w:r>
        <w:rPr>
          <w:sz w:val="22"/>
          <w:szCs w:val="22"/>
          <w:lang w:val="sr-Latn-ME" w:eastAsia="sr-Latn-ME"/>
        </w:rPr>
        <w:t>Svaka film tableta sadrži 1000 mg metformin hidrohlorida i 50 mg sitagliptina.</w:t>
      </w:r>
    </w:p>
    <w:p w14:paraId="501F1A36" w14:textId="77777777" w:rsidR="00BE1AF0" w:rsidRDefault="00BE1AF0">
      <w:pPr>
        <w:rPr>
          <w:sz w:val="22"/>
          <w:szCs w:val="22"/>
          <w:lang w:val="sr-Latn-ME"/>
        </w:rPr>
      </w:pPr>
    </w:p>
    <w:p w14:paraId="543D7118" w14:textId="77777777" w:rsidR="00BE1AF0" w:rsidRDefault="004F0139">
      <w:pPr>
        <w:rPr>
          <w:sz w:val="22"/>
          <w:szCs w:val="22"/>
          <w:lang w:val="sr-Latn-ME"/>
        </w:rPr>
      </w:pPr>
      <w:r>
        <w:rPr>
          <w:sz w:val="22"/>
          <w:szCs w:val="22"/>
          <w:lang w:val="sr-Latn-ME"/>
        </w:rPr>
        <w:t>Za spisak svih ekscipijenasa, pogledati dio 6.1.</w:t>
      </w:r>
    </w:p>
    <w:p w14:paraId="542879A3" w14:textId="77777777" w:rsidR="00BE1AF0" w:rsidRDefault="00BE1AF0">
      <w:pPr>
        <w:rPr>
          <w:sz w:val="22"/>
          <w:szCs w:val="22"/>
          <w:lang w:val="sr-Latn-CS"/>
        </w:rPr>
      </w:pPr>
    </w:p>
    <w:p w14:paraId="2FCF4CD7" w14:textId="77777777" w:rsidR="00BE1AF0" w:rsidRDefault="00BE1AF0">
      <w:pPr>
        <w:rPr>
          <w:sz w:val="22"/>
          <w:szCs w:val="22"/>
          <w:lang w:val="sr-Latn-CS"/>
        </w:rPr>
      </w:pPr>
    </w:p>
    <w:p w14:paraId="3EC399CA" w14:textId="77777777" w:rsidR="00BE1AF0" w:rsidRDefault="004F0139">
      <w:pPr>
        <w:tabs>
          <w:tab w:val="left" w:pos="540"/>
          <w:tab w:val="left" w:pos="569"/>
        </w:tabs>
        <w:rPr>
          <w:b/>
          <w:bCs/>
          <w:sz w:val="22"/>
          <w:szCs w:val="22"/>
        </w:rPr>
      </w:pPr>
      <w:r>
        <w:rPr>
          <w:b/>
          <w:bCs/>
          <w:sz w:val="22"/>
          <w:szCs w:val="22"/>
        </w:rPr>
        <w:t xml:space="preserve">3. </w:t>
      </w:r>
      <w:r>
        <w:rPr>
          <w:b/>
          <w:bCs/>
          <w:sz w:val="22"/>
          <w:szCs w:val="22"/>
        </w:rPr>
        <w:tab/>
        <w:t xml:space="preserve">FARMACEUTSKI OBLIK </w:t>
      </w:r>
    </w:p>
    <w:p w14:paraId="70EFB15F" w14:textId="77777777" w:rsidR="00BE1AF0" w:rsidRDefault="00BE1AF0">
      <w:pPr>
        <w:tabs>
          <w:tab w:val="left" w:pos="540"/>
          <w:tab w:val="left" w:pos="569"/>
        </w:tabs>
        <w:rPr>
          <w:b/>
          <w:bCs/>
          <w:sz w:val="22"/>
          <w:szCs w:val="22"/>
        </w:rPr>
      </w:pPr>
    </w:p>
    <w:p w14:paraId="3674854B" w14:textId="77777777" w:rsidR="00BE1AF0" w:rsidRDefault="004F0139">
      <w:pPr>
        <w:rPr>
          <w:bCs/>
          <w:sz w:val="22"/>
          <w:szCs w:val="22"/>
          <w:lang w:val="sr-Latn-ME"/>
        </w:rPr>
      </w:pPr>
      <w:r>
        <w:rPr>
          <w:bCs/>
          <w:sz w:val="22"/>
          <w:szCs w:val="22"/>
          <w:lang w:val="sr-Latn-ME"/>
        </w:rPr>
        <w:t>Film tableta (tableta)</w:t>
      </w:r>
    </w:p>
    <w:p w14:paraId="2F2A6AC9" w14:textId="77777777" w:rsidR="00BE1AF0" w:rsidRDefault="00BE1AF0">
      <w:pPr>
        <w:rPr>
          <w:bCs/>
          <w:sz w:val="22"/>
          <w:szCs w:val="22"/>
          <w:lang w:val="sr-Latn-ME"/>
        </w:rPr>
      </w:pPr>
    </w:p>
    <w:p w14:paraId="094F6103" w14:textId="77777777" w:rsidR="00BE1AF0" w:rsidRDefault="004F0139">
      <w:pPr>
        <w:widowControl w:val="0"/>
        <w:tabs>
          <w:tab w:val="left" w:pos="567"/>
        </w:tabs>
        <w:jc w:val="both"/>
        <w:rPr>
          <w:sz w:val="22"/>
          <w:szCs w:val="22"/>
          <w:lang w:val="sr-Latn-ME"/>
        </w:rPr>
      </w:pPr>
      <w:r>
        <w:rPr>
          <w:sz w:val="22"/>
          <w:szCs w:val="22"/>
          <w:u w:val="single"/>
          <w:lang w:val="sr-Latn-ME"/>
        </w:rPr>
        <w:t>Maymetsi, 850 mg + 50 mg, film tablete:</w:t>
      </w:r>
      <w:r>
        <w:rPr>
          <w:sz w:val="22"/>
          <w:szCs w:val="22"/>
          <w:lang w:val="sr-Latn-ME"/>
        </w:rPr>
        <w:t xml:space="preserve"> ružičaste, ovalne, bikonveksne, film tablete sa oznakom C4 na jednoj strani tablete (približne dimenzije: 20 x 11 mm).</w:t>
      </w:r>
    </w:p>
    <w:p w14:paraId="45496836" w14:textId="77777777" w:rsidR="00BE1AF0" w:rsidRDefault="004F0139">
      <w:pPr>
        <w:widowControl w:val="0"/>
        <w:tabs>
          <w:tab w:val="left" w:pos="567"/>
        </w:tabs>
        <w:jc w:val="both"/>
        <w:rPr>
          <w:sz w:val="22"/>
          <w:szCs w:val="22"/>
          <w:lang w:val="sr-Latn-ME"/>
        </w:rPr>
      </w:pPr>
      <w:r>
        <w:rPr>
          <w:sz w:val="22"/>
          <w:szCs w:val="22"/>
          <w:u w:val="single"/>
          <w:lang w:val="sr-Latn-ME"/>
        </w:rPr>
        <w:t>Maymetsi, 1000 mg + 50 mg, film tablete:</w:t>
      </w:r>
      <w:r>
        <w:rPr>
          <w:sz w:val="22"/>
          <w:szCs w:val="22"/>
          <w:lang w:val="sr-Latn-ME"/>
        </w:rPr>
        <w:t xml:space="preserve"> tamno roze, ovalne, bikonveksne, film tablete sa oznakom C3 na jednoj strani tabelete (približne dimenzije: 21 x 11 mm).</w:t>
      </w:r>
    </w:p>
    <w:p w14:paraId="2C2FBB55" w14:textId="77777777" w:rsidR="00BE1AF0" w:rsidRDefault="00BE1AF0">
      <w:pPr>
        <w:rPr>
          <w:bCs/>
          <w:sz w:val="22"/>
          <w:szCs w:val="22"/>
          <w:lang w:val="sr-Latn-CS"/>
        </w:rPr>
      </w:pPr>
    </w:p>
    <w:p w14:paraId="3E326BF1" w14:textId="77777777" w:rsidR="00BE1AF0" w:rsidRDefault="00BE1AF0">
      <w:pPr>
        <w:rPr>
          <w:bCs/>
          <w:sz w:val="22"/>
          <w:szCs w:val="22"/>
          <w:lang w:val="sr-Latn-CS"/>
        </w:rPr>
      </w:pPr>
    </w:p>
    <w:p w14:paraId="2F63E201" w14:textId="77777777" w:rsidR="00BE1AF0" w:rsidRDefault="004F0139">
      <w:pPr>
        <w:tabs>
          <w:tab w:val="left" w:pos="540"/>
          <w:tab w:val="left" w:pos="569"/>
        </w:tabs>
        <w:jc w:val="both"/>
        <w:rPr>
          <w:b/>
          <w:bCs/>
          <w:sz w:val="22"/>
          <w:szCs w:val="22"/>
          <w:lang w:val="sr-Latn-CS"/>
        </w:rPr>
      </w:pPr>
      <w:r>
        <w:rPr>
          <w:b/>
          <w:bCs/>
          <w:sz w:val="22"/>
          <w:szCs w:val="22"/>
          <w:lang w:val="sr-Latn-CS"/>
        </w:rPr>
        <w:t xml:space="preserve">4. </w:t>
      </w:r>
      <w:r>
        <w:rPr>
          <w:b/>
          <w:bCs/>
          <w:sz w:val="22"/>
          <w:szCs w:val="22"/>
          <w:lang w:val="sr-Latn-CS"/>
        </w:rPr>
        <w:tab/>
      </w:r>
      <w:r>
        <w:rPr>
          <w:b/>
          <w:bCs/>
          <w:sz w:val="22"/>
          <w:szCs w:val="22"/>
        </w:rPr>
        <w:t>KLINI</w:t>
      </w:r>
      <w:r>
        <w:rPr>
          <w:b/>
          <w:bCs/>
          <w:sz w:val="22"/>
          <w:szCs w:val="22"/>
          <w:lang w:val="sr-Latn-CS"/>
        </w:rPr>
        <w:t>Č</w:t>
      </w:r>
      <w:r>
        <w:rPr>
          <w:b/>
          <w:bCs/>
          <w:sz w:val="22"/>
          <w:szCs w:val="22"/>
        </w:rPr>
        <w:t>KI</w:t>
      </w:r>
      <w:r>
        <w:rPr>
          <w:b/>
          <w:bCs/>
          <w:sz w:val="22"/>
          <w:szCs w:val="22"/>
          <w:lang w:val="sr-Latn-CS"/>
        </w:rPr>
        <w:t xml:space="preserve"> </w:t>
      </w:r>
      <w:r>
        <w:rPr>
          <w:b/>
          <w:bCs/>
          <w:sz w:val="22"/>
          <w:szCs w:val="22"/>
        </w:rPr>
        <w:t>PODACI</w:t>
      </w:r>
    </w:p>
    <w:p w14:paraId="25E217F5" w14:textId="77777777" w:rsidR="00BE1AF0" w:rsidRDefault="00BE1AF0">
      <w:pPr>
        <w:tabs>
          <w:tab w:val="left" w:pos="540"/>
          <w:tab w:val="left" w:pos="569"/>
        </w:tabs>
        <w:jc w:val="both"/>
        <w:rPr>
          <w:bCs/>
          <w:sz w:val="22"/>
          <w:szCs w:val="22"/>
          <w:lang w:val="sr-Latn-CS"/>
        </w:rPr>
      </w:pPr>
    </w:p>
    <w:p w14:paraId="6DBDD271" w14:textId="77777777" w:rsidR="00BE1AF0" w:rsidRDefault="004F0139">
      <w:pPr>
        <w:tabs>
          <w:tab w:val="left" w:pos="540"/>
          <w:tab w:val="left" w:pos="569"/>
        </w:tabs>
        <w:jc w:val="both"/>
        <w:rPr>
          <w:b/>
          <w:bCs/>
          <w:sz w:val="22"/>
          <w:szCs w:val="22"/>
          <w:lang w:val="sr-Latn-CS"/>
        </w:rPr>
      </w:pPr>
      <w:r>
        <w:rPr>
          <w:b/>
          <w:bCs/>
          <w:sz w:val="22"/>
          <w:szCs w:val="22"/>
          <w:lang w:val="sr-Latn-CS"/>
        </w:rPr>
        <w:t xml:space="preserve">4.1. </w:t>
      </w:r>
      <w:r>
        <w:rPr>
          <w:b/>
          <w:bCs/>
          <w:sz w:val="22"/>
          <w:szCs w:val="22"/>
          <w:lang w:val="sr-Latn-CS"/>
        </w:rPr>
        <w:tab/>
      </w:r>
      <w:r>
        <w:rPr>
          <w:b/>
          <w:bCs/>
          <w:sz w:val="22"/>
          <w:szCs w:val="22"/>
        </w:rPr>
        <w:t>Terapijske</w:t>
      </w:r>
      <w:r>
        <w:rPr>
          <w:b/>
          <w:bCs/>
          <w:sz w:val="22"/>
          <w:szCs w:val="22"/>
          <w:lang w:val="sr-Latn-CS"/>
        </w:rPr>
        <w:t xml:space="preserve"> </w:t>
      </w:r>
      <w:r>
        <w:rPr>
          <w:b/>
          <w:bCs/>
          <w:sz w:val="22"/>
          <w:szCs w:val="22"/>
        </w:rPr>
        <w:t>indikacije</w:t>
      </w:r>
    </w:p>
    <w:p w14:paraId="263F1AFC" w14:textId="77777777" w:rsidR="00BE1AF0" w:rsidRDefault="00BE1AF0">
      <w:pPr>
        <w:tabs>
          <w:tab w:val="left" w:pos="540"/>
          <w:tab w:val="left" w:pos="569"/>
        </w:tabs>
        <w:jc w:val="both"/>
        <w:rPr>
          <w:b/>
          <w:bCs/>
          <w:sz w:val="22"/>
          <w:szCs w:val="22"/>
          <w:lang w:val="sr-Latn-ME"/>
        </w:rPr>
      </w:pPr>
    </w:p>
    <w:p w14:paraId="5DFAF89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Za odrasle pacijente sa dijabetes melitusom tip 2:</w:t>
      </w:r>
    </w:p>
    <w:p w14:paraId="002041F5" w14:textId="77777777" w:rsidR="00BE1AF0" w:rsidRDefault="00BE1AF0">
      <w:pPr>
        <w:autoSpaceDE w:val="0"/>
        <w:autoSpaceDN w:val="0"/>
        <w:adjustRightInd w:val="0"/>
        <w:jc w:val="both"/>
        <w:rPr>
          <w:sz w:val="22"/>
          <w:szCs w:val="22"/>
          <w:lang w:val="sr-Latn-ME" w:eastAsia="sr-Latn-ME"/>
        </w:rPr>
      </w:pPr>
    </w:p>
    <w:p w14:paraId="708EF9D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je indikovan kao dopuna dijeti i fizičkoj aktivnosti u cilju poboljšanja kontrole glikemije kod pacijenata kod kojih ona nije adekvatno kontrolisana pri maksimalnoj podnošljivoj dozi samog metformina ili kod onih koji se već liječe kombinacijom metformina i sitagliptina.</w:t>
      </w:r>
    </w:p>
    <w:p w14:paraId="3813A2E5" w14:textId="77777777" w:rsidR="00BE1AF0" w:rsidRDefault="00BE1AF0">
      <w:pPr>
        <w:autoSpaceDE w:val="0"/>
        <w:autoSpaceDN w:val="0"/>
        <w:adjustRightInd w:val="0"/>
        <w:jc w:val="both"/>
        <w:rPr>
          <w:sz w:val="22"/>
          <w:szCs w:val="22"/>
          <w:lang w:val="sr-Latn-ME" w:eastAsia="sr-Latn-ME"/>
        </w:rPr>
      </w:pPr>
    </w:p>
    <w:p w14:paraId="645D01B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je indikovan u kombinaciji sa sulfonilureom (tj. kao dio trostruke kombinovane terapije), kao dopuna dijeti i fizičkoj aktivnosti kod pacijenata koji nijesu adekvatno kontrolisani pri maksimalno podnošljivoj dozi metformina i sulfoniluree.</w:t>
      </w:r>
    </w:p>
    <w:p w14:paraId="5F185B44" w14:textId="77777777" w:rsidR="00BE1AF0" w:rsidRDefault="00BE1AF0">
      <w:pPr>
        <w:autoSpaceDE w:val="0"/>
        <w:autoSpaceDN w:val="0"/>
        <w:adjustRightInd w:val="0"/>
        <w:jc w:val="both"/>
        <w:rPr>
          <w:sz w:val="22"/>
          <w:szCs w:val="22"/>
          <w:lang w:val="sr-Latn-ME" w:eastAsia="sr-Latn-ME"/>
        </w:rPr>
      </w:pPr>
    </w:p>
    <w:p w14:paraId="447234F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je indikovan i kao dio trostruke kombinovane terapije sa agonistom gama receptora aktiviranih proliferatorom peroksizoma (PPARγ) (na primjer: tiazolidindion), kao dodatak dijeti i fizičkoj aktivnosti kod pacijenata koji nijesu adekvatno kontrolisani pri maksimalnoj podnošljivoj dozi metformina i PPARγ agoniste.</w:t>
      </w:r>
    </w:p>
    <w:p w14:paraId="6C66CBD5" w14:textId="77777777" w:rsidR="00BE1AF0" w:rsidRDefault="00BE1AF0">
      <w:pPr>
        <w:autoSpaceDE w:val="0"/>
        <w:autoSpaceDN w:val="0"/>
        <w:adjustRightInd w:val="0"/>
        <w:jc w:val="both"/>
        <w:rPr>
          <w:sz w:val="22"/>
          <w:szCs w:val="22"/>
          <w:lang w:val="sr-Latn-ME" w:eastAsia="sr-Latn-ME"/>
        </w:rPr>
      </w:pPr>
    </w:p>
    <w:p w14:paraId="3EA69DF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je, takođe, indikovan kao dodatak insulinu (tj. kao dio trostruke kombinovane terapije), a kao dopuna dijeti i fizičkoj aktivnosti u cilju poboljšanja kontrole glikemije kod pacijenata kod kojih stabilna doza samo insulina i metformina ne dovodi do adekvatne kontrole glikemije.</w:t>
      </w:r>
    </w:p>
    <w:p w14:paraId="1907FD9B" w14:textId="77777777" w:rsidR="00BE1AF0" w:rsidRDefault="00BE1AF0">
      <w:pPr>
        <w:tabs>
          <w:tab w:val="left" w:pos="540"/>
          <w:tab w:val="left" w:pos="569"/>
        </w:tabs>
        <w:jc w:val="both"/>
        <w:rPr>
          <w:bCs/>
          <w:sz w:val="22"/>
          <w:szCs w:val="22"/>
          <w:lang w:val="sr-Latn-ME"/>
        </w:rPr>
      </w:pPr>
    </w:p>
    <w:p w14:paraId="6298DF19" w14:textId="77777777" w:rsidR="00BE1AF0" w:rsidRDefault="004F0139">
      <w:pPr>
        <w:tabs>
          <w:tab w:val="left" w:pos="540"/>
          <w:tab w:val="left" w:pos="569"/>
        </w:tabs>
        <w:jc w:val="both"/>
        <w:rPr>
          <w:b/>
          <w:bCs/>
          <w:sz w:val="22"/>
          <w:szCs w:val="22"/>
          <w:lang w:val="sr-Latn-ME"/>
        </w:rPr>
      </w:pPr>
      <w:r>
        <w:rPr>
          <w:b/>
          <w:bCs/>
          <w:sz w:val="22"/>
          <w:szCs w:val="22"/>
          <w:lang w:val="sr-Latn-ME"/>
        </w:rPr>
        <w:lastRenderedPageBreak/>
        <w:t xml:space="preserve">4.2. </w:t>
      </w:r>
      <w:r>
        <w:rPr>
          <w:b/>
          <w:bCs/>
          <w:sz w:val="22"/>
          <w:szCs w:val="22"/>
          <w:lang w:val="sr-Latn-ME"/>
        </w:rPr>
        <w:tab/>
      </w:r>
      <w:r>
        <w:rPr>
          <w:b/>
          <w:bCs/>
          <w:sz w:val="22"/>
          <w:szCs w:val="22"/>
        </w:rPr>
        <w:t>Doziranje</w:t>
      </w:r>
      <w:r>
        <w:rPr>
          <w:b/>
          <w:bCs/>
          <w:sz w:val="22"/>
          <w:szCs w:val="22"/>
          <w:lang w:val="sr-Latn-ME"/>
        </w:rPr>
        <w:t xml:space="preserve"> </w:t>
      </w:r>
      <w:r>
        <w:rPr>
          <w:b/>
          <w:bCs/>
          <w:sz w:val="22"/>
          <w:szCs w:val="22"/>
        </w:rPr>
        <w:t>i</w:t>
      </w:r>
      <w:r>
        <w:rPr>
          <w:b/>
          <w:bCs/>
          <w:sz w:val="22"/>
          <w:szCs w:val="22"/>
          <w:lang w:val="sr-Latn-ME"/>
        </w:rPr>
        <w:t xml:space="preserve"> </w:t>
      </w:r>
      <w:r>
        <w:rPr>
          <w:b/>
          <w:bCs/>
          <w:sz w:val="22"/>
          <w:szCs w:val="22"/>
        </w:rPr>
        <w:t>na</w:t>
      </w:r>
      <w:r>
        <w:rPr>
          <w:b/>
          <w:bCs/>
          <w:sz w:val="22"/>
          <w:szCs w:val="22"/>
          <w:lang w:val="sr-Latn-ME"/>
        </w:rPr>
        <w:t>č</w:t>
      </w:r>
      <w:r>
        <w:rPr>
          <w:b/>
          <w:bCs/>
          <w:sz w:val="22"/>
          <w:szCs w:val="22"/>
        </w:rPr>
        <w:t>in</w:t>
      </w:r>
      <w:r>
        <w:rPr>
          <w:b/>
          <w:bCs/>
          <w:sz w:val="22"/>
          <w:szCs w:val="22"/>
          <w:lang w:val="sr-Latn-ME"/>
        </w:rPr>
        <w:t xml:space="preserve"> </w:t>
      </w:r>
      <w:r>
        <w:rPr>
          <w:b/>
          <w:bCs/>
          <w:sz w:val="22"/>
          <w:szCs w:val="22"/>
        </w:rPr>
        <w:t>primjene</w:t>
      </w:r>
    </w:p>
    <w:p w14:paraId="1DB3C057" w14:textId="77777777" w:rsidR="00BE1AF0" w:rsidRDefault="00BE1AF0">
      <w:pPr>
        <w:tabs>
          <w:tab w:val="left" w:pos="540"/>
          <w:tab w:val="left" w:pos="569"/>
        </w:tabs>
        <w:jc w:val="both"/>
        <w:rPr>
          <w:bCs/>
          <w:sz w:val="22"/>
          <w:szCs w:val="22"/>
          <w:lang w:val="sr-Latn-ME"/>
        </w:rPr>
      </w:pPr>
    </w:p>
    <w:p w14:paraId="13E67F8F" w14:textId="77777777" w:rsidR="00BE1AF0" w:rsidRDefault="004F0139">
      <w:pPr>
        <w:tabs>
          <w:tab w:val="left" w:pos="540"/>
          <w:tab w:val="left" w:pos="569"/>
        </w:tabs>
        <w:jc w:val="both"/>
        <w:rPr>
          <w:bCs/>
          <w:sz w:val="22"/>
          <w:szCs w:val="22"/>
          <w:u w:val="single"/>
          <w:lang w:val="sr-Latn-ME"/>
        </w:rPr>
      </w:pPr>
      <w:r>
        <w:rPr>
          <w:bCs/>
          <w:sz w:val="22"/>
          <w:szCs w:val="22"/>
          <w:u w:val="single"/>
        </w:rPr>
        <w:t>Doziranje</w:t>
      </w:r>
    </w:p>
    <w:p w14:paraId="0CB83C0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Dozu antihiperglikemijske terapije lijekom Maymetsi treba individualno prilagoditi svakom pacijentu na osnovu trenutnog režima, efikasnosti i podnošljivosti, ne prelazeći pritom maksimalnu preporučenu dnevnu dozu od 100 mg sitagliptina.</w:t>
      </w:r>
    </w:p>
    <w:p w14:paraId="12E3E9C2" w14:textId="77777777" w:rsidR="00BE1AF0" w:rsidRDefault="00BE1AF0">
      <w:pPr>
        <w:tabs>
          <w:tab w:val="left" w:pos="540"/>
          <w:tab w:val="left" w:pos="569"/>
        </w:tabs>
        <w:jc w:val="both"/>
        <w:rPr>
          <w:bCs/>
          <w:sz w:val="22"/>
          <w:szCs w:val="22"/>
          <w:u w:val="single"/>
          <w:lang w:val="sr-Latn-ME"/>
        </w:rPr>
      </w:pPr>
    </w:p>
    <w:p w14:paraId="4C8B6BB3" w14:textId="77777777" w:rsidR="00BE1AF0" w:rsidRDefault="004F0139">
      <w:pPr>
        <w:autoSpaceDE w:val="0"/>
        <w:autoSpaceDN w:val="0"/>
        <w:adjustRightInd w:val="0"/>
        <w:jc w:val="both"/>
        <w:rPr>
          <w:b/>
          <w:i/>
          <w:sz w:val="22"/>
          <w:szCs w:val="22"/>
          <w:lang w:val="sr-Latn-ME" w:eastAsia="sr-Latn-ME"/>
        </w:rPr>
      </w:pPr>
      <w:r>
        <w:rPr>
          <w:b/>
          <w:i/>
          <w:sz w:val="22"/>
          <w:szCs w:val="22"/>
          <w:lang w:val="sr-Latn-ME" w:eastAsia="sr-Latn-ME"/>
        </w:rPr>
        <w:t>Odrasli sa normalnom funkcijom bubrega (GFR ≥ 90 ml/min)</w:t>
      </w:r>
    </w:p>
    <w:p w14:paraId="1BAFA306" w14:textId="77777777" w:rsidR="00BE1AF0" w:rsidRDefault="00BE1AF0">
      <w:pPr>
        <w:autoSpaceDE w:val="0"/>
        <w:autoSpaceDN w:val="0"/>
        <w:adjustRightInd w:val="0"/>
        <w:jc w:val="both"/>
        <w:rPr>
          <w:i/>
          <w:sz w:val="22"/>
          <w:szCs w:val="22"/>
          <w:lang w:val="sr-Latn-ME" w:eastAsia="sr-Latn-ME"/>
        </w:rPr>
      </w:pPr>
    </w:p>
    <w:p w14:paraId="3C0DCD5C" w14:textId="77777777" w:rsidR="00BE1AF0" w:rsidRDefault="004F0139">
      <w:pPr>
        <w:autoSpaceDE w:val="0"/>
        <w:autoSpaceDN w:val="0"/>
        <w:adjustRightInd w:val="0"/>
        <w:jc w:val="both"/>
        <w:rPr>
          <w:rFonts w:eastAsia="TimesNewRoman,BoldItalic"/>
          <w:sz w:val="22"/>
          <w:szCs w:val="22"/>
          <w:u w:val="single"/>
          <w:lang w:val="sr-Latn-ME" w:eastAsia="sr-Latn-ME"/>
        </w:rPr>
      </w:pPr>
      <w:r>
        <w:rPr>
          <w:rFonts w:eastAsia="TimesNewRoman,BoldItalic"/>
          <w:sz w:val="22"/>
          <w:szCs w:val="22"/>
          <w:u w:val="single"/>
          <w:lang w:val="sr-Latn-ME" w:eastAsia="sr-Latn-ME"/>
        </w:rPr>
        <w:t>Za pacijente sa neadekvatno kontrolisanom glikemijom pri maksimalnoj podnošljivoj dozi metformina u monoterapiji</w:t>
      </w:r>
    </w:p>
    <w:p w14:paraId="788C1464" w14:textId="77777777" w:rsidR="00BE1AF0" w:rsidRDefault="004F0139">
      <w:pPr>
        <w:tabs>
          <w:tab w:val="left" w:pos="540"/>
          <w:tab w:val="left" w:pos="569"/>
        </w:tabs>
        <w:jc w:val="both"/>
        <w:rPr>
          <w:rFonts w:eastAsia="TimesNewRoman,BoldItalic"/>
          <w:sz w:val="22"/>
          <w:szCs w:val="22"/>
          <w:lang w:val="sr-Latn-ME" w:eastAsia="sr-Latn-ME"/>
        </w:rPr>
      </w:pPr>
      <w:r>
        <w:rPr>
          <w:rFonts w:eastAsia="TimesNewRoman,BoldItalic"/>
          <w:sz w:val="22"/>
          <w:szCs w:val="22"/>
          <w:lang w:val="sr-Latn-ME" w:eastAsia="sr-Latn-ME"/>
        </w:rPr>
        <w:t>Kod pacijenata koji nijesu adekvatno kontrolisani samo metforminom, uobičajena početna doza treba da obezbijedi sitagliptin u dozi od 50 mg dva puta dnevno (ukupna dnevna doza 100 mg) uz dozu metformina koja se već uzima.</w:t>
      </w:r>
    </w:p>
    <w:p w14:paraId="30F73598" w14:textId="77777777" w:rsidR="00BE1AF0" w:rsidRDefault="00BE1AF0">
      <w:pPr>
        <w:tabs>
          <w:tab w:val="left" w:pos="540"/>
          <w:tab w:val="left" w:pos="569"/>
        </w:tabs>
        <w:jc w:val="both"/>
        <w:rPr>
          <w:bCs/>
          <w:sz w:val="22"/>
          <w:szCs w:val="22"/>
          <w:u w:val="single"/>
          <w:lang w:val="sr-Latn-ME"/>
        </w:rPr>
      </w:pPr>
    </w:p>
    <w:p w14:paraId="16CFC60A" w14:textId="77777777" w:rsidR="00BE1AF0" w:rsidRDefault="004F0139">
      <w:pPr>
        <w:autoSpaceDE w:val="0"/>
        <w:autoSpaceDN w:val="0"/>
        <w:adjustRightInd w:val="0"/>
        <w:jc w:val="both"/>
        <w:rPr>
          <w:rFonts w:eastAsia="TimesNewRoman,BoldItalic"/>
          <w:sz w:val="22"/>
          <w:szCs w:val="22"/>
          <w:u w:val="single"/>
          <w:lang w:val="sr-Latn-ME" w:eastAsia="sr-Latn-ME"/>
        </w:rPr>
      </w:pPr>
      <w:r>
        <w:rPr>
          <w:rFonts w:eastAsia="TimesNewRoman,BoldItalic"/>
          <w:sz w:val="22"/>
          <w:szCs w:val="22"/>
          <w:u w:val="single"/>
          <w:lang w:val="sr-Latn-ME" w:eastAsia="sr-Latn-ME"/>
        </w:rPr>
        <w:t>Za pacijente koji prelaze sa istovremene primjene metformina i sitagliptina</w:t>
      </w:r>
    </w:p>
    <w:p w14:paraId="3BED1B7D"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Kod pacijenata koji prelaze sa istovremene primjene metformina i sitagliptina, terapiju lijekom Maymetsi treba započeti u dozama metformina i sitagliptina koje se već uzimaju.</w:t>
      </w:r>
    </w:p>
    <w:p w14:paraId="12446A8C" w14:textId="77777777" w:rsidR="00BE1AF0" w:rsidRDefault="00BE1AF0">
      <w:pPr>
        <w:tabs>
          <w:tab w:val="left" w:pos="540"/>
          <w:tab w:val="left" w:pos="569"/>
        </w:tabs>
        <w:jc w:val="both"/>
        <w:rPr>
          <w:bCs/>
          <w:sz w:val="22"/>
          <w:szCs w:val="22"/>
          <w:u w:val="single"/>
          <w:lang w:val="sr-Latn-ME"/>
        </w:rPr>
      </w:pPr>
    </w:p>
    <w:p w14:paraId="65B8320E" w14:textId="77777777" w:rsidR="00BE1AF0" w:rsidRDefault="004F0139">
      <w:pPr>
        <w:autoSpaceDE w:val="0"/>
        <w:autoSpaceDN w:val="0"/>
        <w:adjustRightInd w:val="0"/>
        <w:jc w:val="both"/>
        <w:rPr>
          <w:rFonts w:eastAsia="TimesNewRoman,BoldItalic"/>
          <w:sz w:val="22"/>
          <w:szCs w:val="22"/>
          <w:u w:val="single"/>
          <w:lang w:val="sr-Latn-ME" w:eastAsia="sr-Latn-ME"/>
        </w:rPr>
      </w:pPr>
      <w:r>
        <w:rPr>
          <w:rFonts w:eastAsia="TimesNewRoman,BoldItalic"/>
          <w:sz w:val="22"/>
          <w:szCs w:val="22"/>
          <w:u w:val="single"/>
          <w:lang w:val="sr-Latn-ME" w:eastAsia="sr-Latn-ME"/>
        </w:rPr>
        <w:t>Za pacijente sa neadekvatno kontrolisanom glikemijom pri kombinovanoj terapiji maksimalnom podnošljivom dozom metformina i sulfoniluree</w:t>
      </w:r>
    </w:p>
    <w:p w14:paraId="666541F0"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Dozom lijeka treba obezbijediti sitagliptin u dozi od 50 mg dva puta dnevno (ukupna dnevna doza 100 mg) i dozu metformina koja je slična dozi koja se već uzima. Kada se lijek Maymetsi koristi u kombinaciji sa sulfonilureom, može biti potrebna niža doza sulfoniluree kako bi se smanjio rizik od hipoglikemije (vidjeti dio 4.4).</w:t>
      </w:r>
    </w:p>
    <w:p w14:paraId="559F81E2" w14:textId="77777777" w:rsidR="00BE1AF0" w:rsidRDefault="00BE1AF0">
      <w:pPr>
        <w:tabs>
          <w:tab w:val="left" w:pos="540"/>
          <w:tab w:val="left" w:pos="569"/>
        </w:tabs>
        <w:jc w:val="both"/>
        <w:rPr>
          <w:bCs/>
          <w:sz w:val="22"/>
          <w:szCs w:val="22"/>
          <w:u w:val="single"/>
          <w:lang w:val="sr-Latn-ME"/>
        </w:rPr>
      </w:pPr>
    </w:p>
    <w:p w14:paraId="634691F1" w14:textId="77777777" w:rsidR="00BE1AF0" w:rsidRDefault="004F0139">
      <w:pPr>
        <w:pStyle w:val="NoSpacing"/>
        <w:jc w:val="both"/>
        <w:rPr>
          <w:rFonts w:eastAsia="TimesNewRoman,BoldItalic"/>
          <w:sz w:val="22"/>
          <w:szCs w:val="22"/>
          <w:u w:val="single"/>
          <w:lang w:val="sr-Latn-ME" w:eastAsia="sr-Latn-ME"/>
        </w:rPr>
      </w:pPr>
      <w:r>
        <w:rPr>
          <w:rFonts w:eastAsia="TimesNewRoman,BoldItalic"/>
          <w:sz w:val="22"/>
          <w:szCs w:val="22"/>
          <w:u w:val="single"/>
          <w:lang w:val="sr-Latn-ME" w:eastAsia="sr-Latn-ME"/>
        </w:rPr>
        <w:t>Za pacijente sa neadekvatno kontrolisanom glikemijom pri kombinovanoj terapiji maksimalnom podnošljivom dozom metformina i PPARγ agoniste</w:t>
      </w:r>
    </w:p>
    <w:p w14:paraId="2559B866"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Dozom lijeka treba obezbijediti sitagliptin u dozi od 50 mg dva puta dnevno (ukupna dnevna doza 100 mg) i dozu metformina koja je slična dozi koja se već uzima.</w:t>
      </w:r>
    </w:p>
    <w:p w14:paraId="7E03DF77" w14:textId="77777777" w:rsidR="00BE1AF0" w:rsidRDefault="00BE1AF0">
      <w:pPr>
        <w:autoSpaceDE w:val="0"/>
        <w:autoSpaceDN w:val="0"/>
        <w:adjustRightInd w:val="0"/>
        <w:jc w:val="both"/>
        <w:rPr>
          <w:rFonts w:eastAsia="TimesNewRoman,BoldItalic"/>
          <w:sz w:val="22"/>
          <w:szCs w:val="22"/>
          <w:lang w:val="sr-Latn-ME" w:eastAsia="sr-Latn-ME"/>
        </w:rPr>
      </w:pPr>
    </w:p>
    <w:p w14:paraId="75A0E432" w14:textId="77777777" w:rsidR="00BE1AF0" w:rsidRDefault="004F0139">
      <w:pPr>
        <w:autoSpaceDE w:val="0"/>
        <w:autoSpaceDN w:val="0"/>
        <w:adjustRightInd w:val="0"/>
        <w:jc w:val="both"/>
        <w:rPr>
          <w:rFonts w:eastAsia="TimesNewRoman,BoldItalic"/>
          <w:sz w:val="22"/>
          <w:szCs w:val="22"/>
          <w:u w:val="single"/>
          <w:lang w:val="sr-Latn-ME" w:eastAsia="sr-Latn-ME"/>
        </w:rPr>
      </w:pPr>
      <w:r>
        <w:rPr>
          <w:rFonts w:eastAsia="TimesNewRoman,BoldItalic"/>
          <w:sz w:val="22"/>
          <w:szCs w:val="22"/>
          <w:u w:val="single"/>
          <w:lang w:val="sr-Latn-ME" w:eastAsia="sr-Latn-ME"/>
        </w:rPr>
        <w:t>Za pacijente sa neadekvatno kontrolisanom glikemijom pri kombinovanoj terapiji insulinom i sa maksimalnom podnošljivom dozom metformina</w:t>
      </w:r>
    </w:p>
    <w:p w14:paraId="385F37B1"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Dozom lijeka treba obezbijediti sitagliptin u dozi od 50 mg dva puta dnevno (ukupna dnevna doza 100 mg) i dozu metformina koja je slična dozi koja se već uzima. Pri upotrebi lijeka Maymetsi u kombinaciji sa insulinom, može biti potrebna niža doza insulina kako bi se smanjio rizik od hipoglikemije (vidjeti dio 4.4).</w:t>
      </w:r>
    </w:p>
    <w:p w14:paraId="37E85FF0" w14:textId="77777777" w:rsidR="00BE1AF0" w:rsidRDefault="00BE1AF0">
      <w:pPr>
        <w:autoSpaceDE w:val="0"/>
        <w:autoSpaceDN w:val="0"/>
        <w:adjustRightInd w:val="0"/>
        <w:jc w:val="both"/>
        <w:rPr>
          <w:rFonts w:eastAsia="TimesNewRoman,BoldItalic"/>
          <w:sz w:val="22"/>
          <w:szCs w:val="22"/>
          <w:lang w:val="sr-Latn-ME" w:eastAsia="sr-Latn-ME"/>
        </w:rPr>
      </w:pPr>
    </w:p>
    <w:p w14:paraId="68B53D79"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Za različite doze metformina, lijek Maymetsi dostupan je u jačinama od 50 mg sitagliptina i 850 mg metformin hidrohlorida ili 1000 mg metformin hidrohlorida.</w:t>
      </w:r>
    </w:p>
    <w:p w14:paraId="0C042925" w14:textId="77777777" w:rsidR="00BE1AF0" w:rsidRDefault="00BE1AF0">
      <w:pPr>
        <w:autoSpaceDE w:val="0"/>
        <w:autoSpaceDN w:val="0"/>
        <w:adjustRightInd w:val="0"/>
        <w:jc w:val="both"/>
        <w:rPr>
          <w:rFonts w:eastAsia="TimesNewRoman,BoldItalic"/>
          <w:sz w:val="22"/>
          <w:szCs w:val="22"/>
          <w:lang w:val="sr-Latn-ME" w:eastAsia="sr-Latn-ME"/>
        </w:rPr>
      </w:pPr>
    </w:p>
    <w:p w14:paraId="16AB3048"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Svi pacijenti treba da nastave da se pridržavaju preporučene dijete uz adekvatnu raspodjelu unosa ugljenih hidrata u toku dana.</w:t>
      </w:r>
    </w:p>
    <w:p w14:paraId="40680AB4" w14:textId="77777777" w:rsidR="00BE1AF0" w:rsidRDefault="00BE1AF0">
      <w:pPr>
        <w:widowControl w:val="0"/>
        <w:tabs>
          <w:tab w:val="left" w:pos="567"/>
        </w:tabs>
        <w:spacing w:line="260" w:lineRule="exact"/>
        <w:rPr>
          <w:iCs/>
          <w:sz w:val="22"/>
          <w:szCs w:val="22"/>
          <w:lang w:val="en-GB"/>
        </w:rPr>
      </w:pPr>
    </w:p>
    <w:p w14:paraId="726F7F58" w14:textId="77777777" w:rsidR="00BE1AF0" w:rsidRDefault="004F0139">
      <w:pPr>
        <w:autoSpaceDE w:val="0"/>
        <w:autoSpaceDN w:val="0"/>
        <w:adjustRightInd w:val="0"/>
        <w:jc w:val="both"/>
        <w:rPr>
          <w:rFonts w:eastAsia="TimesNewRoman,BoldItalic"/>
          <w:sz w:val="22"/>
          <w:szCs w:val="22"/>
          <w:lang w:val="sr-Latn-ME" w:eastAsia="sr-Latn-ME"/>
        </w:rPr>
      </w:pPr>
      <w:r>
        <w:rPr>
          <w:i/>
          <w:sz w:val="22"/>
          <w:szCs w:val="22"/>
          <w:lang w:val="en-GB"/>
        </w:rPr>
        <w:t>Posebne</w:t>
      </w:r>
      <w:r>
        <w:rPr>
          <w:iCs/>
          <w:sz w:val="22"/>
          <w:szCs w:val="22"/>
          <w:lang w:val="en-GB"/>
        </w:rPr>
        <w:t xml:space="preserve"> </w:t>
      </w:r>
      <w:r>
        <w:rPr>
          <w:i/>
          <w:sz w:val="22"/>
          <w:szCs w:val="22"/>
          <w:lang w:val="en-GB"/>
        </w:rPr>
        <w:t>populacije</w:t>
      </w:r>
    </w:p>
    <w:p w14:paraId="3A7538A6" w14:textId="77777777" w:rsidR="00BE1AF0" w:rsidRDefault="004F0139">
      <w:pPr>
        <w:autoSpaceDE w:val="0"/>
        <w:autoSpaceDN w:val="0"/>
        <w:adjustRightInd w:val="0"/>
        <w:jc w:val="both"/>
        <w:rPr>
          <w:rFonts w:eastAsia="TimesNewRoman,BoldItalic"/>
          <w:iCs/>
          <w:sz w:val="22"/>
          <w:szCs w:val="22"/>
          <w:lang w:val="sr-Latn-ME" w:eastAsia="sr-Latn-ME"/>
        </w:rPr>
      </w:pPr>
      <w:r>
        <w:rPr>
          <w:rFonts w:eastAsia="TimesNewRoman,BoldItalic"/>
          <w:iCs/>
          <w:sz w:val="22"/>
          <w:szCs w:val="22"/>
          <w:lang w:val="sr-Latn-ME" w:eastAsia="sr-Latn-ME"/>
        </w:rPr>
        <w:t>Oštećenje funkcije bubrega</w:t>
      </w:r>
    </w:p>
    <w:p w14:paraId="3E0AFE83"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Nije potrebno prilagođavanje doze kod pacijenata sa blagim oštećenjem funkcije bubrega (brzina glomerularne filtracije [GFR] ≥ 60 ml/min). Treba procjieniti GFR prije početka terapije ljekovima koji sadrže metformin i najmanje jednom godišnje nakon toga. Kod pacijenata sa povećanim rizikom od dalje progresije oštećenja funkcije bubrega i kod starijih osoba fukciju bubrega treba procjenjivati češće, na primjer svakih 3-6 mjeseci.</w:t>
      </w:r>
    </w:p>
    <w:p w14:paraId="46D2C8FF" w14:textId="77777777" w:rsidR="00BE1AF0" w:rsidRDefault="00BE1AF0">
      <w:pPr>
        <w:autoSpaceDE w:val="0"/>
        <w:autoSpaceDN w:val="0"/>
        <w:adjustRightInd w:val="0"/>
        <w:jc w:val="both"/>
        <w:rPr>
          <w:rFonts w:eastAsia="TimesNewRoman,BoldItalic"/>
          <w:sz w:val="22"/>
          <w:szCs w:val="22"/>
          <w:lang w:val="sr-Latn-ME" w:eastAsia="sr-Latn-ME"/>
        </w:rPr>
      </w:pPr>
    </w:p>
    <w:p w14:paraId="1F75BD93"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t>Poželjno je da se maksimalna dnevna doza metformina podijeli na 2-3 dnevne doze. Prije razmatranja uvođenja metformina kod pacijenata sa GFR &lt; 60 ml/min treba provjeriti faktore koji mogu povećati rizik od laktoacidoze (vidjeti dio 4.4).</w:t>
      </w:r>
    </w:p>
    <w:p w14:paraId="02F66934" w14:textId="77777777" w:rsidR="00BE1AF0" w:rsidRDefault="00BE1AF0">
      <w:pPr>
        <w:autoSpaceDE w:val="0"/>
        <w:autoSpaceDN w:val="0"/>
        <w:adjustRightInd w:val="0"/>
        <w:jc w:val="both"/>
        <w:rPr>
          <w:rFonts w:eastAsia="TimesNewRoman,BoldItalic"/>
          <w:sz w:val="22"/>
          <w:szCs w:val="22"/>
          <w:lang w:val="sr-Latn-ME" w:eastAsia="sr-Latn-ME"/>
        </w:rPr>
      </w:pPr>
    </w:p>
    <w:p w14:paraId="422E973A" w14:textId="77777777" w:rsidR="00BE1AF0" w:rsidRDefault="004F0139">
      <w:pPr>
        <w:autoSpaceDE w:val="0"/>
        <w:autoSpaceDN w:val="0"/>
        <w:adjustRightInd w:val="0"/>
        <w:jc w:val="both"/>
        <w:rPr>
          <w:rFonts w:eastAsia="TimesNewRoman,BoldItalic"/>
          <w:sz w:val="22"/>
          <w:szCs w:val="22"/>
          <w:lang w:val="sr-Latn-ME" w:eastAsia="sr-Latn-ME"/>
        </w:rPr>
      </w:pPr>
      <w:r>
        <w:rPr>
          <w:rFonts w:eastAsia="TimesNewRoman,BoldItalic"/>
          <w:sz w:val="22"/>
          <w:szCs w:val="22"/>
          <w:lang w:val="sr-Latn-ME" w:eastAsia="sr-Latn-ME"/>
        </w:rPr>
        <w:lastRenderedPageBreak/>
        <w:t>Ukoliko nije dostupna odgovarajuća jačina lijeka Maymetsi, potrebno je koristiti pojedinačne komponente zajedno umjesto fiksne kombinacije.</w:t>
      </w:r>
    </w:p>
    <w:p w14:paraId="106C73C7" w14:textId="77777777" w:rsidR="00BE1AF0" w:rsidRDefault="00BE1AF0">
      <w:pPr>
        <w:tabs>
          <w:tab w:val="left" w:pos="540"/>
          <w:tab w:val="left" w:pos="569"/>
        </w:tabs>
        <w:jc w:val="both"/>
        <w:rPr>
          <w:bCs/>
          <w:sz w:val="22"/>
          <w:szCs w:val="22"/>
          <w:u w:val="single"/>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738"/>
        <w:gridCol w:w="3539"/>
      </w:tblGrid>
      <w:tr w:rsidR="00BE1AF0" w14:paraId="5EB409AF" w14:textId="77777777">
        <w:tc>
          <w:tcPr>
            <w:tcW w:w="1786" w:type="dxa"/>
            <w:shd w:val="clear" w:color="auto" w:fill="auto"/>
          </w:tcPr>
          <w:p w14:paraId="2BA24C65" w14:textId="77777777" w:rsidR="00BE1AF0" w:rsidRDefault="004F0139">
            <w:pPr>
              <w:jc w:val="both"/>
              <w:rPr>
                <w:b/>
                <w:sz w:val="22"/>
                <w:szCs w:val="22"/>
                <w:u w:val="single"/>
                <w:lang w:val="sr-Latn-ME"/>
              </w:rPr>
            </w:pPr>
            <w:r>
              <w:rPr>
                <w:b/>
                <w:sz w:val="22"/>
                <w:szCs w:val="22"/>
                <w:u w:val="single"/>
                <w:lang w:val="sr-Latn-ME"/>
              </w:rPr>
              <w:t>GFR ml/min</w:t>
            </w:r>
          </w:p>
        </w:tc>
        <w:tc>
          <w:tcPr>
            <w:tcW w:w="3738" w:type="dxa"/>
            <w:shd w:val="clear" w:color="auto" w:fill="auto"/>
          </w:tcPr>
          <w:p w14:paraId="0C5993E3" w14:textId="77777777" w:rsidR="00BE1AF0" w:rsidRDefault="004F0139">
            <w:pPr>
              <w:autoSpaceDE w:val="0"/>
              <w:autoSpaceDN w:val="0"/>
              <w:adjustRightInd w:val="0"/>
              <w:jc w:val="both"/>
              <w:rPr>
                <w:b/>
                <w:sz w:val="22"/>
                <w:szCs w:val="22"/>
                <w:u w:val="single"/>
                <w:lang w:val="sr-Latn-ME"/>
              </w:rPr>
            </w:pPr>
            <w:r>
              <w:rPr>
                <w:b/>
                <w:sz w:val="22"/>
                <w:szCs w:val="22"/>
                <w:u w:val="single"/>
                <w:lang w:val="sr-Latn-ME"/>
              </w:rPr>
              <w:t xml:space="preserve">Metformin </w:t>
            </w:r>
          </w:p>
          <w:p w14:paraId="638B3318" w14:textId="77777777" w:rsidR="00BE1AF0" w:rsidRDefault="00BE1AF0">
            <w:pPr>
              <w:jc w:val="both"/>
              <w:rPr>
                <w:sz w:val="22"/>
                <w:szCs w:val="22"/>
                <w:lang w:val="sr-Latn-ME"/>
              </w:rPr>
            </w:pPr>
          </w:p>
        </w:tc>
        <w:tc>
          <w:tcPr>
            <w:tcW w:w="3539" w:type="dxa"/>
            <w:shd w:val="clear" w:color="auto" w:fill="auto"/>
          </w:tcPr>
          <w:p w14:paraId="6E34126E" w14:textId="77777777" w:rsidR="00BE1AF0" w:rsidRDefault="004F0139">
            <w:pPr>
              <w:jc w:val="both"/>
              <w:rPr>
                <w:sz w:val="22"/>
                <w:szCs w:val="22"/>
                <w:lang w:val="sr-Latn-ME"/>
              </w:rPr>
            </w:pPr>
            <w:r>
              <w:rPr>
                <w:b/>
                <w:sz w:val="22"/>
                <w:szCs w:val="22"/>
                <w:u w:val="single"/>
                <w:lang w:val="sr-Latn-ME"/>
              </w:rPr>
              <w:t>Sitagliptin</w:t>
            </w:r>
          </w:p>
        </w:tc>
      </w:tr>
      <w:tr w:rsidR="00BE1AF0" w14:paraId="7120793A" w14:textId="77777777">
        <w:tc>
          <w:tcPr>
            <w:tcW w:w="1786" w:type="dxa"/>
            <w:shd w:val="clear" w:color="auto" w:fill="auto"/>
          </w:tcPr>
          <w:p w14:paraId="3BE46500"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60-89</w:t>
            </w:r>
          </w:p>
        </w:tc>
        <w:tc>
          <w:tcPr>
            <w:tcW w:w="3738" w:type="dxa"/>
            <w:shd w:val="clear" w:color="auto" w:fill="auto"/>
          </w:tcPr>
          <w:p w14:paraId="44039674"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 xml:space="preserve">Maksimalna dnevna doza je 3000 mg. </w:t>
            </w:r>
          </w:p>
          <w:p w14:paraId="58AFB7BB"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Može se razmatrati smanjenje doze u odnosu na smanjenje funkcije bubrega.</w:t>
            </w:r>
          </w:p>
        </w:tc>
        <w:tc>
          <w:tcPr>
            <w:tcW w:w="3539" w:type="dxa"/>
            <w:shd w:val="clear" w:color="auto" w:fill="auto"/>
          </w:tcPr>
          <w:p w14:paraId="682867BC"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Maksimalna dnevna doza je 100 mg.</w:t>
            </w:r>
          </w:p>
        </w:tc>
      </w:tr>
      <w:tr w:rsidR="00BE1AF0" w14:paraId="2F9D70E8" w14:textId="77777777">
        <w:tc>
          <w:tcPr>
            <w:tcW w:w="1786" w:type="dxa"/>
            <w:shd w:val="clear" w:color="auto" w:fill="auto"/>
          </w:tcPr>
          <w:p w14:paraId="05D78F6C" w14:textId="77777777" w:rsidR="00BE1AF0" w:rsidRDefault="004F0139">
            <w:pPr>
              <w:widowControl w:val="0"/>
              <w:tabs>
                <w:tab w:val="left" w:pos="567"/>
              </w:tabs>
              <w:spacing w:line="260" w:lineRule="exact"/>
              <w:jc w:val="both"/>
              <w:rPr>
                <w:iCs/>
                <w:sz w:val="22"/>
                <w:szCs w:val="22"/>
                <w:lang w:val="sr-Latn-ME"/>
              </w:rPr>
            </w:pPr>
            <w:r>
              <w:rPr>
                <w:iCs/>
                <w:sz w:val="22"/>
                <w:szCs w:val="22"/>
                <w:lang w:val="sr-Latn-ME"/>
              </w:rPr>
              <w:t>45-59</w:t>
            </w:r>
          </w:p>
        </w:tc>
        <w:tc>
          <w:tcPr>
            <w:tcW w:w="3738" w:type="dxa"/>
            <w:shd w:val="clear" w:color="auto" w:fill="auto"/>
          </w:tcPr>
          <w:p w14:paraId="39A5E4B2"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Maksimalna dnevna doza je 2000 mg. Početna doza je najviše polovina maksimalne doze.</w:t>
            </w:r>
          </w:p>
        </w:tc>
        <w:tc>
          <w:tcPr>
            <w:tcW w:w="3539" w:type="dxa"/>
            <w:shd w:val="clear" w:color="auto" w:fill="auto"/>
          </w:tcPr>
          <w:p w14:paraId="2C435EED"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Maksimalna dnevna doza je 100 mg.</w:t>
            </w:r>
          </w:p>
        </w:tc>
      </w:tr>
      <w:tr w:rsidR="00BE1AF0" w14:paraId="426CE5E9" w14:textId="77777777">
        <w:tc>
          <w:tcPr>
            <w:tcW w:w="1786" w:type="dxa"/>
            <w:shd w:val="clear" w:color="auto" w:fill="auto"/>
          </w:tcPr>
          <w:p w14:paraId="460140B5" w14:textId="77777777" w:rsidR="00BE1AF0" w:rsidRDefault="004F0139">
            <w:pPr>
              <w:widowControl w:val="0"/>
              <w:tabs>
                <w:tab w:val="left" w:pos="567"/>
              </w:tabs>
              <w:spacing w:line="260" w:lineRule="exact"/>
              <w:jc w:val="both"/>
              <w:rPr>
                <w:iCs/>
                <w:sz w:val="22"/>
                <w:szCs w:val="22"/>
                <w:lang w:val="sr-Latn-ME"/>
              </w:rPr>
            </w:pPr>
            <w:r>
              <w:rPr>
                <w:iCs/>
                <w:sz w:val="22"/>
                <w:szCs w:val="22"/>
                <w:lang w:val="sr-Latn-ME"/>
              </w:rPr>
              <w:t>30-44</w:t>
            </w:r>
          </w:p>
        </w:tc>
        <w:tc>
          <w:tcPr>
            <w:tcW w:w="3738" w:type="dxa"/>
            <w:shd w:val="clear" w:color="auto" w:fill="auto"/>
          </w:tcPr>
          <w:p w14:paraId="391C4415"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Maksimalna dnevna doza je 1000 mg. Početna doza je najviše polovina maksimalne doze.</w:t>
            </w:r>
          </w:p>
        </w:tc>
        <w:tc>
          <w:tcPr>
            <w:tcW w:w="3539" w:type="dxa"/>
            <w:shd w:val="clear" w:color="auto" w:fill="auto"/>
          </w:tcPr>
          <w:p w14:paraId="0C6CBBCA"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Maksimalna dnevna doza je 50 mg.</w:t>
            </w:r>
          </w:p>
        </w:tc>
      </w:tr>
      <w:tr w:rsidR="00BE1AF0" w14:paraId="09B13DDE" w14:textId="77777777">
        <w:tc>
          <w:tcPr>
            <w:tcW w:w="1786" w:type="dxa"/>
            <w:shd w:val="clear" w:color="auto" w:fill="auto"/>
          </w:tcPr>
          <w:p w14:paraId="66BCF7F4" w14:textId="77777777" w:rsidR="00BE1AF0" w:rsidRDefault="004F0139">
            <w:pPr>
              <w:widowControl w:val="0"/>
              <w:tabs>
                <w:tab w:val="left" w:pos="567"/>
              </w:tabs>
              <w:spacing w:line="260" w:lineRule="exact"/>
              <w:jc w:val="both"/>
              <w:rPr>
                <w:iCs/>
                <w:sz w:val="22"/>
                <w:szCs w:val="22"/>
                <w:lang w:val="sr-Latn-ME"/>
              </w:rPr>
            </w:pPr>
            <w:r>
              <w:rPr>
                <w:iCs/>
                <w:sz w:val="22"/>
                <w:szCs w:val="22"/>
                <w:lang w:val="sr-Latn-ME"/>
              </w:rPr>
              <w:t>&lt; 30</w:t>
            </w:r>
          </w:p>
        </w:tc>
        <w:tc>
          <w:tcPr>
            <w:tcW w:w="3738" w:type="dxa"/>
            <w:shd w:val="clear" w:color="auto" w:fill="auto"/>
          </w:tcPr>
          <w:p w14:paraId="7A814373"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Metformin je kontraindikovan.</w:t>
            </w:r>
          </w:p>
        </w:tc>
        <w:tc>
          <w:tcPr>
            <w:tcW w:w="3539" w:type="dxa"/>
            <w:shd w:val="clear" w:color="auto" w:fill="auto"/>
          </w:tcPr>
          <w:p w14:paraId="4C057DA0" w14:textId="77777777" w:rsidR="00BE1AF0" w:rsidRDefault="004F0139">
            <w:pPr>
              <w:widowControl w:val="0"/>
              <w:tabs>
                <w:tab w:val="left" w:pos="567"/>
              </w:tabs>
              <w:spacing w:line="260" w:lineRule="exact"/>
              <w:jc w:val="both"/>
              <w:rPr>
                <w:i/>
                <w:iCs/>
                <w:sz w:val="22"/>
                <w:szCs w:val="22"/>
                <w:lang w:val="sr-Latn-ME"/>
              </w:rPr>
            </w:pPr>
            <w:r>
              <w:rPr>
                <w:i/>
                <w:iCs/>
                <w:sz w:val="22"/>
                <w:szCs w:val="22"/>
                <w:lang w:val="sr-Latn-ME"/>
              </w:rPr>
              <w:t>Maksimalna dnevna doza je 25 mg.</w:t>
            </w:r>
          </w:p>
        </w:tc>
      </w:tr>
    </w:tbl>
    <w:p w14:paraId="6F9F1FD9" w14:textId="77777777" w:rsidR="00BE1AF0" w:rsidRDefault="00BE1AF0">
      <w:pPr>
        <w:tabs>
          <w:tab w:val="left" w:pos="540"/>
          <w:tab w:val="left" w:pos="569"/>
        </w:tabs>
        <w:jc w:val="both"/>
        <w:rPr>
          <w:bCs/>
          <w:sz w:val="22"/>
          <w:szCs w:val="22"/>
          <w:u w:val="single"/>
          <w:lang w:val="sr-Latn-ME"/>
        </w:rPr>
      </w:pPr>
    </w:p>
    <w:p w14:paraId="4695BC7F" w14:textId="77777777" w:rsidR="00BE1AF0" w:rsidRDefault="004F0139">
      <w:pPr>
        <w:autoSpaceDE w:val="0"/>
        <w:autoSpaceDN w:val="0"/>
        <w:adjustRightInd w:val="0"/>
        <w:jc w:val="both"/>
        <w:rPr>
          <w:iCs/>
          <w:sz w:val="22"/>
          <w:szCs w:val="22"/>
          <w:lang w:val="sr-Latn-ME" w:eastAsia="sr-Latn-ME"/>
        </w:rPr>
      </w:pPr>
      <w:r>
        <w:rPr>
          <w:iCs/>
          <w:sz w:val="22"/>
          <w:szCs w:val="22"/>
          <w:lang w:val="sr-Latn-ME" w:eastAsia="sr-Latn-ME"/>
        </w:rPr>
        <w:t>Oštećenje funkcije jetre</w:t>
      </w:r>
    </w:p>
    <w:p w14:paraId="796D26E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se ne smije koristiti kod pacijenata sa oštećenjem jetre (vidjeti dio 5.2).</w:t>
      </w:r>
    </w:p>
    <w:p w14:paraId="6B7B6DA5" w14:textId="77777777" w:rsidR="00BE1AF0" w:rsidRDefault="00BE1AF0">
      <w:pPr>
        <w:autoSpaceDE w:val="0"/>
        <w:autoSpaceDN w:val="0"/>
        <w:adjustRightInd w:val="0"/>
        <w:jc w:val="both"/>
        <w:rPr>
          <w:i/>
          <w:iCs/>
          <w:sz w:val="22"/>
          <w:szCs w:val="22"/>
          <w:lang w:val="sr-Latn-ME" w:eastAsia="sr-Latn-ME"/>
        </w:rPr>
      </w:pPr>
    </w:p>
    <w:p w14:paraId="792A5670" w14:textId="77777777" w:rsidR="00BE1AF0" w:rsidRDefault="004F0139">
      <w:pPr>
        <w:autoSpaceDE w:val="0"/>
        <w:autoSpaceDN w:val="0"/>
        <w:adjustRightInd w:val="0"/>
        <w:jc w:val="both"/>
        <w:rPr>
          <w:iCs/>
          <w:sz w:val="22"/>
          <w:szCs w:val="22"/>
          <w:lang w:val="sr-Latn-ME" w:eastAsia="sr-Latn-ME"/>
        </w:rPr>
      </w:pPr>
      <w:r>
        <w:rPr>
          <w:iCs/>
          <w:sz w:val="22"/>
          <w:szCs w:val="22"/>
          <w:lang w:val="sr-Latn-ME" w:eastAsia="sr-Latn-ME"/>
        </w:rPr>
        <w:t>Starije osobe</w:t>
      </w:r>
    </w:p>
    <w:p w14:paraId="6842FE7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 obzirom na to da se metformin i sitagliptin izlučuju preko bubrega, lijek Maymetsi se, kod starijih osoba, mora primjenjivati sa oprezom. Neophodno je praćenje funkcije bubrega kao pomoć u prevenciji laktoacidoze povezane sa metforminom, naročito kod starijih osoba (vidjeti djelove 4.3 i 4.4).</w:t>
      </w:r>
    </w:p>
    <w:p w14:paraId="6D2A390F" w14:textId="77777777" w:rsidR="00BE1AF0" w:rsidRDefault="00BE1AF0">
      <w:pPr>
        <w:autoSpaceDE w:val="0"/>
        <w:autoSpaceDN w:val="0"/>
        <w:adjustRightInd w:val="0"/>
        <w:jc w:val="both"/>
        <w:rPr>
          <w:i/>
          <w:iCs/>
          <w:sz w:val="22"/>
          <w:szCs w:val="22"/>
          <w:lang w:val="sr-Latn-ME" w:eastAsia="sr-Latn-ME"/>
        </w:rPr>
      </w:pPr>
    </w:p>
    <w:p w14:paraId="07DBD602"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Pedijatrijska populacija</w:t>
      </w:r>
    </w:p>
    <w:p w14:paraId="17ADD163" w14:textId="77777777" w:rsidR="00BE1AF0" w:rsidRDefault="004F0139">
      <w:pPr>
        <w:tabs>
          <w:tab w:val="left" w:pos="540"/>
          <w:tab w:val="left" w:pos="569"/>
        </w:tabs>
        <w:jc w:val="both"/>
        <w:rPr>
          <w:sz w:val="22"/>
          <w:szCs w:val="22"/>
          <w:lang w:val="sl-SI" w:eastAsia="sr-Latn-ME"/>
        </w:rPr>
      </w:pPr>
      <w:r>
        <w:rPr>
          <w:sz w:val="22"/>
          <w:szCs w:val="22"/>
          <w:lang w:val="en-GB" w:eastAsia="sr-Latn-ME"/>
        </w:rPr>
        <w:t>Lijek</w:t>
      </w:r>
      <w:r>
        <w:rPr>
          <w:sz w:val="22"/>
          <w:szCs w:val="22"/>
          <w:lang w:val="sr-Latn-ME" w:eastAsia="sr-Latn-ME"/>
        </w:rPr>
        <w:t xml:space="preserve"> </w:t>
      </w:r>
      <w:r>
        <w:rPr>
          <w:sz w:val="22"/>
          <w:szCs w:val="22"/>
          <w:lang w:val="en-GB" w:eastAsia="sr-Latn-ME"/>
        </w:rPr>
        <w:t>Maymetsi</w:t>
      </w:r>
      <w:r>
        <w:rPr>
          <w:sz w:val="22"/>
          <w:szCs w:val="22"/>
          <w:lang w:val="sr-Latn-ME" w:eastAsia="sr-Latn-ME"/>
        </w:rPr>
        <w:t xml:space="preserve"> </w:t>
      </w:r>
      <w:r>
        <w:rPr>
          <w:sz w:val="22"/>
          <w:szCs w:val="22"/>
          <w:lang w:val="en-GB" w:eastAsia="sr-Latn-ME"/>
        </w:rPr>
        <w:t>se</w:t>
      </w:r>
      <w:r>
        <w:rPr>
          <w:sz w:val="22"/>
          <w:szCs w:val="22"/>
          <w:lang w:val="sr-Latn-ME" w:eastAsia="sr-Latn-ME"/>
        </w:rPr>
        <w:t xml:space="preserve"> </w:t>
      </w:r>
      <w:r>
        <w:rPr>
          <w:sz w:val="22"/>
          <w:szCs w:val="22"/>
          <w:lang w:val="sl-SI" w:eastAsia="sr-Latn-ME"/>
        </w:rPr>
        <w:t>se zbog nedovoljne efikasnosti ne smije primjenjivati kod djece i adolescenata uzrasta od 10 do 17 godina. Trenutno dostupni podaci opisani su u djelovima 4.8, 5.1 i 5.2. Ovaj lijek se nije ispitivao kod pedijatrijskih pacijenata mlađih od 10 godina.</w:t>
      </w:r>
    </w:p>
    <w:p w14:paraId="02468176" w14:textId="77777777" w:rsidR="00BE1AF0" w:rsidRDefault="00BE1AF0">
      <w:pPr>
        <w:tabs>
          <w:tab w:val="left" w:pos="540"/>
          <w:tab w:val="left" w:pos="569"/>
        </w:tabs>
        <w:jc w:val="both"/>
        <w:rPr>
          <w:bCs/>
          <w:sz w:val="22"/>
          <w:szCs w:val="22"/>
          <w:u w:val="single"/>
          <w:lang w:val="sr-Latn-ME"/>
        </w:rPr>
      </w:pPr>
    </w:p>
    <w:p w14:paraId="65E12BB6" w14:textId="77777777" w:rsidR="00BE1AF0" w:rsidRDefault="004F0139">
      <w:pPr>
        <w:tabs>
          <w:tab w:val="left" w:pos="540"/>
          <w:tab w:val="left" w:pos="569"/>
        </w:tabs>
        <w:jc w:val="both"/>
        <w:rPr>
          <w:bCs/>
          <w:sz w:val="22"/>
          <w:szCs w:val="22"/>
          <w:u w:val="single"/>
          <w:lang w:val="sr-Latn-ME"/>
        </w:rPr>
      </w:pPr>
      <w:r>
        <w:rPr>
          <w:bCs/>
          <w:sz w:val="22"/>
          <w:szCs w:val="22"/>
          <w:u w:val="single"/>
        </w:rPr>
        <w:t>Na</w:t>
      </w:r>
      <w:r>
        <w:rPr>
          <w:bCs/>
          <w:sz w:val="22"/>
          <w:szCs w:val="22"/>
          <w:u w:val="single"/>
          <w:lang w:val="sr-Latn-ME"/>
        </w:rPr>
        <w:t>č</w:t>
      </w:r>
      <w:r>
        <w:rPr>
          <w:bCs/>
          <w:sz w:val="22"/>
          <w:szCs w:val="22"/>
          <w:u w:val="single"/>
        </w:rPr>
        <w:t>in</w:t>
      </w:r>
      <w:r>
        <w:rPr>
          <w:bCs/>
          <w:sz w:val="22"/>
          <w:szCs w:val="22"/>
          <w:u w:val="single"/>
          <w:lang w:val="sr-Latn-ME"/>
        </w:rPr>
        <w:t xml:space="preserve"> </w:t>
      </w:r>
      <w:r>
        <w:rPr>
          <w:bCs/>
          <w:sz w:val="22"/>
          <w:szCs w:val="22"/>
          <w:u w:val="single"/>
        </w:rPr>
        <w:t>primjene</w:t>
      </w:r>
    </w:p>
    <w:p w14:paraId="0A56C68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treba uzimati dva puta dnevno u toku obroka kako bi se smanjile gastrointestinalne neželjene reakcije povezane sa metforminom.</w:t>
      </w:r>
    </w:p>
    <w:p w14:paraId="3E0AF89E" w14:textId="77777777" w:rsidR="00BE1AF0" w:rsidRDefault="00BE1AF0">
      <w:pPr>
        <w:tabs>
          <w:tab w:val="left" w:pos="540"/>
          <w:tab w:val="left" w:pos="569"/>
        </w:tabs>
        <w:jc w:val="both"/>
        <w:rPr>
          <w:bCs/>
          <w:sz w:val="22"/>
          <w:szCs w:val="22"/>
          <w:lang w:val="sr-Latn-ME"/>
        </w:rPr>
      </w:pPr>
    </w:p>
    <w:p w14:paraId="45F09B7E" w14:textId="77777777" w:rsidR="00BE1AF0" w:rsidRDefault="004F0139">
      <w:pPr>
        <w:tabs>
          <w:tab w:val="left" w:pos="540"/>
          <w:tab w:val="left" w:pos="569"/>
        </w:tabs>
        <w:jc w:val="both"/>
        <w:rPr>
          <w:b/>
          <w:bCs/>
          <w:sz w:val="22"/>
          <w:szCs w:val="22"/>
          <w:lang w:val="sr-Latn-ME"/>
        </w:rPr>
      </w:pPr>
      <w:r>
        <w:rPr>
          <w:b/>
          <w:bCs/>
          <w:sz w:val="22"/>
          <w:szCs w:val="22"/>
          <w:lang w:val="sr-Latn-ME"/>
        </w:rPr>
        <w:t xml:space="preserve">4.3. </w:t>
      </w:r>
      <w:r>
        <w:rPr>
          <w:b/>
          <w:bCs/>
          <w:sz w:val="22"/>
          <w:szCs w:val="22"/>
          <w:lang w:val="sr-Latn-ME"/>
        </w:rPr>
        <w:tab/>
      </w:r>
      <w:r>
        <w:rPr>
          <w:b/>
          <w:bCs/>
          <w:sz w:val="22"/>
          <w:szCs w:val="22"/>
        </w:rPr>
        <w:t>Kontraindikacije</w:t>
      </w:r>
    </w:p>
    <w:p w14:paraId="3A89FF4D" w14:textId="77777777" w:rsidR="00BE1AF0" w:rsidRDefault="00BE1AF0">
      <w:pPr>
        <w:tabs>
          <w:tab w:val="left" w:pos="540"/>
          <w:tab w:val="left" w:pos="569"/>
        </w:tabs>
        <w:jc w:val="both"/>
        <w:rPr>
          <w:b/>
          <w:bCs/>
          <w:sz w:val="22"/>
          <w:szCs w:val="22"/>
          <w:lang w:val="sr-Latn-ME"/>
        </w:rPr>
      </w:pPr>
    </w:p>
    <w:p w14:paraId="5B13EE3C" w14:textId="77777777" w:rsidR="00BE1AF0" w:rsidRDefault="004F0139">
      <w:pPr>
        <w:widowControl w:val="0"/>
        <w:tabs>
          <w:tab w:val="left" w:pos="567"/>
        </w:tabs>
        <w:rPr>
          <w:sz w:val="22"/>
          <w:szCs w:val="22"/>
          <w:lang w:val="sr-Latn-ME" w:eastAsia="sr-Latn-ME"/>
        </w:rPr>
      </w:pPr>
      <w:r>
        <w:rPr>
          <w:sz w:val="22"/>
          <w:szCs w:val="22"/>
          <w:lang w:val="en-GB"/>
        </w:rPr>
        <w:t>Lijek Maymetsi je kontraindikovan kod pacijenata koji:</w:t>
      </w:r>
    </w:p>
    <w:p w14:paraId="26A755A8" w14:textId="1C02679B"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preosjetljivost na aktivne supstance ili na bilo koju od pomoćnih supstanci navedenih u dijelu 6.1 (vidjeti djelove 4.4 i 4.8)</w:t>
      </w:r>
      <w:r w:rsidR="00FD7251">
        <w:rPr>
          <w:sz w:val="22"/>
          <w:szCs w:val="22"/>
          <w:lang w:val="sr-Latn-ME" w:eastAsia="sr-Latn-ME"/>
        </w:rPr>
        <w:t>;</w:t>
      </w:r>
    </w:p>
    <w:p w14:paraId="7C8DCA0C" w14:textId="234D5EC8"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bilo koji tip akutne metaboličke acidoze (kao što je laktoacidoza, dijabetesna ketoacidoza)</w:t>
      </w:r>
      <w:r w:rsidR="00FD7251">
        <w:rPr>
          <w:sz w:val="22"/>
          <w:szCs w:val="22"/>
          <w:lang w:val="sr-Latn-ME" w:eastAsia="sr-Latn-ME"/>
        </w:rPr>
        <w:t>;</w:t>
      </w:r>
    </w:p>
    <w:p w14:paraId="668D1B27" w14:textId="6A39DE58"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dijabetesno pretkomatozno stanje</w:t>
      </w:r>
      <w:r w:rsidR="00FD7251">
        <w:rPr>
          <w:sz w:val="22"/>
          <w:szCs w:val="22"/>
          <w:lang w:val="sr-Latn-ME" w:eastAsia="sr-Latn-ME"/>
        </w:rPr>
        <w:t>;</w:t>
      </w:r>
    </w:p>
    <w:p w14:paraId="4E579D7B" w14:textId="4913BEF1"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tešku bubrežnu insuficijenciju</w:t>
      </w:r>
      <w:r>
        <w:rPr>
          <w:sz w:val="22"/>
          <w:szCs w:val="22"/>
          <w:lang w:val="sr-Latn-ME"/>
        </w:rPr>
        <w:t xml:space="preserve"> </w:t>
      </w:r>
      <w:r>
        <w:rPr>
          <w:sz w:val="22"/>
          <w:szCs w:val="22"/>
          <w:lang w:val="sr-Latn-ME" w:eastAsia="sr-Latn-ME"/>
        </w:rPr>
        <w:t>(GFR &lt; 30 ml</w:t>
      </w:r>
      <w:r>
        <w:rPr>
          <w:sz w:val="22"/>
          <w:szCs w:val="22"/>
          <w:lang w:val="sr-Latn-RS" w:eastAsia="sr-Latn-ME"/>
        </w:rPr>
        <w:t>/</w:t>
      </w:r>
      <w:r>
        <w:rPr>
          <w:sz w:val="22"/>
          <w:szCs w:val="22"/>
          <w:lang w:val="sr-Latn-ME" w:eastAsia="sr-Latn-ME"/>
        </w:rPr>
        <w:t>min) (vidjeti dio 4.4)</w:t>
      </w:r>
      <w:r w:rsidR="00FD7251">
        <w:rPr>
          <w:sz w:val="22"/>
          <w:szCs w:val="22"/>
          <w:lang w:val="sr-Latn-ME" w:eastAsia="sr-Latn-ME"/>
        </w:rPr>
        <w:t>;</w:t>
      </w:r>
    </w:p>
    <w:p w14:paraId="12414A42" w14:textId="77777777"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akutna stanja koja mogu izmijeniti funkciju bubrega kao što su:</w:t>
      </w:r>
    </w:p>
    <w:p w14:paraId="6DCA7FE5" w14:textId="77777777"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dehidratacija,</w:t>
      </w:r>
    </w:p>
    <w:p w14:paraId="0C995DB2" w14:textId="77777777"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teška infekcija,</w:t>
      </w:r>
    </w:p>
    <w:p w14:paraId="72AC1F8C" w14:textId="77777777"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šok,</w:t>
      </w:r>
    </w:p>
    <w:p w14:paraId="50432C4E" w14:textId="15910FC0"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intravaskularna primjena kontrastnih sredstava na bazi joda (vidjeti dio 4.4)</w:t>
      </w:r>
      <w:r w:rsidR="00FD7251">
        <w:rPr>
          <w:sz w:val="22"/>
          <w:szCs w:val="22"/>
          <w:lang w:val="sr-Latn-ME" w:eastAsia="sr-Latn-ME"/>
        </w:rPr>
        <w:t>;</w:t>
      </w:r>
    </w:p>
    <w:p w14:paraId="3C077C49" w14:textId="77777777"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akutna ili hronična oboljenja koja mogu izazvati hipoksiju tkiva kao što su:</w:t>
      </w:r>
    </w:p>
    <w:p w14:paraId="0637CF18" w14:textId="77777777"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insuficijencija srca ili pluća,</w:t>
      </w:r>
    </w:p>
    <w:p w14:paraId="261085A4" w14:textId="77777777"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nedavni infarkt miokarda,</w:t>
      </w:r>
    </w:p>
    <w:p w14:paraId="62E3A7B6" w14:textId="7915F750" w:rsidR="00BE1AF0" w:rsidRDefault="004F0139">
      <w:pPr>
        <w:pStyle w:val="ListParagraph"/>
        <w:numPr>
          <w:ilvl w:val="0"/>
          <w:numId w:val="12"/>
        </w:numPr>
        <w:autoSpaceDE w:val="0"/>
        <w:autoSpaceDN w:val="0"/>
        <w:adjustRightInd w:val="0"/>
        <w:ind w:left="851"/>
        <w:jc w:val="both"/>
        <w:rPr>
          <w:sz w:val="22"/>
          <w:szCs w:val="22"/>
          <w:lang w:val="sr-Latn-ME" w:eastAsia="sr-Latn-ME"/>
        </w:rPr>
      </w:pPr>
      <w:r>
        <w:rPr>
          <w:sz w:val="22"/>
          <w:szCs w:val="22"/>
          <w:lang w:val="sr-Latn-ME" w:eastAsia="sr-Latn-ME"/>
        </w:rPr>
        <w:t>šok</w:t>
      </w:r>
      <w:r w:rsidR="00FD7251">
        <w:rPr>
          <w:sz w:val="22"/>
          <w:szCs w:val="22"/>
          <w:lang w:val="sr-Latn-ME" w:eastAsia="sr-Latn-ME"/>
        </w:rPr>
        <w:t>;</w:t>
      </w:r>
    </w:p>
    <w:p w14:paraId="52A5E7BA" w14:textId="5ABDAB9A"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oštećenje funkcije jetre</w:t>
      </w:r>
      <w:r w:rsidR="00FD7251">
        <w:rPr>
          <w:sz w:val="22"/>
          <w:szCs w:val="22"/>
          <w:lang w:val="sr-Latn-ME" w:eastAsia="sr-Latn-ME"/>
        </w:rPr>
        <w:t>;</w:t>
      </w:r>
    </w:p>
    <w:p w14:paraId="41B7B904" w14:textId="396D1062"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imaju akutno trovanje alkoholom, alkoholizam</w:t>
      </w:r>
      <w:r w:rsidR="00FD7251">
        <w:rPr>
          <w:sz w:val="22"/>
          <w:szCs w:val="22"/>
          <w:lang w:val="sr-Latn-ME" w:eastAsia="sr-Latn-ME"/>
        </w:rPr>
        <w:t>;</w:t>
      </w:r>
    </w:p>
    <w:p w14:paraId="40419E41" w14:textId="77777777" w:rsidR="00BE1AF0" w:rsidRDefault="004F0139">
      <w:pPr>
        <w:pStyle w:val="ListParagraph"/>
        <w:numPr>
          <w:ilvl w:val="0"/>
          <w:numId w:val="19"/>
        </w:numPr>
        <w:autoSpaceDE w:val="0"/>
        <w:autoSpaceDN w:val="0"/>
        <w:adjustRightInd w:val="0"/>
        <w:jc w:val="both"/>
        <w:rPr>
          <w:sz w:val="22"/>
          <w:szCs w:val="22"/>
          <w:lang w:val="sr-Latn-ME" w:eastAsia="sr-Latn-ME"/>
        </w:rPr>
      </w:pPr>
      <w:r>
        <w:rPr>
          <w:sz w:val="22"/>
          <w:szCs w:val="22"/>
          <w:lang w:val="sr-Latn-ME" w:eastAsia="sr-Latn-ME"/>
        </w:rPr>
        <w:t>doje.</w:t>
      </w:r>
    </w:p>
    <w:p w14:paraId="3060E840" w14:textId="77777777" w:rsidR="00BE1AF0" w:rsidRDefault="00BE1AF0">
      <w:pPr>
        <w:tabs>
          <w:tab w:val="left" w:pos="540"/>
          <w:tab w:val="left" w:pos="569"/>
        </w:tabs>
        <w:jc w:val="both"/>
        <w:rPr>
          <w:bCs/>
          <w:sz w:val="22"/>
          <w:szCs w:val="22"/>
        </w:rPr>
      </w:pPr>
    </w:p>
    <w:p w14:paraId="10BAA16A" w14:textId="77777777" w:rsidR="00BE1AF0" w:rsidRDefault="004F0139">
      <w:pPr>
        <w:tabs>
          <w:tab w:val="left" w:pos="540"/>
          <w:tab w:val="left" w:pos="569"/>
        </w:tabs>
        <w:jc w:val="both"/>
        <w:rPr>
          <w:b/>
          <w:bCs/>
          <w:sz w:val="22"/>
          <w:szCs w:val="22"/>
        </w:rPr>
      </w:pPr>
      <w:r>
        <w:rPr>
          <w:b/>
          <w:bCs/>
          <w:sz w:val="22"/>
          <w:szCs w:val="22"/>
        </w:rPr>
        <w:t xml:space="preserve">4.4. </w:t>
      </w:r>
      <w:r>
        <w:rPr>
          <w:b/>
          <w:bCs/>
          <w:sz w:val="22"/>
          <w:szCs w:val="22"/>
        </w:rPr>
        <w:tab/>
        <w:t>Posebna upozorenja i mjere opreza pri upotrebi lijeka</w:t>
      </w:r>
    </w:p>
    <w:p w14:paraId="62CF21E4" w14:textId="77777777" w:rsidR="00BE1AF0" w:rsidRDefault="00BE1AF0">
      <w:pPr>
        <w:tabs>
          <w:tab w:val="left" w:pos="540"/>
          <w:tab w:val="left" w:pos="569"/>
        </w:tabs>
        <w:jc w:val="both"/>
        <w:rPr>
          <w:bCs/>
          <w:sz w:val="22"/>
          <w:szCs w:val="22"/>
        </w:rPr>
      </w:pPr>
    </w:p>
    <w:p w14:paraId="3F54257C" w14:textId="77777777" w:rsidR="00BE1AF0" w:rsidRDefault="004F0139">
      <w:pPr>
        <w:tabs>
          <w:tab w:val="left" w:pos="540"/>
          <w:tab w:val="left" w:pos="569"/>
        </w:tabs>
        <w:jc w:val="both"/>
        <w:rPr>
          <w:bCs/>
          <w:sz w:val="22"/>
          <w:szCs w:val="22"/>
          <w:u w:val="single"/>
          <w:lang w:val="sr-Latn-ME"/>
        </w:rPr>
      </w:pPr>
      <w:r>
        <w:rPr>
          <w:bCs/>
          <w:sz w:val="22"/>
          <w:szCs w:val="22"/>
          <w:u w:val="single"/>
          <w:lang w:val="sr-Latn-ME"/>
        </w:rPr>
        <w:t>Generalno</w:t>
      </w:r>
    </w:p>
    <w:p w14:paraId="1A2ED0F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lastRenderedPageBreak/>
        <w:t>Lijek Maymetsi se ne smije primjenjivati kod pacijenata sa dijabetesom tip 1 i ne smije se koristiti za liječenje dijabetesne ketoacidoze.</w:t>
      </w:r>
    </w:p>
    <w:p w14:paraId="1113D2E0" w14:textId="77777777" w:rsidR="00BE1AF0" w:rsidRDefault="00BE1AF0">
      <w:pPr>
        <w:autoSpaceDE w:val="0"/>
        <w:autoSpaceDN w:val="0"/>
        <w:adjustRightInd w:val="0"/>
        <w:jc w:val="both"/>
        <w:rPr>
          <w:sz w:val="22"/>
          <w:szCs w:val="22"/>
          <w:lang w:val="sr-Latn-ME" w:eastAsia="sr-Latn-ME"/>
        </w:rPr>
      </w:pPr>
    </w:p>
    <w:p w14:paraId="408D9CDD"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Akutni pankreatitis</w:t>
      </w:r>
    </w:p>
    <w:p w14:paraId="13C79AB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Primjena DPP-4 inhibitora povezana je sa povećanim rizikom od pojave akutnog pankreatitisa. Pacijenti treba da budu informisani o simptomima karakterisitičnim za akutni pankreatitis: perzistentan, jak abdominalni bol. Primijećeno je povlačenje pankreatitisa nakon obustavljanja terapije sitagliptinom (sa suportivnom terapijom ili bez suportivne terapije), ali su prijavljeni i vrlo rijetki slučajevi nekrotizirajućeg ili hemoragijskog pankreatitisa i/ili smrti. Ukoliko se sumnja na pankreatitis, treba prekinuti sa primjenom lijeka Maymetsi i drugih potencijalno suspektnih ljekova; ukoliko se akutni pankreatitis dijagnostikuje, lijek Maymetsi se ne smije ponovo uvesti. </w:t>
      </w:r>
    </w:p>
    <w:p w14:paraId="6B86019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Oprez je neophodan kod pacijenata sa pankreatitisom u anamnezi.</w:t>
      </w:r>
    </w:p>
    <w:p w14:paraId="0EF7EBC7" w14:textId="77777777" w:rsidR="00BE1AF0" w:rsidRDefault="00BE1AF0">
      <w:pPr>
        <w:autoSpaceDE w:val="0"/>
        <w:autoSpaceDN w:val="0"/>
        <w:adjustRightInd w:val="0"/>
        <w:jc w:val="both"/>
        <w:rPr>
          <w:sz w:val="22"/>
          <w:szCs w:val="22"/>
          <w:lang w:val="sr-Latn-ME" w:eastAsia="sr-Latn-ME"/>
        </w:rPr>
      </w:pPr>
    </w:p>
    <w:p w14:paraId="581CF6C0"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Laktoacidoza</w:t>
      </w:r>
    </w:p>
    <w:p w14:paraId="6A330C3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Laktoacidoza, rijetka, ali ozbiljna metabolička komplikacija, se najčešče javlja kod akutnog pogoršanja</w:t>
      </w:r>
    </w:p>
    <w:p w14:paraId="4367E24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renalne funkcije ili kardiorespiratorne bolesti ili sepse. Akumulacija metformina se javlja kod akutnog</w:t>
      </w:r>
    </w:p>
    <w:p w14:paraId="0361CC1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pogoršanja funkcije bubrega i povećava rizik od laktoacidoze.</w:t>
      </w:r>
    </w:p>
    <w:p w14:paraId="59E03F16" w14:textId="77777777" w:rsidR="00BE1AF0" w:rsidRDefault="00BE1AF0">
      <w:pPr>
        <w:autoSpaceDE w:val="0"/>
        <w:autoSpaceDN w:val="0"/>
        <w:adjustRightInd w:val="0"/>
        <w:jc w:val="both"/>
        <w:rPr>
          <w:sz w:val="22"/>
          <w:szCs w:val="22"/>
          <w:lang w:val="sr-Latn-ME" w:eastAsia="sr-Latn-ME"/>
        </w:rPr>
      </w:pPr>
    </w:p>
    <w:p w14:paraId="0AE124E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slučaju dehidratacije (teško povraćanje, dijareja, groznica ili smanjen unos tečnosti), metformin treba</w:t>
      </w:r>
    </w:p>
    <w:p w14:paraId="7A52948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privremeno prekinuti i preporučuje se odlazak kod ljekara.</w:t>
      </w:r>
    </w:p>
    <w:p w14:paraId="4D19DA1C" w14:textId="77777777" w:rsidR="00BE1AF0" w:rsidRDefault="00BE1AF0">
      <w:pPr>
        <w:autoSpaceDE w:val="0"/>
        <w:autoSpaceDN w:val="0"/>
        <w:adjustRightInd w:val="0"/>
        <w:jc w:val="both"/>
        <w:rPr>
          <w:sz w:val="22"/>
          <w:szCs w:val="22"/>
          <w:lang w:val="sr-Latn-ME" w:eastAsia="sr-Latn-ME"/>
        </w:rPr>
      </w:pPr>
    </w:p>
    <w:p w14:paraId="73D14BC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Ljekove koji mogu akutno da pogoršaju funkciju bubrega (kao što su antihipertenzivi, diuretici i NSAIL)</w:t>
      </w:r>
    </w:p>
    <w:p w14:paraId="3F55B2F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treba uvesti sa oprezom kod pacijenata koji uzimaju metformin. Ostali faktori rizika za laktoacidozu su</w:t>
      </w:r>
    </w:p>
    <w:p w14:paraId="55BF904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pretjerano unošenje alkohola, insuficijencija jetre, loše kontrolisan dijabetes, ketoza, produženo gladovanje i bilo koja stanja povezana sa hipoksijom, kao i istovremena upotreba ljekova koji mogu izazvati laktoacidozu (vidjeti djelove 4.3 i 4.5).</w:t>
      </w:r>
    </w:p>
    <w:p w14:paraId="310E2EB6" w14:textId="77777777" w:rsidR="00BE1AF0" w:rsidRDefault="00BE1AF0">
      <w:pPr>
        <w:tabs>
          <w:tab w:val="left" w:pos="540"/>
          <w:tab w:val="left" w:pos="569"/>
        </w:tabs>
        <w:jc w:val="both"/>
        <w:rPr>
          <w:bCs/>
          <w:sz w:val="22"/>
          <w:szCs w:val="22"/>
          <w:u w:val="single"/>
          <w:lang w:val="sr-Latn-ME"/>
        </w:rPr>
      </w:pPr>
    </w:p>
    <w:p w14:paraId="0822C3D4" w14:textId="77777777" w:rsidR="00BE1AF0" w:rsidRDefault="004F0139">
      <w:pPr>
        <w:tabs>
          <w:tab w:val="left" w:pos="540"/>
          <w:tab w:val="left" w:pos="569"/>
        </w:tabs>
        <w:jc w:val="both"/>
        <w:rPr>
          <w:sz w:val="22"/>
          <w:szCs w:val="22"/>
          <w:lang w:val="sr-Latn-ME"/>
        </w:rPr>
      </w:pPr>
      <w:r>
        <w:rPr>
          <w:sz w:val="22"/>
          <w:szCs w:val="22"/>
          <w:lang w:val="sr-Latn-ME"/>
        </w:rPr>
        <w:t>Pacijenti i/ili njihovi staratelji treba da budu informisani o riziku od laktoacidoze. Laktocidoza se karakteriše acidoznom dispnejom, bolom u abdomenu, grčevima u mišićima, astenijom i hipotermijom praćenom komom. U slučaju sumnjivih simptoma, pacijent treba da prestane sa uzimanjem metformina i da odmah potraži pomoć ljekara. Dijagnostički laboratorijski nalazi su snižena pH vrijednost krvi (&lt; 7,35), povećana koncentracija laktata u plazmi (&gt; 5 mmol/l) i povećan anjonski jaz i odnos laktata/piruvata.</w:t>
      </w:r>
    </w:p>
    <w:p w14:paraId="38BF48F9" w14:textId="77777777" w:rsidR="00BE1AF0" w:rsidRDefault="00BE1AF0">
      <w:pPr>
        <w:tabs>
          <w:tab w:val="left" w:pos="540"/>
          <w:tab w:val="left" w:pos="569"/>
        </w:tabs>
        <w:jc w:val="both"/>
        <w:rPr>
          <w:sz w:val="22"/>
          <w:szCs w:val="22"/>
          <w:lang w:val="sr-Latn-ME"/>
        </w:rPr>
      </w:pPr>
    </w:p>
    <w:p w14:paraId="1D5F51B3" w14:textId="77777777" w:rsidR="00BE1AF0" w:rsidRDefault="004F0139">
      <w:pPr>
        <w:tabs>
          <w:tab w:val="left" w:pos="540"/>
          <w:tab w:val="left" w:pos="569"/>
        </w:tabs>
        <w:jc w:val="both"/>
        <w:rPr>
          <w:sz w:val="22"/>
          <w:szCs w:val="22"/>
          <w:u w:val="single"/>
          <w:lang w:val="sr-Latn-ME"/>
        </w:rPr>
      </w:pPr>
      <w:r>
        <w:rPr>
          <w:sz w:val="22"/>
          <w:szCs w:val="22"/>
          <w:u w:val="single"/>
          <w:lang w:val="sr-Latn-ME"/>
        </w:rPr>
        <w:t>Funkcija bubrega</w:t>
      </w:r>
    </w:p>
    <w:p w14:paraId="6CCE0050" w14:textId="77777777" w:rsidR="00BE1AF0" w:rsidRDefault="004F0139">
      <w:pPr>
        <w:tabs>
          <w:tab w:val="left" w:pos="540"/>
          <w:tab w:val="left" w:pos="569"/>
        </w:tabs>
        <w:jc w:val="both"/>
        <w:rPr>
          <w:sz w:val="22"/>
          <w:szCs w:val="22"/>
          <w:lang w:val="sr-Latn-ME"/>
        </w:rPr>
      </w:pPr>
      <w:r>
        <w:rPr>
          <w:sz w:val="22"/>
          <w:szCs w:val="22"/>
          <w:lang w:val="sr-Latn-ME"/>
        </w:rPr>
        <w:t>Treba procjeniti GFR prije početka terapije i redovno nakon toga (vidjeti dio 4.2). Lijek Maymetsi je kontraindikovan kod pacijenata sa GFR &lt; 30 ml/min i treba ga privremeno obustaviti tokom stanja koja imaju potencijal da izmijene funkciju bubrega (vidjeti dio 4.3).</w:t>
      </w:r>
    </w:p>
    <w:p w14:paraId="35EEF76C" w14:textId="77777777" w:rsidR="00BE1AF0" w:rsidRDefault="00BE1AF0">
      <w:pPr>
        <w:tabs>
          <w:tab w:val="left" w:pos="540"/>
          <w:tab w:val="left" w:pos="569"/>
        </w:tabs>
        <w:jc w:val="both"/>
        <w:rPr>
          <w:sz w:val="22"/>
          <w:szCs w:val="22"/>
          <w:lang w:val="sr-Latn-ME"/>
        </w:rPr>
      </w:pPr>
    </w:p>
    <w:p w14:paraId="2B96B58A" w14:textId="77777777" w:rsidR="00BE1AF0" w:rsidRDefault="004F0139">
      <w:pPr>
        <w:tabs>
          <w:tab w:val="left" w:pos="540"/>
          <w:tab w:val="left" w:pos="569"/>
        </w:tabs>
        <w:jc w:val="both"/>
        <w:rPr>
          <w:sz w:val="22"/>
          <w:szCs w:val="22"/>
          <w:u w:val="single"/>
          <w:lang w:val="sr-Latn-ME"/>
        </w:rPr>
      </w:pPr>
      <w:r>
        <w:rPr>
          <w:sz w:val="22"/>
          <w:szCs w:val="22"/>
          <w:u w:val="single"/>
          <w:lang w:val="sr-Latn-ME"/>
        </w:rPr>
        <w:t>Hipoglikemija</w:t>
      </w:r>
    </w:p>
    <w:p w14:paraId="4FBF37AA" w14:textId="77777777" w:rsidR="00BE1AF0" w:rsidRDefault="004F0139">
      <w:pPr>
        <w:tabs>
          <w:tab w:val="left" w:pos="540"/>
          <w:tab w:val="left" w:pos="569"/>
        </w:tabs>
        <w:jc w:val="both"/>
        <w:rPr>
          <w:sz w:val="22"/>
          <w:szCs w:val="22"/>
          <w:lang w:val="sr-Latn-ME"/>
        </w:rPr>
      </w:pPr>
      <w:r>
        <w:rPr>
          <w:sz w:val="22"/>
          <w:szCs w:val="22"/>
          <w:lang w:val="sr-Latn-ME"/>
        </w:rPr>
        <w:t>Pacijenti koji dobijaju lijek Maymetsi u kombinaciji sa sulfonilureom ili sa insulinom mogu biti izloženi riziku od hipoglikemije. Stoga može biti potrebno smanjenje doze sulfoniluree ili insulina.</w:t>
      </w:r>
    </w:p>
    <w:p w14:paraId="75C74800" w14:textId="77777777" w:rsidR="00BE1AF0" w:rsidRDefault="00BE1AF0">
      <w:pPr>
        <w:tabs>
          <w:tab w:val="left" w:pos="540"/>
          <w:tab w:val="left" w:pos="569"/>
        </w:tabs>
        <w:jc w:val="both"/>
        <w:rPr>
          <w:sz w:val="22"/>
          <w:szCs w:val="22"/>
          <w:lang w:val="sr-Latn-ME"/>
        </w:rPr>
      </w:pPr>
    </w:p>
    <w:p w14:paraId="792220A2" w14:textId="77777777" w:rsidR="00BE1AF0" w:rsidRDefault="004F0139">
      <w:pPr>
        <w:tabs>
          <w:tab w:val="left" w:pos="540"/>
          <w:tab w:val="left" w:pos="569"/>
        </w:tabs>
        <w:jc w:val="both"/>
        <w:rPr>
          <w:sz w:val="22"/>
          <w:szCs w:val="22"/>
          <w:u w:val="single"/>
          <w:lang w:val="sr-Latn-ME"/>
        </w:rPr>
      </w:pPr>
      <w:r>
        <w:rPr>
          <w:sz w:val="22"/>
          <w:szCs w:val="22"/>
          <w:u w:val="single"/>
          <w:lang w:val="sr-Latn-ME"/>
        </w:rPr>
        <w:t>Reakcije preosjetljivosti</w:t>
      </w:r>
    </w:p>
    <w:p w14:paraId="2D4AD1C7" w14:textId="77777777" w:rsidR="00BE1AF0" w:rsidRDefault="004F0139">
      <w:pPr>
        <w:tabs>
          <w:tab w:val="left" w:pos="540"/>
          <w:tab w:val="left" w:pos="569"/>
        </w:tabs>
        <w:jc w:val="both"/>
        <w:rPr>
          <w:sz w:val="22"/>
          <w:szCs w:val="22"/>
          <w:lang w:val="sr-Latn-ME"/>
        </w:rPr>
      </w:pPr>
      <w:r>
        <w:rPr>
          <w:sz w:val="22"/>
          <w:szCs w:val="22"/>
          <w:lang w:val="sr-Latn-ME"/>
        </w:rPr>
        <w:t>Postmarketinški su prijavljene ozbiljne reakcije preosjetljivosti kod pacijenata liječenih sitagliptinom. Te reakcije obuhvataju anafilaksu, angioedem i eksfolijativna stanja kože, uključujući i Stevens-Johnson-ov sindrom. Ove reakcije su se javile u prva 3 mjeseca po uvođenju terapije sitagliptinom, pri čemu su se neke reakcije javile poslije prve doze. Ukoliko se sumnja na reakciju preosjetljivosti, trebalo bi prekinuti sa uzimanjem lijeka Maymetsi, izvršiti procjenu drugih potencijalnih uzroka ove reakcije i uvesti alternativnu terapiju za dijabetes (vidjeti dio 4.8).</w:t>
      </w:r>
    </w:p>
    <w:p w14:paraId="2A5E7A90" w14:textId="77777777" w:rsidR="00BE1AF0" w:rsidRDefault="00BE1AF0">
      <w:pPr>
        <w:tabs>
          <w:tab w:val="left" w:pos="540"/>
          <w:tab w:val="left" w:pos="569"/>
        </w:tabs>
        <w:jc w:val="both"/>
        <w:rPr>
          <w:sz w:val="22"/>
          <w:szCs w:val="22"/>
          <w:lang w:val="sr-Latn-ME"/>
        </w:rPr>
      </w:pPr>
    </w:p>
    <w:p w14:paraId="0590B3CB" w14:textId="77777777" w:rsidR="00BE1AF0" w:rsidRDefault="004F0139">
      <w:pPr>
        <w:tabs>
          <w:tab w:val="left" w:pos="540"/>
          <w:tab w:val="left" w:pos="569"/>
        </w:tabs>
        <w:jc w:val="both"/>
        <w:rPr>
          <w:sz w:val="22"/>
          <w:szCs w:val="22"/>
          <w:u w:val="single"/>
          <w:lang w:val="sr-Latn-ME"/>
        </w:rPr>
      </w:pPr>
      <w:r>
        <w:rPr>
          <w:sz w:val="22"/>
          <w:szCs w:val="22"/>
          <w:u w:val="single"/>
          <w:lang w:val="sr-Latn-ME"/>
        </w:rPr>
        <w:t>Bulozni pemfigoid</w:t>
      </w:r>
    </w:p>
    <w:p w14:paraId="1B4E1F2E" w14:textId="77777777" w:rsidR="00BE1AF0" w:rsidRDefault="004F0139">
      <w:pPr>
        <w:tabs>
          <w:tab w:val="left" w:pos="540"/>
          <w:tab w:val="left" w:pos="569"/>
        </w:tabs>
        <w:jc w:val="both"/>
        <w:rPr>
          <w:sz w:val="22"/>
          <w:szCs w:val="22"/>
          <w:lang w:val="sr-Latn-ME" w:eastAsia="sr-Latn-ME"/>
        </w:rPr>
      </w:pPr>
      <w:r>
        <w:rPr>
          <w:sz w:val="22"/>
          <w:szCs w:val="22"/>
          <w:lang w:val="sr-Latn-ME"/>
        </w:rPr>
        <w:t>Prijavljeni su post-marketinški izveštaji o buloznom pemfigoidu kod pacijenata koji uzimaju inhibitore DPP-4, uključujući</w:t>
      </w:r>
      <w:r>
        <w:rPr>
          <w:sz w:val="22"/>
          <w:szCs w:val="22"/>
          <w:lang w:val="sr-Latn-ME" w:eastAsia="sr-Latn-ME"/>
        </w:rPr>
        <w:t xml:space="preserve"> sitagliptin. Ukoliko se sumnja na bulozni pemfigoid, treba prekinuti sa primjenom lijeka Maymetsi.</w:t>
      </w:r>
    </w:p>
    <w:p w14:paraId="1F0EF68A" w14:textId="77777777" w:rsidR="00BE1AF0" w:rsidRDefault="00BE1AF0">
      <w:pPr>
        <w:tabs>
          <w:tab w:val="left" w:pos="540"/>
          <w:tab w:val="left" w:pos="569"/>
        </w:tabs>
        <w:jc w:val="both"/>
        <w:rPr>
          <w:sz w:val="22"/>
          <w:szCs w:val="22"/>
          <w:lang w:val="sr-Latn-ME" w:eastAsia="sr-Latn-ME"/>
        </w:rPr>
      </w:pPr>
    </w:p>
    <w:p w14:paraId="1C14C2E8"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Hirurška intervencija</w:t>
      </w:r>
    </w:p>
    <w:p w14:paraId="63860FA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lastRenderedPageBreak/>
        <w:t>Sa upotrebom lijeka Maymetsi se mora prekinuti tokom hirurške intervencije koja se radi pod opštom, spinalnom ili epiduralnom anestezijom. Terapija se može nastaviti, ali ne prije isteka 48 sati nakon intervencije ili povratka oralne ishrane i to tek nakon što se ponovo procijeni funkcija bubrega i konstatuje da je stabilna.</w:t>
      </w:r>
    </w:p>
    <w:p w14:paraId="29135D8D" w14:textId="77777777" w:rsidR="00BE1AF0" w:rsidRDefault="00BE1AF0">
      <w:pPr>
        <w:autoSpaceDE w:val="0"/>
        <w:autoSpaceDN w:val="0"/>
        <w:adjustRightInd w:val="0"/>
        <w:jc w:val="both"/>
        <w:rPr>
          <w:sz w:val="22"/>
          <w:szCs w:val="22"/>
          <w:lang w:val="sr-Latn-ME" w:eastAsia="sr-Latn-ME"/>
        </w:rPr>
      </w:pPr>
    </w:p>
    <w:p w14:paraId="66F8A291"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Primjena kontrastnog sredstva na bazi joda</w:t>
      </w:r>
    </w:p>
    <w:p w14:paraId="6B81854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Intravaskularna primjena kontrastnog sredstva na bazi joda može dovesti do nefropatije indukovane kontrastom, što dovodi do akumulacije metformina i povećanog rizika od laktoacidoze. Upotrebu lijeka</w:t>
      </w:r>
    </w:p>
    <w:p w14:paraId="62E3684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Maymetsi treba prekinuti prije ili tokom procedure snimanja i ne uvoditi ga dok ne prođe najmanje 48 sati i to tek nakon što se ponovo procijeni funkcija bubrega i konstatuje da je stabilna (vidjeti djelove 4.3 i 4.5).</w:t>
      </w:r>
    </w:p>
    <w:p w14:paraId="4925856D" w14:textId="77777777" w:rsidR="00BE1AF0" w:rsidRDefault="00BE1AF0">
      <w:pPr>
        <w:autoSpaceDE w:val="0"/>
        <w:autoSpaceDN w:val="0"/>
        <w:adjustRightInd w:val="0"/>
        <w:jc w:val="both"/>
        <w:rPr>
          <w:sz w:val="22"/>
          <w:szCs w:val="22"/>
          <w:lang w:val="sr-Latn-ME" w:eastAsia="sr-Latn-ME"/>
        </w:rPr>
      </w:pPr>
    </w:p>
    <w:p w14:paraId="3F7C8190"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Promjena kliničkog statusa kod pacijenata sa ranije kontrolisanim dijabetesom tip 2</w:t>
      </w:r>
    </w:p>
    <w:p w14:paraId="2683386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Kod pacijenta sa dijabetesom tip 2 koji je ranije bio dobro kontrolisan lijekom Maymetsi i kod koga su se razvile atipične laboratorijske vrijednosti ili kliničko oboljenje (naročito neodređena ili nedovoljno definisana bolest), treba odmah izvršiti procjenu radi otkrivanja znakova ketoacidoze ili laktoacidoze. Procjena treba da obuhvati serumske elektrolite i ketone, koncentraciju glukoze u krvi i, ukoliko je indikovano, pH vrijednost krvi, koncentracije laktata, piruvata i metformina. Ukoliko se javi acidoza u bilo kom obliku, treba odmah prekinuti terapiju i uvesti druge odgovarajuće korektivne mjere.</w:t>
      </w:r>
    </w:p>
    <w:p w14:paraId="1318492D" w14:textId="77777777" w:rsidR="00BE1AF0" w:rsidRDefault="00BE1AF0">
      <w:pPr>
        <w:autoSpaceDE w:val="0"/>
        <w:autoSpaceDN w:val="0"/>
        <w:adjustRightInd w:val="0"/>
        <w:rPr>
          <w:noProof/>
          <w:sz w:val="22"/>
          <w:szCs w:val="22"/>
          <w:u w:val="single"/>
        </w:rPr>
      </w:pPr>
    </w:p>
    <w:p w14:paraId="25BBF0D5" w14:textId="77777777" w:rsidR="00BE1AF0" w:rsidRDefault="004F0139">
      <w:pPr>
        <w:autoSpaceDE w:val="0"/>
        <w:autoSpaceDN w:val="0"/>
        <w:adjustRightInd w:val="0"/>
        <w:rPr>
          <w:noProof/>
          <w:sz w:val="22"/>
          <w:szCs w:val="22"/>
        </w:rPr>
      </w:pPr>
      <w:r>
        <w:rPr>
          <w:noProof/>
          <w:sz w:val="22"/>
          <w:szCs w:val="22"/>
          <w:u w:val="single"/>
        </w:rPr>
        <w:t>Deficit vitamina B</w:t>
      </w:r>
      <w:r>
        <w:rPr>
          <w:noProof/>
          <w:sz w:val="22"/>
          <w:szCs w:val="22"/>
          <w:u w:val="single"/>
          <w:vertAlign w:val="subscript"/>
        </w:rPr>
        <w:t>12</w:t>
      </w:r>
      <w:r>
        <w:rPr>
          <w:noProof/>
          <w:sz w:val="22"/>
          <w:szCs w:val="22"/>
          <w:u w:val="single"/>
        </w:rPr>
        <w:t xml:space="preserve"> </w:t>
      </w:r>
    </w:p>
    <w:p w14:paraId="3612D8AC" w14:textId="3B458D42" w:rsidR="00BE1AF0" w:rsidRDefault="004F0139">
      <w:pPr>
        <w:autoSpaceDE w:val="0"/>
        <w:autoSpaceDN w:val="0"/>
        <w:adjustRightInd w:val="0"/>
        <w:jc w:val="both"/>
        <w:rPr>
          <w:noProof/>
          <w:sz w:val="22"/>
          <w:szCs w:val="22"/>
        </w:rPr>
      </w:pPr>
      <w:r>
        <w:rPr>
          <w:noProof/>
          <w:sz w:val="22"/>
          <w:szCs w:val="22"/>
        </w:rPr>
        <w:t>Metformin može sniziti nivo vitamina B</w:t>
      </w:r>
      <w:r>
        <w:rPr>
          <w:noProof/>
          <w:sz w:val="22"/>
          <w:szCs w:val="22"/>
          <w:vertAlign w:val="subscript"/>
        </w:rPr>
        <w:t>12</w:t>
      </w:r>
      <w:r>
        <w:rPr>
          <w:noProof/>
          <w:sz w:val="22"/>
          <w:szCs w:val="22"/>
        </w:rPr>
        <w:t xml:space="preserve"> u serumu. Rizik od nastanka niskih koncentracija vitamina B12 povećava se sa povećanjem doze metformina, trajanjem liječenja i/ili kod pacijenata sa faktorima rizika za koje je poznato da uzrokuju nedostatak vitamina B12. U slučaju sumnje na nedostatak vitamina B12 (kao kod anemije ili neuropatije), potrebno je pratiti </w:t>
      </w:r>
      <w:r w:rsidR="00384E10">
        <w:rPr>
          <w:noProof/>
          <w:sz w:val="22"/>
          <w:szCs w:val="22"/>
        </w:rPr>
        <w:t xml:space="preserve">nivo </w:t>
      </w:r>
      <w:r>
        <w:rPr>
          <w:noProof/>
          <w:sz w:val="22"/>
          <w:szCs w:val="22"/>
        </w:rPr>
        <w:t xml:space="preserve">vitamina B12 u serumu. Periodično praćenje </w:t>
      </w:r>
      <w:r w:rsidR="00384E10">
        <w:rPr>
          <w:noProof/>
          <w:sz w:val="22"/>
          <w:szCs w:val="22"/>
        </w:rPr>
        <w:t xml:space="preserve">nivoa </w:t>
      </w:r>
      <w:r>
        <w:rPr>
          <w:noProof/>
          <w:sz w:val="22"/>
          <w:szCs w:val="22"/>
        </w:rPr>
        <w:t>vitamina B12 moglo bi biti potrebno kod pacijenata sa faktorima rizika za nedostatak vitamina B12. Potrebno je nastaviti terapiju lijekom metformin sve dok se podnosi i nije kontraindikovana</w:t>
      </w:r>
      <w:r w:rsidR="00384E10">
        <w:rPr>
          <w:noProof/>
          <w:sz w:val="22"/>
          <w:szCs w:val="22"/>
        </w:rPr>
        <w:t>,</w:t>
      </w:r>
      <w:r>
        <w:rPr>
          <w:noProof/>
          <w:sz w:val="22"/>
          <w:szCs w:val="22"/>
        </w:rPr>
        <w:t xml:space="preserve"> i dok se pazi da se nedostatak vitamina B12 adekvatno koriguje, u skladu sa trenutnim kliničkim smjernicama. </w:t>
      </w:r>
    </w:p>
    <w:p w14:paraId="0C0F084B" w14:textId="77777777" w:rsidR="00BE1AF0" w:rsidRDefault="00BE1AF0">
      <w:pPr>
        <w:tabs>
          <w:tab w:val="left" w:pos="540"/>
          <w:tab w:val="left" w:pos="569"/>
        </w:tabs>
        <w:jc w:val="both"/>
        <w:rPr>
          <w:bCs/>
          <w:sz w:val="22"/>
          <w:szCs w:val="22"/>
          <w:lang w:val="sr-Latn-ME"/>
        </w:rPr>
      </w:pPr>
    </w:p>
    <w:p w14:paraId="37BDD580" w14:textId="77777777" w:rsidR="00BE1AF0" w:rsidRDefault="004F0139">
      <w:pPr>
        <w:tabs>
          <w:tab w:val="left" w:pos="540"/>
          <w:tab w:val="left" w:pos="569"/>
        </w:tabs>
        <w:jc w:val="both"/>
        <w:rPr>
          <w:bCs/>
          <w:sz w:val="22"/>
          <w:szCs w:val="22"/>
          <w:lang w:val="sr-Latn-ME"/>
        </w:rPr>
      </w:pPr>
      <w:r>
        <w:rPr>
          <w:bCs/>
          <w:sz w:val="22"/>
          <w:szCs w:val="22"/>
          <w:lang w:val="sr-Latn-ME"/>
        </w:rPr>
        <w:t>Lijek Maymetsi sadrži natrijum.</w:t>
      </w:r>
    </w:p>
    <w:p w14:paraId="08B46872" w14:textId="77777777" w:rsidR="00BE1AF0" w:rsidRDefault="004F0139">
      <w:pPr>
        <w:tabs>
          <w:tab w:val="left" w:pos="540"/>
          <w:tab w:val="left" w:pos="569"/>
        </w:tabs>
        <w:jc w:val="both"/>
        <w:rPr>
          <w:bCs/>
          <w:sz w:val="22"/>
          <w:szCs w:val="22"/>
          <w:lang w:val="sr-Latn-ME"/>
        </w:rPr>
      </w:pPr>
      <w:r>
        <w:rPr>
          <w:bCs/>
          <w:sz w:val="22"/>
          <w:szCs w:val="22"/>
          <w:lang w:val="sr-Latn-ME"/>
        </w:rPr>
        <w:t xml:space="preserve">Ovaj lijek sadrži manje od 1 mmol natrijuma (23 mg) po dozi, što znači da je </w:t>
      </w:r>
      <w:r>
        <w:rPr>
          <w:bCs/>
          <w:sz w:val="22"/>
          <w:szCs w:val="22"/>
          <w:lang w:val="sr-Latn-RS"/>
        </w:rPr>
        <w:t>„</w:t>
      </w:r>
      <w:r>
        <w:rPr>
          <w:bCs/>
          <w:sz w:val="22"/>
          <w:szCs w:val="22"/>
          <w:lang w:val="sr-Latn-ME"/>
        </w:rPr>
        <w:t>suštinski bez natrijuma”.</w:t>
      </w:r>
    </w:p>
    <w:p w14:paraId="0C1781D5" w14:textId="77777777" w:rsidR="00BE1AF0" w:rsidRDefault="00BE1AF0">
      <w:pPr>
        <w:tabs>
          <w:tab w:val="left" w:pos="540"/>
          <w:tab w:val="left" w:pos="569"/>
        </w:tabs>
        <w:jc w:val="both"/>
        <w:rPr>
          <w:b/>
          <w:bCs/>
          <w:sz w:val="22"/>
          <w:szCs w:val="22"/>
          <w:lang w:val="sr-Latn-ME"/>
        </w:rPr>
      </w:pPr>
    </w:p>
    <w:p w14:paraId="7CDC867E" w14:textId="77777777" w:rsidR="00BE1AF0" w:rsidRDefault="004F0139">
      <w:pPr>
        <w:tabs>
          <w:tab w:val="left" w:pos="540"/>
          <w:tab w:val="left" w:pos="569"/>
        </w:tabs>
        <w:jc w:val="both"/>
        <w:rPr>
          <w:b/>
          <w:bCs/>
          <w:sz w:val="22"/>
          <w:szCs w:val="22"/>
          <w:lang w:val="de-DE"/>
        </w:rPr>
      </w:pPr>
      <w:r>
        <w:rPr>
          <w:b/>
          <w:bCs/>
          <w:sz w:val="22"/>
          <w:szCs w:val="22"/>
          <w:lang w:val="de-DE"/>
        </w:rPr>
        <w:t>4.5.</w:t>
      </w:r>
      <w:r>
        <w:rPr>
          <w:b/>
          <w:bCs/>
          <w:sz w:val="22"/>
          <w:szCs w:val="22"/>
          <w:lang w:val="de-DE"/>
        </w:rPr>
        <w:tab/>
        <w:t>Interakcije sa drugim ljekovima i druge vrste interakcija</w:t>
      </w:r>
    </w:p>
    <w:p w14:paraId="33207FDE" w14:textId="77777777" w:rsidR="00BE1AF0" w:rsidRDefault="00BE1AF0">
      <w:pPr>
        <w:tabs>
          <w:tab w:val="left" w:pos="540"/>
          <w:tab w:val="left" w:pos="569"/>
        </w:tabs>
        <w:jc w:val="both"/>
        <w:rPr>
          <w:b/>
          <w:bCs/>
          <w:sz w:val="22"/>
          <w:szCs w:val="22"/>
          <w:lang w:val="de-DE"/>
        </w:rPr>
      </w:pPr>
    </w:p>
    <w:p w14:paraId="00D6374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Istovremena primjena višestrukih doza sitagliptina (50 mg dva puta dnevno) i metformina (1000 mg dva puta dnevno)  nije značajno izmijenila farmakokinetiku ni metformina ni sitagliptina kod pacijenata sa dijabetesom tip 2.</w:t>
      </w:r>
    </w:p>
    <w:p w14:paraId="35143BAC" w14:textId="77777777" w:rsidR="00BE1AF0" w:rsidRDefault="00BE1AF0">
      <w:pPr>
        <w:autoSpaceDE w:val="0"/>
        <w:autoSpaceDN w:val="0"/>
        <w:adjustRightInd w:val="0"/>
        <w:jc w:val="both"/>
        <w:rPr>
          <w:sz w:val="22"/>
          <w:szCs w:val="22"/>
          <w:lang w:val="sr-Latn-ME" w:eastAsia="sr-Latn-ME"/>
        </w:rPr>
      </w:pPr>
    </w:p>
    <w:p w14:paraId="6441FFE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Nijesu sprovođene farmakokinetičke studije interakcija sa lijekom Maymetsi; međutim, takva ispitivanja su vršena sa pojedinačnim aktivnim supstancama, sitagliptinom i metforminom.</w:t>
      </w:r>
    </w:p>
    <w:p w14:paraId="53029AF7" w14:textId="77777777" w:rsidR="00BE1AF0" w:rsidRDefault="00BE1AF0">
      <w:pPr>
        <w:autoSpaceDE w:val="0"/>
        <w:autoSpaceDN w:val="0"/>
        <w:adjustRightInd w:val="0"/>
        <w:jc w:val="both"/>
        <w:rPr>
          <w:sz w:val="22"/>
          <w:szCs w:val="22"/>
          <w:lang w:val="sr-Latn-ME" w:eastAsia="sr-Latn-ME"/>
        </w:rPr>
      </w:pPr>
    </w:p>
    <w:p w14:paraId="25FFE2AE"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Istovremena upotreba se ne preporučuje</w:t>
      </w:r>
    </w:p>
    <w:p w14:paraId="64A7E4BB" w14:textId="77777777" w:rsidR="00BE1AF0" w:rsidRDefault="00BE1AF0">
      <w:pPr>
        <w:autoSpaceDE w:val="0"/>
        <w:autoSpaceDN w:val="0"/>
        <w:adjustRightInd w:val="0"/>
        <w:jc w:val="both"/>
        <w:rPr>
          <w:sz w:val="22"/>
          <w:szCs w:val="22"/>
          <w:lang w:val="sr-Latn-ME" w:eastAsia="sr-Latn-ME"/>
        </w:rPr>
      </w:pPr>
    </w:p>
    <w:p w14:paraId="17FECAA1"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Alkohol</w:t>
      </w:r>
    </w:p>
    <w:p w14:paraId="24B03D2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Trovanje alkoholom je povezano sa povećanim rizikom od laktoacidoze, naročito u slučaju gladovanja, malnutricije ili oštećenja funkcije jetre.</w:t>
      </w:r>
    </w:p>
    <w:p w14:paraId="182709FD" w14:textId="77777777" w:rsidR="00BE1AF0" w:rsidRDefault="00BE1AF0">
      <w:pPr>
        <w:autoSpaceDE w:val="0"/>
        <w:autoSpaceDN w:val="0"/>
        <w:adjustRightInd w:val="0"/>
        <w:jc w:val="both"/>
        <w:rPr>
          <w:sz w:val="22"/>
          <w:szCs w:val="22"/>
          <w:lang w:val="sr-Latn-ME" w:eastAsia="sr-Latn-ME"/>
        </w:rPr>
      </w:pPr>
    </w:p>
    <w:p w14:paraId="2CB6FC5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Kontrastna sredstva na bazi joda</w:t>
      </w:r>
    </w:p>
    <w:p w14:paraId="02FA54E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Primjena lijeka Maymetsi se mora prekinuti prije ili u vrijeme procedure snimanja i ne smije se započinjati ponovo prije isteka najmanje 48 sati i to tek nakon što se ponovo procijeni funkcija bubrega i konstatuje da je stabilna (vidjeti djelove 4.3 i 4.4).</w:t>
      </w:r>
    </w:p>
    <w:p w14:paraId="589781C6" w14:textId="77777777" w:rsidR="00BE1AF0" w:rsidRDefault="00BE1AF0">
      <w:pPr>
        <w:autoSpaceDE w:val="0"/>
        <w:autoSpaceDN w:val="0"/>
        <w:adjustRightInd w:val="0"/>
        <w:jc w:val="both"/>
        <w:rPr>
          <w:sz w:val="22"/>
          <w:szCs w:val="22"/>
          <w:lang w:val="sr-Latn-ME" w:eastAsia="sr-Latn-ME"/>
        </w:rPr>
      </w:pPr>
    </w:p>
    <w:p w14:paraId="475A65B1"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Kombinacije koje pri upotrebi zahtijevaju mjere opreza</w:t>
      </w:r>
    </w:p>
    <w:p w14:paraId="71FC2332"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Pojedini ljekovi mogu nepovoljno da utiču na funkciju bubrega, što može da poveća rizik od laktoacidoze, npr. NSAIL, uključujući selektivne inhibitore ciklooksigenaze (COX) II, ACE inhibitore, </w:t>
      </w:r>
      <w:r>
        <w:rPr>
          <w:sz w:val="22"/>
          <w:szCs w:val="22"/>
          <w:lang w:val="sr-Latn-ME" w:eastAsia="sr-Latn-ME"/>
        </w:rPr>
        <w:lastRenderedPageBreak/>
        <w:t>antagoniste receptora angiotenzina II i diuretike, naročito diuretike Henleove petlje. Kada se uvode ili koriste takvi ljekovi u kombinaciji sa metforminom, potrebno je pažljivo praćenje funkcije bubrega.</w:t>
      </w:r>
    </w:p>
    <w:p w14:paraId="70DF2494" w14:textId="77777777" w:rsidR="00BE1AF0" w:rsidRDefault="00BE1AF0">
      <w:pPr>
        <w:autoSpaceDE w:val="0"/>
        <w:autoSpaceDN w:val="0"/>
        <w:adjustRightInd w:val="0"/>
        <w:jc w:val="both"/>
        <w:rPr>
          <w:sz w:val="22"/>
          <w:szCs w:val="22"/>
          <w:lang w:val="sr-Latn-ME" w:eastAsia="sr-Latn-ME"/>
        </w:rPr>
      </w:pPr>
    </w:p>
    <w:p w14:paraId="3B8B45D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Istovremena upotreba ljekova koji interferiraju sa zajedničkim tubularnim transportnim sistemima u bubrezima koji učestvuju u renalnoj eliminaciji metformina (npr. inhibitori transportera organskih katjona-2 [eng. </w:t>
      </w:r>
      <w:r>
        <w:rPr>
          <w:i/>
          <w:iCs/>
          <w:sz w:val="22"/>
          <w:szCs w:val="22"/>
          <w:lang w:val="sr-Latn-ME" w:eastAsia="sr-Latn-ME"/>
        </w:rPr>
        <w:t xml:space="preserve">organic cationic transporter-2 – OCT2] / </w:t>
      </w:r>
      <w:r>
        <w:rPr>
          <w:sz w:val="22"/>
          <w:szCs w:val="22"/>
          <w:lang w:val="sr-Latn-ME" w:eastAsia="sr-Latn-ME"/>
        </w:rPr>
        <w:t xml:space="preserve">transportera za izlučivanje više ljekova i toksina [eng. </w:t>
      </w:r>
      <w:r>
        <w:rPr>
          <w:i/>
          <w:iCs/>
          <w:sz w:val="22"/>
          <w:szCs w:val="22"/>
          <w:lang w:val="sr-Latn-ME" w:eastAsia="sr-Latn-ME"/>
        </w:rPr>
        <w:t xml:space="preserve">multidrug and toxin extrusion – </w:t>
      </w:r>
      <w:r>
        <w:rPr>
          <w:sz w:val="22"/>
          <w:szCs w:val="22"/>
          <w:lang w:val="sr-Latn-ME" w:eastAsia="sr-Latn-ME"/>
        </w:rPr>
        <w:t>MATE], kao što su ranolazin, vandetanib, dolutegravir i cimetidin) može povećati sistemsku izloženost metforminu i rizik od laktoacidoze. Razmotrite koristi i rizike istovremene primjene. Kada se takvi ljekovi primjenjuju istovremeno, potrebno je pažljivo razmotriti praćenje glikemijske kontrole, prilagođavanje doze unutar preporučenog režima doziranja i izmjene u liječenju dijabetesa.</w:t>
      </w:r>
    </w:p>
    <w:p w14:paraId="6904121D" w14:textId="77777777" w:rsidR="00BE1AF0" w:rsidRDefault="00BE1AF0">
      <w:pPr>
        <w:autoSpaceDE w:val="0"/>
        <w:autoSpaceDN w:val="0"/>
        <w:adjustRightInd w:val="0"/>
        <w:jc w:val="both"/>
        <w:rPr>
          <w:sz w:val="22"/>
          <w:szCs w:val="22"/>
          <w:lang w:val="sr-Latn-ME" w:eastAsia="sr-Latn-ME"/>
        </w:rPr>
      </w:pPr>
    </w:p>
    <w:p w14:paraId="5C37D2C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Glukokortikoidi (koji se daju sistemskim i lokalnim putevima), beta-2-agonisti i diuretici imaju svojstveno hiperglikemijsko dejstvo. O tome treba informisati pacijenta i treba češće vršiti kontrolu koncentracije glukoze u krvi, naročito na početku terapije tim ljekovima. Ukoliko je potrebno, dozu antihiperglikemijskog lijeka treba korigovati u toku terapije drugim lijekom i po njegovom ukidanju. </w:t>
      </w:r>
    </w:p>
    <w:p w14:paraId="649DF9E0" w14:textId="77777777" w:rsidR="00BE1AF0" w:rsidRDefault="00BE1AF0">
      <w:pPr>
        <w:autoSpaceDE w:val="0"/>
        <w:autoSpaceDN w:val="0"/>
        <w:adjustRightInd w:val="0"/>
        <w:jc w:val="both"/>
        <w:rPr>
          <w:sz w:val="22"/>
          <w:szCs w:val="22"/>
          <w:lang w:val="sr-Latn-ME" w:eastAsia="sr-Latn-ME"/>
        </w:rPr>
      </w:pPr>
    </w:p>
    <w:p w14:paraId="1B88018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ACE inhibitori mogu sniziti koncentraciju glukoze u krvi. Ukoliko je neophodno, u toku terapije drugim</w:t>
      </w:r>
    </w:p>
    <w:p w14:paraId="4BB0961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lijekom i po njegovom ukidanju treba korigovati dozu antihiperglikemijskog lijeka. </w:t>
      </w:r>
    </w:p>
    <w:p w14:paraId="507B4467" w14:textId="77777777" w:rsidR="00BE1AF0" w:rsidRDefault="00BE1AF0">
      <w:pPr>
        <w:autoSpaceDE w:val="0"/>
        <w:autoSpaceDN w:val="0"/>
        <w:adjustRightInd w:val="0"/>
        <w:jc w:val="both"/>
        <w:rPr>
          <w:sz w:val="22"/>
          <w:szCs w:val="22"/>
          <w:lang w:val="sr-Latn-ME" w:eastAsia="sr-Latn-ME"/>
        </w:rPr>
      </w:pPr>
    </w:p>
    <w:p w14:paraId="23FBFEE8"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Uticaj drugih ljekova na sitagliptin</w:t>
      </w:r>
    </w:p>
    <w:p w14:paraId="156EDBCE" w14:textId="77777777" w:rsidR="00BE1AF0" w:rsidRDefault="004F0139">
      <w:pPr>
        <w:autoSpaceDE w:val="0"/>
        <w:autoSpaceDN w:val="0"/>
        <w:adjustRightInd w:val="0"/>
        <w:jc w:val="both"/>
        <w:rPr>
          <w:sz w:val="22"/>
          <w:szCs w:val="22"/>
          <w:lang w:val="sr-Latn-ME" w:eastAsia="sr-Latn-ME"/>
        </w:rPr>
      </w:pPr>
      <w:r>
        <w:rPr>
          <w:iCs/>
          <w:sz w:val="22"/>
          <w:szCs w:val="22"/>
          <w:lang w:val="sr-Latn-ME" w:eastAsia="sr-Latn-ME"/>
        </w:rPr>
        <w:t xml:space="preserve">Podaci dobijeni iz </w:t>
      </w:r>
      <w:r>
        <w:rPr>
          <w:i/>
          <w:iCs/>
          <w:sz w:val="22"/>
          <w:szCs w:val="22"/>
          <w:lang w:val="sr-Latn-ME" w:eastAsia="sr-Latn-ME"/>
        </w:rPr>
        <w:t xml:space="preserve">in vitro </w:t>
      </w:r>
      <w:r>
        <w:rPr>
          <w:sz w:val="22"/>
          <w:szCs w:val="22"/>
          <w:lang w:val="sr-Latn-ME" w:eastAsia="sr-Latn-ME"/>
        </w:rPr>
        <w:t>i kliničkih istraživanja, navedeni ispod ukazuju na mali rizik od klinički značajnih interakcija pri istovremenoj primjeni drugih ljekova.</w:t>
      </w:r>
    </w:p>
    <w:p w14:paraId="58F3394A" w14:textId="77777777" w:rsidR="00BE1AF0" w:rsidRDefault="00BE1AF0">
      <w:pPr>
        <w:autoSpaceDE w:val="0"/>
        <w:autoSpaceDN w:val="0"/>
        <w:adjustRightInd w:val="0"/>
        <w:jc w:val="both"/>
        <w:rPr>
          <w:sz w:val="22"/>
          <w:szCs w:val="22"/>
          <w:lang w:val="sr-Latn-ME" w:eastAsia="sr-Latn-ME"/>
        </w:rPr>
      </w:pPr>
    </w:p>
    <w:p w14:paraId="05E9A25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Studije sprovedene </w:t>
      </w:r>
      <w:r>
        <w:rPr>
          <w:i/>
          <w:iCs/>
          <w:sz w:val="22"/>
          <w:szCs w:val="22"/>
          <w:lang w:val="sr-Latn-ME" w:eastAsia="sr-Latn-ME"/>
        </w:rPr>
        <w:t xml:space="preserve">in vitro </w:t>
      </w:r>
      <w:r>
        <w:rPr>
          <w:iCs/>
          <w:sz w:val="22"/>
          <w:szCs w:val="22"/>
          <w:lang w:val="sr-Latn-ME" w:eastAsia="sr-Latn-ME"/>
        </w:rPr>
        <w:t>su</w:t>
      </w:r>
      <w:r>
        <w:rPr>
          <w:i/>
          <w:iCs/>
          <w:sz w:val="22"/>
          <w:szCs w:val="22"/>
          <w:lang w:val="sr-Latn-ME" w:eastAsia="sr-Latn-ME"/>
        </w:rPr>
        <w:t xml:space="preserve"> </w:t>
      </w:r>
      <w:r>
        <w:rPr>
          <w:sz w:val="22"/>
          <w:szCs w:val="22"/>
          <w:lang w:val="sr-Latn-ME" w:eastAsia="sr-Latn-ME"/>
        </w:rPr>
        <w:t xml:space="preserve">pokazale da je primarni enzim odgovoran za ograničeni metabolizam sitagliptina CYP3A4, uz pomoć CYP2C8. Metabolizam, uključujući i onaj preko CYP3A4, igra malu ulogu u klirensu sitagliptina kod pacijenata sa normalnom funkcijom bubrega. Metabolizam može igrati značajniju ulogu u eliminaciji sitagliptina u slučaju teškog oštećenja funkcije bubrega ili završnog stadijuma renalne bolesti (eng. </w:t>
      </w:r>
      <w:r>
        <w:rPr>
          <w:i/>
          <w:sz w:val="22"/>
          <w:szCs w:val="22"/>
          <w:lang w:val="sr-Latn-ME" w:eastAsia="sr-Latn-ME"/>
        </w:rPr>
        <w:t>end-stage renal disease</w:t>
      </w:r>
      <w:r>
        <w:rPr>
          <w:sz w:val="22"/>
          <w:szCs w:val="22"/>
          <w:lang w:val="sr-Latn-ME" w:eastAsia="sr-Latn-ME"/>
        </w:rPr>
        <w:t xml:space="preserve"> – ESRD). Zato je moguće da snažni inhibitori CYP3A4 (npr. ketokonazol, itrakonazol, ritonavir, klaritromicin) mogu da izmijene farmakokinetiku sitagliptina kod pacijenata sa teškim oštećenjem funkcije bubrega ili ESRD. Efekti snažnih inhibitora CYP3A4 u slučaju oštećenja funkcije bubrega nijesu procijenjeni u kliničkom ispitivanju.</w:t>
      </w:r>
    </w:p>
    <w:p w14:paraId="6F0621B2" w14:textId="77777777" w:rsidR="00BE1AF0" w:rsidRDefault="00BE1AF0">
      <w:pPr>
        <w:autoSpaceDE w:val="0"/>
        <w:autoSpaceDN w:val="0"/>
        <w:adjustRightInd w:val="0"/>
        <w:jc w:val="both"/>
        <w:rPr>
          <w:i/>
          <w:iCs/>
          <w:sz w:val="22"/>
          <w:szCs w:val="22"/>
          <w:lang w:val="sr-Latn-ME" w:eastAsia="sr-Latn-ME"/>
        </w:rPr>
      </w:pPr>
    </w:p>
    <w:p w14:paraId="5947A30C" w14:textId="77777777" w:rsidR="00BE1AF0" w:rsidRDefault="004F0139">
      <w:pPr>
        <w:autoSpaceDE w:val="0"/>
        <w:autoSpaceDN w:val="0"/>
        <w:adjustRightInd w:val="0"/>
        <w:jc w:val="both"/>
        <w:rPr>
          <w:sz w:val="22"/>
          <w:szCs w:val="22"/>
          <w:lang w:val="sr-Latn-ME" w:eastAsia="sr-Latn-ME"/>
        </w:rPr>
      </w:pPr>
      <w:r>
        <w:rPr>
          <w:i/>
          <w:iCs/>
          <w:sz w:val="22"/>
          <w:szCs w:val="22"/>
          <w:lang w:val="sr-Latn-ME" w:eastAsia="sr-Latn-ME"/>
        </w:rPr>
        <w:t xml:space="preserve">In vitro </w:t>
      </w:r>
      <w:r>
        <w:rPr>
          <w:iCs/>
          <w:sz w:val="22"/>
          <w:szCs w:val="22"/>
          <w:lang w:val="sr-Latn-ME" w:eastAsia="sr-Latn-ME"/>
        </w:rPr>
        <w:t>sprovedene</w:t>
      </w:r>
      <w:r>
        <w:rPr>
          <w:i/>
          <w:iCs/>
          <w:sz w:val="22"/>
          <w:szCs w:val="22"/>
          <w:lang w:val="sr-Latn-ME" w:eastAsia="sr-Latn-ME"/>
        </w:rPr>
        <w:t xml:space="preserve"> </w:t>
      </w:r>
      <w:r>
        <w:rPr>
          <w:sz w:val="22"/>
          <w:szCs w:val="22"/>
          <w:lang w:val="sr-Latn-ME" w:eastAsia="sr-Latn-ME"/>
        </w:rPr>
        <w:t xml:space="preserve">studije prenosa lijeka pokazale su da je sitagliptin supstrat p-glikoproteina i organskog anjonskog transportera-3 (eng. </w:t>
      </w:r>
      <w:r>
        <w:rPr>
          <w:i/>
          <w:sz w:val="22"/>
          <w:szCs w:val="22"/>
          <w:lang w:val="sr-Latn-ME" w:eastAsia="sr-Latn-ME"/>
        </w:rPr>
        <w:t>organic anion transporter-3</w:t>
      </w:r>
      <w:r>
        <w:rPr>
          <w:sz w:val="22"/>
          <w:szCs w:val="22"/>
          <w:lang w:val="sr-Latn-ME" w:eastAsia="sr-Latn-ME"/>
        </w:rPr>
        <w:t xml:space="preserve"> – OAT3). Transport sitagliptina posredovan OAT3 je inhibiran </w:t>
      </w:r>
      <w:r>
        <w:rPr>
          <w:i/>
          <w:iCs/>
          <w:sz w:val="22"/>
          <w:szCs w:val="22"/>
          <w:lang w:val="sr-Latn-ME" w:eastAsia="sr-Latn-ME"/>
        </w:rPr>
        <w:t xml:space="preserve">in vitro </w:t>
      </w:r>
      <w:r>
        <w:rPr>
          <w:sz w:val="22"/>
          <w:szCs w:val="22"/>
          <w:lang w:val="sr-Latn-ME" w:eastAsia="sr-Latn-ME"/>
        </w:rPr>
        <w:t xml:space="preserve">probenecidom, iako se smatra da je rizik od klinički značajnih interakcija mali. Istovremena primjena inhibitora OAT3 nije procjenjivana </w:t>
      </w:r>
      <w:r>
        <w:rPr>
          <w:i/>
          <w:iCs/>
          <w:sz w:val="22"/>
          <w:szCs w:val="22"/>
          <w:lang w:val="sr-Latn-ME" w:eastAsia="sr-Latn-ME"/>
        </w:rPr>
        <w:t>in vivo</w:t>
      </w:r>
      <w:r>
        <w:rPr>
          <w:sz w:val="22"/>
          <w:szCs w:val="22"/>
          <w:lang w:val="sr-Latn-ME" w:eastAsia="sr-Latn-ME"/>
        </w:rPr>
        <w:t>.</w:t>
      </w:r>
    </w:p>
    <w:p w14:paraId="2C46E717" w14:textId="77777777" w:rsidR="00BE1AF0" w:rsidRDefault="00BE1AF0">
      <w:pPr>
        <w:autoSpaceDE w:val="0"/>
        <w:autoSpaceDN w:val="0"/>
        <w:adjustRightInd w:val="0"/>
        <w:jc w:val="both"/>
        <w:rPr>
          <w:i/>
          <w:iCs/>
          <w:sz w:val="22"/>
          <w:szCs w:val="22"/>
          <w:lang w:val="sr-Latn-ME" w:eastAsia="sr-Latn-ME"/>
        </w:rPr>
      </w:pPr>
    </w:p>
    <w:p w14:paraId="371C2E21" w14:textId="77777777" w:rsidR="00BE1AF0" w:rsidRDefault="004F0139">
      <w:pPr>
        <w:autoSpaceDE w:val="0"/>
        <w:autoSpaceDN w:val="0"/>
        <w:adjustRightInd w:val="0"/>
        <w:jc w:val="both"/>
        <w:rPr>
          <w:sz w:val="22"/>
          <w:szCs w:val="22"/>
          <w:lang w:val="sr-Latn-ME" w:eastAsia="sr-Latn-ME"/>
        </w:rPr>
      </w:pPr>
      <w:r>
        <w:rPr>
          <w:i/>
          <w:iCs/>
          <w:sz w:val="22"/>
          <w:szCs w:val="22"/>
          <w:lang w:val="sr-Latn-ME" w:eastAsia="sr-Latn-ME"/>
        </w:rPr>
        <w:t xml:space="preserve">Ciklosporin: </w:t>
      </w:r>
      <w:r>
        <w:rPr>
          <w:sz w:val="22"/>
          <w:szCs w:val="22"/>
          <w:lang w:val="sr-Latn-ME" w:eastAsia="sr-Latn-ME"/>
        </w:rPr>
        <w:t>Sprovedena je studija u cilju procjene dejstva ciklosporina, snažnog inhibitora p-glikoproteina, na farmakokinetiku sitagliptina. Istovremena primjena jedne oralne doze sitagliptina od 100 mg i jedne oralne doze ciklosporina od 600 mg povećala je PIK sitagliptina za oko 29% i C</w:t>
      </w:r>
      <w:r>
        <w:rPr>
          <w:sz w:val="22"/>
          <w:szCs w:val="22"/>
          <w:vertAlign w:val="subscript"/>
          <w:lang w:val="sr-Latn-ME" w:eastAsia="sr-Latn-ME"/>
        </w:rPr>
        <w:t>max</w:t>
      </w:r>
      <w:r>
        <w:rPr>
          <w:sz w:val="22"/>
          <w:szCs w:val="22"/>
          <w:lang w:val="sr-Latn-ME" w:eastAsia="sr-Latn-ME"/>
        </w:rPr>
        <w:t xml:space="preserve"> sitagliptina za oko 68%. Smatralo se da ove promjene u farmakokinetici sitagliptina nijesu od kliničkog značaja. Renalni klirens sitagliptina nije bio značajno izmijenjen. Prema tome, značajne interakcije sa drugim inhibitorima p-glikoproteina se ne očekuju.</w:t>
      </w:r>
    </w:p>
    <w:p w14:paraId="4F227A7C" w14:textId="77777777" w:rsidR="00BE1AF0" w:rsidRDefault="00BE1AF0">
      <w:pPr>
        <w:autoSpaceDE w:val="0"/>
        <w:autoSpaceDN w:val="0"/>
        <w:adjustRightInd w:val="0"/>
        <w:jc w:val="both"/>
        <w:rPr>
          <w:sz w:val="22"/>
          <w:szCs w:val="22"/>
          <w:lang w:val="sr-Latn-ME" w:eastAsia="sr-Latn-ME"/>
        </w:rPr>
      </w:pPr>
    </w:p>
    <w:p w14:paraId="78C1C05C"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Uticaj sitagliptina na druge ljekove</w:t>
      </w:r>
    </w:p>
    <w:p w14:paraId="3BFD770B" w14:textId="77777777" w:rsidR="00BE1AF0" w:rsidRDefault="004F0139">
      <w:pPr>
        <w:autoSpaceDE w:val="0"/>
        <w:autoSpaceDN w:val="0"/>
        <w:adjustRightInd w:val="0"/>
        <w:jc w:val="both"/>
        <w:rPr>
          <w:sz w:val="22"/>
          <w:szCs w:val="22"/>
          <w:lang w:val="sr-Latn-ME" w:eastAsia="sr-Latn-ME"/>
        </w:rPr>
      </w:pPr>
      <w:r>
        <w:rPr>
          <w:i/>
          <w:iCs/>
          <w:sz w:val="22"/>
          <w:szCs w:val="22"/>
          <w:lang w:val="sr-Latn-ME" w:eastAsia="sr-Latn-ME"/>
        </w:rPr>
        <w:t xml:space="preserve">Digoksin: </w:t>
      </w:r>
      <w:r>
        <w:rPr>
          <w:sz w:val="22"/>
          <w:szCs w:val="22"/>
          <w:lang w:val="sr-Latn-ME" w:eastAsia="sr-Latn-ME"/>
        </w:rPr>
        <w:t>Sitagliptin je imao mali uticaj na koncentracije digoksina u plazmi. Nakon primjene 0,25 mg</w:t>
      </w:r>
    </w:p>
    <w:p w14:paraId="05CCB0F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digoksina istovremeno sa 100 mg sitagliptina dnevno tokom 10 dana, vrijednost PIK digoksina u plazmi se prosječno povećala za 11%, a C</w:t>
      </w:r>
      <w:r>
        <w:rPr>
          <w:sz w:val="22"/>
          <w:szCs w:val="22"/>
          <w:vertAlign w:val="subscript"/>
          <w:lang w:val="sr-Latn-ME" w:eastAsia="sr-Latn-ME"/>
        </w:rPr>
        <w:t>max</w:t>
      </w:r>
      <w:r>
        <w:rPr>
          <w:sz w:val="22"/>
          <w:szCs w:val="22"/>
          <w:lang w:val="sr-Latn-ME" w:eastAsia="sr-Latn-ME"/>
        </w:rPr>
        <w:t xml:space="preserve"> za 18%. Ne preporučuje se prilagođavanje doze digoksina. Međutim, kada se istovremeno primjenjuju sitagliptin i digoksin, treba pratiti stanje pacijenata sa rizikom od toksičnosti digoksina.</w:t>
      </w:r>
    </w:p>
    <w:p w14:paraId="18AD067D" w14:textId="77777777" w:rsidR="00BE1AF0" w:rsidRDefault="00BE1AF0">
      <w:pPr>
        <w:autoSpaceDE w:val="0"/>
        <w:autoSpaceDN w:val="0"/>
        <w:adjustRightInd w:val="0"/>
        <w:jc w:val="both"/>
        <w:rPr>
          <w:sz w:val="22"/>
          <w:szCs w:val="22"/>
          <w:lang w:val="sr-Latn-ME" w:eastAsia="sr-Latn-ME"/>
        </w:rPr>
      </w:pPr>
    </w:p>
    <w:p w14:paraId="40DEA35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Podaci dobijeni iz </w:t>
      </w:r>
      <w:r>
        <w:rPr>
          <w:i/>
          <w:iCs/>
          <w:sz w:val="22"/>
          <w:szCs w:val="22"/>
          <w:lang w:val="sr-Latn-ME" w:eastAsia="sr-Latn-ME"/>
        </w:rPr>
        <w:t xml:space="preserve">in vitro </w:t>
      </w:r>
      <w:r>
        <w:rPr>
          <w:iCs/>
          <w:sz w:val="22"/>
          <w:szCs w:val="22"/>
          <w:lang w:val="sr-Latn-ME" w:eastAsia="sr-Latn-ME"/>
        </w:rPr>
        <w:t>istraživanja</w:t>
      </w:r>
      <w:r>
        <w:rPr>
          <w:i/>
          <w:iCs/>
          <w:sz w:val="22"/>
          <w:szCs w:val="22"/>
          <w:lang w:val="sr-Latn-ME" w:eastAsia="sr-Latn-ME"/>
        </w:rPr>
        <w:t xml:space="preserve"> </w:t>
      </w:r>
      <w:r>
        <w:rPr>
          <w:sz w:val="22"/>
          <w:szCs w:val="22"/>
          <w:lang w:val="sr-Latn-ME" w:eastAsia="sr-Latn-ME"/>
        </w:rPr>
        <w:t xml:space="preserve">ukazuju na to da sitagliptin ne inhibira niti indukuje izoenzime CYP450. Sitagliptin u kliničkim studijama nije značajno izmijenio farmakokinetiku metformina, gliburida, simvastatina, rosiglitazona, varfarina ili oralnih kontraceptiva, pružajući </w:t>
      </w:r>
      <w:r>
        <w:rPr>
          <w:i/>
          <w:iCs/>
          <w:sz w:val="22"/>
          <w:szCs w:val="22"/>
          <w:lang w:val="sr-Latn-ME" w:eastAsia="sr-Latn-ME"/>
        </w:rPr>
        <w:t xml:space="preserve">in vivo </w:t>
      </w:r>
      <w:r>
        <w:rPr>
          <w:sz w:val="22"/>
          <w:szCs w:val="22"/>
          <w:lang w:val="sr-Latn-ME" w:eastAsia="sr-Latn-ME"/>
        </w:rPr>
        <w:t xml:space="preserve">dokaz o maloj sklonosti ka izazivanju interakcija sa supstratima CYP3A4, CYP2C8, CYP2C9 i organskog katjonskog transportera (OCT). Sitagliptin može biti blagi inhibitor p-glikoproteina </w:t>
      </w:r>
      <w:r>
        <w:rPr>
          <w:i/>
          <w:iCs/>
          <w:sz w:val="22"/>
          <w:szCs w:val="22"/>
          <w:lang w:val="sr-Latn-ME" w:eastAsia="sr-Latn-ME"/>
        </w:rPr>
        <w:t>in vivo</w:t>
      </w:r>
      <w:r>
        <w:rPr>
          <w:sz w:val="22"/>
          <w:szCs w:val="22"/>
          <w:lang w:val="sr-Latn-ME" w:eastAsia="sr-Latn-ME"/>
        </w:rPr>
        <w:t>.</w:t>
      </w:r>
    </w:p>
    <w:p w14:paraId="382CB704" w14:textId="77777777" w:rsidR="00BE1AF0" w:rsidRDefault="00BE1AF0">
      <w:pPr>
        <w:tabs>
          <w:tab w:val="left" w:pos="540"/>
          <w:tab w:val="left" w:pos="569"/>
        </w:tabs>
        <w:jc w:val="both"/>
        <w:rPr>
          <w:bCs/>
          <w:sz w:val="22"/>
          <w:szCs w:val="22"/>
        </w:rPr>
      </w:pPr>
    </w:p>
    <w:p w14:paraId="2675E4B4" w14:textId="77777777" w:rsidR="00BE1AF0" w:rsidRDefault="004F0139">
      <w:pPr>
        <w:tabs>
          <w:tab w:val="left" w:pos="540"/>
          <w:tab w:val="left" w:pos="569"/>
        </w:tabs>
        <w:jc w:val="both"/>
        <w:rPr>
          <w:b/>
          <w:sz w:val="22"/>
          <w:szCs w:val="22"/>
          <w:lang w:val="sr-Latn-CS"/>
        </w:rPr>
      </w:pPr>
      <w:r>
        <w:rPr>
          <w:b/>
          <w:bCs/>
          <w:sz w:val="22"/>
          <w:szCs w:val="22"/>
        </w:rPr>
        <w:t xml:space="preserve">4.6. </w:t>
      </w:r>
      <w:r>
        <w:rPr>
          <w:b/>
          <w:bCs/>
          <w:sz w:val="22"/>
          <w:szCs w:val="22"/>
        </w:rPr>
        <w:tab/>
      </w:r>
      <w:r>
        <w:rPr>
          <w:b/>
          <w:sz w:val="22"/>
          <w:szCs w:val="22"/>
          <w:lang w:val="sr-Latn-CS"/>
        </w:rPr>
        <w:t>Plodnost, trudnoća i dojenje</w:t>
      </w:r>
    </w:p>
    <w:p w14:paraId="13D3957A" w14:textId="77777777" w:rsidR="00BE1AF0" w:rsidRDefault="00BE1AF0">
      <w:pPr>
        <w:tabs>
          <w:tab w:val="left" w:pos="540"/>
          <w:tab w:val="left" w:pos="569"/>
        </w:tabs>
        <w:jc w:val="both"/>
        <w:rPr>
          <w:b/>
          <w:sz w:val="22"/>
          <w:szCs w:val="22"/>
          <w:lang w:val="sr-Latn-CS"/>
        </w:rPr>
      </w:pPr>
    </w:p>
    <w:p w14:paraId="371A12C2"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Plodnost</w:t>
      </w:r>
    </w:p>
    <w:p w14:paraId="7E4E611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Podaci iz studija na životinjama ne ukazuju na to da liječenje sitagliptinom ima efekat na plodnost kod mužjaka i ženki. Podaci na ljudima nijesu dostupni.</w:t>
      </w:r>
    </w:p>
    <w:p w14:paraId="1FF057B3" w14:textId="77777777" w:rsidR="00BE1AF0" w:rsidRDefault="00BE1AF0">
      <w:pPr>
        <w:autoSpaceDE w:val="0"/>
        <w:autoSpaceDN w:val="0"/>
        <w:adjustRightInd w:val="0"/>
        <w:jc w:val="both"/>
        <w:rPr>
          <w:sz w:val="22"/>
          <w:szCs w:val="22"/>
          <w:lang w:val="sr-Latn-ME" w:eastAsia="sr-Latn-ME"/>
        </w:rPr>
      </w:pPr>
    </w:p>
    <w:p w14:paraId="6261307D"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Trudnoća</w:t>
      </w:r>
    </w:p>
    <w:p w14:paraId="458E09A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Nema odgovarajućih podataka o upotrebi sitaglitpina kod trudnica. Studije na životinjama pokazale su</w:t>
      </w:r>
    </w:p>
    <w:p w14:paraId="7515D24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reproduktivnu toksičnost kod visokih doza sitagliptina (vidjeti dio 5.3). </w:t>
      </w:r>
    </w:p>
    <w:p w14:paraId="613153AC" w14:textId="77777777" w:rsidR="00BE1AF0" w:rsidRDefault="00BE1AF0">
      <w:pPr>
        <w:autoSpaceDE w:val="0"/>
        <w:autoSpaceDN w:val="0"/>
        <w:adjustRightInd w:val="0"/>
        <w:jc w:val="both"/>
        <w:rPr>
          <w:sz w:val="22"/>
          <w:szCs w:val="22"/>
          <w:lang w:val="sr-Latn-ME" w:eastAsia="sr-Latn-ME"/>
        </w:rPr>
      </w:pPr>
    </w:p>
    <w:p w14:paraId="3C63D1D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Ograničeni podaci ukazuju na to da upotreba metformina kod trudnica nije povezana sa povećanim rizikom od kongenitalnih malformacija. Ispitivanja na životinjama sa metforminom ne ukazuju na štetne efekte tokom trudnoće, razvoja embriona i fetusa, porođaja i postnatalnog razvoja (vidjeti dio 5.3).</w:t>
      </w:r>
    </w:p>
    <w:p w14:paraId="5C74FAB8" w14:textId="77777777" w:rsidR="00BE1AF0" w:rsidRDefault="00BE1AF0">
      <w:pPr>
        <w:autoSpaceDE w:val="0"/>
        <w:autoSpaceDN w:val="0"/>
        <w:adjustRightInd w:val="0"/>
        <w:jc w:val="both"/>
        <w:rPr>
          <w:sz w:val="22"/>
          <w:szCs w:val="22"/>
          <w:lang w:val="sr-Latn-ME" w:eastAsia="sr-Latn-ME"/>
        </w:rPr>
      </w:pPr>
    </w:p>
    <w:p w14:paraId="0EC33CB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ne treba koristiti u toku trudnoće. Ukoliko pacijentkinja želi da zatrudni ili ako dođe do</w:t>
      </w:r>
    </w:p>
    <w:p w14:paraId="72FDD49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trudnoće, treba prekinuti terapiju i što prije pacijentkinju prebaciti na insulinsku terapiju.</w:t>
      </w:r>
    </w:p>
    <w:p w14:paraId="0ED2361F" w14:textId="77777777" w:rsidR="00BE1AF0" w:rsidRDefault="00BE1AF0">
      <w:pPr>
        <w:autoSpaceDE w:val="0"/>
        <w:autoSpaceDN w:val="0"/>
        <w:adjustRightInd w:val="0"/>
        <w:jc w:val="both"/>
        <w:rPr>
          <w:sz w:val="22"/>
          <w:szCs w:val="22"/>
          <w:lang w:val="sr-Latn-ME" w:eastAsia="sr-Latn-ME"/>
        </w:rPr>
      </w:pPr>
    </w:p>
    <w:p w14:paraId="317307D3"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Dojenje</w:t>
      </w:r>
    </w:p>
    <w:p w14:paraId="24FFE4D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Ispitivanja kombinacije aktivnih supstanci ovog lijeka nijesu vršena na životinjama u periodu laktacije. U studijama spovedenim sa pojedinačnim aktivnim supstancama pokazano je da se i metformin i sitagliptin izlučuju u mlijeko pacova. Metformin se u malim količinama izlučuje u humano mlijeko. Nije poznato da li se sitagliptin izlučuje u humano mlijeko. Lijek Maymetsi se, zbog toga, ne smije koristiti kod žena koje doje (vidjeti dio 4.3).</w:t>
      </w:r>
    </w:p>
    <w:p w14:paraId="07FB1F58" w14:textId="77777777" w:rsidR="00BE1AF0" w:rsidRDefault="00BE1AF0">
      <w:pPr>
        <w:tabs>
          <w:tab w:val="left" w:pos="540"/>
          <w:tab w:val="left" w:pos="569"/>
        </w:tabs>
        <w:jc w:val="both"/>
        <w:rPr>
          <w:b/>
          <w:bCs/>
          <w:sz w:val="22"/>
          <w:szCs w:val="22"/>
          <w:lang w:val="sr-Latn-ME"/>
        </w:rPr>
      </w:pPr>
    </w:p>
    <w:p w14:paraId="47EE2386" w14:textId="77777777" w:rsidR="00BE1AF0" w:rsidRDefault="004F0139">
      <w:pPr>
        <w:tabs>
          <w:tab w:val="left" w:pos="540"/>
          <w:tab w:val="left" w:pos="569"/>
        </w:tabs>
        <w:ind w:left="540" w:hanging="540"/>
        <w:jc w:val="both"/>
        <w:rPr>
          <w:b/>
          <w:bCs/>
          <w:sz w:val="22"/>
          <w:szCs w:val="22"/>
          <w:lang w:val="sr-Latn-ME"/>
        </w:rPr>
      </w:pPr>
      <w:r>
        <w:rPr>
          <w:b/>
          <w:bCs/>
          <w:sz w:val="22"/>
          <w:szCs w:val="22"/>
          <w:lang w:val="sr-Latn-ME"/>
        </w:rPr>
        <w:t xml:space="preserve">4.7. </w:t>
      </w:r>
      <w:r>
        <w:rPr>
          <w:b/>
          <w:bCs/>
          <w:sz w:val="22"/>
          <w:szCs w:val="22"/>
          <w:lang w:val="sr-Latn-ME"/>
        </w:rPr>
        <w:tab/>
      </w:r>
      <w:r>
        <w:rPr>
          <w:b/>
          <w:bCs/>
          <w:sz w:val="22"/>
          <w:szCs w:val="22"/>
        </w:rPr>
        <w:t>Uticaj</w:t>
      </w:r>
      <w:r>
        <w:rPr>
          <w:b/>
          <w:bCs/>
          <w:sz w:val="22"/>
          <w:szCs w:val="22"/>
          <w:lang w:val="sr-Latn-ME"/>
        </w:rPr>
        <w:t xml:space="preserve"> </w:t>
      </w:r>
      <w:r>
        <w:rPr>
          <w:b/>
          <w:bCs/>
          <w:sz w:val="22"/>
          <w:szCs w:val="22"/>
        </w:rPr>
        <w:t>na</w:t>
      </w:r>
      <w:r>
        <w:rPr>
          <w:b/>
          <w:bCs/>
          <w:sz w:val="22"/>
          <w:szCs w:val="22"/>
          <w:lang w:val="sr-Latn-ME"/>
        </w:rPr>
        <w:t xml:space="preserve"> </w:t>
      </w:r>
      <w:r>
        <w:rPr>
          <w:b/>
          <w:bCs/>
          <w:sz w:val="22"/>
          <w:szCs w:val="22"/>
        </w:rPr>
        <w:t>sposobnost</w:t>
      </w:r>
      <w:r>
        <w:rPr>
          <w:b/>
          <w:bCs/>
          <w:sz w:val="22"/>
          <w:szCs w:val="22"/>
          <w:lang w:val="sr-Latn-ME"/>
        </w:rPr>
        <w:t xml:space="preserve"> </w:t>
      </w:r>
      <w:r>
        <w:rPr>
          <w:b/>
          <w:bCs/>
          <w:sz w:val="22"/>
          <w:szCs w:val="22"/>
        </w:rPr>
        <w:t>upravljanja</w:t>
      </w:r>
      <w:r>
        <w:rPr>
          <w:b/>
          <w:bCs/>
          <w:sz w:val="22"/>
          <w:szCs w:val="22"/>
          <w:lang w:val="sr-Latn-ME"/>
        </w:rPr>
        <w:t xml:space="preserve"> </w:t>
      </w:r>
      <w:r>
        <w:rPr>
          <w:b/>
          <w:bCs/>
          <w:sz w:val="22"/>
          <w:szCs w:val="22"/>
        </w:rPr>
        <w:t>vozilima</w:t>
      </w:r>
      <w:r>
        <w:rPr>
          <w:b/>
          <w:bCs/>
          <w:sz w:val="22"/>
          <w:szCs w:val="22"/>
          <w:lang w:val="sr-Latn-ME"/>
        </w:rPr>
        <w:t xml:space="preserve"> </w:t>
      </w:r>
      <w:r>
        <w:rPr>
          <w:b/>
          <w:bCs/>
          <w:sz w:val="22"/>
          <w:szCs w:val="22"/>
        </w:rPr>
        <w:t>i</w:t>
      </w:r>
      <w:r>
        <w:rPr>
          <w:b/>
          <w:bCs/>
          <w:sz w:val="22"/>
          <w:szCs w:val="22"/>
          <w:lang w:val="sr-Latn-ME"/>
        </w:rPr>
        <w:t xml:space="preserve"> </w:t>
      </w:r>
      <w:r>
        <w:rPr>
          <w:b/>
          <w:bCs/>
          <w:sz w:val="22"/>
          <w:szCs w:val="22"/>
        </w:rPr>
        <w:t>rukovanje</w:t>
      </w:r>
      <w:r>
        <w:rPr>
          <w:b/>
          <w:bCs/>
          <w:sz w:val="22"/>
          <w:szCs w:val="22"/>
          <w:lang w:val="sr-Latn-ME"/>
        </w:rPr>
        <w:t xml:space="preserve"> </w:t>
      </w:r>
      <w:r>
        <w:rPr>
          <w:b/>
          <w:bCs/>
          <w:sz w:val="22"/>
          <w:szCs w:val="22"/>
        </w:rPr>
        <w:t>ma</w:t>
      </w:r>
      <w:r>
        <w:rPr>
          <w:b/>
          <w:bCs/>
          <w:sz w:val="22"/>
          <w:szCs w:val="22"/>
          <w:lang w:val="sr-Latn-ME"/>
        </w:rPr>
        <w:t>š</w:t>
      </w:r>
      <w:r>
        <w:rPr>
          <w:b/>
          <w:bCs/>
          <w:sz w:val="22"/>
          <w:szCs w:val="22"/>
        </w:rPr>
        <w:t>inama</w:t>
      </w:r>
    </w:p>
    <w:p w14:paraId="15D59A22" w14:textId="77777777" w:rsidR="00BE1AF0" w:rsidRDefault="00BE1AF0">
      <w:pPr>
        <w:tabs>
          <w:tab w:val="left" w:pos="540"/>
          <w:tab w:val="left" w:pos="569"/>
        </w:tabs>
        <w:ind w:left="540" w:hanging="540"/>
        <w:jc w:val="both"/>
        <w:rPr>
          <w:b/>
          <w:bCs/>
          <w:sz w:val="22"/>
          <w:szCs w:val="22"/>
          <w:lang w:val="sr-Latn-ME"/>
        </w:rPr>
      </w:pPr>
    </w:p>
    <w:p w14:paraId="3E86C4A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nema ili ima zanemarljiv uticaj na sposobnost upravljanja vozilima i rukovanje mašinama. Međutim, prilikom upravljanja vozilima i rukovanja mašinama treba uzeti u obzir da su kod primjene sitagliptina prijavljene vrtoglavica i pospanost.</w:t>
      </w:r>
    </w:p>
    <w:p w14:paraId="5332D3EB" w14:textId="77777777" w:rsidR="00BE1AF0" w:rsidRDefault="00BE1AF0">
      <w:pPr>
        <w:autoSpaceDE w:val="0"/>
        <w:autoSpaceDN w:val="0"/>
        <w:adjustRightInd w:val="0"/>
        <w:jc w:val="both"/>
        <w:rPr>
          <w:sz w:val="22"/>
          <w:szCs w:val="22"/>
          <w:lang w:val="sr-Latn-ME" w:eastAsia="sr-Latn-ME"/>
        </w:rPr>
      </w:pPr>
    </w:p>
    <w:p w14:paraId="5FF8C06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Osim toga, pacijente treba upozoriti na rizik od pojave hipoglikemije kada se lijek Maymetsi koristi u kombinaciji sa sulfonilureom ili sa insulinom.</w:t>
      </w:r>
    </w:p>
    <w:p w14:paraId="64F91331" w14:textId="77777777" w:rsidR="00BE1AF0" w:rsidRDefault="00BE1AF0">
      <w:pPr>
        <w:tabs>
          <w:tab w:val="left" w:pos="540"/>
          <w:tab w:val="left" w:pos="569"/>
        </w:tabs>
        <w:jc w:val="both"/>
        <w:rPr>
          <w:b/>
          <w:bCs/>
          <w:sz w:val="22"/>
          <w:szCs w:val="22"/>
          <w:lang w:val="sr-Latn-ME"/>
        </w:rPr>
      </w:pPr>
    </w:p>
    <w:p w14:paraId="4262235B" w14:textId="77777777" w:rsidR="00BE1AF0" w:rsidRDefault="004F0139">
      <w:pPr>
        <w:tabs>
          <w:tab w:val="left" w:pos="540"/>
          <w:tab w:val="left" w:pos="569"/>
        </w:tabs>
        <w:jc w:val="both"/>
        <w:rPr>
          <w:b/>
          <w:bCs/>
          <w:sz w:val="22"/>
          <w:szCs w:val="22"/>
        </w:rPr>
      </w:pPr>
      <w:r>
        <w:rPr>
          <w:b/>
          <w:bCs/>
          <w:sz w:val="22"/>
          <w:szCs w:val="22"/>
        </w:rPr>
        <w:t xml:space="preserve">4.8. </w:t>
      </w:r>
      <w:r>
        <w:rPr>
          <w:b/>
          <w:bCs/>
          <w:sz w:val="22"/>
          <w:szCs w:val="22"/>
        </w:rPr>
        <w:tab/>
        <w:t>Neželjena dejstva</w:t>
      </w:r>
    </w:p>
    <w:p w14:paraId="49F32AC2" w14:textId="77777777" w:rsidR="00BE1AF0" w:rsidRDefault="00BE1AF0">
      <w:pPr>
        <w:tabs>
          <w:tab w:val="left" w:pos="540"/>
          <w:tab w:val="left" w:pos="569"/>
        </w:tabs>
        <w:jc w:val="both"/>
        <w:rPr>
          <w:b/>
          <w:bCs/>
          <w:sz w:val="22"/>
          <w:szCs w:val="22"/>
        </w:rPr>
      </w:pPr>
    </w:p>
    <w:p w14:paraId="10BC2002"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Sažetak bezbjednosnog profila</w:t>
      </w:r>
    </w:p>
    <w:p w14:paraId="1C24A3C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Nijesu sprovedena terapijska klinička ispitivanja sa metformin/sitagliptin kombinacijom, ali je utvrđena bioekvivalencija metfromin/sitagliptin kombinacije i istovremeno primijenjenih metformina i sitagliptina (vidjeti dio 5.2). </w:t>
      </w:r>
    </w:p>
    <w:p w14:paraId="44ACB65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Prijavljene su ozbiljne neželjene reakcije, uključujući pankreatitis i reakcije preosjetljivosti. </w:t>
      </w:r>
    </w:p>
    <w:p w14:paraId="30DC947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Prijavljena je hipoglikemija u kombinaciji sa sulfonilureom (13,8%) i insulinom (10,9%).</w:t>
      </w:r>
    </w:p>
    <w:p w14:paraId="1938065A" w14:textId="77777777" w:rsidR="00BE1AF0" w:rsidRDefault="00BE1AF0">
      <w:pPr>
        <w:autoSpaceDE w:val="0"/>
        <w:autoSpaceDN w:val="0"/>
        <w:adjustRightInd w:val="0"/>
        <w:jc w:val="both"/>
        <w:rPr>
          <w:sz w:val="22"/>
          <w:szCs w:val="22"/>
          <w:lang w:val="sr-Latn-ME" w:eastAsia="sr-Latn-ME"/>
        </w:rPr>
      </w:pPr>
    </w:p>
    <w:p w14:paraId="155866DE"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Metformin i sitagliptin</w:t>
      </w:r>
    </w:p>
    <w:p w14:paraId="7B6F00A7"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Tabelarni prikaz neželjenih reakcija</w:t>
      </w:r>
    </w:p>
    <w:p w14:paraId="6C78F4B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Neželjene reakcije su navedene u donjem tekstu na osnovu preporučene terminologije MedDRA, prema</w:t>
      </w:r>
    </w:p>
    <w:p w14:paraId="7751CA0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klasama sistema organa i apsolutnoj učestalosti (Tabela 1). Učestalosti se definišu kao: veoma česte (≥ 1/10), česte (≥ 1/100 do &lt; 1/10); povremene (≥ 1/1000 do &lt; 1/100); rijetke (≥ 1/10000 do &lt; 1/1000); veoma rijetke (&lt; 1/10000) i nepoznate učestalosti (ne može se procijeniti na osnovu dostupnih podataka).</w:t>
      </w:r>
    </w:p>
    <w:p w14:paraId="17C15B5F" w14:textId="77777777" w:rsidR="00BE1AF0" w:rsidRDefault="00BE1AF0">
      <w:pPr>
        <w:autoSpaceDE w:val="0"/>
        <w:autoSpaceDN w:val="0"/>
        <w:adjustRightInd w:val="0"/>
        <w:jc w:val="both"/>
        <w:rPr>
          <w:b/>
          <w:bCs/>
          <w:sz w:val="22"/>
          <w:szCs w:val="22"/>
          <w:lang w:val="sr-Latn-ME" w:eastAsia="sr-Latn-ME"/>
        </w:rPr>
      </w:pPr>
    </w:p>
    <w:p w14:paraId="6FDB0EB8" w14:textId="77777777" w:rsidR="00BE1AF0" w:rsidRDefault="004F0139">
      <w:pPr>
        <w:autoSpaceDE w:val="0"/>
        <w:autoSpaceDN w:val="0"/>
        <w:adjustRightInd w:val="0"/>
        <w:jc w:val="both"/>
        <w:rPr>
          <w:b/>
          <w:bCs/>
          <w:sz w:val="22"/>
          <w:szCs w:val="22"/>
          <w:lang w:val="sr-Latn-ME" w:eastAsia="sr-Latn-ME"/>
        </w:rPr>
      </w:pPr>
      <w:r>
        <w:rPr>
          <w:b/>
          <w:bCs/>
          <w:sz w:val="22"/>
          <w:szCs w:val="22"/>
          <w:lang w:val="sr-Latn-ME" w:eastAsia="sr-Latn-ME"/>
        </w:rPr>
        <w:t>Tabela 1: Učestalost neželjenih reakcija utvrđena u placebom-kontrolisanim kliničkim ispitivanjima samih metformina i sitagliptina, kao i u periodu nakon stavljanja lijeka u promet</w:t>
      </w:r>
    </w:p>
    <w:p w14:paraId="41D0A66C" w14:textId="77777777" w:rsidR="00BE1AF0" w:rsidRDefault="00BE1AF0">
      <w:pPr>
        <w:tabs>
          <w:tab w:val="left" w:pos="540"/>
          <w:tab w:val="left" w:pos="569"/>
        </w:tabs>
        <w:jc w:val="both"/>
        <w:rPr>
          <w:b/>
          <w:bCs/>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109"/>
      </w:tblGrid>
      <w:tr w:rsidR="00BE1AF0" w14:paraId="14C6F1E4" w14:textId="77777777">
        <w:trPr>
          <w:jc w:val="center"/>
        </w:trPr>
        <w:tc>
          <w:tcPr>
            <w:tcW w:w="4954" w:type="dxa"/>
            <w:shd w:val="clear" w:color="auto" w:fill="auto"/>
          </w:tcPr>
          <w:p w14:paraId="7C8D678E" w14:textId="77777777" w:rsidR="00BE1AF0" w:rsidRDefault="004F0139">
            <w:pPr>
              <w:autoSpaceDE w:val="0"/>
              <w:autoSpaceDN w:val="0"/>
              <w:adjustRightInd w:val="0"/>
              <w:jc w:val="both"/>
              <w:rPr>
                <w:b/>
                <w:sz w:val="22"/>
                <w:szCs w:val="22"/>
                <w:lang w:val="sr-Latn-ME"/>
              </w:rPr>
            </w:pPr>
            <w:r>
              <w:rPr>
                <w:b/>
                <w:sz w:val="22"/>
                <w:szCs w:val="22"/>
                <w:lang w:val="sr-Latn-ME"/>
              </w:rPr>
              <w:t>Neželjena reakcija</w:t>
            </w:r>
          </w:p>
        </w:tc>
        <w:tc>
          <w:tcPr>
            <w:tcW w:w="4109" w:type="dxa"/>
            <w:shd w:val="clear" w:color="auto" w:fill="auto"/>
          </w:tcPr>
          <w:p w14:paraId="57CAA91F" w14:textId="77777777" w:rsidR="00BE1AF0" w:rsidRDefault="004F0139">
            <w:pPr>
              <w:autoSpaceDE w:val="0"/>
              <w:autoSpaceDN w:val="0"/>
              <w:adjustRightInd w:val="0"/>
              <w:jc w:val="both"/>
              <w:rPr>
                <w:b/>
                <w:sz w:val="22"/>
                <w:szCs w:val="22"/>
                <w:lang w:val="sr-Latn-ME"/>
              </w:rPr>
            </w:pPr>
            <w:r>
              <w:rPr>
                <w:b/>
                <w:sz w:val="22"/>
                <w:szCs w:val="22"/>
                <w:lang w:val="sr-Latn-ME"/>
              </w:rPr>
              <w:t>Učestalost neželjenih reakcija</w:t>
            </w:r>
          </w:p>
        </w:tc>
      </w:tr>
      <w:tr w:rsidR="00BE1AF0" w14:paraId="388BA56B" w14:textId="77777777">
        <w:trPr>
          <w:jc w:val="center"/>
        </w:trPr>
        <w:tc>
          <w:tcPr>
            <w:tcW w:w="4954" w:type="dxa"/>
            <w:shd w:val="clear" w:color="auto" w:fill="auto"/>
          </w:tcPr>
          <w:p w14:paraId="2F3A7353"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7066F32B" w14:textId="77777777" w:rsidR="00BE1AF0" w:rsidRDefault="00BE1AF0">
            <w:pPr>
              <w:autoSpaceDE w:val="0"/>
              <w:autoSpaceDN w:val="0"/>
              <w:adjustRightInd w:val="0"/>
              <w:jc w:val="both"/>
              <w:rPr>
                <w:sz w:val="22"/>
                <w:szCs w:val="22"/>
                <w:lang w:val="sr-Latn-ME"/>
              </w:rPr>
            </w:pPr>
          </w:p>
        </w:tc>
      </w:tr>
      <w:tr w:rsidR="00BE1AF0" w14:paraId="7D008B34" w14:textId="77777777">
        <w:trPr>
          <w:jc w:val="center"/>
        </w:trPr>
        <w:tc>
          <w:tcPr>
            <w:tcW w:w="4954" w:type="dxa"/>
            <w:shd w:val="clear" w:color="auto" w:fill="auto"/>
          </w:tcPr>
          <w:p w14:paraId="6055C9D1" w14:textId="77777777" w:rsidR="00BE1AF0" w:rsidRDefault="004F0139">
            <w:pPr>
              <w:autoSpaceDE w:val="0"/>
              <w:autoSpaceDN w:val="0"/>
              <w:adjustRightInd w:val="0"/>
              <w:jc w:val="both"/>
              <w:rPr>
                <w:b/>
                <w:sz w:val="22"/>
                <w:szCs w:val="22"/>
                <w:lang w:val="sr-Latn-ME"/>
              </w:rPr>
            </w:pPr>
            <w:r>
              <w:rPr>
                <w:b/>
                <w:sz w:val="22"/>
                <w:szCs w:val="22"/>
                <w:lang w:val="sr-Latn-ME"/>
              </w:rPr>
              <w:t>Poremećaji krvi i limfnog sistema</w:t>
            </w:r>
          </w:p>
        </w:tc>
        <w:tc>
          <w:tcPr>
            <w:tcW w:w="4109" w:type="dxa"/>
            <w:shd w:val="clear" w:color="auto" w:fill="auto"/>
          </w:tcPr>
          <w:p w14:paraId="562C4FDC" w14:textId="77777777" w:rsidR="00BE1AF0" w:rsidRDefault="00BE1AF0">
            <w:pPr>
              <w:autoSpaceDE w:val="0"/>
              <w:autoSpaceDN w:val="0"/>
              <w:adjustRightInd w:val="0"/>
              <w:jc w:val="both"/>
              <w:rPr>
                <w:sz w:val="22"/>
                <w:szCs w:val="22"/>
                <w:lang w:val="sr-Latn-ME"/>
              </w:rPr>
            </w:pPr>
          </w:p>
        </w:tc>
      </w:tr>
      <w:tr w:rsidR="00BE1AF0" w14:paraId="5B441CD8" w14:textId="77777777">
        <w:trPr>
          <w:jc w:val="center"/>
        </w:trPr>
        <w:tc>
          <w:tcPr>
            <w:tcW w:w="4954" w:type="dxa"/>
            <w:shd w:val="clear" w:color="auto" w:fill="auto"/>
          </w:tcPr>
          <w:p w14:paraId="18E93364" w14:textId="77777777" w:rsidR="00BE1AF0" w:rsidRDefault="004F0139">
            <w:pPr>
              <w:autoSpaceDE w:val="0"/>
              <w:autoSpaceDN w:val="0"/>
              <w:adjustRightInd w:val="0"/>
              <w:jc w:val="both"/>
              <w:rPr>
                <w:sz w:val="22"/>
                <w:szCs w:val="22"/>
                <w:lang w:val="sr-Latn-ME"/>
              </w:rPr>
            </w:pPr>
            <w:r>
              <w:rPr>
                <w:sz w:val="22"/>
                <w:szCs w:val="22"/>
                <w:lang w:val="sr-Latn-ME"/>
              </w:rPr>
              <w:lastRenderedPageBreak/>
              <w:t>trombocitopenija</w:t>
            </w:r>
          </w:p>
        </w:tc>
        <w:tc>
          <w:tcPr>
            <w:tcW w:w="4109" w:type="dxa"/>
            <w:shd w:val="clear" w:color="auto" w:fill="auto"/>
          </w:tcPr>
          <w:p w14:paraId="45655394" w14:textId="77777777" w:rsidR="00BE1AF0" w:rsidRDefault="004F0139">
            <w:pPr>
              <w:autoSpaceDE w:val="0"/>
              <w:autoSpaceDN w:val="0"/>
              <w:adjustRightInd w:val="0"/>
              <w:jc w:val="both"/>
              <w:rPr>
                <w:sz w:val="22"/>
                <w:szCs w:val="22"/>
                <w:lang w:val="sr-Latn-ME"/>
              </w:rPr>
            </w:pPr>
            <w:r>
              <w:rPr>
                <w:sz w:val="22"/>
                <w:szCs w:val="22"/>
                <w:lang w:val="sr-Latn-ME"/>
              </w:rPr>
              <w:t>Rijetko</w:t>
            </w:r>
          </w:p>
        </w:tc>
      </w:tr>
      <w:tr w:rsidR="00BE1AF0" w14:paraId="0305FC93" w14:textId="77777777">
        <w:trPr>
          <w:jc w:val="center"/>
        </w:trPr>
        <w:tc>
          <w:tcPr>
            <w:tcW w:w="4954" w:type="dxa"/>
            <w:shd w:val="clear" w:color="auto" w:fill="auto"/>
          </w:tcPr>
          <w:p w14:paraId="5F1380A1"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0A3A8B7D" w14:textId="77777777" w:rsidR="00BE1AF0" w:rsidRDefault="00BE1AF0">
            <w:pPr>
              <w:autoSpaceDE w:val="0"/>
              <w:autoSpaceDN w:val="0"/>
              <w:adjustRightInd w:val="0"/>
              <w:jc w:val="both"/>
              <w:rPr>
                <w:sz w:val="22"/>
                <w:szCs w:val="22"/>
                <w:lang w:val="sr-Latn-ME"/>
              </w:rPr>
            </w:pPr>
          </w:p>
        </w:tc>
      </w:tr>
      <w:tr w:rsidR="00BE1AF0" w14:paraId="43AAB7C7" w14:textId="77777777">
        <w:trPr>
          <w:jc w:val="center"/>
        </w:trPr>
        <w:tc>
          <w:tcPr>
            <w:tcW w:w="4954" w:type="dxa"/>
            <w:shd w:val="clear" w:color="auto" w:fill="auto"/>
          </w:tcPr>
          <w:p w14:paraId="17B755CB" w14:textId="77777777" w:rsidR="00BE1AF0" w:rsidRDefault="004F0139">
            <w:pPr>
              <w:autoSpaceDE w:val="0"/>
              <w:autoSpaceDN w:val="0"/>
              <w:adjustRightInd w:val="0"/>
              <w:jc w:val="both"/>
              <w:rPr>
                <w:b/>
                <w:sz w:val="22"/>
                <w:szCs w:val="22"/>
                <w:lang w:val="sr-Latn-ME"/>
              </w:rPr>
            </w:pPr>
            <w:r>
              <w:rPr>
                <w:b/>
                <w:sz w:val="22"/>
                <w:szCs w:val="22"/>
                <w:lang w:val="sr-Latn-ME"/>
              </w:rPr>
              <w:t>Poremećaji imunog sistema</w:t>
            </w:r>
          </w:p>
        </w:tc>
        <w:tc>
          <w:tcPr>
            <w:tcW w:w="4109" w:type="dxa"/>
            <w:shd w:val="clear" w:color="auto" w:fill="auto"/>
          </w:tcPr>
          <w:p w14:paraId="6F62FDAD" w14:textId="77777777" w:rsidR="00BE1AF0" w:rsidRDefault="00BE1AF0">
            <w:pPr>
              <w:autoSpaceDE w:val="0"/>
              <w:autoSpaceDN w:val="0"/>
              <w:adjustRightInd w:val="0"/>
              <w:jc w:val="both"/>
              <w:rPr>
                <w:sz w:val="22"/>
                <w:szCs w:val="22"/>
                <w:lang w:val="sr-Latn-ME"/>
              </w:rPr>
            </w:pPr>
          </w:p>
        </w:tc>
      </w:tr>
      <w:tr w:rsidR="00BE1AF0" w14:paraId="624C69D3" w14:textId="77777777">
        <w:trPr>
          <w:jc w:val="center"/>
        </w:trPr>
        <w:tc>
          <w:tcPr>
            <w:tcW w:w="4954" w:type="dxa"/>
            <w:shd w:val="clear" w:color="auto" w:fill="auto"/>
          </w:tcPr>
          <w:p w14:paraId="075936B9" w14:textId="77777777" w:rsidR="00BE1AF0" w:rsidRDefault="004F0139">
            <w:pPr>
              <w:autoSpaceDE w:val="0"/>
              <w:autoSpaceDN w:val="0"/>
              <w:adjustRightInd w:val="0"/>
              <w:jc w:val="both"/>
              <w:rPr>
                <w:sz w:val="22"/>
                <w:szCs w:val="22"/>
                <w:lang w:val="sr-Latn-ME"/>
              </w:rPr>
            </w:pPr>
            <w:r>
              <w:rPr>
                <w:sz w:val="22"/>
                <w:szCs w:val="22"/>
                <w:lang w:val="sr-Latn-ME"/>
              </w:rPr>
              <w:t>reakcije preosjetljivosti, uključujuči anafilaktičke reakcije</w:t>
            </w:r>
            <w:r>
              <w:rPr>
                <w:sz w:val="22"/>
                <w:szCs w:val="22"/>
                <w:vertAlign w:val="superscript"/>
                <w:lang w:val="sr-Latn-ME"/>
              </w:rPr>
              <w:t>*,†</w:t>
            </w:r>
          </w:p>
        </w:tc>
        <w:tc>
          <w:tcPr>
            <w:tcW w:w="4109" w:type="dxa"/>
            <w:shd w:val="clear" w:color="auto" w:fill="auto"/>
          </w:tcPr>
          <w:p w14:paraId="0494FA21"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31D48406" w14:textId="77777777">
        <w:trPr>
          <w:jc w:val="center"/>
        </w:trPr>
        <w:tc>
          <w:tcPr>
            <w:tcW w:w="4954" w:type="dxa"/>
            <w:shd w:val="clear" w:color="auto" w:fill="auto"/>
          </w:tcPr>
          <w:p w14:paraId="2884B971"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06CAEC36" w14:textId="77777777" w:rsidR="00BE1AF0" w:rsidRDefault="00BE1AF0">
            <w:pPr>
              <w:autoSpaceDE w:val="0"/>
              <w:autoSpaceDN w:val="0"/>
              <w:adjustRightInd w:val="0"/>
              <w:jc w:val="both"/>
              <w:rPr>
                <w:sz w:val="22"/>
                <w:szCs w:val="22"/>
                <w:lang w:val="sr-Latn-ME"/>
              </w:rPr>
            </w:pPr>
          </w:p>
        </w:tc>
      </w:tr>
      <w:tr w:rsidR="00BE1AF0" w14:paraId="4A6DC6C1" w14:textId="77777777">
        <w:trPr>
          <w:jc w:val="center"/>
        </w:trPr>
        <w:tc>
          <w:tcPr>
            <w:tcW w:w="4954" w:type="dxa"/>
            <w:shd w:val="clear" w:color="auto" w:fill="auto"/>
          </w:tcPr>
          <w:p w14:paraId="40D99AB1" w14:textId="77777777" w:rsidR="00BE1AF0" w:rsidRDefault="004F0139">
            <w:pPr>
              <w:autoSpaceDE w:val="0"/>
              <w:autoSpaceDN w:val="0"/>
              <w:adjustRightInd w:val="0"/>
              <w:jc w:val="both"/>
              <w:rPr>
                <w:b/>
                <w:sz w:val="22"/>
                <w:szCs w:val="22"/>
                <w:lang w:val="sr-Latn-ME"/>
              </w:rPr>
            </w:pPr>
            <w:r>
              <w:rPr>
                <w:b/>
                <w:sz w:val="22"/>
                <w:szCs w:val="22"/>
                <w:lang w:val="sr-Latn-ME"/>
              </w:rPr>
              <w:t>Poremećaji metabolizma i ishrane</w:t>
            </w:r>
          </w:p>
        </w:tc>
        <w:tc>
          <w:tcPr>
            <w:tcW w:w="4109" w:type="dxa"/>
            <w:shd w:val="clear" w:color="auto" w:fill="auto"/>
          </w:tcPr>
          <w:p w14:paraId="77106133" w14:textId="77777777" w:rsidR="00BE1AF0" w:rsidRDefault="00BE1AF0">
            <w:pPr>
              <w:autoSpaceDE w:val="0"/>
              <w:autoSpaceDN w:val="0"/>
              <w:adjustRightInd w:val="0"/>
              <w:jc w:val="both"/>
              <w:rPr>
                <w:sz w:val="22"/>
                <w:szCs w:val="22"/>
                <w:lang w:val="sr-Latn-ME"/>
              </w:rPr>
            </w:pPr>
          </w:p>
        </w:tc>
      </w:tr>
      <w:tr w:rsidR="00BE1AF0" w14:paraId="3EC35D4C" w14:textId="77777777">
        <w:trPr>
          <w:jc w:val="center"/>
        </w:trPr>
        <w:tc>
          <w:tcPr>
            <w:tcW w:w="4954" w:type="dxa"/>
            <w:shd w:val="clear" w:color="auto" w:fill="auto"/>
          </w:tcPr>
          <w:p w14:paraId="706EC33C" w14:textId="77777777" w:rsidR="00BE1AF0" w:rsidRDefault="004F0139">
            <w:pPr>
              <w:autoSpaceDE w:val="0"/>
              <w:autoSpaceDN w:val="0"/>
              <w:adjustRightInd w:val="0"/>
              <w:jc w:val="both"/>
              <w:rPr>
                <w:sz w:val="22"/>
                <w:szCs w:val="22"/>
                <w:lang w:val="sr-Latn-ME"/>
              </w:rPr>
            </w:pPr>
            <w:r>
              <w:rPr>
                <w:sz w:val="22"/>
                <w:szCs w:val="22"/>
                <w:lang w:val="sr-Latn-ME"/>
              </w:rPr>
              <w:t>hipoglikemija</w:t>
            </w:r>
            <w:r>
              <w:rPr>
                <w:sz w:val="22"/>
                <w:szCs w:val="22"/>
                <w:vertAlign w:val="superscript"/>
                <w:lang w:val="sr-Latn-ME"/>
              </w:rPr>
              <w:t xml:space="preserve">† </w:t>
            </w:r>
          </w:p>
        </w:tc>
        <w:tc>
          <w:tcPr>
            <w:tcW w:w="4109" w:type="dxa"/>
            <w:shd w:val="clear" w:color="auto" w:fill="auto"/>
          </w:tcPr>
          <w:p w14:paraId="6444CEEE" w14:textId="77777777" w:rsidR="00BE1AF0" w:rsidRDefault="004F0139">
            <w:pPr>
              <w:autoSpaceDE w:val="0"/>
              <w:autoSpaceDN w:val="0"/>
              <w:adjustRightInd w:val="0"/>
              <w:jc w:val="both"/>
              <w:rPr>
                <w:sz w:val="22"/>
                <w:szCs w:val="22"/>
                <w:lang w:val="sr-Latn-ME"/>
              </w:rPr>
            </w:pPr>
            <w:r>
              <w:rPr>
                <w:sz w:val="22"/>
                <w:szCs w:val="22"/>
                <w:lang w:val="sr-Latn-ME"/>
              </w:rPr>
              <w:t>Često</w:t>
            </w:r>
          </w:p>
        </w:tc>
      </w:tr>
      <w:tr w:rsidR="00BE1AF0" w14:paraId="3BEDAF37" w14:textId="77777777">
        <w:trPr>
          <w:jc w:val="center"/>
        </w:trPr>
        <w:tc>
          <w:tcPr>
            <w:tcW w:w="4954" w:type="dxa"/>
            <w:shd w:val="clear" w:color="auto" w:fill="auto"/>
          </w:tcPr>
          <w:p w14:paraId="67DF0878" w14:textId="697EF298" w:rsidR="00BE1AF0" w:rsidRDefault="00384E10">
            <w:pPr>
              <w:autoSpaceDE w:val="0"/>
              <w:autoSpaceDN w:val="0"/>
              <w:adjustRightInd w:val="0"/>
              <w:jc w:val="both"/>
              <w:rPr>
                <w:sz w:val="22"/>
                <w:szCs w:val="22"/>
                <w:lang w:val="sr-Latn-ME"/>
              </w:rPr>
            </w:pPr>
            <w:r>
              <w:rPr>
                <w:noProof/>
                <w:sz w:val="22"/>
                <w:szCs w:val="22"/>
                <w:lang w:val="en-GB"/>
              </w:rPr>
              <w:t>s</w:t>
            </w:r>
            <w:r w:rsidR="004F0139">
              <w:rPr>
                <w:noProof/>
                <w:sz w:val="22"/>
                <w:szCs w:val="22"/>
                <w:lang w:val="en-GB"/>
              </w:rPr>
              <w:t>nižena vrijednost/</w:t>
            </w:r>
            <w:r>
              <w:rPr>
                <w:noProof/>
                <w:sz w:val="22"/>
                <w:szCs w:val="22"/>
                <w:lang w:val="en-GB"/>
              </w:rPr>
              <w:t>d</w:t>
            </w:r>
            <w:r w:rsidR="004F0139">
              <w:rPr>
                <w:noProof/>
                <w:sz w:val="22"/>
                <w:szCs w:val="22"/>
                <w:lang w:val="en-GB"/>
              </w:rPr>
              <w:t>eficit vitamina B</w:t>
            </w:r>
            <w:r w:rsidR="004F0139">
              <w:rPr>
                <w:noProof/>
                <w:sz w:val="22"/>
                <w:szCs w:val="22"/>
                <w:vertAlign w:val="subscript"/>
                <w:lang w:val="en-GB"/>
              </w:rPr>
              <w:t>12</w:t>
            </w:r>
            <w:r w:rsidR="004F0139">
              <w:rPr>
                <w:noProof/>
                <w:sz w:val="22"/>
                <w:szCs w:val="22"/>
                <w:lang w:val="en-GB"/>
              </w:rPr>
              <w:t xml:space="preserve"> </w:t>
            </w:r>
            <w:r w:rsidR="004F0139">
              <w:rPr>
                <w:noProof/>
                <w:sz w:val="22"/>
                <w:szCs w:val="22"/>
                <w:vertAlign w:val="superscript"/>
                <w:lang w:val="en-GB"/>
              </w:rPr>
              <w:t>†</w:t>
            </w:r>
          </w:p>
        </w:tc>
        <w:tc>
          <w:tcPr>
            <w:tcW w:w="4109" w:type="dxa"/>
            <w:shd w:val="clear" w:color="auto" w:fill="auto"/>
          </w:tcPr>
          <w:p w14:paraId="7254D7F4" w14:textId="77777777" w:rsidR="00BE1AF0" w:rsidRDefault="004F0139">
            <w:pPr>
              <w:autoSpaceDE w:val="0"/>
              <w:autoSpaceDN w:val="0"/>
              <w:adjustRightInd w:val="0"/>
              <w:jc w:val="both"/>
              <w:rPr>
                <w:sz w:val="22"/>
                <w:szCs w:val="22"/>
                <w:lang w:val="sr-Latn-ME"/>
              </w:rPr>
            </w:pPr>
            <w:r>
              <w:rPr>
                <w:sz w:val="22"/>
                <w:szCs w:val="22"/>
                <w:lang w:val="sr-Latn-ME"/>
              </w:rPr>
              <w:t>Često</w:t>
            </w:r>
          </w:p>
        </w:tc>
      </w:tr>
      <w:tr w:rsidR="00BE1AF0" w14:paraId="07846FF2" w14:textId="77777777">
        <w:trPr>
          <w:jc w:val="center"/>
        </w:trPr>
        <w:tc>
          <w:tcPr>
            <w:tcW w:w="4954" w:type="dxa"/>
            <w:shd w:val="clear" w:color="auto" w:fill="auto"/>
          </w:tcPr>
          <w:p w14:paraId="2867A953"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2BD78E8D" w14:textId="77777777" w:rsidR="00BE1AF0" w:rsidRDefault="00BE1AF0">
            <w:pPr>
              <w:autoSpaceDE w:val="0"/>
              <w:autoSpaceDN w:val="0"/>
              <w:adjustRightInd w:val="0"/>
              <w:jc w:val="both"/>
              <w:rPr>
                <w:sz w:val="22"/>
                <w:szCs w:val="22"/>
                <w:lang w:val="sr-Latn-ME"/>
              </w:rPr>
            </w:pPr>
          </w:p>
        </w:tc>
      </w:tr>
      <w:tr w:rsidR="00BE1AF0" w14:paraId="2B86175E" w14:textId="77777777">
        <w:trPr>
          <w:jc w:val="center"/>
        </w:trPr>
        <w:tc>
          <w:tcPr>
            <w:tcW w:w="4954" w:type="dxa"/>
            <w:shd w:val="clear" w:color="auto" w:fill="auto"/>
          </w:tcPr>
          <w:p w14:paraId="7EC75DA5" w14:textId="77777777" w:rsidR="00BE1AF0" w:rsidRDefault="004F0139">
            <w:pPr>
              <w:autoSpaceDE w:val="0"/>
              <w:autoSpaceDN w:val="0"/>
              <w:adjustRightInd w:val="0"/>
              <w:jc w:val="both"/>
              <w:rPr>
                <w:b/>
                <w:sz w:val="22"/>
                <w:szCs w:val="22"/>
                <w:lang w:val="sr-Latn-ME"/>
              </w:rPr>
            </w:pPr>
            <w:r>
              <w:rPr>
                <w:b/>
                <w:sz w:val="22"/>
                <w:szCs w:val="22"/>
                <w:lang w:val="sr-Latn-ME"/>
              </w:rPr>
              <w:t>Poremećaji nervnog sistema</w:t>
            </w:r>
          </w:p>
        </w:tc>
        <w:tc>
          <w:tcPr>
            <w:tcW w:w="4109" w:type="dxa"/>
            <w:shd w:val="clear" w:color="auto" w:fill="auto"/>
          </w:tcPr>
          <w:p w14:paraId="41606EC3" w14:textId="77777777" w:rsidR="00BE1AF0" w:rsidRDefault="00BE1AF0">
            <w:pPr>
              <w:autoSpaceDE w:val="0"/>
              <w:autoSpaceDN w:val="0"/>
              <w:adjustRightInd w:val="0"/>
              <w:jc w:val="both"/>
              <w:rPr>
                <w:sz w:val="22"/>
                <w:szCs w:val="22"/>
                <w:lang w:val="sr-Latn-ME"/>
              </w:rPr>
            </w:pPr>
          </w:p>
        </w:tc>
      </w:tr>
      <w:tr w:rsidR="00BE1AF0" w14:paraId="3C6ABEBE" w14:textId="77777777">
        <w:trPr>
          <w:jc w:val="center"/>
        </w:trPr>
        <w:tc>
          <w:tcPr>
            <w:tcW w:w="4954" w:type="dxa"/>
            <w:shd w:val="clear" w:color="auto" w:fill="auto"/>
          </w:tcPr>
          <w:p w14:paraId="523B3389" w14:textId="77777777" w:rsidR="00BE1AF0" w:rsidRDefault="004F0139">
            <w:pPr>
              <w:autoSpaceDE w:val="0"/>
              <w:autoSpaceDN w:val="0"/>
              <w:adjustRightInd w:val="0"/>
              <w:jc w:val="both"/>
              <w:rPr>
                <w:sz w:val="22"/>
                <w:szCs w:val="22"/>
                <w:lang w:val="sr-Latn-ME"/>
              </w:rPr>
            </w:pPr>
            <w:r>
              <w:rPr>
                <w:sz w:val="22"/>
                <w:szCs w:val="22"/>
                <w:lang w:val="sr-Latn-ME"/>
              </w:rPr>
              <w:t>pospanost</w:t>
            </w:r>
          </w:p>
        </w:tc>
        <w:tc>
          <w:tcPr>
            <w:tcW w:w="4109" w:type="dxa"/>
            <w:shd w:val="clear" w:color="auto" w:fill="auto"/>
          </w:tcPr>
          <w:p w14:paraId="4434E610" w14:textId="77777777" w:rsidR="00BE1AF0" w:rsidRDefault="004F0139">
            <w:pPr>
              <w:autoSpaceDE w:val="0"/>
              <w:autoSpaceDN w:val="0"/>
              <w:adjustRightInd w:val="0"/>
              <w:jc w:val="both"/>
              <w:rPr>
                <w:sz w:val="22"/>
                <w:szCs w:val="22"/>
                <w:lang w:val="sr-Latn-ME"/>
              </w:rPr>
            </w:pPr>
            <w:r>
              <w:rPr>
                <w:sz w:val="22"/>
                <w:szCs w:val="22"/>
                <w:lang w:val="sr-Latn-ME"/>
              </w:rPr>
              <w:t>Povremeno</w:t>
            </w:r>
          </w:p>
        </w:tc>
      </w:tr>
      <w:tr w:rsidR="00BE1AF0" w14:paraId="39405F83" w14:textId="77777777">
        <w:trPr>
          <w:jc w:val="center"/>
        </w:trPr>
        <w:tc>
          <w:tcPr>
            <w:tcW w:w="4954" w:type="dxa"/>
            <w:shd w:val="clear" w:color="auto" w:fill="auto"/>
          </w:tcPr>
          <w:p w14:paraId="66244B13"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1960FFC1" w14:textId="77777777" w:rsidR="00BE1AF0" w:rsidRDefault="00BE1AF0">
            <w:pPr>
              <w:autoSpaceDE w:val="0"/>
              <w:autoSpaceDN w:val="0"/>
              <w:adjustRightInd w:val="0"/>
              <w:jc w:val="both"/>
              <w:rPr>
                <w:sz w:val="22"/>
                <w:szCs w:val="22"/>
                <w:lang w:val="sr-Latn-ME"/>
              </w:rPr>
            </w:pPr>
          </w:p>
        </w:tc>
      </w:tr>
      <w:tr w:rsidR="00BE1AF0" w14:paraId="17FA6EE5" w14:textId="77777777">
        <w:trPr>
          <w:jc w:val="center"/>
        </w:trPr>
        <w:tc>
          <w:tcPr>
            <w:tcW w:w="4954" w:type="dxa"/>
            <w:shd w:val="clear" w:color="auto" w:fill="auto"/>
          </w:tcPr>
          <w:p w14:paraId="759CFA9B" w14:textId="77777777" w:rsidR="00BE1AF0" w:rsidRDefault="004F0139">
            <w:pPr>
              <w:autoSpaceDE w:val="0"/>
              <w:autoSpaceDN w:val="0"/>
              <w:adjustRightInd w:val="0"/>
              <w:jc w:val="both"/>
              <w:rPr>
                <w:b/>
                <w:sz w:val="22"/>
                <w:szCs w:val="22"/>
                <w:lang w:val="sr-Latn-ME"/>
              </w:rPr>
            </w:pPr>
            <w:r>
              <w:rPr>
                <w:b/>
                <w:sz w:val="22"/>
                <w:szCs w:val="22"/>
                <w:lang w:val="sr-Latn-ME"/>
              </w:rPr>
              <w:t>Respiratorni, torakalni i medijastinalni poremećaji</w:t>
            </w:r>
          </w:p>
        </w:tc>
        <w:tc>
          <w:tcPr>
            <w:tcW w:w="4109" w:type="dxa"/>
            <w:shd w:val="clear" w:color="auto" w:fill="auto"/>
          </w:tcPr>
          <w:p w14:paraId="2246FA3B" w14:textId="77777777" w:rsidR="00BE1AF0" w:rsidRDefault="00BE1AF0">
            <w:pPr>
              <w:autoSpaceDE w:val="0"/>
              <w:autoSpaceDN w:val="0"/>
              <w:adjustRightInd w:val="0"/>
              <w:jc w:val="both"/>
              <w:rPr>
                <w:sz w:val="22"/>
                <w:szCs w:val="22"/>
                <w:lang w:val="sr-Latn-ME"/>
              </w:rPr>
            </w:pPr>
          </w:p>
        </w:tc>
      </w:tr>
      <w:tr w:rsidR="00BE1AF0" w14:paraId="7E3D44E3" w14:textId="77777777">
        <w:trPr>
          <w:jc w:val="center"/>
        </w:trPr>
        <w:tc>
          <w:tcPr>
            <w:tcW w:w="4954" w:type="dxa"/>
            <w:shd w:val="clear" w:color="auto" w:fill="auto"/>
          </w:tcPr>
          <w:p w14:paraId="7D7D0946" w14:textId="77777777" w:rsidR="00BE1AF0" w:rsidRDefault="004F0139">
            <w:pPr>
              <w:autoSpaceDE w:val="0"/>
              <w:autoSpaceDN w:val="0"/>
              <w:adjustRightInd w:val="0"/>
              <w:jc w:val="both"/>
              <w:rPr>
                <w:sz w:val="22"/>
                <w:szCs w:val="22"/>
                <w:lang w:val="sr-Latn-ME"/>
              </w:rPr>
            </w:pPr>
            <w:r>
              <w:rPr>
                <w:sz w:val="22"/>
                <w:szCs w:val="22"/>
                <w:lang w:val="sr-Latn-ME"/>
              </w:rPr>
              <w:t>intersticijalna bolest pluća</w:t>
            </w:r>
            <w:r>
              <w:rPr>
                <w:sz w:val="22"/>
                <w:szCs w:val="22"/>
                <w:vertAlign w:val="superscript"/>
                <w:lang w:val="sr-Latn-ME"/>
              </w:rPr>
              <w:t>*</w:t>
            </w:r>
          </w:p>
        </w:tc>
        <w:tc>
          <w:tcPr>
            <w:tcW w:w="4109" w:type="dxa"/>
            <w:shd w:val="clear" w:color="auto" w:fill="auto"/>
          </w:tcPr>
          <w:p w14:paraId="40D9CA93"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4690E046" w14:textId="77777777">
        <w:trPr>
          <w:jc w:val="center"/>
        </w:trPr>
        <w:tc>
          <w:tcPr>
            <w:tcW w:w="4954" w:type="dxa"/>
            <w:shd w:val="clear" w:color="auto" w:fill="auto"/>
          </w:tcPr>
          <w:p w14:paraId="0F88B05A"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09E23827" w14:textId="77777777" w:rsidR="00BE1AF0" w:rsidRDefault="00BE1AF0">
            <w:pPr>
              <w:autoSpaceDE w:val="0"/>
              <w:autoSpaceDN w:val="0"/>
              <w:adjustRightInd w:val="0"/>
              <w:jc w:val="both"/>
              <w:rPr>
                <w:sz w:val="22"/>
                <w:szCs w:val="22"/>
                <w:lang w:val="sr-Latn-ME"/>
              </w:rPr>
            </w:pPr>
          </w:p>
        </w:tc>
      </w:tr>
      <w:tr w:rsidR="00BE1AF0" w14:paraId="316F7CB3" w14:textId="77777777">
        <w:trPr>
          <w:jc w:val="center"/>
        </w:trPr>
        <w:tc>
          <w:tcPr>
            <w:tcW w:w="4954" w:type="dxa"/>
            <w:shd w:val="clear" w:color="auto" w:fill="auto"/>
          </w:tcPr>
          <w:p w14:paraId="3EF8A86F" w14:textId="77777777" w:rsidR="00BE1AF0" w:rsidRDefault="004F0139">
            <w:pPr>
              <w:autoSpaceDE w:val="0"/>
              <w:autoSpaceDN w:val="0"/>
              <w:adjustRightInd w:val="0"/>
              <w:jc w:val="both"/>
              <w:rPr>
                <w:b/>
                <w:sz w:val="22"/>
                <w:szCs w:val="22"/>
                <w:lang w:val="sr-Latn-ME"/>
              </w:rPr>
            </w:pPr>
            <w:r>
              <w:rPr>
                <w:b/>
                <w:sz w:val="22"/>
                <w:szCs w:val="22"/>
                <w:lang w:val="sr-Latn-ME"/>
              </w:rPr>
              <w:t>Gastrointestinalni poremećaji</w:t>
            </w:r>
          </w:p>
        </w:tc>
        <w:tc>
          <w:tcPr>
            <w:tcW w:w="4109" w:type="dxa"/>
            <w:shd w:val="clear" w:color="auto" w:fill="auto"/>
          </w:tcPr>
          <w:p w14:paraId="64627D58" w14:textId="77777777" w:rsidR="00BE1AF0" w:rsidRDefault="00BE1AF0">
            <w:pPr>
              <w:autoSpaceDE w:val="0"/>
              <w:autoSpaceDN w:val="0"/>
              <w:adjustRightInd w:val="0"/>
              <w:jc w:val="both"/>
              <w:rPr>
                <w:sz w:val="22"/>
                <w:szCs w:val="22"/>
                <w:lang w:val="sr-Latn-ME"/>
              </w:rPr>
            </w:pPr>
          </w:p>
        </w:tc>
      </w:tr>
      <w:tr w:rsidR="00BE1AF0" w14:paraId="67028C68" w14:textId="77777777">
        <w:trPr>
          <w:jc w:val="center"/>
        </w:trPr>
        <w:tc>
          <w:tcPr>
            <w:tcW w:w="4954" w:type="dxa"/>
            <w:shd w:val="clear" w:color="auto" w:fill="auto"/>
          </w:tcPr>
          <w:p w14:paraId="1D0FAFCD" w14:textId="77777777" w:rsidR="00BE1AF0" w:rsidRDefault="004F0139">
            <w:pPr>
              <w:autoSpaceDE w:val="0"/>
              <w:autoSpaceDN w:val="0"/>
              <w:adjustRightInd w:val="0"/>
              <w:jc w:val="both"/>
              <w:rPr>
                <w:sz w:val="22"/>
                <w:szCs w:val="22"/>
                <w:lang w:val="sr-Latn-ME"/>
              </w:rPr>
            </w:pPr>
            <w:r>
              <w:rPr>
                <w:sz w:val="22"/>
                <w:szCs w:val="22"/>
                <w:lang w:val="sr-Latn-ME"/>
              </w:rPr>
              <w:t>dijareja</w:t>
            </w:r>
          </w:p>
        </w:tc>
        <w:tc>
          <w:tcPr>
            <w:tcW w:w="4109" w:type="dxa"/>
            <w:shd w:val="clear" w:color="auto" w:fill="auto"/>
          </w:tcPr>
          <w:p w14:paraId="7DD81DF7" w14:textId="77777777" w:rsidR="00BE1AF0" w:rsidRDefault="004F0139">
            <w:pPr>
              <w:autoSpaceDE w:val="0"/>
              <w:autoSpaceDN w:val="0"/>
              <w:adjustRightInd w:val="0"/>
              <w:jc w:val="both"/>
              <w:rPr>
                <w:sz w:val="22"/>
                <w:szCs w:val="22"/>
                <w:lang w:val="sr-Latn-ME"/>
              </w:rPr>
            </w:pPr>
            <w:r>
              <w:rPr>
                <w:sz w:val="22"/>
                <w:szCs w:val="22"/>
                <w:lang w:val="sr-Latn-ME"/>
              </w:rPr>
              <w:t>Povremeno</w:t>
            </w:r>
          </w:p>
        </w:tc>
      </w:tr>
      <w:tr w:rsidR="00BE1AF0" w14:paraId="1D3B82DA" w14:textId="77777777">
        <w:trPr>
          <w:jc w:val="center"/>
        </w:trPr>
        <w:tc>
          <w:tcPr>
            <w:tcW w:w="4954" w:type="dxa"/>
            <w:shd w:val="clear" w:color="auto" w:fill="auto"/>
          </w:tcPr>
          <w:p w14:paraId="67D15F66" w14:textId="77777777" w:rsidR="00BE1AF0" w:rsidRDefault="004F0139">
            <w:pPr>
              <w:autoSpaceDE w:val="0"/>
              <w:autoSpaceDN w:val="0"/>
              <w:adjustRightInd w:val="0"/>
              <w:jc w:val="both"/>
              <w:rPr>
                <w:sz w:val="22"/>
                <w:szCs w:val="22"/>
                <w:lang w:val="sr-Latn-ME"/>
              </w:rPr>
            </w:pPr>
            <w:r>
              <w:rPr>
                <w:sz w:val="22"/>
                <w:szCs w:val="22"/>
                <w:lang w:val="sr-Latn-ME"/>
              </w:rPr>
              <w:t xml:space="preserve">mučnina </w:t>
            </w:r>
          </w:p>
        </w:tc>
        <w:tc>
          <w:tcPr>
            <w:tcW w:w="4109" w:type="dxa"/>
            <w:shd w:val="clear" w:color="auto" w:fill="auto"/>
          </w:tcPr>
          <w:p w14:paraId="6645C24A" w14:textId="77777777" w:rsidR="00BE1AF0" w:rsidRDefault="004F0139">
            <w:pPr>
              <w:autoSpaceDE w:val="0"/>
              <w:autoSpaceDN w:val="0"/>
              <w:adjustRightInd w:val="0"/>
              <w:jc w:val="both"/>
              <w:rPr>
                <w:sz w:val="22"/>
                <w:szCs w:val="22"/>
                <w:lang w:val="sr-Latn-ME"/>
              </w:rPr>
            </w:pPr>
            <w:r>
              <w:rPr>
                <w:sz w:val="22"/>
                <w:szCs w:val="22"/>
                <w:lang w:val="sr-Latn-ME"/>
              </w:rPr>
              <w:t>Često</w:t>
            </w:r>
          </w:p>
        </w:tc>
      </w:tr>
      <w:tr w:rsidR="00BE1AF0" w14:paraId="1C2EBA82" w14:textId="77777777">
        <w:trPr>
          <w:jc w:val="center"/>
        </w:trPr>
        <w:tc>
          <w:tcPr>
            <w:tcW w:w="4954" w:type="dxa"/>
            <w:shd w:val="clear" w:color="auto" w:fill="auto"/>
          </w:tcPr>
          <w:p w14:paraId="0F17A33D" w14:textId="77777777" w:rsidR="00BE1AF0" w:rsidRDefault="004F0139">
            <w:pPr>
              <w:autoSpaceDE w:val="0"/>
              <w:autoSpaceDN w:val="0"/>
              <w:adjustRightInd w:val="0"/>
              <w:jc w:val="both"/>
              <w:rPr>
                <w:sz w:val="22"/>
                <w:szCs w:val="22"/>
                <w:lang w:val="sr-Latn-ME"/>
              </w:rPr>
            </w:pPr>
            <w:r>
              <w:rPr>
                <w:sz w:val="22"/>
                <w:szCs w:val="22"/>
                <w:lang w:val="sr-Latn-ME"/>
              </w:rPr>
              <w:t xml:space="preserve">flatulencija </w:t>
            </w:r>
          </w:p>
        </w:tc>
        <w:tc>
          <w:tcPr>
            <w:tcW w:w="4109" w:type="dxa"/>
            <w:shd w:val="clear" w:color="auto" w:fill="auto"/>
          </w:tcPr>
          <w:p w14:paraId="18DE1DED" w14:textId="77777777" w:rsidR="00BE1AF0" w:rsidRDefault="004F0139">
            <w:pPr>
              <w:autoSpaceDE w:val="0"/>
              <w:autoSpaceDN w:val="0"/>
              <w:adjustRightInd w:val="0"/>
              <w:jc w:val="both"/>
              <w:rPr>
                <w:sz w:val="22"/>
                <w:szCs w:val="22"/>
                <w:lang w:val="sr-Latn-ME"/>
              </w:rPr>
            </w:pPr>
            <w:r>
              <w:rPr>
                <w:sz w:val="22"/>
                <w:szCs w:val="22"/>
                <w:lang w:val="sr-Latn-ME"/>
              </w:rPr>
              <w:t>Često</w:t>
            </w:r>
          </w:p>
        </w:tc>
      </w:tr>
      <w:tr w:rsidR="00BE1AF0" w14:paraId="7B8D760B" w14:textId="77777777">
        <w:trPr>
          <w:jc w:val="center"/>
        </w:trPr>
        <w:tc>
          <w:tcPr>
            <w:tcW w:w="4954" w:type="dxa"/>
            <w:shd w:val="clear" w:color="auto" w:fill="auto"/>
          </w:tcPr>
          <w:p w14:paraId="47B5C38D" w14:textId="77777777" w:rsidR="00BE1AF0" w:rsidRDefault="004F0139">
            <w:pPr>
              <w:autoSpaceDE w:val="0"/>
              <w:autoSpaceDN w:val="0"/>
              <w:adjustRightInd w:val="0"/>
              <w:jc w:val="both"/>
              <w:rPr>
                <w:sz w:val="22"/>
                <w:szCs w:val="22"/>
                <w:lang w:val="sr-Latn-ME"/>
              </w:rPr>
            </w:pPr>
            <w:r>
              <w:rPr>
                <w:sz w:val="22"/>
                <w:szCs w:val="22"/>
                <w:lang w:val="sr-Latn-ME"/>
              </w:rPr>
              <w:t xml:space="preserve">konstipacija </w:t>
            </w:r>
          </w:p>
        </w:tc>
        <w:tc>
          <w:tcPr>
            <w:tcW w:w="4109" w:type="dxa"/>
            <w:shd w:val="clear" w:color="auto" w:fill="auto"/>
          </w:tcPr>
          <w:p w14:paraId="231BC626" w14:textId="77777777" w:rsidR="00BE1AF0" w:rsidRDefault="004F0139">
            <w:pPr>
              <w:autoSpaceDE w:val="0"/>
              <w:autoSpaceDN w:val="0"/>
              <w:adjustRightInd w:val="0"/>
              <w:jc w:val="both"/>
              <w:rPr>
                <w:sz w:val="22"/>
                <w:szCs w:val="22"/>
                <w:lang w:val="sr-Latn-ME"/>
              </w:rPr>
            </w:pPr>
            <w:r>
              <w:rPr>
                <w:sz w:val="22"/>
                <w:szCs w:val="22"/>
                <w:lang w:val="sr-Latn-ME"/>
              </w:rPr>
              <w:t>Povremeno</w:t>
            </w:r>
          </w:p>
        </w:tc>
      </w:tr>
      <w:tr w:rsidR="00BE1AF0" w14:paraId="27AF39E8" w14:textId="77777777">
        <w:trPr>
          <w:jc w:val="center"/>
        </w:trPr>
        <w:tc>
          <w:tcPr>
            <w:tcW w:w="4954" w:type="dxa"/>
            <w:shd w:val="clear" w:color="auto" w:fill="auto"/>
          </w:tcPr>
          <w:p w14:paraId="7CF686D1" w14:textId="77777777" w:rsidR="00BE1AF0" w:rsidRDefault="004F0139">
            <w:pPr>
              <w:autoSpaceDE w:val="0"/>
              <w:autoSpaceDN w:val="0"/>
              <w:adjustRightInd w:val="0"/>
              <w:jc w:val="both"/>
              <w:rPr>
                <w:sz w:val="22"/>
                <w:szCs w:val="22"/>
                <w:lang w:val="sr-Latn-ME"/>
              </w:rPr>
            </w:pPr>
            <w:r>
              <w:rPr>
                <w:sz w:val="22"/>
                <w:szCs w:val="22"/>
                <w:lang w:val="sr-Latn-ME"/>
              </w:rPr>
              <w:t xml:space="preserve">bol u gornjem dijelu abdomena </w:t>
            </w:r>
          </w:p>
        </w:tc>
        <w:tc>
          <w:tcPr>
            <w:tcW w:w="4109" w:type="dxa"/>
            <w:shd w:val="clear" w:color="auto" w:fill="auto"/>
          </w:tcPr>
          <w:p w14:paraId="189F05D3" w14:textId="77777777" w:rsidR="00BE1AF0" w:rsidRDefault="004F0139">
            <w:pPr>
              <w:autoSpaceDE w:val="0"/>
              <w:autoSpaceDN w:val="0"/>
              <w:adjustRightInd w:val="0"/>
              <w:jc w:val="both"/>
              <w:rPr>
                <w:sz w:val="22"/>
                <w:szCs w:val="22"/>
                <w:lang w:val="sr-Latn-ME"/>
              </w:rPr>
            </w:pPr>
            <w:r>
              <w:rPr>
                <w:sz w:val="22"/>
                <w:szCs w:val="22"/>
                <w:lang w:val="sr-Latn-ME"/>
              </w:rPr>
              <w:t>Povremeno</w:t>
            </w:r>
          </w:p>
        </w:tc>
      </w:tr>
      <w:tr w:rsidR="00BE1AF0" w14:paraId="5ADCF0E2" w14:textId="77777777">
        <w:trPr>
          <w:jc w:val="center"/>
        </w:trPr>
        <w:tc>
          <w:tcPr>
            <w:tcW w:w="4954" w:type="dxa"/>
            <w:shd w:val="clear" w:color="auto" w:fill="auto"/>
          </w:tcPr>
          <w:p w14:paraId="084D5359" w14:textId="77777777" w:rsidR="00BE1AF0" w:rsidRDefault="004F0139">
            <w:pPr>
              <w:autoSpaceDE w:val="0"/>
              <w:autoSpaceDN w:val="0"/>
              <w:adjustRightInd w:val="0"/>
              <w:jc w:val="both"/>
              <w:rPr>
                <w:sz w:val="22"/>
                <w:szCs w:val="22"/>
                <w:lang w:val="sr-Latn-ME"/>
              </w:rPr>
            </w:pPr>
            <w:r>
              <w:rPr>
                <w:sz w:val="22"/>
                <w:szCs w:val="22"/>
                <w:lang w:val="sr-Latn-ME"/>
              </w:rPr>
              <w:t xml:space="preserve">povraćanje </w:t>
            </w:r>
          </w:p>
        </w:tc>
        <w:tc>
          <w:tcPr>
            <w:tcW w:w="4109" w:type="dxa"/>
            <w:shd w:val="clear" w:color="auto" w:fill="auto"/>
          </w:tcPr>
          <w:p w14:paraId="19833D8C" w14:textId="77777777" w:rsidR="00BE1AF0" w:rsidRDefault="004F0139">
            <w:pPr>
              <w:autoSpaceDE w:val="0"/>
              <w:autoSpaceDN w:val="0"/>
              <w:adjustRightInd w:val="0"/>
              <w:jc w:val="both"/>
              <w:rPr>
                <w:sz w:val="22"/>
                <w:szCs w:val="22"/>
                <w:lang w:val="sr-Latn-ME"/>
              </w:rPr>
            </w:pPr>
            <w:r>
              <w:rPr>
                <w:sz w:val="22"/>
                <w:szCs w:val="22"/>
                <w:lang w:val="sr-Latn-ME"/>
              </w:rPr>
              <w:t>Često</w:t>
            </w:r>
          </w:p>
        </w:tc>
      </w:tr>
      <w:tr w:rsidR="00BE1AF0" w14:paraId="0D41756D" w14:textId="77777777">
        <w:trPr>
          <w:jc w:val="center"/>
        </w:trPr>
        <w:tc>
          <w:tcPr>
            <w:tcW w:w="4954" w:type="dxa"/>
            <w:shd w:val="clear" w:color="auto" w:fill="auto"/>
          </w:tcPr>
          <w:p w14:paraId="691203D0" w14:textId="77777777" w:rsidR="00BE1AF0" w:rsidRDefault="004F0139">
            <w:pPr>
              <w:autoSpaceDE w:val="0"/>
              <w:autoSpaceDN w:val="0"/>
              <w:adjustRightInd w:val="0"/>
              <w:jc w:val="both"/>
              <w:rPr>
                <w:sz w:val="22"/>
                <w:szCs w:val="22"/>
                <w:vertAlign w:val="superscript"/>
                <w:lang w:val="sr-Latn-ME"/>
              </w:rPr>
            </w:pPr>
            <w:r>
              <w:rPr>
                <w:sz w:val="22"/>
                <w:szCs w:val="22"/>
                <w:lang w:val="sr-Latn-ME"/>
              </w:rPr>
              <w:t>akutni pankreatitis</w:t>
            </w:r>
            <w:r>
              <w:rPr>
                <w:sz w:val="22"/>
                <w:szCs w:val="22"/>
                <w:vertAlign w:val="superscript"/>
                <w:lang w:val="sr-Latn-ME"/>
              </w:rPr>
              <w:t xml:space="preserve">*,†,‡ </w:t>
            </w:r>
          </w:p>
        </w:tc>
        <w:tc>
          <w:tcPr>
            <w:tcW w:w="4109" w:type="dxa"/>
            <w:shd w:val="clear" w:color="auto" w:fill="auto"/>
          </w:tcPr>
          <w:p w14:paraId="73292A1C"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42F24E34" w14:textId="77777777">
        <w:trPr>
          <w:jc w:val="center"/>
        </w:trPr>
        <w:tc>
          <w:tcPr>
            <w:tcW w:w="4954" w:type="dxa"/>
            <w:shd w:val="clear" w:color="auto" w:fill="auto"/>
          </w:tcPr>
          <w:p w14:paraId="234296D0" w14:textId="77777777" w:rsidR="00BE1AF0" w:rsidRDefault="004F0139">
            <w:pPr>
              <w:autoSpaceDE w:val="0"/>
              <w:autoSpaceDN w:val="0"/>
              <w:adjustRightInd w:val="0"/>
              <w:jc w:val="both"/>
              <w:rPr>
                <w:sz w:val="22"/>
                <w:szCs w:val="22"/>
                <w:lang w:val="sr-Latn-ME"/>
              </w:rPr>
            </w:pPr>
            <w:r>
              <w:rPr>
                <w:sz w:val="22"/>
                <w:szCs w:val="22"/>
                <w:lang w:val="sr-Latn-ME"/>
              </w:rPr>
              <w:t>hemoragijski i nekrotizirajući pankreatitis sa smrtnim ishodom ili bez njega</w:t>
            </w:r>
            <w:r>
              <w:rPr>
                <w:sz w:val="22"/>
                <w:szCs w:val="22"/>
                <w:vertAlign w:val="superscript"/>
                <w:lang w:val="sr-Latn-ME"/>
              </w:rPr>
              <w:t>*,†</w:t>
            </w:r>
          </w:p>
        </w:tc>
        <w:tc>
          <w:tcPr>
            <w:tcW w:w="4109" w:type="dxa"/>
            <w:shd w:val="clear" w:color="auto" w:fill="auto"/>
          </w:tcPr>
          <w:p w14:paraId="4CA07697"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1F2E2AB1" w14:textId="77777777">
        <w:trPr>
          <w:jc w:val="center"/>
        </w:trPr>
        <w:tc>
          <w:tcPr>
            <w:tcW w:w="4954" w:type="dxa"/>
            <w:shd w:val="clear" w:color="auto" w:fill="auto"/>
          </w:tcPr>
          <w:p w14:paraId="64AF0871"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29E3B1F1" w14:textId="77777777" w:rsidR="00BE1AF0" w:rsidRDefault="00BE1AF0">
            <w:pPr>
              <w:autoSpaceDE w:val="0"/>
              <w:autoSpaceDN w:val="0"/>
              <w:adjustRightInd w:val="0"/>
              <w:jc w:val="both"/>
              <w:rPr>
                <w:sz w:val="22"/>
                <w:szCs w:val="22"/>
                <w:lang w:val="sr-Latn-ME"/>
              </w:rPr>
            </w:pPr>
          </w:p>
        </w:tc>
      </w:tr>
      <w:tr w:rsidR="00BE1AF0" w14:paraId="3AAF3C01" w14:textId="77777777">
        <w:trPr>
          <w:jc w:val="center"/>
        </w:trPr>
        <w:tc>
          <w:tcPr>
            <w:tcW w:w="4954" w:type="dxa"/>
            <w:shd w:val="clear" w:color="auto" w:fill="auto"/>
          </w:tcPr>
          <w:p w14:paraId="49288E5C" w14:textId="77777777" w:rsidR="00BE1AF0" w:rsidRDefault="004F0139">
            <w:pPr>
              <w:autoSpaceDE w:val="0"/>
              <w:autoSpaceDN w:val="0"/>
              <w:adjustRightInd w:val="0"/>
              <w:jc w:val="both"/>
              <w:rPr>
                <w:b/>
                <w:sz w:val="22"/>
                <w:szCs w:val="22"/>
                <w:lang w:val="sr-Latn-ME"/>
              </w:rPr>
            </w:pPr>
            <w:r>
              <w:rPr>
                <w:b/>
                <w:sz w:val="22"/>
                <w:szCs w:val="22"/>
                <w:lang w:val="sr-Latn-ME"/>
              </w:rPr>
              <w:t>Poremećaji kože i potkožnog tkiva</w:t>
            </w:r>
          </w:p>
        </w:tc>
        <w:tc>
          <w:tcPr>
            <w:tcW w:w="4109" w:type="dxa"/>
            <w:shd w:val="clear" w:color="auto" w:fill="auto"/>
          </w:tcPr>
          <w:p w14:paraId="33EA32E5" w14:textId="77777777" w:rsidR="00BE1AF0" w:rsidRDefault="00BE1AF0">
            <w:pPr>
              <w:autoSpaceDE w:val="0"/>
              <w:autoSpaceDN w:val="0"/>
              <w:adjustRightInd w:val="0"/>
              <w:jc w:val="both"/>
              <w:rPr>
                <w:sz w:val="22"/>
                <w:szCs w:val="22"/>
                <w:lang w:val="sr-Latn-ME"/>
              </w:rPr>
            </w:pPr>
          </w:p>
        </w:tc>
      </w:tr>
      <w:tr w:rsidR="00BE1AF0" w14:paraId="1E0F811C" w14:textId="77777777">
        <w:trPr>
          <w:jc w:val="center"/>
        </w:trPr>
        <w:tc>
          <w:tcPr>
            <w:tcW w:w="4954" w:type="dxa"/>
            <w:shd w:val="clear" w:color="auto" w:fill="auto"/>
          </w:tcPr>
          <w:p w14:paraId="6F9DD0C5" w14:textId="77777777" w:rsidR="00BE1AF0" w:rsidRDefault="004F0139">
            <w:pPr>
              <w:autoSpaceDE w:val="0"/>
              <w:autoSpaceDN w:val="0"/>
              <w:adjustRightInd w:val="0"/>
              <w:jc w:val="both"/>
              <w:rPr>
                <w:sz w:val="22"/>
                <w:szCs w:val="22"/>
                <w:lang w:val="sr-Latn-ME"/>
              </w:rPr>
            </w:pPr>
            <w:r>
              <w:rPr>
                <w:sz w:val="22"/>
                <w:szCs w:val="22"/>
                <w:lang w:val="sr-Latn-ME"/>
              </w:rPr>
              <w:t>pruritus</w:t>
            </w:r>
            <w:r>
              <w:rPr>
                <w:sz w:val="22"/>
                <w:szCs w:val="22"/>
                <w:vertAlign w:val="superscript"/>
                <w:lang w:val="sr-Latn-ME"/>
              </w:rPr>
              <w:t xml:space="preserve">* </w:t>
            </w:r>
          </w:p>
        </w:tc>
        <w:tc>
          <w:tcPr>
            <w:tcW w:w="4109" w:type="dxa"/>
            <w:shd w:val="clear" w:color="auto" w:fill="auto"/>
          </w:tcPr>
          <w:p w14:paraId="145F10AD" w14:textId="77777777" w:rsidR="00BE1AF0" w:rsidRDefault="004F0139">
            <w:pPr>
              <w:autoSpaceDE w:val="0"/>
              <w:autoSpaceDN w:val="0"/>
              <w:adjustRightInd w:val="0"/>
              <w:jc w:val="both"/>
              <w:rPr>
                <w:sz w:val="22"/>
                <w:szCs w:val="22"/>
                <w:lang w:val="sr-Latn-ME"/>
              </w:rPr>
            </w:pPr>
            <w:r>
              <w:rPr>
                <w:sz w:val="22"/>
                <w:szCs w:val="22"/>
                <w:lang w:val="sr-Latn-ME"/>
              </w:rPr>
              <w:t>Povremeno</w:t>
            </w:r>
          </w:p>
        </w:tc>
      </w:tr>
      <w:tr w:rsidR="00BE1AF0" w14:paraId="576A72A4" w14:textId="77777777">
        <w:trPr>
          <w:jc w:val="center"/>
        </w:trPr>
        <w:tc>
          <w:tcPr>
            <w:tcW w:w="4954" w:type="dxa"/>
            <w:shd w:val="clear" w:color="auto" w:fill="auto"/>
          </w:tcPr>
          <w:p w14:paraId="53D8D4DB" w14:textId="77777777" w:rsidR="00BE1AF0" w:rsidRDefault="004F0139">
            <w:pPr>
              <w:autoSpaceDE w:val="0"/>
              <w:autoSpaceDN w:val="0"/>
              <w:adjustRightInd w:val="0"/>
              <w:jc w:val="both"/>
              <w:rPr>
                <w:sz w:val="22"/>
                <w:szCs w:val="22"/>
                <w:lang w:val="sr-Latn-ME"/>
              </w:rPr>
            </w:pPr>
            <w:r>
              <w:rPr>
                <w:sz w:val="22"/>
                <w:szCs w:val="22"/>
                <w:lang w:val="sr-Latn-ME"/>
              </w:rPr>
              <w:t>angioedem</w:t>
            </w:r>
            <w:r>
              <w:rPr>
                <w:sz w:val="22"/>
                <w:szCs w:val="22"/>
                <w:vertAlign w:val="superscript"/>
                <w:lang w:val="sr-Latn-ME"/>
              </w:rPr>
              <w:t>*,†</w:t>
            </w:r>
            <w:r>
              <w:rPr>
                <w:sz w:val="22"/>
                <w:szCs w:val="22"/>
                <w:lang w:val="sr-Latn-ME"/>
              </w:rPr>
              <w:t xml:space="preserve"> </w:t>
            </w:r>
          </w:p>
        </w:tc>
        <w:tc>
          <w:tcPr>
            <w:tcW w:w="4109" w:type="dxa"/>
            <w:shd w:val="clear" w:color="auto" w:fill="auto"/>
          </w:tcPr>
          <w:p w14:paraId="406AAC8D"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57DF92F3" w14:textId="77777777">
        <w:trPr>
          <w:jc w:val="center"/>
        </w:trPr>
        <w:tc>
          <w:tcPr>
            <w:tcW w:w="4954" w:type="dxa"/>
            <w:shd w:val="clear" w:color="auto" w:fill="auto"/>
          </w:tcPr>
          <w:p w14:paraId="29BCDA1E" w14:textId="77777777" w:rsidR="00BE1AF0" w:rsidRDefault="004F0139">
            <w:pPr>
              <w:autoSpaceDE w:val="0"/>
              <w:autoSpaceDN w:val="0"/>
              <w:adjustRightInd w:val="0"/>
              <w:jc w:val="both"/>
              <w:rPr>
                <w:sz w:val="22"/>
                <w:szCs w:val="22"/>
                <w:lang w:val="sr-Latn-ME"/>
              </w:rPr>
            </w:pPr>
            <w:r>
              <w:rPr>
                <w:sz w:val="22"/>
                <w:szCs w:val="22"/>
                <w:lang w:val="sr-Latn-ME"/>
              </w:rPr>
              <w:t>osip</w:t>
            </w:r>
            <w:r>
              <w:rPr>
                <w:sz w:val="22"/>
                <w:szCs w:val="22"/>
                <w:vertAlign w:val="superscript"/>
                <w:lang w:val="sr-Latn-ME"/>
              </w:rPr>
              <w:t>*,†</w:t>
            </w:r>
            <w:r>
              <w:rPr>
                <w:sz w:val="22"/>
                <w:szCs w:val="22"/>
                <w:lang w:val="sr-Latn-ME"/>
              </w:rPr>
              <w:t xml:space="preserve"> </w:t>
            </w:r>
          </w:p>
        </w:tc>
        <w:tc>
          <w:tcPr>
            <w:tcW w:w="4109" w:type="dxa"/>
            <w:shd w:val="clear" w:color="auto" w:fill="auto"/>
          </w:tcPr>
          <w:p w14:paraId="4D0870E3"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737D5FB1" w14:textId="77777777">
        <w:trPr>
          <w:jc w:val="center"/>
        </w:trPr>
        <w:tc>
          <w:tcPr>
            <w:tcW w:w="4954" w:type="dxa"/>
            <w:shd w:val="clear" w:color="auto" w:fill="auto"/>
          </w:tcPr>
          <w:p w14:paraId="37154FFE" w14:textId="77777777" w:rsidR="00BE1AF0" w:rsidRDefault="004F0139">
            <w:pPr>
              <w:autoSpaceDE w:val="0"/>
              <w:autoSpaceDN w:val="0"/>
              <w:adjustRightInd w:val="0"/>
              <w:jc w:val="both"/>
              <w:rPr>
                <w:sz w:val="22"/>
                <w:szCs w:val="22"/>
                <w:lang w:val="sr-Latn-ME"/>
              </w:rPr>
            </w:pPr>
            <w:r>
              <w:rPr>
                <w:sz w:val="22"/>
                <w:szCs w:val="22"/>
                <w:lang w:val="sr-Latn-ME"/>
              </w:rPr>
              <w:t>urtikarija</w:t>
            </w:r>
            <w:r>
              <w:rPr>
                <w:sz w:val="22"/>
                <w:szCs w:val="22"/>
                <w:vertAlign w:val="superscript"/>
                <w:lang w:val="sr-Latn-ME"/>
              </w:rPr>
              <w:t xml:space="preserve">*,† </w:t>
            </w:r>
          </w:p>
        </w:tc>
        <w:tc>
          <w:tcPr>
            <w:tcW w:w="4109" w:type="dxa"/>
            <w:shd w:val="clear" w:color="auto" w:fill="auto"/>
          </w:tcPr>
          <w:p w14:paraId="47AA8356"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49D6B74F" w14:textId="77777777">
        <w:trPr>
          <w:jc w:val="center"/>
        </w:trPr>
        <w:tc>
          <w:tcPr>
            <w:tcW w:w="4954" w:type="dxa"/>
            <w:shd w:val="clear" w:color="auto" w:fill="auto"/>
          </w:tcPr>
          <w:p w14:paraId="2BCD0742" w14:textId="77777777" w:rsidR="00BE1AF0" w:rsidRDefault="004F0139">
            <w:pPr>
              <w:autoSpaceDE w:val="0"/>
              <w:autoSpaceDN w:val="0"/>
              <w:adjustRightInd w:val="0"/>
              <w:jc w:val="both"/>
              <w:rPr>
                <w:sz w:val="22"/>
                <w:szCs w:val="22"/>
                <w:lang w:val="sr-Latn-ME"/>
              </w:rPr>
            </w:pPr>
            <w:r>
              <w:rPr>
                <w:sz w:val="22"/>
                <w:szCs w:val="22"/>
                <w:lang w:val="sr-Latn-ME"/>
              </w:rPr>
              <w:t>kožni vaskulitis</w:t>
            </w:r>
            <w:r>
              <w:rPr>
                <w:sz w:val="22"/>
                <w:szCs w:val="22"/>
                <w:vertAlign w:val="superscript"/>
                <w:lang w:val="sr-Latn-ME"/>
              </w:rPr>
              <w:t>*,†</w:t>
            </w:r>
            <w:r>
              <w:rPr>
                <w:sz w:val="22"/>
                <w:szCs w:val="22"/>
                <w:lang w:val="sr-Latn-ME"/>
              </w:rPr>
              <w:t xml:space="preserve"> </w:t>
            </w:r>
          </w:p>
        </w:tc>
        <w:tc>
          <w:tcPr>
            <w:tcW w:w="4109" w:type="dxa"/>
            <w:shd w:val="clear" w:color="auto" w:fill="auto"/>
          </w:tcPr>
          <w:p w14:paraId="739C2F7D"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228E841E" w14:textId="77777777">
        <w:trPr>
          <w:jc w:val="center"/>
        </w:trPr>
        <w:tc>
          <w:tcPr>
            <w:tcW w:w="4954" w:type="dxa"/>
            <w:shd w:val="clear" w:color="auto" w:fill="auto"/>
          </w:tcPr>
          <w:p w14:paraId="4D4336ED" w14:textId="77777777" w:rsidR="00BE1AF0" w:rsidRDefault="004F0139">
            <w:pPr>
              <w:autoSpaceDE w:val="0"/>
              <w:autoSpaceDN w:val="0"/>
              <w:adjustRightInd w:val="0"/>
              <w:jc w:val="both"/>
              <w:rPr>
                <w:sz w:val="22"/>
                <w:szCs w:val="22"/>
                <w:lang w:val="sr-Latn-ME"/>
              </w:rPr>
            </w:pPr>
            <w:r>
              <w:rPr>
                <w:sz w:val="22"/>
                <w:szCs w:val="22"/>
                <w:lang w:val="sr-Latn-ME"/>
              </w:rPr>
              <w:t>eksfolijativne promjene na koži, uključujući</w:t>
            </w:r>
          </w:p>
          <w:p w14:paraId="269F0B26" w14:textId="77777777" w:rsidR="00BE1AF0" w:rsidRDefault="004F0139">
            <w:pPr>
              <w:autoSpaceDE w:val="0"/>
              <w:autoSpaceDN w:val="0"/>
              <w:adjustRightInd w:val="0"/>
              <w:jc w:val="both"/>
              <w:rPr>
                <w:sz w:val="22"/>
                <w:szCs w:val="22"/>
                <w:lang w:val="sr-Latn-ME"/>
              </w:rPr>
            </w:pPr>
            <w:r>
              <w:rPr>
                <w:sz w:val="22"/>
                <w:szCs w:val="22"/>
                <w:lang w:val="sr-Latn-ME"/>
              </w:rPr>
              <w:t>Stevens-Johnson-ov sindrom</w:t>
            </w:r>
            <w:r>
              <w:rPr>
                <w:sz w:val="22"/>
                <w:szCs w:val="22"/>
                <w:vertAlign w:val="superscript"/>
                <w:lang w:val="sr-Latn-ME"/>
              </w:rPr>
              <w:t>*,†</w:t>
            </w:r>
          </w:p>
        </w:tc>
        <w:tc>
          <w:tcPr>
            <w:tcW w:w="4109" w:type="dxa"/>
            <w:shd w:val="clear" w:color="auto" w:fill="auto"/>
          </w:tcPr>
          <w:p w14:paraId="3E7B7D9B"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75C68032" w14:textId="77777777">
        <w:trPr>
          <w:jc w:val="center"/>
        </w:trPr>
        <w:tc>
          <w:tcPr>
            <w:tcW w:w="4954" w:type="dxa"/>
            <w:shd w:val="clear" w:color="auto" w:fill="auto"/>
          </w:tcPr>
          <w:p w14:paraId="506F4073" w14:textId="77777777" w:rsidR="00BE1AF0" w:rsidRDefault="004F0139">
            <w:pPr>
              <w:autoSpaceDE w:val="0"/>
              <w:autoSpaceDN w:val="0"/>
              <w:adjustRightInd w:val="0"/>
              <w:jc w:val="both"/>
              <w:rPr>
                <w:sz w:val="22"/>
                <w:szCs w:val="22"/>
                <w:lang w:val="sr-Latn-ME"/>
              </w:rPr>
            </w:pPr>
            <w:r>
              <w:rPr>
                <w:sz w:val="22"/>
                <w:szCs w:val="22"/>
                <w:lang w:val="sr-Latn-ME"/>
              </w:rPr>
              <w:t>bulozni pemfigoid</w:t>
            </w:r>
            <w:r>
              <w:rPr>
                <w:rFonts w:eastAsia="TimesNewRoman"/>
                <w:sz w:val="22"/>
                <w:szCs w:val="22"/>
                <w:vertAlign w:val="superscript"/>
                <w:lang w:val="sr-Latn-ME" w:eastAsia="sl-SI"/>
              </w:rPr>
              <w:t>*</w:t>
            </w:r>
          </w:p>
        </w:tc>
        <w:tc>
          <w:tcPr>
            <w:tcW w:w="4109" w:type="dxa"/>
            <w:shd w:val="clear" w:color="auto" w:fill="auto"/>
          </w:tcPr>
          <w:p w14:paraId="5708558A"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54B3EF52" w14:textId="77777777">
        <w:trPr>
          <w:jc w:val="center"/>
        </w:trPr>
        <w:tc>
          <w:tcPr>
            <w:tcW w:w="4954" w:type="dxa"/>
            <w:shd w:val="clear" w:color="auto" w:fill="auto"/>
          </w:tcPr>
          <w:p w14:paraId="5B310209"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0228077D" w14:textId="77777777" w:rsidR="00BE1AF0" w:rsidRDefault="00BE1AF0">
            <w:pPr>
              <w:autoSpaceDE w:val="0"/>
              <w:autoSpaceDN w:val="0"/>
              <w:adjustRightInd w:val="0"/>
              <w:jc w:val="both"/>
              <w:rPr>
                <w:sz w:val="22"/>
                <w:szCs w:val="22"/>
                <w:lang w:val="sr-Latn-ME"/>
              </w:rPr>
            </w:pPr>
          </w:p>
        </w:tc>
      </w:tr>
      <w:tr w:rsidR="00BE1AF0" w14:paraId="656DC0BD" w14:textId="77777777">
        <w:trPr>
          <w:jc w:val="center"/>
        </w:trPr>
        <w:tc>
          <w:tcPr>
            <w:tcW w:w="4954" w:type="dxa"/>
            <w:shd w:val="clear" w:color="auto" w:fill="auto"/>
          </w:tcPr>
          <w:p w14:paraId="15F0FD60" w14:textId="77777777" w:rsidR="00BE1AF0" w:rsidRDefault="004F0139">
            <w:pPr>
              <w:autoSpaceDE w:val="0"/>
              <w:autoSpaceDN w:val="0"/>
              <w:adjustRightInd w:val="0"/>
              <w:jc w:val="both"/>
              <w:rPr>
                <w:b/>
                <w:sz w:val="22"/>
                <w:szCs w:val="22"/>
                <w:lang w:val="sr-Latn-ME"/>
              </w:rPr>
            </w:pPr>
            <w:r>
              <w:rPr>
                <w:b/>
                <w:sz w:val="22"/>
                <w:szCs w:val="22"/>
                <w:lang w:val="sr-Latn-ME"/>
              </w:rPr>
              <w:t>Poremećaji mišićno-koštanog sistema i vezivnog tkiva</w:t>
            </w:r>
          </w:p>
        </w:tc>
        <w:tc>
          <w:tcPr>
            <w:tcW w:w="4109" w:type="dxa"/>
            <w:shd w:val="clear" w:color="auto" w:fill="auto"/>
          </w:tcPr>
          <w:p w14:paraId="59351B86" w14:textId="77777777" w:rsidR="00BE1AF0" w:rsidRDefault="00BE1AF0">
            <w:pPr>
              <w:autoSpaceDE w:val="0"/>
              <w:autoSpaceDN w:val="0"/>
              <w:adjustRightInd w:val="0"/>
              <w:jc w:val="both"/>
              <w:rPr>
                <w:sz w:val="22"/>
                <w:szCs w:val="22"/>
                <w:lang w:val="sr-Latn-ME"/>
              </w:rPr>
            </w:pPr>
          </w:p>
        </w:tc>
      </w:tr>
      <w:tr w:rsidR="00BE1AF0" w14:paraId="0BD24FEC" w14:textId="77777777">
        <w:trPr>
          <w:jc w:val="center"/>
        </w:trPr>
        <w:tc>
          <w:tcPr>
            <w:tcW w:w="4954" w:type="dxa"/>
            <w:shd w:val="clear" w:color="auto" w:fill="auto"/>
          </w:tcPr>
          <w:p w14:paraId="3E88036D" w14:textId="77777777" w:rsidR="00BE1AF0" w:rsidRDefault="004F0139">
            <w:pPr>
              <w:autoSpaceDE w:val="0"/>
              <w:autoSpaceDN w:val="0"/>
              <w:adjustRightInd w:val="0"/>
              <w:jc w:val="both"/>
              <w:rPr>
                <w:sz w:val="22"/>
                <w:szCs w:val="22"/>
                <w:lang w:val="sr-Latn-ME"/>
              </w:rPr>
            </w:pPr>
            <w:r>
              <w:rPr>
                <w:sz w:val="22"/>
                <w:szCs w:val="22"/>
                <w:lang w:val="sr-Latn-ME"/>
              </w:rPr>
              <w:t>artralgija</w:t>
            </w:r>
            <w:r>
              <w:rPr>
                <w:sz w:val="22"/>
                <w:szCs w:val="22"/>
                <w:vertAlign w:val="superscript"/>
                <w:lang w:val="sr-Latn-ME"/>
              </w:rPr>
              <w:t>*</w:t>
            </w:r>
            <w:r>
              <w:rPr>
                <w:sz w:val="22"/>
                <w:szCs w:val="22"/>
                <w:lang w:val="sr-Latn-ME"/>
              </w:rPr>
              <w:t xml:space="preserve"> </w:t>
            </w:r>
          </w:p>
        </w:tc>
        <w:tc>
          <w:tcPr>
            <w:tcW w:w="4109" w:type="dxa"/>
            <w:shd w:val="clear" w:color="auto" w:fill="auto"/>
          </w:tcPr>
          <w:p w14:paraId="02F8549A"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5F8DFD32" w14:textId="77777777">
        <w:trPr>
          <w:jc w:val="center"/>
        </w:trPr>
        <w:tc>
          <w:tcPr>
            <w:tcW w:w="4954" w:type="dxa"/>
            <w:shd w:val="clear" w:color="auto" w:fill="auto"/>
          </w:tcPr>
          <w:p w14:paraId="1E50B827" w14:textId="77777777" w:rsidR="00BE1AF0" w:rsidRDefault="004F0139">
            <w:pPr>
              <w:autoSpaceDE w:val="0"/>
              <w:autoSpaceDN w:val="0"/>
              <w:adjustRightInd w:val="0"/>
              <w:jc w:val="both"/>
              <w:rPr>
                <w:sz w:val="22"/>
                <w:szCs w:val="22"/>
                <w:lang w:val="sr-Latn-ME"/>
              </w:rPr>
            </w:pPr>
            <w:r>
              <w:rPr>
                <w:sz w:val="22"/>
                <w:szCs w:val="22"/>
                <w:lang w:val="sr-Latn-ME"/>
              </w:rPr>
              <w:t>mialgija</w:t>
            </w:r>
            <w:r>
              <w:rPr>
                <w:sz w:val="22"/>
                <w:szCs w:val="22"/>
                <w:vertAlign w:val="superscript"/>
                <w:lang w:val="sr-Latn-ME"/>
              </w:rPr>
              <w:t>*</w:t>
            </w:r>
            <w:r>
              <w:rPr>
                <w:sz w:val="22"/>
                <w:szCs w:val="22"/>
                <w:lang w:val="sr-Latn-ME"/>
              </w:rPr>
              <w:t xml:space="preserve"> </w:t>
            </w:r>
          </w:p>
        </w:tc>
        <w:tc>
          <w:tcPr>
            <w:tcW w:w="4109" w:type="dxa"/>
            <w:shd w:val="clear" w:color="auto" w:fill="auto"/>
          </w:tcPr>
          <w:p w14:paraId="19B5691B"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2B165462" w14:textId="77777777">
        <w:trPr>
          <w:jc w:val="center"/>
        </w:trPr>
        <w:tc>
          <w:tcPr>
            <w:tcW w:w="4954" w:type="dxa"/>
            <w:shd w:val="clear" w:color="auto" w:fill="auto"/>
          </w:tcPr>
          <w:p w14:paraId="65375B30" w14:textId="77777777" w:rsidR="00BE1AF0" w:rsidRDefault="004F0139">
            <w:pPr>
              <w:autoSpaceDE w:val="0"/>
              <w:autoSpaceDN w:val="0"/>
              <w:adjustRightInd w:val="0"/>
              <w:jc w:val="both"/>
              <w:rPr>
                <w:sz w:val="22"/>
                <w:szCs w:val="22"/>
                <w:lang w:val="sr-Latn-ME"/>
              </w:rPr>
            </w:pPr>
            <w:r>
              <w:rPr>
                <w:sz w:val="22"/>
                <w:szCs w:val="22"/>
                <w:lang w:val="sr-Latn-ME"/>
              </w:rPr>
              <w:t>bol u ekstremitetima</w:t>
            </w:r>
            <w:r>
              <w:rPr>
                <w:sz w:val="22"/>
                <w:szCs w:val="22"/>
                <w:vertAlign w:val="superscript"/>
                <w:lang w:val="sr-Latn-ME"/>
              </w:rPr>
              <w:t>*</w:t>
            </w:r>
            <w:r>
              <w:rPr>
                <w:sz w:val="22"/>
                <w:szCs w:val="22"/>
                <w:lang w:val="sr-Latn-ME"/>
              </w:rPr>
              <w:t xml:space="preserve"> </w:t>
            </w:r>
          </w:p>
        </w:tc>
        <w:tc>
          <w:tcPr>
            <w:tcW w:w="4109" w:type="dxa"/>
            <w:shd w:val="clear" w:color="auto" w:fill="auto"/>
          </w:tcPr>
          <w:p w14:paraId="17B237E0"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6FDAA26A" w14:textId="77777777">
        <w:trPr>
          <w:jc w:val="center"/>
        </w:trPr>
        <w:tc>
          <w:tcPr>
            <w:tcW w:w="4954" w:type="dxa"/>
            <w:shd w:val="clear" w:color="auto" w:fill="auto"/>
          </w:tcPr>
          <w:p w14:paraId="12AFFC6F" w14:textId="77777777" w:rsidR="00BE1AF0" w:rsidRDefault="004F0139">
            <w:pPr>
              <w:autoSpaceDE w:val="0"/>
              <w:autoSpaceDN w:val="0"/>
              <w:adjustRightInd w:val="0"/>
              <w:jc w:val="both"/>
              <w:rPr>
                <w:sz w:val="22"/>
                <w:szCs w:val="22"/>
                <w:lang w:val="sr-Latn-ME"/>
              </w:rPr>
            </w:pPr>
            <w:r>
              <w:rPr>
                <w:sz w:val="22"/>
                <w:szCs w:val="22"/>
                <w:lang w:val="sr-Latn-ME"/>
              </w:rPr>
              <w:t>bol u leđima</w:t>
            </w:r>
            <w:r>
              <w:rPr>
                <w:sz w:val="22"/>
                <w:szCs w:val="22"/>
                <w:vertAlign w:val="superscript"/>
                <w:lang w:val="sr-Latn-ME"/>
              </w:rPr>
              <w:t>*</w:t>
            </w:r>
            <w:r>
              <w:rPr>
                <w:sz w:val="22"/>
                <w:szCs w:val="22"/>
                <w:lang w:val="sr-Latn-ME"/>
              </w:rPr>
              <w:t xml:space="preserve"> </w:t>
            </w:r>
          </w:p>
        </w:tc>
        <w:tc>
          <w:tcPr>
            <w:tcW w:w="4109" w:type="dxa"/>
            <w:shd w:val="clear" w:color="auto" w:fill="auto"/>
          </w:tcPr>
          <w:p w14:paraId="0473F715"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155AEEBB" w14:textId="77777777">
        <w:trPr>
          <w:jc w:val="center"/>
        </w:trPr>
        <w:tc>
          <w:tcPr>
            <w:tcW w:w="4954" w:type="dxa"/>
            <w:shd w:val="clear" w:color="auto" w:fill="auto"/>
          </w:tcPr>
          <w:p w14:paraId="3195A8C8" w14:textId="77777777" w:rsidR="00BE1AF0" w:rsidRDefault="004F0139">
            <w:pPr>
              <w:autoSpaceDE w:val="0"/>
              <w:autoSpaceDN w:val="0"/>
              <w:adjustRightInd w:val="0"/>
              <w:jc w:val="both"/>
              <w:rPr>
                <w:sz w:val="22"/>
                <w:szCs w:val="22"/>
                <w:lang w:val="sr-Latn-ME"/>
              </w:rPr>
            </w:pPr>
            <w:r>
              <w:rPr>
                <w:sz w:val="22"/>
                <w:szCs w:val="22"/>
                <w:lang w:val="sr-Latn-ME"/>
              </w:rPr>
              <w:t>artropatija</w:t>
            </w:r>
            <w:r>
              <w:rPr>
                <w:sz w:val="22"/>
                <w:szCs w:val="22"/>
                <w:vertAlign w:val="superscript"/>
                <w:lang w:val="sr-Latn-ME"/>
              </w:rPr>
              <w:t>*</w:t>
            </w:r>
            <w:r>
              <w:rPr>
                <w:sz w:val="22"/>
                <w:szCs w:val="22"/>
                <w:lang w:val="sr-Latn-ME"/>
              </w:rPr>
              <w:t xml:space="preserve"> </w:t>
            </w:r>
          </w:p>
        </w:tc>
        <w:tc>
          <w:tcPr>
            <w:tcW w:w="4109" w:type="dxa"/>
            <w:shd w:val="clear" w:color="auto" w:fill="auto"/>
          </w:tcPr>
          <w:p w14:paraId="5578C643"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01A4A3C2" w14:textId="77777777">
        <w:trPr>
          <w:jc w:val="center"/>
        </w:trPr>
        <w:tc>
          <w:tcPr>
            <w:tcW w:w="4954" w:type="dxa"/>
            <w:shd w:val="clear" w:color="auto" w:fill="auto"/>
          </w:tcPr>
          <w:p w14:paraId="5C852F1C" w14:textId="77777777" w:rsidR="00BE1AF0" w:rsidRDefault="00BE1AF0">
            <w:pPr>
              <w:autoSpaceDE w:val="0"/>
              <w:autoSpaceDN w:val="0"/>
              <w:adjustRightInd w:val="0"/>
              <w:jc w:val="both"/>
              <w:rPr>
                <w:sz w:val="22"/>
                <w:szCs w:val="22"/>
                <w:lang w:val="sr-Latn-ME"/>
              </w:rPr>
            </w:pPr>
          </w:p>
        </w:tc>
        <w:tc>
          <w:tcPr>
            <w:tcW w:w="4109" w:type="dxa"/>
            <w:shd w:val="clear" w:color="auto" w:fill="auto"/>
          </w:tcPr>
          <w:p w14:paraId="7C6D2155" w14:textId="77777777" w:rsidR="00BE1AF0" w:rsidRDefault="00BE1AF0">
            <w:pPr>
              <w:autoSpaceDE w:val="0"/>
              <w:autoSpaceDN w:val="0"/>
              <w:adjustRightInd w:val="0"/>
              <w:jc w:val="both"/>
              <w:rPr>
                <w:sz w:val="22"/>
                <w:szCs w:val="22"/>
                <w:lang w:val="sr-Latn-ME"/>
              </w:rPr>
            </w:pPr>
          </w:p>
        </w:tc>
      </w:tr>
      <w:tr w:rsidR="00BE1AF0" w14:paraId="02855EFB" w14:textId="77777777">
        <w:trPr>
          <w:jc w:val="center"/>
        </w:trPr>
        <w:tc>
          <w:tcPr>
            <w:tcW w:w="4954" w:type="dxa"/>
            <w:shd w:val="clear" w:color="auto" w:fill="auto"/>
          </w:tcPr>
          <w:p w14:paraId="242AEFEB" w14:textId="77777777" w:rsidR="00BE1AF0" w:rsidRDefault="004F0139">
            <w:pPr>
              <w:autoSpaceDE w:val="0"/>
              <w:autoSpaceDN w:val="0"/>
              <w:adjustRightInd w:val="0"/>
              <w:jc w:val="both"/>
              <w:rPr>
                <w:b/>
                <w:sz w:val="22"/>
                <w:szCs w:val="22"/>
                <w:lang w:val="sr-Latn-ME"/>
              </w:rPr>
            </w:pPr>
            <w:r>
              <w:rPr>
                <w:b/>
                <w:sz w:val="22"/>
                <w:szCs w:val="22"/>
                <w:lang w:val="sr-Latn-ME"/>
              </w:rPr>
              <w:t>Poremećaji bubrega i urinarnog sistema</w:t>
            </w:r>
          </w:p>
        </w:tc>
        <w:tc>
          <w:tcPr>
            <w:tcW w:w="4109" w:type="dxa"/>
            <w:shd w:val="clear" w:color="auto" w:fill="auto"/>
          </w:tcPr>
          <w:p w14:paraId="1E42C4D2" w14:textId="77777777" w:rsidR="00BE1AF0" w:rsidRDefault="00BE1AF0">
            <w:pPr>
              <w:autoSpaceDE w:val="0"/>
              <w:autoSpaceDN w:val="0"/>
              <w:adjustRightInd w:val="0"/>
              <w:jc w:val="both"/>
              <w:rPr>
                <w:sz w:val="22"/>
                <w:szCs w:val="22"/>
                <w:lang w:val="sr-Latn-ME"/>
              </w:rPr>
            </w:pPr>
          </w:p>
        </w:tc>
      </w:tr>
      <w:tr w:rsidR="00BE1AF0" w14:paraId="51840744" w14:textId="77777777">
        <w:trPr>
          <w:jc w:val="center"/>
        </w:trPr>
        <w:tc>
          <w:tcPr>
            <w:tcW w:w="4954" w:type="dxa"/>
            <w:shd w:val="clear" w:color="auto" w:fill="auto"/>
          </w:tcPr>
          <w:p w14:paraId="5199853B" w14:textId="77777777" w:rsidR="00BE1AF0" w:rsidRDefault="004F0139">
            <w:pPr>
              <w:autoSpaceDE w:val="0"/>
              <w:autoSpaceDN w:val="0"/>
              <w:adjustRightInd w:val="0"/>
              <w:jc w:val="both"/>
              <w:rPr>
                <w:sz w:val="22"/>
                <w:szCs w:val="22"/>
                <w:lang w:val="sr-Latn-ME"/>
              </w:rPr>
            </w:pPr>
            <w:r>
              <w:rPr>
                <w:sz w:val="22"/>
                <w:szCs w:val="22"/>
                <w:lang w:val="sr-Latn-ME"/>
              </w:rPr>
              <w:t>poremećaj funkcije bubrega</w:t>
            </w:r>
            <w:r>
              <w:rPr>
                <w:sz w:val="22"/>
                <w:szCs w:val="22"/>
                <w:vertAlign w:val="superscript"/>
                <w:lang w:val="sr-Latn-ME"/>
              </w:rPr>
              <w:t>*</w:t>
            </w:r>
            <w:r>
              <w:rPr>
                <w:sz w:val="22"/>
                <w:szCs w:val="22"/>
                <w:lang w:val="sr-Latn-ME"/>
              </w:rPr>
              <w:t xml:space="preserve"> </w:t>
            </w:r>
          </w:p>
        </w:tc>
        <w:tc>
          <w:tcPr>
            <w:tcW w:w="4109" w:type="dxa"/>
            <w:shd w:val="clear" w:color="auto" w:fill="auto"/>
          </w:tcPr>
          <w:p w14:paraId="099919EB"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r w:rsidR="00BE1AF0" w14:paraId="6000C6E9" w14:textId="77777777">
        <w:trPr>
          <w:jc w:val="center"/>
        </w:trPr>
        <w:tc>
          <w:tcPr>
            <w:tcW w:w="4954" w:type="dxa"/>
            <w:shd w:val="clear" w:color="auto" w:fill="auto"/>
          </w:tcPr>
          <w:p w14:paraId="51178CB3" w14:textId="77777777" w:rsidR="00BE1AF0" w:rsidRDefault="004F0139">
            <w:pPr>
              <w:autoSpaceDE w:val="0"/>
              <w:autoSpaceDN w:val="0"/>
              <w:adjustRightInd w:val="0"/>
              <w:jc w:val="both"/>
              <w:rPr>
                <w:sz w:val="22"/>
                <w:szCs w:val="22"/>
                <w:lang w:val="sr-Latn-ME"/>
              </w:rPr>
            </w:pPr>
            <w:r>
              <w:rPr>
                <w:sz w:val="22"/>
                <w:szCs w:val="22"/>
                <w:lang w:val="sr-Latn-ME"/>
              </w:rPr>
              <w:t xml:space="preserve">akutna bubrežna insuficijencija* </w:t>
            </w:r>
          </w:p>
        </w:tc>
        <w:tc>
          <w:tcPr>
            <w:tcW w:w="4109" w:type="dxa"/>
            <w:shd w:val="clear" w:color="auto" w:fill="auto"/>
          </w:tcPr>
          <w:p w14:paraId="0F7D966F" w14:textId="77777777" w:rsidR="00BE1AF0" w:rsidRDefault="004F0139">
            <w:pPr>
              <w:autoSpaceDE w:val="0"/>
              <w:autoSpaceDN w:val="0"/>
              <w:adjustRightInd w:val="0"/>
              <w:jc w:val="both"/>
              <w:rPr>
                <w:sz w:val="22"/>
                <w:szCs w:val="22"/>
                <w:lang w:val="sr-Latn-ME"/>
              </w:rPr>
            </w:pPr>
            <w:r>
              <w:rPr>
                <w:sz w:val="22"/>
                <w:szCs w:val="22"/>
                <w:lang w:val="sr-Latn-ME"/>
              </w:rPr>
              <w:t>Nepoznate učestalosti</w:t>
            </w:r>
          </w:p>
        </w:tc>
      </w:tr>
    </w:tbl>
    <w:p w14:paraId="18DBC76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*Neželjene reakcije su uočene u postmarketinškom praćenju nakon stavljanja lijeka u promet.</w:t>
      </w:r>
    </w:p>
    <w:p w14:paraId="427D0CA3" w14:textId="77777777" w:rsidR="00BE1AF0" w:rsidRDefault="004F0139">
      <w:pPr>
        <w:autoSpaceDE w:val="0"/>
        <w:autoSpaceDN w:val="0"/>
        <w:adjustRightInd w:val="0"/>
        <w:jc w:val="both"/>
        <w:rPr>
          <w:b/>
          <w:bCs/>
          <w:sz w:val="22"/>
          <w:szCs w:val="22"/>
          <w:lang w:val="sr-Latn-ME" w:eastAsia="sr-Latn-ME"/>
        </w:rPr>
      </w:pPr>
      <w:r>
        <w:rPr>
          <w:sz w:val="22"/>
          <w:szCs w:val="22"/>
          <w:lang w:val="sr-Latn-ME" w:eastAsia="sr-Latn-ME"/>
        </w:rPr>
        <w:t>†</w:t>
      </w:r>
      <w:r>
        <w:rPr>
          <w:b/>
          <w:bCs/>
          <w:sz w:val="22"/>
          <w:szCs w:val="22"/>
          <w:lang w:val="sr-Latn-ME" w:eastAsia="sr-Latn-ME"/>
        </w:rPr>
        <w:t>Vidjeti dio 4.4.</w:t>
      </w:r>
    </w:p>
    <w:p w14:paraId="525AA3BA" w14:textId="77777777" w:rsidR="00BE1AF0" w:rsidRDefault="004F0139">
      <w:pPr>
        <w:tabs>
          <w:tab w:val="left" w:pos="540"/>
          <w:tab w:val="left" w:pos="569"/>
        </w:tabs>
        <w:jc w:val="both"/>
        <w:rPr>
          <w:sz w:val="22"/>
          <w:szCs w:val="22"/>
          <w:lang w:val="sr-Latn-ME" w:eastAsia="sr-Latn-ME"/>
        </w:rPr>
      </w:pPr>
      <w:r>
        <w:rPr>
          <w:sz w:val="22"/>
          <w:szCs w:val="22"/>
          <w:lang w:val="sr-Latn-ME" w:eastAsia="sr-Latn-ME"/>
        </w:rPr>
        <w:t>‡Vidjeti u nastavku teksta “TECOS kardiovaskularna studija bezbjednosti”</w:t>
      </w:r>
    </w:p>
    <w:p w14:paraId="7A480097" w14:textId="77777777" w:rsidR="00BE1AF0" w:rsidRDefault="00BE1AF0">
      <w:pPr>
        <w:tabs>
          <w:tab w:val="left" w:pos="540"/>
          <w:tab w:val="left" w:pos="569"/>
        </w:tabs>
        <w:jc w:val="both"/>
        <w:rPr>
          <w:b/>
          <w:bCs/>
          <w:sz w:val="22"/>
          <w:szCs w:val="22"/>
          <w:lang w:val="sr-Latn-ME"/>
        </w:rPr>
      </w:pPr>
    </w:p>
    <w:p w14:paraId="374BA1E2"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Opis odabranih neželjenih reakcija</w:t>
      </w:r>
    </w:p>
    <w:p w14:paraId="6B8E2CD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lastRenderedPageBreak/>
        <w:t>Neke neželjene reakcije su uočene češće u studijama u kojima su metformin i sitagliptin primjenjivani u kombinaciji sa drugim ljekovima za liječenje dijabetesa nego u studijama u kojima su primjenjivani sami metformin i sitagliptin. One su uključivale hipoglikemiju (učestalost veoma česta sa sulfonilureom ili insulinom), konstipaciju (često sa sulfonilureom), periferni edem (često sa pioglitazonom), glavobolju i suva usta (povremeno sa insulinom).</w:t>
      </w:r>
    </w:p>
    <w:p w14:paraId="485B6131" w14:textId="77777777" w:rsidR="00BE1AF0" w:rsidRDefault="00BE1AF0">
      <w:pPr>
        <w:autoSpaceDE w:val="0"/>
        <w:autoSpaceDN w:val="0"/>
        <w:adjustRightInd w:val="0"/>
        <w:jc w:val="both"/>
        <w:rPr>
          <w:i/>
          <w:iCs/>
          <w:sz w:val="22"/>
          <w:szCs w:val="22"/>
          <w:lang w:val="sr-Latn-ME" w:eastAsia="sr-Latn-ME"/>
        </w:rPr>
      </w:pPr>
    </w:p>
    <w:p w14:paraId="74AC5F0D"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Sitagliptin</w:t>
      </w:r>
    </w:p>
    <w:p w14:paraId="13C7762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ispitivanjima sitagliptina primijenjenog u vidu monoterapije u dozi od 100 mg jednom dnevno, u poređenju sa placebom, prijavljene neželjene reakcije bile su glavobolja, hipoglikemija, konstipacija i vrtoglavica.</w:t>
      </w:r>
    </w:p>
    <w:p w14:paraId="660C768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Neželjene reakcije, koje su uključivale infekcije gornjeg respiratornog trakta i nazofaringitis, bez obzira na to da li su bile povezane sa primjenom ispitivanog lijeka ili ne, zabilježene su kod 5% ispitivanih pacijenata. Pored toga, osteoartritis i bol u ekstremitetima zabilježeni su sa povremenom učestalošću (kod pacijenata koji su primali sitagliptin učestalost je bila veća za &gt; 0,5 % nego u kontrolnoj grupi).</w:t>
      </w:r>
    </w:p>
    <w:p w14:paraId="072C1A5F" w14:textId="77777777" w:rsidR="00BE1AF0" w:rsidRDefault="00BE1AF0">
      <w:pPr>
        <w:autoSpaceDE w:val="0"/>
        <w:autoSpaceDN w:val="0"/>
        <w:adjustRightInd w:val="0"/>
        <w:jc w:val="both"/>
        <w:rPr>
          <w:sz w:val="22"/>
          <w:szCs w:val="22"/>
          <w:lang w:val="sr-Latn-ME" w:eastAsia="sr-Latn-ME"/>
        </w:rPr>
      </w:pPr>
    </w:p>
    <w:p w14:paraId="41FC759E"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Metformin</w:t>
      </w:r>
    </w:p>
    <w:p w14:paraId="0D3916B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Gastrointestinalni simptomi prijavljivani su veoma često u kliničkim studijama i nakon stavljanja metformina u promet. Gastrointestinalni simptomi kao što su mučnina, povraćanje, dijareja, abdominalni bol i gubitak apetita javljaju se najčešće na početku terapije i povlače se spontano u većini slučajeva. Dodatne neželjene reakcije povezane sa primjenom metformina uključuju metalni ukus (često), laktoacidozu, poremećaj funkcije jetre, hepatitis, urtikariju, eritem i pruritus (veoma rijetko). Kategorije učestalosti zasnovane su na podacima koji se nalaze u Sažetku karakteristika lijeka za metformin koji je na raspolaganju u Evropskoj Uniji.</w:t>
      </w:r>
    </w:p>
    <w:p w14:paraId="6228A4DF" w14:textId="77777777" w:rsidR="00BE1AF0" w:rsidRDefault="00BE1AF0">
      <w:pPr>
        <w:autoSpaceDE w:val="0"/>
        <w:autoSpaceDN w:val="0"/>
        <w:adjustRightInd w:val="0"/>
        <w:jc w:val="both"/>
        <w:rPr>
          <w:i/>
          <w:iCs/>
          <w:sz w:val="22"/>
          <w:szCs w:val="22"/>
          <w:lang w:val="sr-Latn-ME" w:eastAsia="sr-Latn-ME"/>
        </w:rPr>
      </w:pPr>
    </w:p>
    <w:p w14:paraId="4C49E2AA" w14:textId="77777777" w:rsidR="00BE1AF0" w:rsidRDefault="004F0139">
      <w:pPr>
        <w:autoSpaceDE w:val="0"/>
        <w:autoSpaceDN w:val="0"/>
        <w:adjustRightInd w:val="0"/>
        <w:jc w:val="both"/>
        <w:rPr>
          <w:i/>
          <w:iCs/>
          <w:sz w:val="22"/>
          <w:szCs w:val="22"/>
          <w:lang w:val="en-GB" w:eastAsia="sr-Latn-ME"/>
        </w:rPr>
      </w:pPr>
      <w:r>
        <w:rPr>
          <w:i/>
          <w:iCs/>
          <w:sz w:val="22"/>
          <w:szCs w:val="22"/>
          <w:lang w:val="en-GB" w:eastAsia="sr-Latn-ME"/>
        </w:rPr>
        <w:t>Pedijatrijska populacija</w:t>
      </w:r>
    </w:p>
    <w:p w14:paraId="498983ED" w14:textId="77777777" w:rsidR="00BE1AF0" w:rsidRDefault="004F0139">
      <w:pPr>
        <w:autoSpaceDE w:val="0"/>
        <w:autoSpaceDN w:val="0"/>
        <w:adjustRightInd w:val="0"/>
        <w:jc w:val="both"/>
        <w:rPr>
          <w:iCs/>
          <w:sz w:val="22"/>
          <w:szCs w:val="22"/>
          <w:lang w:eastAsia="sr-Latn-ME"/>
        </w:rPr>
      </w:pPr>
      <w:r>
        <w:rPr>
          <w:iCs/>
          <w:sz w:val="22"/>
          <w:szCs w:val="22"/>
          <w:lang w:val="sl-SI" w:eastAsia="sr-Latn-ME"/>
        </w:rPr>
        <w:t>U kliničkim ispitivanjima sa sitagliptinom/metforminom kod pedijatrijskih pacijenata uzrasta od 10 do 17 godina s dijabetes mellitusom tipa 2, profil neželjenih dejstava bio je uporediv s onim koji su primijećeni kod odraslih. Kod pedijatrijskih pacijenata koji koriste ili ne koriste insulin, primjena sitagliptina je povezana sa povećanim rizikom od hipoglikemije.</w:t>
      </w:r>
    </w:p>
    <w:p w14:paraId="3B96F1B7" w14:textId="77777777" w:rsidR="00BE1AF0" w:rsidRDefault="00BE1AF0">
      <w:pPr>
        <w:autoSpaceDE w:val="0"/>
        <w:autoSpaceDN w:val="0"/>
        <w:adjustRightInd w:val="0"/>
        <w:jc w:val="both"/>
        <w:rPr>
          <w:i/>
          <w:iCs/>
          <w:sz w:val="22"/>
          <w:szCs w:val="22"/>
          <w:lang w:val="en-GB" w:eastAsia="sr-Latn-ME"/>
        </w:rPr>
      </w:pPr>
    </w:p>
    <w:p w14:paraId="28C3D26C" w14:textId="77777777" w:rsidR="00BE1AF0" w:rsidRDefault="004F0139">
      <w:pPr>
        <w:autoSpaceDE w:val="0"/>
        <w:autoSpaceDN w:val="0"/>
        <w:adjustRightInd w:val="0"/>
        <w:jc w:val="both"/>
        <w:rPr>
          <w:i/>
          <w:iCs/>
          <w:sz w:val="22"/>
          <w:szCs w:val="22"/>
          <w:lang w:val="sr-Latn-ME" w:eastAsia="sr-Latn-ME"/>
        </w:rPr>
      </w:pPr>
      <w:r>
        <w:rPr>
          <w:i/>
          <w:iCs/>
          <w:sz w:val="22"/>
          <w:szCs w:val="22"/>
          <w:lang w:val="sr-Latn-ME" w:eastAsia="sr-Latn-ME"/>
        </w:rPr>
        <w:t>TECOS kardiovaskularna studija bezbjednosti</w:t>
      </w:r>
    </w:p>
    <w:p w14:paraId="7B6C4402"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Studija ispitivanja kardiovaskularnih ishoda kod primjene sitagliptina (eng. </w:t>
      </w:r>
      <w:r>
        <w:rPr>
          <w:i/>
          <w:iCs/>
          <w:sz w:val="22"/>
          <w:szCs w:val="22"/>
          <w:lang w:val="sr-Latn-ME" w:eastAsia="sr-Latn-ME"/>
        </w:rPr>
        <w:t>Trial Evaluating Cardiovascular Outcomes with Sitagliptin</w:t>
      </w:r>
      <w:r>
        <w:rPr>
          <w:sz w:val="22"/>
          <w:szCs w:val="22"/>
          <w:lang w:val="sr-Latn-ME" w:eastAsia="sr-Latn-ME"/>
        </w:rPr>
        <w:t xml:space="preserve"> – TECOS) uključivala je 7332 pacijenta liječena sitagliptinom u dozi od 100 mg</w:t>
      </w:r>
      <w:r>
        <w:rPr>
          <w:i/>
          <w:iCs/>
          <w:sz w:val="22"/>
          <w:szCs w:val="22"/>
          <w:lang w:val="sr-Latn-ME" w:eastAsia="sr-Latn-ME"/>
        </w:rPr>
        <w:t xml:space="preserve"> </w:t>
      </w:r>
      <w:r>
        <w:rPr>
          <w:sz w:val="22"/>
          <w:szCs w:val="22"/>
          <w:lang w:val="sr-Latn-ME" w:eastAsia="sr-Latn-ME"/>
        </w:rPr>
        <w:t>dnevno (ili 50 mg dnevno ako je početni eGFR bio ≥ 30 i &lt; 50 ml/min/1,73 m</w:t>
      </w:r>
      <w:r>
        <w:rPr>
          <w:sz w:val="22"/>
          <w:szCs w:val="22"/>
          <w:vertAlign w:val="superscript"/>
          <w:lang w:val="sr-Latn-ME" w:eastAsia="sr-Latn-ME"/>
        </w:rPr>
        <w:t>2</w:t>
      </w:r>
      <w:r>
        <w:rPr>
          <w:sz w:val="22"/>
          <w:szCs w:val="22"/>
          <w:lang w:val="sr-Latn-ME" w:eastAsia="sr-Latn-ME"/>
        </w:rPr>
        <w:t xml:space="preserve">) i 7339 pacijenata koji su primali placebo u populaciji pacijenata predviđenoj za liječenje (eng. </w:t>
      </w:r>
      <w:r>
        <w:rPr>
          <w:i/>
          <w:sz w:val="22"/>
          <w:szCs w:val="22"/>
          <w:lang w:val="sr-Latn-ME" w:eastAsia="sr-Latn-ME"/>
        </w:rPr>
        <w:t>intention-to-treat</w:t>
      </w:r>
      <w:r>
        <w:rPr>
          <w:sz w:val="22"/>
          <w:szCs w:val="22"/>
          <w:lang w:val="sr-Latn-ME" w:eastAsia="sr-Latn-ME"/>
        </w:rPr>
        <w:t>). Obje terapije su bile dodate standardnoj terapiji u cilju postizanja regionalnih standardnih vrijednosti HbA</w:t>
      </w:r>
      <w:r>
        <w:rPr>
          <w:sz w:val="22"/>
          <w:szCs w:val="22"/>
          <w:vertAlign w:val="subscript"/>
          <w:lang w:val="sr-Latn-ME" w:eastAsia="sr-Latn-ME"/>
        </w:rPr>
        <w:t>1c</w:t>
      </w:r>
      <w:r>
        <w:rPr>
          <w:sz w:val="22"/>
          <w:szCs w:val="22"/>
          <w:lang w:val="sr-Latn-ME" w:eastAsia="sr-Latn-ME"/>
        </w:rPr>
        <w:t xml:space="preserve"> i faktora kardiovaskularnog (KV) rizika. Ukupna incidenca ozbiljnih neželjenih događaja kod pacijenata liječenih sitagliptinom bila je slična kao kod pacijenata koji su primali placebo.</w:t>
      </w:r>
    </w:p>
    <w:p w14:paraId="037A0B93" w14:textId="77777777" w:rsidR="00BE1AF0" w:rsidRDefault="00BE1AF0">
      <w:pPr>
        <w:autoSpaceDE w:val="0"/>
        <w:autoSpaceDN w:val="0"/>
        <w:adjustRightInd w:val="0"/>
        <w:jc w:val="both"/>
        <w:rPr>
          <w:sz w:val="22"/>
          <w:szCs w:val="22"/>
          <w:lang w:val="sr-Latn-ME" w:eastAsia="sr-Latn-ME"/>
        </w:rPr>
      </w:pPr>
    </w:p>
    <w:p w14:paraId="7C1AA9D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populaciji pacijenata predviđenoj za liječenje, incidenca teške hipoglikemije kod pacijenata koji su na početku ispitivanja primjenjivali insulin i/ili sulfonilureu iznosila je 2,7% kod pacijenata liječenih sitagliptinom i 2,5% kod pacijenata koji su primali placebo; incidenca teške hipoglikemije kod pacijenata koji nijesu primjenjivali insulin i/ili sulfonilureu na početku ispitivanja iznosila je 1,0% kod pacijenata liječenih sitagliptinom i 0,7% kod pacijenata koji su primali placebo. Incidenca nezavisno potvrđenih događaja pankreatitisa iznosila je 0,3% kod pacijenata liječenih sitagliptinom i 0,2% kod pacijenata koji su primali placebo.</w:t>
      </w:r>
    </w:p>
    <w:p w14:paraId="25F29A16" w14:textId="77777777" w:rsidR="00BE1AF0" w:rsidRDefault="00BE1AF0">
      <w:pPr>
        <w:tabs>
          <w:tab w:val="left" w:pos="540"/>
          <w:tab w:val="left" w:pos="569"/>
        </w:tabs>
        <w:jc w:val="both"/>
        <w:rPr>
          <w:b/>
          <w:bCs/>
          <w:sz w:val="22"/>
          <w:szCs w:val="22"/>
          <w:lang w:val="sr-Latn-ME"/>
        </w:rPr>
      </w:pPr>
    </w:p>
    <w:p w14:paraId="670E16EE" w14:textId="77777777" w:rsidR="00BE1AF0" w:rsidRDefault="004F0139">
      <w:pPr>
        <w:spacing w:after="200" w:line="276" w:lineRule="auto"/>
        <w:jc w:val="both"/>
        <w:rPr>
          <w:rFonts w:eastAsia="Calibri"/>
          <w:sz w:val="22"/>
          <w:szCs w:val="22"/>
          <w:u w:val="single"/>
          <w:lang w:val="sr-Latn-ME"/>
        </w:rPr>
      </w:pPr>
      <w:r>
        <w:rPr>
          <w:rFonts w:eastAsia="Calibri"/>
          <w:sz w:val="22"/>
          <w:szCs w:val="22"/>
          <w:u w:val="single"/>
          <w:lang w:val="sr-Latn-ME"/>
        </w:rPr>
        <w:t>Prijavljivanje sumnji na neželjena dejstva</w:t>
      </w:r>
    </w:p>
    <w:p w14:paraId="2292999B" w14:textId="77777777" w:rsidR="00BE1AF0" w:rsidRDefault="004F0139">
      <w:pPr>
        <w:spacing w:after="200"/>
        <w:jc w:val="both"/>
        <w:rPr>
          <w:rFonts w:eastAsia="Calibri"/>
          <w:sz w:val="22"/>
          <w:szCs w:val="22"/>
          <w:lang w:val="sr-Latn-ME"/>
        </w:rPr>
      </w:pPr>
      <w:r>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D1B8D6C" w14:textId="77777777" w:rsidR="00BE1AF0" w:rsidRDefault="004F0139">
      <w:pPr>
        <w:pStyle w:val="NoSpacing"/>
        <w:jc w:val="both"/>
        <w:rPr>
          <w:rFonts w:eastAsia="Calibri"/>
          <w:sz w:val="22"/>
          <w:szCs w:val="22"/>
          <w:lang w:val="sr-Latn-ME"/>
        </w:rPr>
      </w:pPr>
      <w:r>
        <w:rPr>
          <w:rFonts w:eastAsia="Calibri"/>
          <w:sz w:val="22"/>
          <w:szCs w:val="22"/>
          <w:lang w:val="sr-Latn-ME"/>
        </w:rPr>
        <w:t xml:space="preserve">Institut za ljekove i medicinska sredstva </w:t>
      </w:r>
    </w:p>
    <w:p w14:paraId="550D5853" w14:textId="77777777" w:rsidR="00BE1AF0" w:rsidRDefault="004F0139">
      <w:pPr>
        <w:pStyle w:val="NoSpacing"/>
        <w:jc w:val="both"/>
        <w:rPr>
          <w:rFonts w:eastAsia="Calibri"/>
          <w:sz w:val="22"/>
          <w:szCs w:val="22"/>
          <w:lang w:val="sr-Latn-ME"/>
        </w:rPr>
      </w:pPr>
      <w:r>
        <w:rPr>
          <w:rFonts w:eastAsia="Calibri"/>
          <w:sz w:val="22"/>
          <w:szCs w:val="22"/>
          <w:lang w:val="sr-Latn-ME"/>
        </w:rPr>
        <w:t>Odjeljenje za farmakovigilancu</w:t>
      </w:r>
    </w:p>
    <w:p w14:paraId="7C025E29" w14:textId="77777777" w:rsidR="00BE1AF0" w:rsidRDefault="004F0139">
      <w:pPr>
        <w:pStyle w:val="NoSpacing"/>
        <w:jc w:val="both"/>
        <w:rPr>
          <w:rFonts w:eastAsia="Calibri"/>
          <w:sz w:val="22"/>
          <w:szCs w:val="22"/>
          <w:lang w:val="sr-Latn-ME"/>
        </w:rPr>
      </w:pPr>
      <w:r>
        <w:rPr>
          <w:rFonts w:eastAsia="Calibri"/>
          <w:sz w:val="22"/>
          <w:szCs w:val="22"/>
          <w:lang w:val="sr-Latn-ME"/>
        </w:rPr>
        <w:t>Bulevar Ivana Crnojevića 64a, 81000 Podgorica</w:t>
      </w:r>
    </w:p>
    <w:p w14:paraId="01E34E53" w14:textId="77777777" w:rsidR="00BE1AF0" w:rsidRDefault="004F0139">
      <w:pPr>
        <w:pStyle w:val="NoSpacing"/>
        <w:jc w:val="both"/>
        <w:rPr>
          <w:rFonts w:eastAsia="Calibri"/>
          <w:sz w:val="22"/>
          <w:szCs w:val="22"/>
          <w:lang w:val="sr-Latn-ME"/>
        </w:rPr>
      </w:pPr>
      <w:r>
        <w:rPr>
          <w:rFonts w:eastAsia="Calibri"/>
          <w:sz w:val="22"/>
          <w:szCs w:val="22"/>
          <w:lang w:val="sr-Latn-ME"/>
        </w:rPr>
        <w:lastRenderedPageBreak/>
        <w:t>tel: +382 (0) 20 310 280</w:t>
      </w:r>
    </w:p>
    <w:p w14:paraId="08406A59" w14:textId="77777777" w:rsidR="00BE1AF0" w:rsidRDefault="004F0139">
      <w:pPr>
        <w:pStyle w:val="NoSpacing"/>
        <w:jc w:val="both"/>
        <w:rPr>
          <w:rFonts w:eastAsia="Calibri"/>
          <w:sz w:val="22"/>
          <w:szCs w:val="22"/>
          <w:lang w:val="sr-Latn-ME"/>
        </w:rPr>
      </w:pPr>
      <w:r>
        <w:rPr>
          <w:rFonts w:eastAsia="Calibri"/>
          <w:sz w:val="22"/>
          <w:szCs w:val="22"/>
          <w:lang w:val="sr-Latn-ME"/>
        </w:rPr>
        <w:t>fax: +382 (0) 20 310 581</w:t>
      </w:r>
    </w:p>
    <w:p w14:paraId="2A3C818C" w14:textId="77777777" w:rsidR="00BE1AF0" w:rsidRDefault="002F4865">
      <w:pPr>
        <w:pStyle w:val="NoSpacing"/>
        <w:jc w:val="both"/>
        <w:rPr>
          <w:rFonts w:eastAsia="Calibri"/>
          <w:sz w:val="22"/>
          <w:szCs w:val="22"/>
          <w:lang w:val="sr-Latn-ME"/>
        </w:rPr>
      </w:pPr>
      <w:hyperlink r:id="rId8" w:history="1">
        <w:r w:rsidR="004F0139">
          <w:rPr>
            <w:rStyle w:val="Hyperlink"/>
            <w:rFonts w:eastAsia="Calibri"/>
            <w:sz w:val="22"/>
            <w:szCs w:val="22"/>
            <w:lang w:val="sr-Latn-ME"/>
          </w:rPr>
          <w:t>www.cinmed.me</w:t>
        </w:r>
      </w:hyperlink>
    </w:p>
    <w:p w14:paraId="6E429E94" w14:textId="77777777" w:rsidR="00BE1AF0" w:rsidRDefault="002F4865">
      <w:pPr>
        <w:pStyle w:val="NoSpacing"/>
        <w:jc w:val="both"/>
        <w:rPr>
          <w:rFonts w:eastAsia="Calibri"/>
          <w:color w:val="0000FF"/>
          <w:sz w:val="22"/>
          <w:szCs w:val="22"/>
          <w:u w:val="single"/>
          <w:lang w:val="sr-Latn-ME"/>
        </w:rPr>
      </w:pPr>
      <w:hyperlink r:id="rId9" w:history="1">
        <w:r w:rsidR="004F0139">
          <w:rPr>
            <w:rStyle w:val="Hyperlink"/>
            <w:rFonts w:eastAsia="Calibri"/>
            <w:sz w:val="22"/>
            <w:szCs w:val="22"/>
            <w:lang w:val="sr-Latn-ME"/>
          </w:rPr>
          <w:t>nezeljenadejstva@cinmed.me</w:t>
        </w:r>
      </w:hyperlink>
    </w:p>
    <w:p w14:paraId="0CCA96B5" w14:textId="77777777" w:rsidR="00BE1AF0" w:rsidRDefault="004F0139">
      <w:pPr>
        <w:pStyle w:val="NoSpacing"/>
        <w:jc w:val="both"/>
        <w:rPr>
          <w:rFonts w:eastAsia="Calibri"/>
          <w:sz w:val="22"/>
          <w:szCs w:val="22"/>
          <w:lang w:val="sr-Latn-ME"/>
        </w:rPr>
      </w:pPr>
      <w:r>
        <w:rPr>
          <w:rFonts w:eastAsia="Calibri"/>
          <w:sz w:val="22"/>
          <w:szCs w:val="22"/>
          <w:lang w:val="sr-Latn-ME"/>
        </w:rPr>
        <w:t>putem IS zdravstvene zaštite</w:t>
      </w:r>
    </w:p>
    <w:p w14:paraId="53044E15" w14:textId="77777777" w:rsidR="00BE1AF0" w:rsidRDefault="004F0139">
      <w:pPr>
        <w:rPr>
          <w:sz w:val="22"/>
          <w:szCs w:val="22"/>
          <w:lang w:val="pt-PT"/>
        </w:rPr>
      </w:pPr>
      <w:r>
        <w:rPr>
          <w:sz w:val="22"/>
          <w:szCs w:val="22"/>
          <w:lang w:val="pt-PT"/>
        </w:rPr>
        <w:t>QR kod za online prijavu sumnje na neželjeno dejstvo lijeka:</w:t>
      </w:r>
    </w:p>
    <w:p w14:paraId="67345B89" w14:textId="77777777" w:rsidR="00BE1AF0" w:rsidRDefault="00BE1AF0">
      <w:pPr>
        <w:pStyle w:val="NoSpacing"/>
        <w:jc w:val="both"/>
        <w:rPr>
          <w:rFonts w:eastAsia="Calibri"/>
          <w:sz w:val="22"/>
          <w:szCs w:val="22"/>
          <w:lang w:val="sr-Latn-ME"/>
        </w:rPr>
      </w:pPr>
    </w:p>
    <w:p w14:paraId="5EA883CA" w14:textId="77777777" w:rsidR="00BE1AF0" w:rsidRDefault="004F0139">
      <w:pPr>
        <w:pStyle w:val="NoSpacing"/>
        <w:jc w:val="both"/>
        <w:rPr>
          <w:rFonts w:eastAsia="Calibri"/>
          <w:sz w:val="22"/>
          <w:szCs w:val="22"/>
          <w:lang w:val="sr-Latn-ME"/>
        </w:rPr>
      </w:pPr>
      <w:r>
        <w:rPr>
          <w:noProof/>
        </w:rPr>
        <w:drawing>
          <wp:inline distT="0" distB="0" distL="0" distR="0" wp14:anchorId="06DADAB4" wp14:editId="1504F20D">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1D4C13E" w14:textId="77777777" w:rsidR="00BE1AF0" w:rsidRDefault="00BE1AF0">
      <w:pPr>
        <w:tabs>
          <w:tab w:val="left" w:pos="540"/>
          <w:tab w:val="left" w:pos="569"/>
        </w:tabs>
        <w:jc w:val="both"/>
        <w:rPr>
          <w:b/>
          <w:bCs/>
          <w:sz w:val="22"/>
          <w:szCs w:val="22"/>
        </w:rPr>
      </w:pPr>
    </w:p>
    <w:p w14:paraId="5A06075E" w14:textId="77777777" w:rsidR="00BE1AF0" w:rsidRDefault="004F0139">
      <w:pPr>
        <w:tabs>
          <w:tab w:val="left" w:pos="540"/>
          <w:tab w:val="left" w:pos="569"/>
        </w:tabs>
        <w:jc w:val="both"/>
        <w:rPr>
          <w:b/>
          <w:bCs/>
          <w:sz w:val="22"/>
          <w:szCs w:val="22"/>
        </w:rPr>
      </w:pPr>
      <w:r>
        <w:rPr>
          <w:b/>
          <w:bCs/>
          <w:sz w:val="22"/>
          <w:szCs w:val="22"/>
        </w:rPr>
        <w:t xml:space="preserve">4.9. </w:t>
      </w:r>
      <w:r>
        <w:rPr>
          <w:b/>
          <w:bCs/>
          <w:sz w:val="22"/>
          <w:szCs w:val="22"/>
        </w:rPr>
        <w:tab/>
        <w:t xml:space="preserve">Predoziranje </w:t>
      </w:r>
    </w:p>
    <w:p w14:paraId="3455828F" w14:textId="77777777" w:rsidR="00BE1AF0" w:rsidRDefault="00BE1AF0">
      <w:pPr>
        <w:tabs>
          <w:tab w:val="left" w:pos="540"/>
          <w:tab w:val="left" w:pos="569"/>
        </w:tabs>
        <w:jc w:val="both"/>
        <w:rPr>
          <w:b/>
          <w:bCs/>
          <w:sz w:val="22"/>
          <w:szCs w:val="22"/>
        </w:rPr>
      </w:pPr>
    </w:p>
    <w:p w14:paraId="4F7E778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Tokom kontrolisanih kliničkih studija na zdravim ispitanicima, primjenjivane su pojedinačne doze sitagliptina do 800 mg. U jednoj studiji kod doze od 800 mg sitagliptina je primijećeno minimalno povećanje QTc intervala, za koje se smatra da nije klinički relevantno. U kliničkim studijama nema iskustva sa dozama preko 800 mg. U ispitivanjima više doza faze 1 nijesu primijećene dozno-zavisne neželjene reakcije sitagliptina pri primjeni doza do 600 mg/dan tokom najduže 10 dana i doza do 400 mg/dan tokom najduže 28 dana.</w:t>
      </w:r>
    </w:p>
    <w:p w14:paraId="41BC25C6" w14:textId="77777777" w:rsidR="00BE1AF0" w:rsidRDefault="00BE1AF0">
      <w:pPr>
        <w:autoSpaceDE w:val="0"/>
        <w:autoSpaceDN w:val="0"/>
        <w:adjustRightInd w:val="0"/>
        <w:jc w:val="both"/>
        <w:rPr>
          <w:sz w:val="22"/>
          <w:szCs w:val="22"/>
          <w:lang w:val="sr-Latn-ME" w:eastAsia="sr-Latn-ME"/>
        </w:rPr>
      </w:pPr>
    </w:p>
    <w:p w14:paraId="6A01EB7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Visoke doze metformina (ili već postojeći rizici od laktoacidoze) mogu dovesti do laktoacidoze koja predstavlja hitan medicinski slučaj i mora se liječiti u bolnici. Najefikasniji način odstranjivanja laktata i metformina jeste hemodijaliza.</w:t>
      </w:r>
    </w:p>
    <w:p w14:paraId="66B2A8C4" w14:textId="77777777" w:rsidR="00BE1AF0" w:rsidRDefault="00BE1AF0">
      <w:pPr>
        <w:autoSpaceDE w:val="0"/>
        <w:autoSpaceDN w:val="0"/>
        <w:adjustRightInd w:val="0"/>
        <w:jc w:val="both"/>
        <w:rPr>
          <w:sz w:val="22"/>
          <w:szCs w:val="22"/>
          <w:lang w:val="sr-Latn-ME" w:eastAsia="sr-Latn-ME"/>
        </w:rPr>
      </w:pPr>
    </w:p>
    <w:p w14:paraId="6F01490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kliničkim studijama, hemodijalizom je u trajanju 3-4 sata odstranjeno oko 13,5% doze lijeka. Može se razmotriti produžena dijaliza ukoliko je klinički opravdano. Nije poznato da li se sitagliptin može odstraniti peritonealnom dijalizom.</w:t>
      </w:r>
    </w:p>
    <w:p w14:paraId="1F5CA6D5" w14:textId="77777777" w:rsidR="00BE1AF0" w:rsidRDefault="00BE1AF0">
      <w:pPr>
        <w:autoSpaceDE w:val="0"/>
        <w:autoSpaceDN w:val="0"/>
        <w:adjustRightInd w:val="0"/>
        <w:jc w:val="both"/>
        <w:rPr>
          <w:sz w:val="22"/>
          <w:szCs w:val="22"/>
          <w:lang w:val="sr-Latn-ME" w:eastAsia="sr-Latn-ME"/>
        </w:rPr>
      </w:pPr>
    </w:p>
    <w:p w14:paraId="4078FFE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slučaju predoziranja treba preduzeti uobičajene suportivne mjere, odnosno ukloniti neresorbovan materijal iz gastroitestinalnog trakta, uvesti kliničko praćenje (uključujući i EKG) i po potrebi suportivnu terapiju.</w:t>
      </w:r>
    </w:p>
    <w:p w14:paraId="7CFD7E61" w14:textId="77777777" w:rsidR="00BE1AF0" w:rsidRDefault="00BE1AF0">
      <w:pPr>
        <w:tabs>
          <w:tab w:val="left" w:pos="540"/>
          <w:tab w:val="left" w:pos="569"/>
        </w:tabs>
        <w:jc w:val="both"/>
        <w:rPr>
          <w:b/>
          <w:bCs/>
          <w:sz w:val="22"/>
          <w:szCs w:val="22"/>
          <w:lang w:val="sr-Latn-ME"/>
        </w:rPr>
      </w:pPr>
    </w:p>
    <w:p w14:paraId="23E6440E" w14:textId="77777777" w:rsidR="00BE1AF0" w:rsidRDefault="00BE1AF0">
      <w:pPr>
        <w:tabs>
          <w:tab w:val="left" w:pos="540"/>
          <w:tab w:val="left" w:pos="569"/>
        </w:tabs>
        <w:jc w:val="both"/>
        <w:rPr>
          <w:b/>
          <w:bCs/>
          <w:sz w:val="22"/>
          <w:szCs w:val="22"/>
          <w:lang w:val="sr-Latn-ME"/>
        </w:rPr>
      </w:pPr>
    </w:p>
    <w:p w14:paraId="53CD8774" w14:textId="77777777" w:rsidR="00BE1AF0" w:rsidRDefault="004F0139">
      <w:pPr>
        <w:tabs>
          <w:tab w:val="left" w:pos="540"/>
          <w:tab w:val="left" w:pos="569"/>
        </w:tabs>
        <w:jc w:val="both"/>
        <w:rPr>
          <w:b/>
          <w:bCs/>
          <w:sz w:val="22"/>
          <w:szCs w:val="22"/>
          <w:lang w:val="sr-Latn-ME"/>
        </w:rPr>
      </w:pPr>
      <w:r>
        <w:rPr>
          <w:b/>
          <w:bCs/>
          <w:sz w:val="22"/>
          <w:szCs w:val="22"/>
          <w:lang w:val="sr-Latn-ME"/>
        </w:rPr>
        <w:t xml:space="preserve">5. </w:t>
      </w:r>
      <w:r>
        <w:rPr>
          <w:b/>
          <w:bCs/>
          <w:sz w:val="22"/>
          <w:szCs w:val="22"/>
          <w:lang w:val="sr-Latn-ME"/>
        </w:rPr>
        <w:tab/>
        <w:t>FARMAKOLOŠKI PODACI</w:t>
      </w:r>
    </w:p>
    <w:p w14:paraId="0ED25A17" w14:textId="77777777" w:rsidR="00BE1AF0" w:rsidRDefault="00BE1AF0">
      <w:pPr>
        <w:tabs>
          <w:tab w:val="left" w:pos="540"/>
          <w:tab w:val="left" w:pos="569"/>
        </w:tabs>
        <w:jc w:val="both"/>
        <w:rPr>
          <w:b/>
          <w:bCs/>
          <w:sz w:val="22"/>
          <w:szCs w:val="22"/>
          <w:lang w:val="sr-Latn-ME"/>
        </w:rPr>
      </w:pPr>
    </w:p>
    <w:p w14:paraId="36D6DBE1" w14:textId="77777777" w:rsidR="00BE1AF0" w:rsidRDefault="004F0139">
      <w:pPr>
        <w:tabs>
          <w:tab w:val="left" w:pos="540"/>
          <w:tab w:val="left" w:pos="569"/>
        </w:tabs>
        <w:jc w:val="both"/>
        <w:rPr>
          <w:b/>
          <w:bCs/>
          <w:sz w:val="22"/>
          <w:szCs w:val="22"/>
          <w:lang w:val="sr-Latn-ME"/>
        </w:rPr>
      </w:pPr>
      <w:r>
        <w:rPr>
          <w:b/>
          <w:bCs/>
          <w:sz w:val="22"/>
          <w:szCs w:val="22"/>
          <w:lang w:val="sr-Latn-ME"/>
        </w:rPr>
        <w:t xml:space="preserve">5.1. </w:t>
      </w:r>
      <w:r>
        <w:rPr>
          <w:b/>
          <w:bCs/>
          <w:sz w:val="22"/>
          <w:szCs w:val="22"/>
          <w:lang w:val="sr-Latn-ME"/>
        </w:rPr>
        <w:tab/>
        <w:t xml:space="preserve">Farmakodinamski podaci </w:t>
      </w:r>
    </w:p>
    <w:p w14:paraId="6BBE1111" w14:textId="77777777" w:rsidR="00BE1AF0" w:rsidRDefault="00BE1AF0">
      <w:pPr>
        <w:tabs>
          <w:tab w:val="left" w:pos="540"/>
          <w:tab w:val="left" w:pos="569"/>
        </w:tabs>
        <w:jc w:val="both"/>
        <w:rPr>
          <w:b/>
          <w:bCs/>
          <w:sz w:val="22"/>
          <w:szCs w:val="22"/>
          <w:lang w:val="sr-Latn-ME"/>
        </w:rPr>
      </w:pPr>
    </w:p>
    <w:p w14:paraId="75A19A34" w14:textId="77777777" w:rsidR="00BE1AF0" w:rsidRDefault="004F0139">
      <w:pPr>
        <w:autoSpaceDE w:val="0"/>
        <w:autoSpaceDN w:val="0"/>
        <w:adjustRightInd w:val="0"/>
        <w:jc w:val="both"/>
        <w:rPr>
          <w:bCs/>
          <w:sz w:val="22"/>
          <w:szCs w:val="22"/>
          <w:lang w:val="sr-Latn-ME"/>
        </w:rPr>
      </w:pPr>
      <w:r>
        <w:rPr>
          <w:bCs/>
          <w:sz w:val="22"/>
          <w:szCs w:val="22"/>
          <w:lang w:val="sr-Latn-ME"/>
        </w:rPr>
        <w:t xml:space="preserve">Farmakoterapijska grupa: </w:t>
      </w:r>
      <w:r>
        <w:rPr>
          <w:sz w:val="22"/>
          <w:szCs w:val="22"/>
          <w:lang w:val="sr-Latn-ME" w:eastAsia="sr-Latn-ME"/>
        </w:rPr>
        <w:t>ljekovi koji se upotrebljavaju u dijabetesu (antidijabetici); kombinacije ljekova koji snižavaju glukozu u krvi za oralnu primjenu.</w:t>
      </w:r>
    </w:p>
    <w:p w14:paraId="53A5C5C9" w14:textId="77777777" w:rsidR="00BE1AF0" w:rsidRDefault="00BE1AF0">
      <w:pPr>
        <w:tabs>
          <w:tab w:val="left" w:pos="540"/>
          <w:tab w:val="left" w:pos="569"/>
        </w:tabs>
        <w:jc w:val="both"/>
        <w:rPr>
          <w:bCs/>
          <w:sz w:val="22"/>
          <w:szCs w:val="22"/>
          <w:lang w:val="sr-Latn-ME"/>
        </w:rPr>
      </w:pPr>
    </w:p>
    <w:p w14:paraId="19A18477" w14:textId="77777777" w:rsidR="00BE1AF0" w:rsidRDefault="004F0139">
      <w:pPr>
        <w:tabs>
          <w:tab w:val="left" w:pos="540"/>
          <w:tab w:val="left" w:pos="569"/>
        </w:tabs>
        <w:jc w:val="both"/>
        <w:rPr>
          <w:bCs/>
          <w:sz w:val="22"/>
          <w:szCs w:val="22"/>
          <w:lang w:val="sr-Latn-ME"/>
        </w:rPr>
      </w:pPr>
      <w:r>
        <w:rPr>
          <w:bCs/>
          <w:sz w:val="22"/>
          <w:szCs w:val="22"/>
          <w:lang w:val="sr-Latn-ME"/>
        </w:rPr>
        <w:t>ATC kod: A10BD07</w:t>
      </w:r>
    </w:p>
    <w:p w14:paraId="646397E7" w14:textId="77777777" w:rsidR="00BE1AF0" w:rsidRDefault="00BE1AF0">
      <w:pPr>
        <w:tabs>
          <w:tab w:val="left" w:pos="540"/>
          <w:tab w:val="left" w:pos="569"/>
        </w:tabs>
        <w:jc w:val="both"/>
        <w:rPr>
          <w:b/>
          <w:bCs/>
          <w:sz w:val="22"/>
          <w:szCs w:val="22"/>
          <w:lang w:val="sr-Latn-ME"/>
        </w:rPr>
      </w:pPr>
    </w:p>
    <w:p w14:paraId="5BC76E7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Lijek Maymetsi je kombinacija dva antihiperglikemijska lijeka sa komplementarnim mehanizmima dejstva, u cilju poboljšanja kontrole glikemije kod pacijenata sa dijabetesom tip 2: sitagliptina, koji je inhibitor dipeptidil peptidaze 4 (DPP-4), i metformin hidrohlorida, lijeka iz klase bigvanida.</w:t>
      </w:r>
    </w:p>
    <w:p w14:paraId="0CE63E4D" w14:textId="77777777" w:rsidR="00BE1AF0" w:rsidRDefault="00BE1AF0">
      <w:pPr>
        <w:autoSpaceDE w:val="0"/>
        <w:autoSpaceDN w:val="0"/>
        <w:adjustRightInd w:val="0"/>
        <w:jc w:val="both"/>
        <w:rPr>
          <w:sz w:val="22"/>
          <w:szCs w:val="22"/>
          <w:lang w:val="sr-Latn-ME" w:eastAsia="sr-Latn-ME"/>
        </w:rPr>
      </w:pPr>
    </w:p>
    <w:p w14:paraId="77F0CCBD"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Sitagliptin</w:t>
      </w:r>
    </w:p>
    <w:p w14:paraId="6BEB5469"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Mehanizam dejstva</w:t>
      </w:r>
    </w:p>
    <w:p w14:paraId="3E1233C2"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Sitagliptin fosfat predstavlja oralno aktivan, snažan i visoko selektivan inhibitor enzima dipeptidil peptidaze-4 (DPP-4) i namijenjen je za liječenje dijabetesa tip 2. DPP-4 inhibitori su klasa ljekova koji pojačavaju djelovanje inkretina. Inhibiranjem enzima DPP-4 sitagliptin povećava vrijednosti dva poznata aktivna hormona inkretina, glukagonu sličnog peptida-1 (eng. </w:t>
      </w:r>
      <w:r>
        <w:rPr>
          <w:i/>
          <w:sz w:val="22"/>
          <w:szCs w:val="22"/>
          <w:lang w:val="sr-Latn-ME" w:eastAsia="sr-Latn-ME"/>
        </w:rPr>
        <w:t>glucagon-like peptide-1</w:t>
      </w:r>
      <w:r>
        <w:rPr>
          <w:sz w:val="22"/>
          <w:szCs w:val="22"/>
          <w:lang w:val="sr-Latn-ME" w:eastAsia="sr-Latn-ME"/>
        </w:rPr>
        <w:t xml:space="preserve">, GLP-1) i insulinotropnog polipeptida zavisnog od glukoze (engl. glucose-dependent insulinotropic polypeptide, GIP). Inkretini su dio endogenog sistema uključenog u fiziološku regulaciju homeostaze glukoze. Kada </w:t>
      </w:r>
      <w:r>
        <w:rPr>
          <w:sz w:val="22"/>
          <w:szCs w:val="22"/>
          <w:lang w:val="sr-Latn-ME" w:eastAsia="sr-Latn-ME"/>
        </w:rPr>
        <w:lastRenderedPageBreak/>
        <w:t>su koncentracije glukoze u krvi normalne ili povećane, GLP-1 i GIP povećavaju sintezu insulina i njegovo oslobađanje iz beta ćelija pankreasa. GLP-1 smanjuje i sekreciju glukagona iz alfa ćelija pankreasa, što dovodi do smanjene proizvodnje glukoze u jetri. Kada je koncentracija glukoze u krvi niska, ne pojačava se oslobađanje insulina i ne sprečava se sekrecija glukagona. Sitagliptin je snažan i veoma selektivan inhibitor enzima DPP-4 i u terapijskim koncentracijama ne inhibira srodne enzime DPP-8 ili DPP-9. Sitagliptin se po hemijskoj strukturi i farmakološkom dejstvu razlikuje od analoga GLP-1, insulina, sulfoniluree ili meglitinida, bigvanida, agonista gama receptora aktiviranog proliferatorom peroksizoma (PPARγ), inhibitora alfa-glukozidaze i analoga amilina.</w:t>
      </w:r>
    </w:p>
    <w:p w14:paraId="5B587DCE" w14:textId="77777777" w:rsidR="00BE1AF0" w:rsidRDefault="00BE1AF0">
      <w:pPr>
        <w:autoSpaceDE w:val="0"/>
        <w:autoSpaceDN w:val="0"/>
        <w:adjustRightInd w:val="0"/>
        <w:jc w:val="both"/>
        <w:rPr>
          <w:sz w:val="22"/>
          <w:szCs w:val="22"/>
          <w:lang w:val="sr-Latn-ME" w:eastAsia="sr-Latn-ME"/>
        </w:rPr>
      </w:pPr>
    </w:p>
    <w:p w14:paraId="6CDF29F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dvodnevnom ispitivanju na zdravim osobama sam sitagliptin povećao je koncentracije aktivnog</w:t>
      </w:r>
    </w:p>
    <w:p w14:paraId="485ACD2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GLP-1, dok je sam metformin povećao koncentracije i aktivnog i ukupnog GLP-1 u sličnoj mjeri.</w:t>
      </w:r>
    </w:p>
    <w:p w14:paraId="5E7DA0A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Istovremena primjena sitagliptina i metformina pokazala je zbirni efekat na koncentracije aktivnog</w:t>
      </w:r>
    </w:p>
    <w:p w14:paraId="1488B25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GLP-1. Sitagliptin je doveo do povećanja koncentracije aktivnog GIP, dok to nije bio slučaj sa metforminom.</w:t>
      </w:r>
    </w:p>
    <w:p w14:paraId="5B2F33C9" w14:textId="77777777" w:rsidR="00BE1AF0" w:rsidRDefault="00BE1AF0">
      <w:pPr>
        <w:tabs>
          <w:tab w:val="left" w:pos="540"/>
          <w:tab w:val="left" w:pos="569"/>
        </w:tabs>
        <w:jc w:val="both"/>
        <w:rPr>
          <w:sz w:val="22"/>
          <w:szCs w:val="22"/>
          <w:lang w:val="sr-Latn-ME" w:eastAsia="sr-Latn-ME"/>
        </w:rPr>
      </w:pPr>
    </w:p>
    <w:p w14:paraId="3CE280FC"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Klinička efikasnost i bezbjednost</w:t>
      </w:r>
    </w:p>
    <w:p w14:paraId="587B0AA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Uopšteno, sitagliptin je poboljšao kontrolu glikemije kada se koristio kao monoterapija ili u kombinovanoj terapiji kod odraslih pacijenata sa diabetesom tip 2.</w:t>
      </w:r>
    </w:p>
    <w:p w14:paraId="035490F9" w14:textId="77777777" w:rsidR="00BE1AF0" w:rsidRDefault="00BE1AF0">
      <w:pPr>
        <w:autoSpaceDE w:val="0"/>
        <w:autoSpaceDN w:val="0"/>
        <w:adjustRightInd w:val="0"/>
        <w:jc w:val="both"/>
        <w:rPr>
          <w:sz w:val="22"/>
          <w:szCs w:val="22"/>
          <w:lang w:val="sr-Latn-ME" w:eastAsia="sr-Latn-ME"/>
        </w:rPr>
      </w:pPr>
    </w:p>
    <w:p w14:paraId="5E4A4DF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 je kao monoterapija u kliničkim ispitivanjima poboljšao kontrolu glikemije uz znatno smanjenje hemoglobina A1c (HbA</w:t>
      </w:r>
      <w:r>
        <w:rPr>
          <w:sz w:val="22"/>
          <w:szCs w:val="22"/>
          <w:vertAlign w:val="subscript"/>
          <w:lang w:val="sr-Latn-ME" w:eastAsia="sr-Latn-ME"/>
        </w:rPr>
        <w:t>1c</w:t>
      </w:r>
      <w:r>
        <w:rPr>
          <w:sz w:val="22"/>
          <w:szCs w:val="22"/>
          <w:lang w:val="sr-Latn-ME" w:eastAsia="sr-Latn-ME"/>
        </w:rPr>
        <w:t xml:space="preserve">), glukoze natašte i postprandijalne glukoze. Smanjenje glukoze natašte u plazmi (eng. </w:t>
      </w:r>
      <w:r>
        <w:rPr>
          <w:i/>
          <w:iCs/>
          <w:sz w:val="22"/>
          <w:szCs w:val="22"/>
          <w:lang w:val="sr-Latn-ME" w:eastAsia="sr-Latn-ME"/>
        </w:rPr>
        <w:t>fasting plasma glucose</w:t>
      </w:r>
      <w:r>
        <w:rPr>
          <w:sz w:val="22"/>
          <w:szCs w:val="22"/>
          <w:lang w:val="sr-Latn-ME" w:eastAsia="sr-Latn-ME"/>
        </w:rPr>
        <w:t xml:space="preserve"> – FPG) uočeno je 3. nedjelje, u prvoj vremenskoj tački u kojoj je mjerena FPG. Incidenca hipoglikemije uočena kod pacijenata liječenih sitagliptinom bila je slična kao i kod pacijenata koji su uzimali placebo. Nije bilo povećanja tjelesne mase uz terapiju sitagliptinom u odnosu na početne vrijednosti. Uočeno je poboljšanje surogat pokazatelja funkcije beta ćelija, uključujući i procjenu modela homeostaze beta (eng. </w:t>
      </w:r>
      <w:r>
        <w:rPr>
          <w:i/>
          <w:iCs/>
          <w:sz w:val="22"/>
          <w:szCs w:val="22"/>
          <w:lang w:val="sr-Latn-ME" w:eastAsia="sr-Latn-ME"/>
        </w:rPr>
        <w:t>Homeostasis Model Assessment-β</w:t>
      </w:r>
      <w:r>
        <w:rPr>
          <w:sz w:val="22"/>
          <w:szCs w:val="22"/>
          <w:lang w:val="sr-Latn-ME" w:eastAsia="sr-Latn-ME"/>
        </w:rPr>
        <w:t xml:space="preserve"> – HOMA-β), odnosa proinsulina i insulina i izmjerenih odgovora beta ćelija na osnovu često uzimanih uzoraka za ispitivanje podnošljivosti obroka.</w:t>
      </w:r>
    </w:p>
    <w:p w14:paraId="639CD3D8" w14:textId="77777777" w:rsidR="00BE1AF0" w:rsidRDefault="00BE1AF0">
      <w:pPr>
        <w:autoSpaceDE w:val="0"/>
        <w:autoSpaceDN w:val="0"/>
        <w:adjustRightInd w:val="0"/>
        <w:jc w:val="both"/>
        <w:rPr>
          <w:color w:val="000000" w:themeColor="text1"/>
          <w:sz w:val="22"/>
          <w:szCs w:val="22"/>
          <w:lang w:val="sr-Latn-ME" w:eastAsia="sr-Latn-ME"/>
        </w:rPr>
      </w:pPr>
    </w:p>
    <w:p w14:paraId="1277E647" w14:textId="77777777" w:rsidR="00BE1AF0" w:rsidRDefault="004F0139">
      <w:pPr>
        <w:autoSpaceDE w:val="0"/>
        <w:autoSpaceDN w:val="0"/>
        <w:adjustRightInd w:val="0"/>
        <w:jc w:val="both"/>
        <w:rPr>
          <w:color w:val="000000" w:themeColor="text1"/>
          <w:sz w:val="22"/>
          <w:szCs w:val="22"/>
          <w:u w:val="single"/>
          <w:lang w:val="sr-Latn-ME" w:eastAsia="sr-Latn-ME"/>
        </w:rPr>
      </w:pPr>
      <w:r>
        <w:rPr>
          <w:color w:val="000000" w:themeColor="text1"/>
          <w:sz w:val="22"/>
          <w:szCs w:val="22"/>
          <w:u w:val="single"/>
          <w:lang w:val="sr-Latn-ME" w:eastAsia="sr-Latn-ME"/>
        </w:rPr>
        <w:t>Studije sitagliptina u kombinaciji sa metforminom</w:t>
      </w:r>
    </w:p>
    <w:p w14:paraId="1CC9FF5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 je omogućio znatno poboljšanje glikemijskih parametara u odnosu na placebo u 24-nedjeljnoj</w:t>
      </w:r>
    </w:p>
    <w:p w14:paraId="0C55ACB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placebo-kontrolisanoj kliničkoj studiji u cilju procjeneefikasnosti i bezbjednosti dodatka sitagliptina od 100 mg jednom dnevno postojećoj terapiji metforminom. Promjena početnih vrijednosti tjelesne mase kod pacijenata liječenih sitagliptinom bila je slična kao i kod pacijenata iz placebo grupe. U ovoj studiji prijavljena je slična incidenca hipoglikemije kod pacijenata liječenih sitagliptinom i kod pacijenata koji su primali placebo.</w:t>
      </w:r>
    </w:p>
    <w:p w14:paraId="4DD07300" w14:textId="77777777" w:rsidR="00BE1AF0" w:rsidRDefault="00BE1AF0">
      <w:pPr>
        <w:autoSpaceDE w:val="0"/>
        <w:autoSpaceDN w:val="0"/>
        <w:adjustRightInd w:val="0"/>
        <w:jc w:val="both"/>
        <w:rPr>
          <w:sz w:val="22"/>
          <w:szCs w:val="22"/>
          <w:lang w:val="sr-Latn-ME" w:eastAsia="sr-Latn-ME"/>
        </w:rPr>
      </w:pPr>
    </w:p>
    <w:p w14:paraId="50D8A48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24-nedjeljnoj placebo-kontrolisanoj faktorijalnoj studiji inicijalne terapije, sitagliptin u dozi od 50 mg dva puta dnevno u kombinaciji sa metforminom (500 mg ili 1000 mg dva puta dnevno) doveo je do znatnog poboljšanja glikemijskih parametara u odnosu na monoterapiju tim ljekovima. Smanjenje tjelesne mase kod kombinacije sitagliptina i metformina bilo je slično onom koje je uočeno kod metformina kao monoterapije ili placebo grupe; kod pacijenata na sitagliptinu kao monoterapiji nije bilo promjene u odnosu na početne vrijednosti. Incidenca hipoglikemije bila je slična u svim terapijskim grupama.</w:t>
      </w:r>
    </w:p>
    <w:p w14:paraId="222C0371" w14:textId="77777777" w:rsidR="00BE1AF0" w:rsidRDefault="00BE1AF0">
      <w:pPr>
        <w:autoSpaceDE w:val="0"/>
        <w:autoSpaceDN w:val="0"/>
        <w:adjustRightInd w:val="0"/>
        <w:jc w:val="both"/>
        <w:rPr>
          <w:sz w:val="22"/>
          <w:szCs w:val="22"/>
          <w:lang w:val="sr-Latn-ME" w:eastAsia="sr-Latn-ME"/>
        </w:rPr>
      </w:pPr>
    </w:p>
    <w:p w14:paraId="0D8CD554"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Studija sitagliptina u kombinaciji sa metforminom i sulfonilureom</w:t>
      </w:r>
    </w:p>
    <w:p w14:paraId="6EE0B1B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Osmišljena je 24-nedjeljna placebo-kontrolisana studija u cilju procjene efikasnosti i bezbjednosti sitagliptina (100 mg jednom dnevno) dodatog glimepiridu (kao monoterapiji ili u kombinaciji sa metforminom). Dodavanjem sitagliptina glimepiridu i metforminu omogućeno je znatno poboljšanje glikemijskih parametara. Pacijenti liječeni sitagliptinom imali su umjereno povećanje tjelesne mase (+1,1 kg) u odnosu na pacijente koji su dobijali placebo.</w:t>
      </w:r>
    </w:p>
    <w:p w14:paraId="3D0F584E" w14:textId="77777777" w:rsidR="00BE1AF0" w:rsidRDefault="00BE1AF0">
      <w:pPr>
        <w:autoSpaceDE w:val="0"/>
        <w:autoSpaceDN w:val="0"/>
        <w:adjustRightInd w:val="0"/>
        <w:jc w:val="both"/>
        <w:rPr>
          <w:sz w:val="22"/>
          <w:szCs w:val="22"/>
          <w:lang w:val="sr-Latn-ME" w:eastAsia="sr-Latn-ME"/>
        </w:rPr>
      </w:pPr>
    </w:p>
    <w:p w14:paraId="10BB8E77"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Studija sitagliptina u kombinaciji sa metforminom i PPARγ agonistom</w:t>
      </w:r>
    </w:p>
    <w:p w14:paraId="065534D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Osmišljena je 26-nedjeljna placebo-kontrolisana studija koja je za cilj imala da procijeni efikasnost i bezbjednost sitagliptina (100 mg jednom dnevno) kada se dodaje kombinaciji pioglitazona i metformina. Dodavanje sitagliptina kombinaciji pioglitazona i metformina dovelo je do značajnog poboljšanja glikemijskih parametara. Promjena tjelesne mase u odnosu na početnu bila je slična kod pacijenata </w:t>
      </w:r>
      <w:r>
        <w:rPr>
          <w:sz w:val="22"/>
          <w:szCs w:val="22"/>
          <w:lang w:val="sr-Latn-ME" w:eastAsia="sr-Latn-ME"/>
        </w:rPr>
        <w:lastRenderedPageBreak/>
        <w:t>liječenih sitagliptinom u odnosu na placebo. Učestalost hipoglikemije takođe je bila slična kod pacijenata liječenih sitagliptinom u odnosu na placebo.</w:t>
      </w:r>
    </w:p>
    <w:p w14:paraId="0DD7D147" w14:textId="77777777" w:rsidR="00BE1AF0" w:rsidRDefault="00BE1AF0">
      <w:pPr>
        <w:autoSpaceDE w:val="0"/>
        <w:autoSpaceDN w:val="0"/>
        <w:adjustRightInd w:val="0"/>
        <w:jc w:val="both"/>
        <w:rPr>
          <w:sz w:val="22"/>
          <w:szCs w:val="22"/>
          <w:lang w:val="sr-Latn-ME" w:eastAsia="sr-Latn-ME"/>
        </w:rPr>
      </w:pPr>
    </w:p>
    <w:p w14:paraId="2B844FBC"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Studija sitagliptina u kombinaciji sa metforminom i insulinom</w:t>
      </w:r>
    </w:p>
    <w:p w14:paraId="57A56152" w14:textId="00FFDC64" w:rsidR="00BE1AF0" w:rsidRDefault="004F0139" w:rsidP="005F6544">
      <w:pPr>
        <w:autoSpaceDE w:val="0"/>
        <w:autoSpaceDN w:val="0"/>
        <w:adjustRightInd w:val="0"/>
        <w:jc w:val="both"/>
        <w:rPr>
          <w:sz w:val="22"/>
          <w:szCs w:val="22"/>
          <w:lang w:val="sr-Latn-ME" w:eastAsia="sr-Latn-ME"/>
        </w:rPr>
      </w:pPr>
      <w:r>
        <w:rPr>
          <w:sz w:val="22"/>
          <w:szCs w:val="22"/>
          <w:lang w:val="sr-Latn-ME" w:eastAsia="sr-Latn-ME"/>
        </w:rPr>
        <w:t xml:space="preserve">Osmišljena je 24-nedjeljna placebo-kontrolisana studija u cilju procjene efikasnosti i bezbjednosti sitagliptina (100 mg jednom dnevno) dodatog insulinu (u stabilnoj dozi za period od najmanje 10 nedjelja) sa metforminom ili bez njega (najmanje 1500 mg). Kod pacijenata koji su primali fiksnu mješavinu insulina (eng. </w:t>
      </w:r>
      <w:r>
        <w:rPr>
          <w:i/>
          <w:sz w:val="22"/>
          <w:szCs w:val="22"/>
          <w:lang w:val="sr-Latn-ME" w:eastAsia="sr-Latn-ME"/>
        </w:rPr>
        <w:t>premixed</w:t>
      </w:r>
      <w:r>
        <w:rPr>
          <w:sz w:val="22"/>
          <w:szCs w:val="22"/>
          <w:lang w:val="sr-Latn-ME" w:eastAsia="sr-Latn-ME"/>
        </w:rPr>
        <w:t xml:space="preserve">), srednja dnevna doza iznosila je 70,9 U/dnevno. Kod pacijenata koji nijesu primali fiksnu mješavinu insulina (eng. </w:t>
      </w:r>
      <w:r>
        <w:rPr>
          <w:i/>
          <w:sz w:val="22"/>
          <w:szCs w:val="22"/>
          <w:lang w:val="sr-Latn-ME" w:eastAsia="sr-Latn-ME"/>
        </w:rPr>
        <w:t>non-pre-mixed</w:t>
      </w:r>
      <w:r>
        <w:rPr>
          <w:sz w:val="22"/>
          <w:szCs w:val="22"/>
          <w:lang w:val="sr-Latn-ME" w:eastAsia="sr-Latn-ME"/>
        </w:rPr>
        <w:t>), već su primali srednjedjelujući ili dugodjelujući insulin, srednja dnevna doza je bila 44,3 U/dnevno. Podaci dobijeni od 73% pacijenata koji su uzimali i metformin prikazani su u Tabeli 2. Dodavanjem sitagliptina terapiji insulinom omogućeno je znatno poboljšanje glikemijskih parametara. Promjena tjelesne mase u odnosu na početnu bila je slična u obje grupe.</w:t>
      </w:r>
    </w:p>
    <w:p w14:paraId="66759AB0" w14:textId="48AB00CB" w:rsidR="00BE1AF0" w:rsidRDefault="00BE1AF0">
      <w:pPr>
        <w:autoSpaceDE w:val="0"/>
        <w:autoSpaceDN w:val="0"/>
        <w:adjustRightInd w:val="0"/>
        <w:jc w:val="both"/>
        <w:rPr>
          <w:b/>
          <w:bCs/>
          <w:sz w:val="22"/>
          <w:szCs w:val="22"/>
          <w:lang w:val="sr-Latn-ME" w:eastAsia="sr-Latn-ME"/>
        </w:rPr>
      </w:pPr>
    </w:p>
    <w:p w14:paraId="48BC4B3F" w14:textId="77777777" w:rsidR="00BE1AF0" w:rsidRDefault="004F0139">
      <w:pPr>
        <w:autoSpaceDE w:val="0"/>
        <w:autoSpaceDN w:val="0"/>
        <w:adjustRightInd w:val="0"/>
        <w:jc w:val="both"/>
        <w:rPr>
          <w:b/>
          <w:bCs/>
          <w:sz w:val="22"/>
          <w:szCs w:val="22"/>
          <w:lang w:val="sr-Latn-ME" w:eastAsia="sr-Latn-ME"/>
        </w:rPr>
      </w:pPr>
      <w:r>
        <w:rPr>
          <w:b/>
          <w:bCs/>
          <w:sz w:val="22"/>
          <w:szCs w:val="22"/>
          <w:lang w:val="sr-Latn-ME" w:eastAsia="sr-Latn-ME"/>
        </w:rPr>
        <w:t>Tabela 2: Rezultati HbA</w:t>
      </w:r>
      <w:r>
        <w:rPr>
          <w:b/>
          <w:bCs/>
          <w:sz w:val="22"/>
          <w:szCs w:val="22"/>
          <w:vertAlign w:val="subscript"/>
          <w:lang w:val="sr-Latn-ME" w:eastAsia="sr-Latn-ME"/>
        </w:rPr>
        <w:t>1c</w:t>
      </w:r>
      <w:r>
        <w:rPr>
          <w:b/>
          <w:bCs/>
          <w:sz w:val="22"/>
          <w:szCs w:val="22"/>
          <w:lang w:val="sr-Latn-ME" w:eastAsia="sr-Latn-ME"/>
        </w:rPr>
        <w:t xml:space="preserve"> u placebo-kontrolisanim studijama kombinovane terapije sitagliptina i metformina*</w:t>
      </w:r>
    </w:p>
    <w:p w14:paraId="7A9F8CA5" w14:textId="77777777" w:rsidR="00BE1AF0" w:rsidRDefault="00BE1AF0">
      <w:pPr>
        <w:tabs>
          <w:tab w:val="left" w:pos="540"/>
          <w:tab w:val="left" w:pos="569"/>
        </w:tabs>
        <w:jc w:val="both"/>
        <w:rPr>
          <w:b/>
          <w:bCs/>
          <w:sz w:val="22"/>
          <w:szCs w:val="22"/>
          <w:lang w:val="sr-Latn-ME" w:eastAsia="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1409"/>
        <w:gridCol w:w="2366"/>
        <w:gridCol w:w="2807"/>
      </w:tblGrid>
      <w:tr w:rsidR="00BE1AF0" w14:paraId="51BAB8CD" w14:textId="77777777">
        <w:tc>
          <w:tcPr>
            <w:tcW w:w="2518" w:type="dxa"/>
            <w:shd w:val="clear" w:color="auto" w:fill="auto"/>
          </w:tcPr>
          <w:p w14:paraId="55E39133" w14:textId="77777777" w:rsidR="00BE1AF0" w:rsidRDefault="004F0139">
            <w:pPr>
              <w:autoSpaceDE w:val="0"/>
              <w:autoSpaceDN w:val="0"/>
              <w:adjustRightInd w:val="0"/>
              <w:rPr>
                <w:b/>
                <w:sz w:val="22"/>
                <w:szCs w:val="22"/>
                <w:lang w:val="sr-Latn-ME"/>
              </w:rPr>
            </w:pPr>
            <w:r>
              <w:rPr>
                <w:b/>
                <w:sz w:val="22"/>
                <w:szCs w:val="22"/>
                <w:lang w:val="sr-Latn-ME"/>
              </w:rPr>
              <w:t>Studija</w:t>
            </w:r>
          </w:p>
        </w:tc>
        <w:tc>
          <w:tcPr>
            <w:tcW w:w="1418" w:type="dxa"/>
            <w:shd w:val="clear" w:color="auto" w:fill="auto"/>
          </w:tcPr>
          <w:p w14:paraId="164623BA" w14:textId="77777777" w:rsidR="00BE1AF0" w:rsidRDefault="004F0139">
            <w:pPr>
              <w:autoSpaceDE w:val="0"/>
              <w:autoSpaceDN w:val="0"/>
              <w:adjustRightInd w:val="0"/>
              <w:rPr>
                <w:b/>
                <w:sz w:val="22"/>
                <w:szCs w:val="22"/>
                <w:lang w:val="sr-Latn-ME"/>
              </w:rPr>
            </w:pPr>
            <w:r>
              <w:rPr>
                <w:b/>
                <w:sz w:val="22"/>
                <w:szCs w:val="22"/>
                <w:lang w:val="sr-Latn-ME"/>
              </w:rPr>
              <w:t>Srednja vrijednost početnog</w:t>
            </w:r>
          </w:p>
          <w:p w14:paraId="1BD55404" w14:textId="77777777" w:rsidR="00BE1AF0" w:rsidRDefault="004F0139">
            <w:pPr>
              <w:autoSpaceDE w:val="0"/>
              <w:autoSpaceDN w:val="0"/>
              <w:adjustRightInd w:val="0"/>
              <w:rPr>
                <w:b/>
                <w:sz w:val="22"/>
                <w:szCs w:val="22"/>
                <w:lang w:val="sr-Latn-ME"/>
              </w:rPr>
            </w:pPr>
            <w:r>
              <w:rPr>
                <w:b/>
                <w:sz w:val="22"/>
                <w:szCs w:val="22"/>
                <w:lang w:val="sr-Latn-ME"/>
              </w:rPr>
              <w:t>HbA</w:t>
            </w:r>
            <w:r>
              <w:rPr>
                <w:b/>
                <w:sz w:val="22"/>
                <w:szCs w:val="22"/>
                <w:vertAlign w:val="subscript"/>
                <w:lang w:val="sr-Latn-ME"/>
              </w:rPr>
              <w:t xml:space="preserve">1c </w:t>
            </w:r>
            <w:r>
              <w:rPr>
                <w:b/>
                <w:sz w:val="22"/>
                <w:szCs w:val="22"/>
                <w:lang w:val="sr-Latn-ME"/>
              </w:rPr>
              <w:t>(%)</w:t>
            </w:r>
          </w:p>
        </w:tc>
        <w:tc>
          <w:tcPr>
            <w:tcW w:w="2409" w:type="dxa"/>
            <w:shd w:val="clear" w:color="auto" w:fill="auto"/>
          </w:tcPr>
          <w:p w14:paraId="6204CED4" w14:textId="77777777" w:rsidR="00BE1AF0" w:rsidRDefault="004F0139">
            <w:pPr>
              <w:autoSpaceDE w:val="0"/>
              <w:autoSpaceDN w:val="0"/>
              <w:adjustRightInd w:val="0"/>
              <w:rPr>
                <w:b/>
                <w:sz w:val="22"/>
                <w:szCs w:val="22"/>
                <w:lang w:val="sr-Latn-ME"/>
              </w:rPr>
            </w:pPr>
            <w:r>
              <w:rPr>
                <w:b/>
                <w:sz w:val="22"/>
                <w:szCs w:val="22"/>
                <w:lang w:val="sr-Latn-ME"/>
              </w:rPr>
              <w:t>Srednja vrijednost promjene u odnosu na početni HbA</w:t>
            </w:r>
            <w:r>
              <w:rPr>
                <w:b/>
                <w:sz w:val="22"/>
                <w:szCs w:val="22"/>
                <w:vertAlign w:val="subscript"/>
                <w:lang w:val="sr-Latn-ME"/>
              </w:rPr>
              <w:t>1c</w:t>
            </w:r>
            <w:r>
              <w:rPr>
                <w:b/>
                <w:sz w:val="22"/>
                <w:szCs w:val="22"/>
                <w:lang w:val="sr-Latn-ME"/>
              </w:rPr>
              <w:t xml:space="preserve"> (%)</w:t>
            </w:r>
          </w:p>
        </w:tc>
        <w:tc>
          <w:tcPr>
            <w:tcW w:w="2866" w:type="dxa"/>
            <w:shd w:val="clear" w:color="auto" w:fill="auto"/>
          </w:tcPr>
          <w:p w14:paraId="6D7F8FC0" w14:textId="77777777" w:rsidR="00BE1AF0" w:rsidRDefault="004F0139">
            <w:pPr>
              <w:autoSpaceDE w:val="0"/>
              <w:autoSpaceDN w:val="0"/>
              <w:adjustRightInd w:val="0"/>
              <w:rPr>
                <w:b/>
                <w:sz w:val="22"/>
                <w:szCs w:val="22"/>
                <w:lang w:val="sr-Latn-ME"/>
              </w:rPr>
            </w:pPr>
            <w:r>
              <w:rPr>
                <w:b/>
                <w:sz w:val="22"/>
                <w:szCs w:val="22"/>
                <w:lang w:val="sr-Latn-ME"/>
              </w:rPr>
              <w:t>Srednja vrijednost promjene HbA</w:t>
            </w:r>
            <w:r>
              <w:rPr>
                <w:b/>
                <w:sz w:val="22"/>
                <w:szCs w:val="22"/>
                <w:vertAlign w:val="subscript"/>
                <w:lang w:val="sr-Latn-ME"/>
              </w:rPr>
              <w:t>1c</w:t>
            </w:r>
            <w:r>
              <w:rPr>
                <w:b/>
                <w:sz w:val="22"/>
                <w:szCs w:val="22"/>
                <w:lang w:val="sr-Latn-ME"/>
              </w:rPr>
              <w:t xml:space="preserve"> (%) nakon korekcije u odnosu na placebo (95 % CI)</w:t>
            </w:r>
          </w:p>
        </w:tc>
      </w:tr>
      <w:tr w:rsidR="00BE1AF0" w14:paraId="288D2094" w14:textId="77777777">
        <w:trPr>
          <w:trHeight w:val="942"/>
        </w:trPr>
        <w:tc>
          <w:tcPr>
            <w:tcW w:w="2518" w:type="dxa"/>
            <w:shd w:val="clear" w:color="auto" w:fill="auto"/>
          </w:tcPr>
          <w:p w14:paraId="03507AA6" w14:textId="77777777" w:rsidR="00BE1AF0" w:rsidRDefault="004F0139">
            <w:pPr>
              <w:autoSpaceDE w:val="0"/>
              <w:autoSpaceDN w:val="0"/>
              <w:adjustRightInd w:val="0"/>
              <w:rPr>
                <w:sz w:val="22"/>
                <w:szCs w:val="22"/>
                <w:vertAlign w:val="superscript"/>
                <w:lang w:val="sr-Latn-ME"/>
              </w:rPr>
            </w:pPr>
            <w:r>
              <w:rPr>
                <w:sz w:val="22"/>
                <w:szCs w:val="22"/>
                <w:lang w:val="sr-Latn-ME"/>
              </w:rPr>
              <w:t>Sitagliptin 100 mg jednom dnevno dodat postojećoj terapiji metforminom</w:t>
            </w:r>
            <w:r>
              <w:rPr>
                <w:color w:val="26282A"/>
                <w:sz w:val="22"/>
                <w:szCs w:val="22"/>
                <w:vertAlign w:val="superscript"/>
                <w:lang w:val="sr-Latn-ME" w:eastAsia="sl-SI"/>
              </w:rPr>
              <w:t xml:space="preserve">|| </w:t>
            </w:r>
          </w:p>
          <w:p w14:paraId="417DF48B" w14:textId="77777777" w:rsidR="00BE1AF0" w:rsidRDefault="004F0139">
            <w:pPr>
              <w:autoSpaceDE w:val="0"/>
              <w:autoSpaceDN w:val="0"/>
              <w:adjustRightInd w:val="0"/>
              <w:rPr>
                <w:sz w:val="22"/>
                <w:szCs w:val="22"/>
                <w:lang w:val="sr-Latn-ME"/>
              </w:rPr>
            </w:pPr>
            <w:r>
              <w:rPr>
                <w:sz w:val="22"/>
                <w:szCs w:val="22"/>
                <w:lang w:val="sr-Latn-ME"/>
              </w:rPr>
              <w:t>(N=453)</w:t>
            </w:r>
          </w:p>
        </w:tc>
        <w:tc>
          <w:tcPr>
            <w:tcW w:w="1418" w:type="dxa"/>
            <w:shd w:val="clear" w:color="auto" w:fill="auto"/>
          </w:tcPr>
          <w:p w14:paraId="181B41DB" w14:textId="77777777" w:rsidR="00BE1AF0" w:rsidRDefault="00BE1AF0">
            <w:pPr>
              <w:autoSpaceDE w:val="0"/>
              <w:autoSpaceDN w:val="0"/>
              <w:adjustRightInd w:val="0"/>
              <w:rPr>
                <w:sz w:val="22"/>
                <w:szCs w:val="22"/>
                <w:lang w:val="sr-Latn-ME"/>
              </w:rPr>
            </w:pPr>
          </w:p>
          <w:p w14:paraId="68BA325E" w14:textId="77777777" w:rsidR="00BE1AF0" w:rsidRDefault="004F0139">
            <w:pPr>
              <w:autoSpaceDE w:val="0"/>
              <w:autoSpaceDN w:val="0"/>
              <w:adjustRightInd w:val="0"/>
              <w:rPr>
                <w:sz w:val="22"/>
                <w:szCs w:val="22"/>
                <w:lang w:val="sr-Latn-ME"/>
              </w:rPr>
            </w:pPr>
            <w:r>
              <w:rPr>
                <w:sz w:val="22"/>
                <w:szCs w:val="22"/>
                <w:lang w:val="sr-Latn-ME"/>
              </w:rPr>
              <w:t>8,0</w:t>
            </w:r>
          </w:p>
        </w:tc>
        <w:tc>
          <w:tcPr>
            <w:tcW w:w="2409" w:type="dxa"/>
            <w:shd w:val="clear" w:color="auto" w:fill="auto"/>
          </w:tcPr>
          <w:p w14:paraId="4A2B28BF" w14:textId="77777777" w:rsidR="00BE1AF0" w:rsidRDefault="00BE1AF0">
            <w:pPr>
              <w:autoSpaceDE w:val="0"/>
              <w:autoSpaceDN w:val="0"/>
              <w:adjustRightInd w:val="0"/>
              <w:rPr>
                <w:sz w:val="22"/>
                <w:szCs w:val="22"/>
                <w:lang w:val="sr-Latn-ME"/>
              </w:rPr>
            </w:pPr>
          </w:p>
          <w:p w14:paraId="74C7171A" w14:textId="77777777" w:rsidR="00BE1AF0" w:rsidRDefault="004F0139">
            <w:pPr>
              <w:autoSpaceDE w:val="0"/>
              <w:autoSpaceDN w:val="0"/>
              <w:adjustRightInd w:val="0"/>
              <w:rPr>
                <w:sz w:val="22"/>
                <w:szCs w:val="22"/>
                <w:lang w:val="sr-Latn-ME"/>
              </w:rPr>
            </w:pPr>
            <w:r>
              <w:rPr>
                <w:sz w:val="22"/>
                <w:szCs w:val="22"/>
                <w:lang w:val="sr-Latn-ME"/>
              </w:rPr>
              <w:t>-0,7</w:t>
            </w:r>
            <w:r>
              <w:rPr>
                <w:sz w:val="22"/>
                <w:szCs w:val="22"/>
                <w:vertAlign w:val="superscript"/>
                <w:lang w:val="sr-Latn-ME"/>
              </w:rPr>
              <w:t>†</w:t>
            </w:r>
          </w:p>
        </w:tc>
        <w:tc>
          <w:tcPr>
            <w:tcW w:w="2866" w:type="dxa"/>
            <w:shd w:val="clear" w:color="auto" w:fill="auto"/>
          </w:tcPr>
          <w:p w14:paraId="14CE39FB" w14:textId="77777777" w:rsidR="00BE1AF0" w:rsidRDefault="00BE1AF0">
            <w:pPr>
              <w:autoSpaceDE w:val="0"/>
              <w:autoSpaceDN w:val="0"/>
              <w:adjustRightInd w:val="0"/>
              <w:rPr>
                <w:sz w:val="22"/>
                <w:szCs w:val="22"/>
                <w:lang w:val="sr-Latn-ME"/>
              </w:rPr>
            </w:pPr>
          </w:p>
          <w:p w14:paraId="46931DA3" w14:textId="77777777" w:rsidR="00BE1AF0" w:rsidRDefault="004F0139">
            <w:pPr>
              <w:autoSpaceDE w:val="0"/>
              <w:autoSpaceDN w:val="0"/>
              <w:adjustRightInd w:val="0"/>
              <w:rPr>
                <w:sz w:val="22"/>
                <w:szCs w:val="22"/>
                <w:vertAlign w:val="superscript"/>
                <w:lang w:val="sr-Latn-ME"/>
              </w:rPr>
            </w:pPr>
            <w:r>
              <w:rPr>
                <w:sz w:val="22"/>
                <w:szCs w:val="22"/>
                <w:lang w:val="sr-Latn-ME"/>
              </w:rPr>
              <w:t>-0,7</w:t>
            </w:r>
            <w:r>
              <w:rPr>
                <w:sz w:val="22"/>
                <w:szCs w:val="22"/>
                <w:vertAlign w:val="superscript"/>
                <w:lang w:val="sr-Latn-ME"/>
              </w:rPr>
              <w:t>†,‡</w:t>
            </w:r>
          </w:p>
          <w:p w14:paraId="14E4CCAF" w14:textId="77777777" w:rsidR="00BE1AF0" w:rsidRDefault="004F0139">
            <w:pPr>
              <w:autoSpaceDE w:val="0"/>
              <w:autoSpaceDN w:val="0"/>
              <w:adjustRightInd w:val="0"/>
              <w:rPr>
                <w:sz w:val="22"/>
                <w:szCs w:val="22"/>
                <w:lang w:val="sr-Latn-ME"/>
              </w:rPr>
            </w:pPr>
            <w:r>
              <w:rPr>
                <w:sz w:val="22"/>
                <w:szCs w:val="22"/>
                <w:lang w:val="sr-Latn-ME"/>
              </w:rPr>
              <w:t>(-0,8, -0,5)</w:t>
            </w:r>
          </w:p>
        </w:tc>
      </w:tr>
      <w:tr w:rsidR="00BE1AF0" w14:paraId="089ADFE6" w14:textId="77777777">
        <w:tc>
          <w:tcPr>
            <w:tcW w:w="2518" w:type="dxa"/>
            <w:shd w:val="clear" w:color="auto" w:fill="auto"/>
          </w:tcPr>
          <w:p w14:paraId="4927A0C9" w14:textId="77777777" w:rsidR="00BE1AF0" w:rsidRDefault="004F0139">
            <w:pPr>
              <w:autoSpaceDE w:val="0"/>
              <w:autoSpaceDN w:val="0"/>
              <w:adjustRightInd w:val="0"/>
              <w:rPr>
                <w:sz w:val="22"/>
                <w:szCs w:val="22"/>
                <w:lang w:val="sr-Latn-ME"/>
              </w:rPr>
            </w:pPr>
            <w:r>
              <w:rPr>
                <w:sz w:val="22"/>
                <w:szCs w:val="22"/>
                <w:lang w:val="sr-Latn-ME"/>
              </w:rPr>
              <w:t>Sitagliptin 100 mg jednom dnevno dodat postojećoj terapiji glimepirid + metformin</w:t>
            </w:r>
            <w:r>
              <w:rPr>
                <w:color w:val="26282A"/>
                <w:sz w:val="22"/>
                <w:szCs w:val="22"/>
                <w:vertAlign w:val="superscript"/>
                <w:lang w:val="sr-Latn-ME" w:eastAsia="sl-SI"/>
              </w:rPr>
              <w:t>||</w:t>
            </w:r>
          </w:p>
          <w:p w14:paraId="105022C1" w14:textId="77777777" w:rsidR="00BE1AF0" w:rsidRDefault="004F0139">
            <w:pPr>
              <w:autoSpaceDE w:val="0"/>
              <w:autoSpaceDN w:val="0"/>
              <w:adjustRightInd w:val="0"/>
              <w:rPr>
                <w:sz w:val="22"/>
                <w:szCs w:val="22"/>
                <w:lang w:val="sr-Latn-ME"/>
              </w:rPr>
            </w:pPr>
            <w:r>
              <w:rPr>
                <w:sz w:val="22"/>
                <w:szCs w:val="22"/>
                <w:lang w:val="sr-Latn-ME"/>
              </w:rPr>
              <w:t>(N=115)</w:t>
            </w:r>
          </w:p>
        </w:tc>
        <w:tc>
          <w:tcPr>
            <w:tcW w:w="1418" w:type="dxa"/>
            <w:shd w:val="clear" w:color="auto" w:fill="auto"/>
          </w:tcPr>
          <w:p w14:paraId="6D51F085" w14:textId="77777777" w:rsidR="00BE1AF0" w:rsidRDefault="00BE1AF0">
            <w:pPr>
              <w:autoSpaceDE w:val="0"/>
              <w:autoSpaceDN w:val="0"/>
              <w:adjustRightInd w:val="0"/>
              <w:rPr>
                <w:sz w:val="22"/>
                <w:szCs w:val="22"/>
                <w:lang w:val="sr-Latn-ME"/>
              </w:rPr>
            </w:pPr>
          </w:p>
          <w:p w14:paraId="7B85172C" w14:textId="77777777" w:rsidR="00BE1AF0" w:rsidRDefault="00BE1AF0">
            <w:pPr>
              <w:autoSpaceDE w:val="0"/>
              <w:autoSpaceDN w:val="0"/>
              <w:adjustRightInd w:val="0"/>
              <w:rPr>
                <w:sz w:val="22"/>
                <w:szCs w:val="22"/>
                <w:lang w:val="sr-Latn-ME"/>
              </w:rPr>
            </w:pPr>
          </w:p>
          <w:p w14:paraId="3BD6F2BD" w14:textId="77777777" w:rsidR="00BE1AF0" w:rsidRDefault="004F0139">
            <w:pPr>
              <w:autoSpaceDE w:val="0"/>
              <w:autoSpaceDN w:val="0"/>
              <w:adjustRightInd w:val="0"/>
              <w:rPr>
                <w:sz w:val="22"/>
                <w:szCs w:val="22"/>
                <w:lang w:val="sr-Latn-ME"/>
              </w:rPr>
            </w:pPr>
            <w:r>
              <w:rPr>
                <w:sz w:val="22"/>
                <w:szCs w:val="22"/>
                <w:lang w:val="sr-Latn-ME"/>
              </w:rPr>
              <w:t>8,3</w:t>
            </w:r>
          </w:p>
        </w:tc>
        <w:tc>
          <w:tcPr>
            <w:tcW w:w="2409" w:type="dxa"/>
            <w:shd w:val="clear" w:color="auto" w:fill="auto"/>
          </w:tcPr>
          <w:p w14:paraId="402B0AF6" w14:textId="77777777" w:rsidR="00BE1AF0" w:rsidRDefault="00BE1AF0">
            <w:pPr>
              <w:autoSpaceDE w:val="0"/>
              <w:autoSpaceDN w:val="0"/>
              <w:adjustRightInd w:val="0"/>
              <w:rPr>
                <w:sz w:val="22"/>
                <w:szCs w:val="22"/>
                <w:lang w:val="sr-Latn-ME"/>
              </w:rPr>
            </w:pPr>
          </w:p>
          <w:p w14:paraId="4E505216" w14:textId="77777777" w:rsidR="00BE1AF0" w:rsidRDefault="00BE1AF0">
            <w:pPr>
              <w:autoSpaceDE w:val="0"/>
              <w:autoSpaceDN w:val="0"/>
              <w:adjustRightInd w:val="0"/>
              <w:rPr>
                <w:sz w:val="22"/>
                <w:szCs w:val="22"/>
                <w:lang w:val="sr-Latn-ME"/>
              </w:rPr>
            </w:pPr>
          </w:p>
          <w:p w14:paraId="7A6A0435" w14:textId="77777777" w:rsidR="00BE1AF0" w:rsidRDefault="004F0139">
            <w:pPr>
              <w:autoSpaceDE w:val="0"/>
              <w:autoSpaceDN w:val="0"/>
              <w:adjustRightInd w:val="0"/>
              <w:rPr>
                <w:sz w:val="22"/>
                <w:szCs w:val="22"/>
                <w:lang w:val="sr-Latn-ME"/>
              </w:rPr>
            </w:pPr>
            <w:r>
              <w:rPr>
                <w:sz w:val="22"/>
                <w:szCs w:val="22"/>
                <w:lang w:val="sr-Latn-ME"/>
              </w:rPr>
              <w:t>-0,6</w:t>
            </w:r>
            <w:r>
              <w:rPr>
                <w:sz w:val="22"/>
                <w:szCs w:val="22"/>
                <w:vertAlign w:val="superscript"/>
                <w:lang w:val="sr-Latn-ME"/>
              </w:rPr>
              <w:t>†</w:t>
            </w:r>
          </w:p>
        </w:tc>
        <w:tc>
          <w:tcPr>
            <w:tcW w:w="2866" w:type="dxa"/>
            <w:shd w:val="clear" w:color="auto" w:fill="auto"/>
          </w:tcPr>
          <w:p w14:paraId="50306CE0" w14:textId="77777777" w:rsidR="00BE1AF0" w:rsidRDefault="00BE1AF0">
            <w:pPr>
              <w:autoSpaceDE w:val="0"/>
              <w:autoSpaceDN w:val="0"/>
              <w:adjustRightInd w:val="0"/>
              <w:rPr>
                <w:sz w:val="22"/>
                <w:szCs w:val="22"/>
                <w:lang w:val="sr-Latn-ME"/>
              </w:rPr>
            </w:pPr>
          </w:p>
          <w:p w14:paraId="6CCD9E85" w14:textId="77777777" w:rsidR="00BE1AF0" w:rsidRDefault="00BE1AF0">
            <w:pPr>
              <w:autoSpaceDE w:val="0"/>
              <w:autoSpaceDN w:val="0"/>
              <w:adjustRightInd w:val="0"/>
              <w:rPr>
                <w:sz w:val="22"/>
                <w:szCs w:val="22"/>
                <w:lang w:val="sr-Latn-ME"/>
              </w:rPr>
            </w:pPr>
          </w:p>
          <w:p w14:paraId="274749A8" w14:textId="77777777" w:rsidR="00BE1AF0" w:rsidRDefault="004F0139">
            <w:pPr>
              <w:autoSpaceDE w:val="0"/>
              <w:autoSpaceDN w:val="0"/>
              <w:adjustRightInd w:val="0"/>
              <w:rPr>
                <w:sz w:val="22"/>
                <w:szCs w:val="22"/>
                <w:vertAlign w:val="superscript"/>
                <w:lang w:val="sr-Latn-ME"/>
              </w:rPr>
            </w:pPr>
            <w:r>
              <w:rPr>
                <w:sz w:val="22"/>
                <w:szCs w:val="22"/>
                <w:lang w:val="sr-Latn-ME"/>
              </w:rPr>
              <w:t>-0,9</w:t>
            </w:r>
            <w:r>
              <w:rPr>
                <w:sz w:val="22"/>
                <w:szCs w:val="22"/>
                <w:vertAlign w:val="superscript"/>
                <w:lang w:val="sr-Latn-ME"/>
              </w:rPr>
              <w:t>†,‡</w:t>
            </w:r>
          </w:p>
          <w:p w14:paraId="74E176E3" w14:textId="77777777" w:rsidR="00BE1AF0" w:rsidRDefault="004F0139">
            <w:pPr>
              <w:autoSpaceDE w:val="0"/>
              <w:autoSpaceDN w:val="0"/>
              <w:adjustRightInd w:val="0"/>
              <w:rPr>
                <w:sz w:val="22"/>
                <w:szCs w:val="22"/>
                <w:lang w:val="sr-Latn-ME"/>
              </w:rPr>
            </w:pPr>
            <w:r>
              <w:rPr>
                <w:sz w:val="22"/>
                <w:szCs w:val="22"/>
                <w:lang w:val="sr-Latn-ME"/>
              </w:rPr>
              <w:t>(-1,1, -0,7)</w:t>
            </w:r>
          </w:p>
        </w:tc>
      </w:tr>
      <w:tr w:rsidR="00BE1AF0" w14:paraId="5A790D06" w14:textId="77777777">
        <w:tc>
          <w:tcPr>
            <w:tcW w:w="2518" w:type="dxa"/>
            <w:shd w:val="clear" w:color="auto" w:fill="auto"/>
          </w:tcPr>
          <w:p w14:paraId="388C30BB" w14:textId="77777777" w:rsidR="00BE1AF0" w:rsidRDefault="004F0139">
            <w:pPr>
              <w:autoSpaceDE w:val="0"/>
              <w:autoSpaceDN w:val="0"/>
              <w:adjustRightInd w:val="0"/>
              <w:rPr>
                <w:sz w:val="22"/>
                <w:szCs w:val="22"/>
                <w:lang w:val="sr-Latn-ME"/>
              </w:rPr>
            </w:pPr>
            <w:r>
              <w:rPr>
                <w:sz w:val="22"/>
                <w:szCs w:val="22"/>
                <w:lang w:val="sr-Latn-ME"/>
              </w:rPr>
              <w:t>Sitagliptin 100 mg jednom dnevno dodat postojećoj terapiji pioglitazon + metformin</w:t>
            </w:r>
            <w:r>
              <w:rPr>
                <w:sz w:val="22"/>
                <w:szCs w:val="22"/>
                <w:vertAlign w:val="superscript"/>
                <w:lang w:val="sr-Latn-ME"/>
              </w:rPr>
              <w:t>¶</w:t>
            </w:r>
          </w:p>
          <w:p w14:paraId="753635EB" w14:textId="77777777" w:rsidR="00BE1AF0" w:rsidRDefault="004F0139">
            <w:pPr>
              <w:autoSpaceDE w:val="0"/>
              <w:autoSpaceDN w:val="0"/>
              <w:adjustRightInd w:val="0"/>
              <w:rPr>
                <w:sz w:val="22"/>
                <w:szCs w:val="22"/>
                <w:lang w:val="sr-Latn-ME"/>
              </w:rPr>
            </w:pPr>
            <w:r>
              <w:rPr>
                <w:sz w:val="22"/>
                <w:szCs w:val="22"/>
                <w:lang w:val="sr-Latn-ME"/>
              </w:rPr>
              <w:t>(N=152)</w:t>
            </w:r>
          </w:p>
        </w:tc>
        <w:tc>
          <w:tcPr>
            <w:tcW w:w="1418" w:type="dxa"/>
            <w:shd w:val="clear" w:color="auto" w:fill="auto"/>
          </w:tcPr>
          <w:p w14:paraId="3BBF7D38" w14:textId="77777777" w:rsidR="00BE1AF0" w:rsidRDefault="00BE1AF0">
            <w:pPr>
              <w:autoSpaceDE w:val="0"/>
              <w:autoSpaceDN w:val="0"/>
              <w:adjustRightInd w:val="0"/>
              <w:rPr>
                <w:sz w:val="22"/>
                <w:szCs w:val="22"/>
                <w:lang w:val="sr-Latn-ME"/>
              </w:rPr>
            </w:pPr>
          </w:p>
          <w:p w14:paraId="3C33A922" w14:textId="77777777" w:rsidR="00BE1AF0" w:rsidRDefault="00BE1AF0">
            <w:pPr>
              <w:autoSpaceDE w:val="0"/>
              <w:autoSpaceDN w:val="0"/>
              <w:adjustRightInd w:val="0"/>
              <w:rPr>
                <w:sz w:val="22"/>
                <w:szCs w:val="22"/>
                <w:lang w:val="sr-Latn-ME"/>
              </w:rPr>
            </w:pPr>
          </w:p>
          <w:p w14:paraId="24EC4463" w14:textId="77777777" w:rsidR="00BE1AF0" w:rsidRDefault="004F0139">
            <w:pPr>
              <w:autoSpaceDE w:val="0"/>
              <w:autoSpaceDN w:val="0"/>
              <w:adjustRightInd w:val="0"/>
              <w:rPr>
                <w:sz w:val="22"/>
                <w:szCs w:val="22"/>
                <w:lang w:val="sr-Latn-ME"/>
              </w:rPr>
            </w:pPr>
            <w:r>
              <w:rPr>
                <w:sz w:val="22"/>
                <w:szCs w:val="22"/>
                <w:lang w:val="sr-Latn-ME"/>
              </w:rPr>
              <w:t>8,8</w:t>
            </w:r>
          </w:p>
        </w:tc>
        <w:tc>
          <w:tcPr>
            <w:tcW w:w="2409" w:type="dxa"/>
            <w:shd w:val="clear" w:color="auto" w:fill="auto"/>
          </w:tcPr>
          <w:p w14:paraId="170844F0" w14:textId="77777777" w:rsidR="00BE1AF0" w:rsidRDefault="00BE1AF0">
            <w:pPr>
              <w:autoSpaceDE w:val="0"/>
              <w:autoSpaceDN w:val="0"/>
              <w:adjustRightInd w:val="0"/>
              <w:rPr>
                <w:sz w:val="22"/>
                <w:szCs w:val="22"/>
                <w:lang w:val="sr-Latn-ME"/>
              </w:rPr>
            </w:pPr>
          </w:p>
          <w:p w14:paraId="33495CCB" w14:textId="77777777" w:rsidR="00BE1AF0" w:rsidRDefault="00BE1AF0">
            <w:pPr>
              <w:autoSpaceDE w:val="0"/>
              <w:autoSpaceDN w:val="0"/>
              <w:adjustRightInd w:val="0"/>
              <w:rPr>
                <w:sz w:val="22"/>
                <w:szCs w:val="22"/>
                <w:lang w:val="sr-Latn-ME"/>
              </w:rPr>
            </w:pPr>
          </w:p>
          <w:p w14:paraId="207994AA" w14:textId="77777777" w:rsidR="00BE1AF0" w:rsidRDefault="004F0139">
            <w:pPr>
              <w:autoSpaceDE w:val="0"/>
              <w:autoSpaceDN w:val="0"/>
              <w:adjustRightInd w:val="0"/>
              <w:rPr>
                <w:sz w:val="22"/>
                <w:szCs w:val="22"/>
                <w:lang w:val="sr-Latn-ME"/>
              </w:rPr>
            </w:pPr>
            <w:r>
              <w:rPr>
                <w:sz w:val="22"/>
                <w:szCs w:val="22"/>
                <w:lang w:val="sr-Latn-ME"/>
              </w:rPr>
              <w:t>-1,2</w:t>
            </w:r>
            <w:r>
              <w:rPr>
                <w:sz w:val="22"/>
                <w:szCs w:val="22"/>
                <w:vertAlign w:val="superscript"/>
                <w:lang w:val="sr-Latn-ME"/>
              </w:rPr>
              <w:t>†</w:t>
            </w:r>
          </w:p>
        </w:tc>
        <w:tc>
          <w:tcPr>
            <w:tcW w:w="2866" w:type="dxa"/>
            <w:shd w:val="clear" w:color="auto" w:fill="auto"/>
          </w:tcPr>
          <w:p w14:paraId="73490B15" w14:textId="77777777" w:rsidR="00BE1AF0" w:rsidRDefault="00BE1AF0">
            <w:pPr>
              <w:autoSpaceDE w:val="0"/>
              <w:autoSpaceDN w:val="0"/>
              <w:adjustRightInd w:val="0"/>
              <w:rPr>
                <w:sz w:val="22"/>
                <w:szCs w:val="22"/>
                <w:lang w:val="sr-Latn-ME"/>
              </w:rPr>
            </w:pPr>
          </w:p>
          <w:p w14:paraId="543B0FDA" w14:textId="77777777" w:rsidR="00BE1AF0" w:rsidRDefault="00BE1AF0">
            <w:pPr>
              <w:autoSpaceDE w:val="0"/>
              <w:autoSpaceDN w:val="0"/>
              <w:adjustRightInd w:val="0"/>
              <w:rPr>
                <w:sz w:val="22"/>
                <w:szCs w:val="22"/>
                <w:lang w:val="sr-Latn-ME"/>
              </w:rPr>
            </w:pPr>
          </w:p>
          <w:p w14:paraId="78DBF555" w14:textId="77777777" w:rsidR="00BE1AF0" w:rsidRDefault="004F0139">
            <w:pPr>
              <w:autoSpaceDE w:val="0"/>
              <w:autoSpaceDN w:val="0"/>
              <w:adjustRightInd w:val="0"/>
              <w:rPr>
                <w:sz w:val="22"/>
                <w:szCs w:val="22"/>
                <w:vertAlign w:val="superscript"/>
                <w:lang w:val="sr-Latn-ME"/>
              </w:rPr>
            </w:pPr>
            <w:r>
              <w:rPr>
                <w:sz w:val="22"/>
                <w:szCs w:val="22"/>
                <w:lang w:val="sr-Latn-ME"/>
              </w:rPr>
              <w:t>-0,7</w:t>
            </w:r>
            <w:r>
              <w:rPr>
                <w:sz w:val="22"/>
                <w:szCs w:val="22"/>
                <w:vertAlign w:val="superscript"/>
                <w:lang w:val="sr-Latn-ME"/>
              </w:rPr>
              <w:t>†,‡</w:t>
            </w:r>
          </w:p>
          <w:p w14:paraId="295FC799" w14:textId="77777777" w:rsidR="00BE1AF0" w:rsidRDefault="004F0139">
            <w:pPr>
              <w:autoSpaceDE w:val="0"/>
              <w:autoSpaceDN w:val="0"/>
              <w:adjustRightInd w:val="0"/>
              <w:rPr>
                <w:sz w:val="22"/>
                <w:szCs w:val="22"/>
                <w:lang w:val="sr-Latn-ME"/>
              </w:rPr>
            </w:pPr>
            <w:r>
              <w:rPr>
                <w:sz w:val="22"/>
                <w:szCs w:val="22"/>
                <w:lang w:val="sr-Latn-ME"/>
              </w:rPr>
              <w:t>(-1,0, -0,5)</w:t>
            </w:r>
          </w:p>
        </w:tc>
      </w:tr>
      <w:tr w:rsidR="00BE1AF0" w14:paraId="502A8014" w14:textId="77777777">
        <w:tc>
          <w:tcPr>
            <w:tcW w:w="2518" w:type="dxa"/>
            <w:shd w:val="clear" w:color="auto" w:fill="auto"/>
          </w:tcPr>
          <w:p w14:paraId="70F59437" w14:textId="77777777" w:rsidR="00BE1AF0" w:rsidRDefault="004F0139">
            <w:pPr>
              <w:autoSpaceDE w:val="0"/>
              <w:autoSpaceDN w:val="0"/>
              <w:adjustRightInd w:val="0"/>
              <w:rPr>
                <w:sz w:val="22"/>
                <w:szCs w:val="22"/>
                <w:lang w:val="sr-Latn-ME"/>
              </w:rPr>
            </w:pPr>
            <w:r>
              <w:rPr>
                <w:sz w:val="22"/>
                <w:szCs w:val="22"/>
                <w:lang w:val="sr-Latn-ME"/>
              </w:rPr>
              <w:t xml:space="preserve">Sitagliptin 100 mg jednom dnevno dodat postojećoj terapiji </w:t>
            </w:r>
          </w:p>
          <w:p w14:paraId="1843F78C" w14:textId="77777777" w:rsidR="00BE1AF0" w:rsidRDefault="004F0139">
            <w:pPr>
              <w:autoSpaceDE w:val="0"/>
              <w:autoSpaceDN w:val="0"/>
              <w:adjustRightInd w:val="0"/>
              <w:rPr>
                <w:sz w:val="22"/>
                <w:szCs w:val="22"/>
                <w:lang w:val="sr-Latn-ME"/>
              </w:rPr>
            </w:pPr>
            <w:r>
              <w:rPr>
                <w:sz w:val="22"/>
                <w:szCs w:val="22"/>
                <w:lang w:val="sr-Latn-ME"/>
              </w:rPr>
              <w:t>insulin + metformin</w:t>
            </w:r>
            <w:r>
              <w:rPr>
                <w:color w:val="26282A"/>
                <w:sz w:val="22"/>
                <w:szCs w:val="22"/>
                <w:vertAlign w:val="superscript"/>
                <w:lang w:val="sr-Latn-ME" w:eastAsia="sl-SI"/>
              </w:rPr>
              <w:t xml:space="preserve">|| </w:t>
            </w:r>
          </w:p>
          <w:p w14:paraId="027C6930" w14:textId="77777777" w:rsidR="00BE1AF0" w:rsidRDefault="004F0139">
            <w:pPr>
              <w:autoSpaceDE w:val="0"/>
              <w:autoSpaceDN w:val="0"/>
              <w:adjustRightInd w:val="0"/>
              <w:rPr>
                <w:sz w:val="22"/>
                <w:szCs w:val="22"/>
                <w:lang w:val="sr-Latn-ME"/>
              </w:rPr>
            </w:pPr>
            <w:r>
              <w:rPr>
                <w:sz w:val="22"/>
                <w:szCs w:val="22"/>
                <w:lang w:val="sr-Latn-ME"/>
              </w:rPr>
              <w:t>(N=223)</w:t>
            </w:r>
          </w:p>
        </w:tc>
        <w:tc>
          <w:tcPr>
            <w:tcW w:w="1418" w:type="dxa"/>
            <w:shd w:val="clear" w:color="auto" w:fill="auto"/>
          </w:tcPr>
          <w:p w14:paraId="79DC1A2B" w14:textId="77777777" w:rsidR="00BE1AF0" w:rsidRDefault="00BE1AF0">
            <w:pPr>
              <w:autoSpaceDE w:val="0"/>
              <w:autoSpaceDN w:val="0"/>
              <w:adjustRightInd w:val="0"/>
              <w:rPr>
                <w:sz w:val="22"/>
                <w:szCs w:val="22"/>
                <w:lang w:val="sr-Latn-ME"/>
              </w:rPr>
            </w:pPr>
          </w:p>
          <w:p w14:paraId="0BE4EB9F" w14:textId="77777777" w:rsidR="00BE1AF0" w:rsidRDefault="00BE1AF0">
            <w:pPr>
              <w:autoSpaceDE w:val="0"/>
              <w:autoSpaceDN w:val="0"/>
              <w:adjustRightInd w:val="0"/>
              <w:rPr>
                <w:sz w:val="22"/>
                <w:szCs w:val="22"/>
                <w:lang w:val="sr-Latn-ME"/>
              </w:rPr>
            </w:pPr>
          </w:p>
          <w:p w14:paraId="682FF0E0" w14:textId="77777777" w:rsidR="00BE1AF0" w:rsidRDefault="004F0139">
            <w:pPr>
              <w:autoSpaceDE w:val="0"/>
              <w:autoSpaceDN w:val="0"/>
              <w:adjustRightInd w:val="0"/>
              <w:rPr>
                <w:sz w:val="22"/>
                <w:szCs w:val="22"/>
                <w:lang w:val="sr-Latn-ME"/>
              </w:rPr>
            </w:pPr>
            <w:r>
              <w:rPr>
                <w:sz w:val="22"/>
                <w:szCs w:val="22"/>
                <w:lang w:val="sr-Latn-ME"/>
              </w:rPr>
              <w:t>8,7</w:t>
            </w:r>
          </w:p>
        </w:tc>
        <w:tc>
          <w:tcPr>
            <w:tcW w:w="2409" w:type="dxa"/>
            <w:shd w:val="clear" w:color="auto" w:fill="auto"/>
          </w:tcPr>
          <w:p w14:paraId="1238B179" w14:textId="77777777" w:rsidR="00BE1AF0" w:rsidRDefault="00BE1AF0">
            <w:pPr>
              <w:autoSpaceDE w:val="0"/>
              <w:autoSpaceDN w:val="0"/>
              <w:adjustRightInd w:val="0"/>
              <w:rPr>
                <w:sz w:val="22"/>
                <w:szCs w:val="22"/>
                <w:lang w:val="sr-Latn-ME"/>
              </w:rPr>
            </w:pPr>
          </w:p>
          <w:p w14:paraId="23FD183F" w14:textId="77777777" w:rsidR="00BE1AF0" w:rsidRDefault="00BE1AF0">
            <w:pPr>
              <w:autoSpaceDE w:val="0"/>
              <w:autoSpaceDN w:val="0"/>
              <w:adjustRightInd w:val="0"/>
              <w:rPr>
                <w:sz w:val="22"/>
                <w:szCs w:val="22"/>
                <w:lang w:val="sr-Latn-ME"/>
              </w:rPr>
            </w:pPr>
          </w:p>
          <w:p w14:paraId="3F97DF96" w14:textId="77777777" w:rsidR="00BE1AF0" w:rsidRDefault="004F0139">
            <w:pPr>
              <w:autoSpaceDE w:val="0"/>
              <w:autoSpaceDN w:val="0"/>
              <w:adjustRightInd w:val="0"/>
              <w:rPr>
                <w:sz w:val="22"/>
                <w:szCs w:val="22"/>
                <w:lang w:val="sr-Latn-ME"/>
              </w:rPr>
            </w:pPr>
            <w:r>
              <w:rPr>
                <w:sz w:val="22"/>
                <w:szCs w:val="22"/>
                <w:lang w:val="sr-Latn-ME"/>
              </w:rPr>
              <w:t>-0,7</w:t>
            </w:r>
            <w:r>
              <w:rPr>
                <w:sz w:val="22"/>
                <w:szCs w:val="22"/>
                <w:vertAlign w:val="superscript"/>
                <w:lang w:val="sr-Latn-ME"/>
              </w:rPr>
              <w:t>§</w:t>
            </w:r>
          </w:p>
        </w:tc>
        <w:tc>
          <w:tcPr>
            <w:tcW w:w="2866" w:type="dxa"/>
            <w:shd w:val="clear" w:color="auto" w:fill="auto"/>
          </w:tcPr>
          <w:p w14:paraId="406947E5" w14:textId="77777777" w:rsidR="00BE1AF0" w:rsidRDefault="00BE1AF0">
            <w:pPr>
              <w:autoSpaceDE w:val="0"/>
              <w:autoSpaceDN w:val="0"/>
              <w:adjustRightInd w:val="0"/>
              <w:rPr>
                <w:sz w:val="22"/>
                <w:szCs w:val="22"/>
                <w:lang w:val="sr-Latn-ME"/>
              </w:rPr>
            </w:pPr>
          </w:p>
          <w:p w14:paraId="21F80432" w14:textId="77777777" w:rsidR="00BE1AF0" w:rsidRDefault="00BE1AF0">
            <w:pPr>
              <w:autoSpaceDE w:val="0"/>
              <w:autoSpaceDN w:val="0"/>
              <w:adjustRightInd w:val="0"/>
              <w:rPr>
                <w:sz w:val="22"/>
                <w:szCs w:val="22"/>
                <w:lang w:val="sr-Latn-ME"/>
              </w:rPr>
            </w:pPr>
          </w:p>
          <w:p w14:paraId="42C5AA23" w14:textId="77777777" w:rsidR="00BE1AF0" w:rsidRDefault="004F0139">
            <w:pPr>
              <w:autoSpaceDE w:val="0"/>
              <w:autoSpaceDN w:val="0"/>
              <w:adjustRightInd w:val="0"/>
              <w:rPr>
                <w:sz w:val="22"/>
                <w:szCs w:val="22"/>
                <w:vertAlign w:val="superscript"/>
                <w:lang w:val="sr-Latn-ME"/>
              </w:rPr>
            </w:pPr>
            <w:r>
              <w:rPr>
                <w:sz w:val="22"/>
                <w:szCs w:val="22"/>
                <w:lang w:val="sr-Latn-ME"/>
              </w:rPr>
              <w:t>-0,5</w:t>
            </w:r>
            <w:r>
              <w:rPr>
                <w:sz w:val="22"/>
                <w:szCs w:val="22"/>
                <w:vertAlign w:val="superscript"/>
                <w:lang w:val="sr-Latn-ME"/>
              </w:rPr>
              <w:t>§,‡</w:t>
            </w:r>
          </w:p>
          <w:p w14:paraId="341CCE7E" w14:textId="77777777" w:rsidR="00BE1AF0" w:rsidRDefault="004F0139">
            <w:pPr>
              <w:autoSpaceDE w:val="0"/>
              <w:autoSpaceDN w:val="0"/>
              <w:adjustRightInd w:val="0"/>
              <w:rPr>
                <w:sz w:val="22"/>
                <w:szCs w:val="22"/>
                <w:lang w:val="sr-Latn-ME"/>
              </w:rPr>
            </w:pPr>
            <w:r>
              <w:rPr>
                <w:sz w:val="22"/>
                <w:szCs w:val="22"/>
                <w:lang w:val="sr-Latn-ME"/>
              </w:rPr>
              <w:t>(-0,7, -0,4)</w:t>
            </w:r>
          </w:p>
        </w:tc>
      </w:tr>
      <w:tr w:rsidR="00BE1AF0" w14:paraId="56D9BB36" w14:textId="77777777">
        <w:tc>
          <w:tcPr>
            <w:tcW w:w="2518" w:type="dxa"/>
            <w:shd w:val="clear" w:color="auto" w:fill="auto"/>
          </w:tcPr>
          <w:p w14:paraId="098063F9" w14:textId="77777777" w:rsidR="00BE1AF0" w:rsidRDefault="004F0139">
            <w:pPr>
              <w:autoSpaceDE w:val="0"/>
              <w:autoSpaceDN w:val="0"/>
              <w:adjustRightInd w:val="0"/>
              <w:rPr>
                <w:sz w:val="22"/>
                <w:szCs w:val="22"/>
                <w:lang w:val="sr-Latn-ME"/>
              </w:rPr>
            </w:pPr>
            <w:r>
              <w:rPr>
                <w:sz w:val="22"/>
                <w:szCs w:val="22"/>
                <w:lang w:val="sr-Latn-ME"/>
              </w:rPr>
              <w:t>Početna terapija (dvaput dnevno)</w:t>
            </w:r>
            <w:r>
              <w:rPr>
                <w:color w:val="26282A"/>
                <w:sz w:val="22"/>
                <w:szCs w:val="22"/>
                <w:vertAlign w:val="superscript"/>
                <w:lang w:val="sr-Latn-ME" w:eastAsia="sl-SI"/>
              </w:rPr>
              <w:t xml:space="preserve">|| </w:t>
            </w:r>
            <w:r>
              <w:rPr>
                <w:sz w:val="22"/>
                <w:szCs w:val="22"/>
                <w:lang w:val="sr-Latn-ME"/>
              </w:rPr>
              <w:t>:</w:t>
            </w:r>
          </w:p>
          <w:p w14:paraId="1D87FFBB" w14:textId="77777777" w:rsidR="00BE1AF0" w:rsidRDefault="004F0139">
            <w:pPr>
              <w:autoSpaceDE w:val="0"/>
              <w:autoSpaceDN w:val="0"/>
              <w:adjustRightInd w:val="0"/>
              <w:rPr>
                <w:sz w:val="22"/>
                <w:szCs w:val="22"/>
                <w:lang w:val="sr-Latn-ME"/>
              </w:rPr>
            </w:pPr>
            <w:r>
              <w:rPr>
                <w:sz w:val="22"/>
                <w:szCs w:val="22"/>
                <w:lang w:val="sr-Latn-ME"/>
              </w:rPr>
              <w:t>sitagliptin 50 mg +</w:t>
            </w:r>
          </w:p>
          <w:p w14:paraId="056A6C39" w14:textId="77777777" w:rsidR="00BE1AF0" w:rsidRDefault="004F0139">
            <w:pPr>
              <w:autoSpaceDE w:val="0"/>
              <w:autoSpaceDN w:val="0"/>
              <w:adjustRightInd w:val="0"/>
              <w:rPr>
                <w:sz w:val="22"/>
                <w:szCs w:val="22"/>
                <w:lang w:val="sr-Latn-ME"/>
              </w:rPr>
            </w:pPr>
            <w:r>
              <w:rPr>
                <w:sz w:val="22"/>
                <w:szCs w:val="22"/>
                <w:lang w:val="sr-Latn-ME"/>
              </w:rPr>
              <w:t>metformin 500 mg</w:t>
            </w:r>
          </w:p>
          <w:p w14:paraId="5EC67E87" w14:textId="77777777" w:rsidR="00BE1AF0" w:rsidRDefault="004F0139">
            <w:pPr>
              <w:autoSpaceDE w:val="0"/>
              <w:autoSpaceDN w:val="0"/>
              <w:adjustRightInd w:val="0"/>
              <w:rPr>
                <w:sz w:val="22"/>
                <w:szCs w:val="22"/>
                <w:lang w:val="sr-Latn-ME"/>
              </w:rPr>
            </w:pPr>
            <w:r>
              <w:rPr>
                <w:sz w:val="22"/>
                <w:szCs w:val="22"/>
                <w:lang w:val="sr-Latn-ME"/>
              </w:rPr>
              <w:t>(N=183)</w:t>
            </w:r>
          </w:p>
        </w:tc>
        <w:tc>
          <w:tcPr>
            <w:tcW w:w="1418" w:type="dxa"/>
            <w:shd w:val="clear" w:color="auto" w:fill="auto"/>
          </w:tcPr>
          <w:p w14:paraId="7FF0E73E" w14:textId="77777777" w:rsidR="00BE1AF0" w:rsidRDefault="00BE1AF0">
            <w:pPr>
              <w:autoSpaceDE w:val="0"/>
              <w:autoSpaceDN w:val="0"/>
              <w:adjustRightInd w:val="0"/>
              <w:rPr>
                <w:sz w:val="22"/>
                <w:szCs w:val="22"/>
                <w:lang w:val="sr-Latn-ME"/>
              </w:rPr>
            </w:pPr>
          </w:p>
          <w:p w14:paraId="57E42C6F" w14:textId="77777777" w:rsidR="00BE1AF0" w:rsidRDefault="00BE1AF0">
            <w:pPr>
              <w:autoSpaceDE w:val="0"/>
              <w:autoSpaceDN w:val="0"/>
              <w:adjustRightInd w:val="0"/>
              <w:rPr>
                <w:sz w:val="22"/>
                <w:szCs w:val="22"/>
                <w:lang w:val="sr-Latn-ME"/>
              </w:rPr>
            </w:pPr>
          </w:p>
          <w:p w14:paraId="6789825A" w14:textId="77777777" w:rsidR="00BE1AF0" w:rsidRDefault="004F0139">
            <w:pPr>
              <w:autoSpaceDE w:val="0"/>
              <w:autoSpaceDN w:val="0"/>
              <w:adjustRightInd w:val="0"/>
              <w:rPr>
                <w:sz w:val="22"/>
                <w:szCs w:val="22"/>
                <w:lang w:val="sr-Latn-ME"/>
              </w:rPr>
            </w:pPr>
            <w:r>
              <w:rPr>
                <w:sz w:val="22"/>
                <w:szCs w:val="22"/>
                <w:lang w:val="sr-Latn-ME"/>
              </w:rPr>
              <w:t>8,8</w:t>
            </w:r>
          </w:p>
        </w:tc>
        <w:tc>
          <w:tcPr>
            <w:tcW w:w="2409" w:type="dxa"/>
            <w:shd w:val="clear" w:color="auto" w:fill="auto"/>
          </w:tcPr>
          <w:p w14:paraId="215AA358" w14:textId="77777777" w:rsidR="00BE1AF0" w:rsidRDefault="00BE1AF0">
            <w:pPr>
              <w:autoSpaceDE w:val="0"/>
              <w:autoSpaceDN w:val="0"/>
              <w:adjustRightInd w:val="0"/>
              <w:rPr>
                <w:sz w:val="22"/>
                <w:szCs w:val="22"/>
                <w:lang w:val="sr-Latn-ME"/>
              </w:rPr>
            </w:pPr>
          </w:p>
          <w:p w14:paraId="2D3928FB" w14:textId="77777777" w:rsidR="00BE1AF0" w:rsidRDefault="00BE1AF0">
            <w:pPr>
              <w:autoSpaceDE w:val="0"/>
              <w:autoSpaceDN w:val="0"/>
              <w:adjustRightInd w:val="0"/>
              <w:rPr>
                <w:sz w:val="22"/>
                <w:szCs w:val="22"/>
                <w:lang w:val="sr-Latn-ME"/>
              </w:rPr>
            </w:pPr>
          </w:p>
          <w:p w14:paraId="04E60000" w14:textId="77777777" w:rsidR="00BE1AF0" w:rsidRDefault="004F0139">
            <w:pPr>
              <w:autoSpaceDE w:val="0"/>
              <w:autoSpaceDN w:val="0"/>
              <w:adjustRightInd w:val="0"/>
              <w:rPr>
                <w:sz w:val="22"/>
                <w:szCs w:val="22"/>
                <w:lang w:val="sr-Latn-ME"/>
              </w:rPr>
            </w:pPr>
            <w:r>
              <w:rPr>
                <w:sz w:val="22"/>
                <w:szCs w:val="22"/>
                <w:lang w:val="sr-Latn-ME"/>
              </w:rPr>
              <w:t>-1,4</w:t>
            </w:r>
            <w:r>
              <w:rPr>
                <w:sz w:val="22"/>
                <w:szCs w:val="22"/>
                <w:vertAlign w:val="superscript"/>
                <w:lang w:val="sr-Latn-ME"/>
              </w:rPr>
              <w:t>†</w:t>
            </w:r>
          </w:p>
        </w:tc>
        <w:tc>
          <w:tcPr>
            <w:tcW w:w="2866" w:type="dxa"/>
            <w:shd w:val="clear" w:color="auto" w:fill="auto"/>
          </w:tcPr>
          <w:p w14:paraId="069AB92D" w14:textId="77777777" w:rsidR="00BE1AF0" w:rsidRDefault="00BE1AF0">
            <w:pPr>
              <w:autoSpaceDE w:val="0"/>
              <w:autoSpaceDN w:val="0"/>
              <w:adjustRightInd w:val="0"/>
              <w:rPr>
                <w:sz w:val="22"/>
                <w:szCs w:val="22"/>
                <w:lang w:val="sr-Latn-ME"/>
              </w:rPr>
            </w:pPr>
          </w:p>
          <w:p w14:paraId="78BE9729" w14:textId="77777777" w:rsidR="00BE1AF0" w:rsidRDefault="00BE1AF0">
            <w:pPr>
              <w:autoSpaceDE w:val="0"/>
              <w:autoSpaceDN w:val="0"/>
              <w:adjustRightInd w:val="0"/>
              <w:rPr>
                <w:sz w:val="22"/>
                <w:szCs w:val="22"/>
                <w:lang w:val="sr-Latn-ME"/>
              </w:rPr>
            </w:pPr>
          </w:p>
          <w:p w14:paraId="42B9F95A" w14:textId="77777777" w:rsidR="00BE1AF0" w:rsidRDefault="004F0139">
            <w:pPr>
              <w:autoSpaceDE w:val="0"/>
              <w:autoSpaceDN w:val="0"/>
              <w:adjustRightInd w:val="0"/>
              <w:rPr>
                <w:sz w:val="22"/>
                <w:szCs w:val="22"/>
                <w:vertAlign w:val="superscript"/>
                <w:lang w:val="sr-Latn-ME"/>
              </w:rPr>
            </w:pPr>
            <w:r>
              <w:rPr>
                <w:sz w:val="22"/>
                <w:szCs w:val="22"/>
                <w:lang w:val="sr-Latn-ME"/>
              </w:rPr>
              <w:t>-1,6</w:t>
            </w:r>
            <w:r>
              <w:rPr>
                <w:sz w:val="22"/>
                <w:szCs w:val="22"/>
                <w:vertAlign w:val="superscript"/>
                <w:lang w:val="sr-Latn-ME"/>
              </w:rPr>
              <w:t>†,‡</w:t>
            </w:r>
          </w:p>
          <w:p w14:paraId="739FDC77" w14:textId="77777777" w:rsidR="00BE1AF0" w:rsidRDefault="004F0139">
            <w:pPr>
              <w:autoSpaceDE w:val="0"/>
              <w:autoSpaceDN w:val="0"/>
              <w:adjustRightInd w:val="0"/>
              <w:rPr>
                <w:sz w:val="22"/>
                <w:szCs w:val="22"/>
                <w:lang w:val="sr-Latn-ME"/>
              </w:rPr>
            </w:pPr>
            <w:r>
              <w:rPr>
                <w:sz w:val="22"/>
                <w:szCs w:val="22"/>
                <w:lang w:val="sr-Latn-ME"/>
              </w:rPr>
              <w:t>(-1,8, -1,3)</w:t>
            </w:r>
          </w:p>
        </w:tc>
      </w:tr>
      <w:tr w:rsidR="00BE1AF0" w14:paraId="03219306" w14:textId="77777777">
        <w:tc>
          <w:tcPr>
            <w:tcW w:w="2518" w:type="dxa"/>
            <w:shd w:val="clear" w:color="auto" w:fill="auto"/>
          </w:tcPr>
          <w:p w14:paraId="79EFFBBA" w14:textId="77777777" w:rsidR="00BE1AF0" w:rsidRDefault="004F0139">
            <w:pPr>
              <w:autoSpaceDE w:val="0"/>
              <w:autoSpaceDN w:val="0"/>
              <w:adjustRightInd w:val="0"/>
              <w:rPr>
                <w:sz w:val="22"/>
                <w:szCs w:val="22"/>
                <w:lang w:val="sr-Latn-ME"/>
              </w:rPr>
            </w:pPr>
            <w:r>
              <w:rPr>
                <w:sz w:val="22"/>
                <w:szCs w:val="22"/>
                <w:lang w:val="sr-Latn-ME"/>
              </w:rPr>
              <w:t>Početna terapija (dvaput dnevno)</w:t>
            </w:r>
            <w:r>
              <w:rPr>
                <w:color w:val="26282A"/>
                <w:sz w:val="22"/>
                <w:szCs w:val="22"/>
                <w:vertAlign w:val="superscript"/>
                <w:lang w:val="sr-Latn-ME" w:eastAsia="sl-SI"/>
              </w:rPr>
              <w:t xml:space="preserve"> ||</w:t>
            </w:r>
            <w:r>
              <w:rPr>
                <w:sz w:val="22"/>
                <w:szCs w:val="22"/>
                <w:lang w:val="sr-Latn-ME"/>
              </w:rPr>
              <w:t>:</w:t>
            </w:r>
          </w:p>
          <w:p w14:paraId="06990B1B" w14:textId="77777777" w:rsidR="00BE1AF0" w:rsidRDefault="004F0139">
            <w:pPr>
              <w:autoSpaceDE w:val="0"/>
              <w:autoSpaceDN w:val="0"/>
              <w:adjustRightInd w:val="0"/>
              <w:rPr>
                <w:sz w:val="22"/>
                <w:szCs w:val="22"/>
                <w:lang w:val="sr-Latn-ME"/>
              </w:rPr>
            </w:pPr>
            <w:r>
              <w:rPr>
                <w:sz w:val="22"/>
                <w:szCs w:val="22"/>
                <w:lang w:val="sr-Latn-ME"/>
              </w:rPr>
              <w:t>sitagliptin 50 mg +</w:t>
            </w:r>
          </w:p>
          <w:p w14:paraId="384BBA17" w14:textId="77777777" w:rsidR="00BE1AF0" w:rsidRDefault="004F0139">
            <w:pPr>
              <w:autoSpaceDE w:val="0"/>
              <w:autoSpaceDN w:val="0"/>
              <w:adjustRightInd w:val="0"/>
              <w:rPr>
                <w:sz w:val="22"/>
                <w:szCs w:val="22"/>
                <w:lang w:val="sr-Latn-ME"/>
              </w:rPr>
            </w:pPr>
            <w:r>
              <w:rPr>
                <w:sz w:val="22"/>
                <w:szCs w:val="22"/>
                <w:lang w:val="sr-Latn-ME"/>
              </w:rPr>
              <w:t>metformin 1000 mg</w:t>
            </w:r>
          </w:p>
          <w:p w14:paraId="4C2ECF6F" w14:textId="77777777" w:rsidR="00BE1AF0" w:rsidRDefault="004F0139">
            <w:pPr>
              <w:autoSpaceDE w:val="0"/>
              <w:autoSpaceDN w:val="0"/>
              <w:adjustRightInd w:val="0"/>
              <w:rPr>
                <w:sz w:val="22"/>
                <w:szCs w:val="22"/>
                <w:lang w:val="sr-Latn-ME"/>
              </w:rPr>
            </w:pPr>
            <w:r>
              <w:rPr>
                <w:sz w:val="22"/>
                <w:szCs w:val="22"/>
                <w:lang w:val="sr-Latn-ME"/>
              </w:rPr>
              <w:t>(N=178)</w:t>
            </w:r>
          </w:p>
        </w:tc>
        <w:tc>
          <w:tcPr>
            <w:tcW w:w="1418" w:type="dxa"/>
            <w:shd w:val="clear" w:color="auto" w:fill="auto"/>
          </w:tcPr>
          <w:p w14:paraId="3AD8AF50" w14:textId="77777777" w:rsidR="00BE1AF0" w:rsidRDefault="00BE1AF0">
            <w:pPr>
              <w:autoSpaceDE w:val="0"/>
              <w:autoSpaceDN w:val="0"/>
              <w:adjustRightInd w:val="0"/>
              <w:rPr>
                <w:sz w:val="22"/>
                <w:szCs w:val="22"/>
                <w:lang w:val="sr-Latn-ME"/>
              </w:rPr>
            </w:pPr>
          </w:p>
          <w:p w14:paraId="25CA6FAC" w14:textId="77777777" w:rsidR="00BE1AF0" w:rsidRDefault="00BE1AF0">
            <w:pPr>
              <w:autoSpaceDE w:val="0"/>
              <w:autoSpaceDN w:val="0"/>
              <w:adjustRightInd w:val="0"/>
              <w:rPr>
                <w:sz w:val="22"/>
                <w:szCs w:val="22"/>
                <w:lang w:val="sr-Latn-ME"/>
              </w:rPr>
            </w:pPr>
          </w:p>
          <w:p w14:paraId="622AEAA1" w14:textId="77777777" w:rsidR="00BE1AF0" w:rsidRDefault="004F0139">
            <w:pPr>
              <w:autoSpaceDE w:val="0"/>
              <w:autoSpaceDN w:val="0"/>
              <w:adjustRightInd w:val="0"/>
              <w:rPr>
                <w:sz w:val="22"/>
                <w:szCs w:val="22"/>
                <w:lang w:val="sr-Latn-ME"/>
              </w:rPr>
            </w:pPr>
            <w:r>
              <w:rPr>
                <w:sz w:val="22"/>
                <w:szCs w:val="22"/>
                <w:lang w:val="sr-Latn-ME"/>
              </w:rPr>
              <w:t xml:space="preserve">8,8 </w:t>
            </w:r>
          </w:p>
        </w:tc>
        <w:tc>
          <w:tcPr>
            <w:tcW w:w="2409" w:type="dxa"/>
            <w:shd w:val="clear" w:color="auto" w:fill="auto"/>
          </w:tcPr>
          <w:p w14:paraId="237817D4" w14:textId="77777777" w:rsidR="00BE1AF0" w:rsidRDefault="00BE1AF0">
            <w:pPr>
              <w:autoSpaceDE w:val="0"/>
              <w:autoSpaceDN w:val="0"/>
              <w:adjustRightInd w:val="0"/>
              <w:rPr>
                <w:sz w:val="22"/>
                <w:szCs w:val="22"/>
                <w:lang w:val="sr-Latn-ME"/>
              </w:rPr>
            </w:pPr>
          </w:p>
          <w:p w14:paraId="5136E4B9" w14:textId="77777777" w:rsidR="00BE1AF0" w:rsidRDefault="00BE1AF0">
            <w:pPr>
              <w:autoSpaceDE w:val="0"/>
              <w:autoSpaceDN w:val="0"/>
              <w:adjustRightInd w:val="0"/>
              <w:rPr>
                <w:sz w:val="22"/>
                <w:szCs w:val="22"/>
                <w:lang w:val="sr-Latn-ME"/>
              </w:rPr>
            </w:pPr>
          </w:p>
          <w:p w14:paraId="41F17CB3" w14:textId="77777777" w:rsidR="00BE1AF0" w:rsidRDefault="004F0139">
            <w:pPr>
              <w:autoSpaceDE w:val="0"/>
              <w:autoSpaceDN w:val="0"/>
              <w:adjustRightInd w:val="0"/>
              <w:rPr>
                <w:sz w:val="22"/>
                <w:szCs w:val="22"/>
                <w:lang w:val="sr-Latn-ME"/>
              </w:rPr>
            </w:pPr>
            <w:r>
              <w:rPr>
                <w:sz w:val="22"/>
                <w:szCs w:val="22"/>
                <w:lang w:val="sr-Latn-ME"/>
              </w:rPr>
              <w:t>-1,9</w:t>
            </w:r>
            <w:r>
              <w:rPr>
                <w:sz w:val="22"/>
                <w:szCs w:val="22"/>
                <w:vertAlign w:val="superscript"/>
                <w:lang w:val="sr-Latn-ME"/>
              </w:rPr>
              <w:t xml:space="preserve">† </w:t>
            </w:r>
          </w:p>
        </w:tc>
        <w:tc>
          <w:tcPr>
            <w:tcW w:w="2866" w:type="dxa"/>
            <w:shd w:val="clear" w:color="auto" w:fill="auto"/>
          </w:tcPr>
          <w:p w14:paraId="6849C3A7" w14:textId="77777777" w:rsidR="00BE1AF0" w:rsidRDefault="00BE1AF0">
            <w:pPr>
              <w:autoSpaceDE w:val="0"/>
              <w:autoSpaceDN w:val="0"/>
              <w:adjustRightInd w:val="0"/>
              <w:rPr>
                <w:sz w:val="22"/>
                <w:szCs w:val="22"/>
                <w:lang w:val="sr-Latn-ME"/>
              </w:rPr>
            </w:pPr>
          </w:p>
          <w:p w14:paraId="70E3DBB2" w14:textId="77777777" w:rsidR="00BE1AF0" w:rsidRDefault="00BE1AF0">
            <w:pPr>
              <w:autoSpaceDE w:val="0"/>
              <w:autoSpaceDN w:val="0"/>
              <w:adjustRightInd w:val="0"/>
              <w:rPr>
                <w:sz w:val="22"/>
                <w:szCs w:val="22"/>
                <w:lang w:val="sr-Latn-ME"/>
              </w:rPr>
            </w:pPr>
          </w:p>
          <w:p w14:paraId="7070296E" w14:textId="77777777" w:rsidR="00BE1AF0" w:rsidRDefault="004F0139">
            <w:pPr>
              <w:autoSpaceDE w:val="0"/>
              <w:autoSpaceDN w:val="0"/>
              <w:adjustRightInd w:val="0"/>
              <w:rPr>
                <w:sz w:val="22"/>
                <w:szCs w:val="22"/>
                <w:vertAlign w:val="superscript"/>
                <w:lang w:val="sr-Latn-ME"/>
              </w:rPr>
            </w:pPr>
            <w:r>
              <w:rPr>
                <w:sz w:val="22"/>
                <w:szCs w:val="22"/>
                <w:lang w:val="sr-Latn-ME"/>
              </w:rPr>
              <w:t>-2,1</w:t>
            </w:r>
            <w:r>
              <w:rPr>
                <w:sz w:val="22"/>
                <w:szCs w:val="22"/>
                <w:vertAlign w:val="superscript"/>
                <w:lang w:val="sr-Latn-ME"/>
              </w:rPr>
              <w:t>†,‡</w:t>
            </w:r>
          </w:p>
          <w:p w14:paraId="19F26536" w14:textId="77777777" w:rsidR="00BE1AF0" w:rsidRDefault="004F0139">
            <w:pPr>
              <w:autoSpaceDE w:val="0"/>
              <w:autoSpaceDN w:val="0"/>
              <w:adjustRightInd w:val="0"/>
              <w:rPr>
                <w:sz w:val="22"/>
                <w:szCs w:val="22"/>
                <w:lang w:val="sr-Latn-ME"/>
              </w:rPr>
            </w:pPr>
            <w:r>
              <w:rPr>
                <w:sz w:val="22"/>
                <w:szCs w:val="22"/>
                <w:lang w:val="sr-Latn-ME"/>
              </w:rPr>
              <w:t>(-2,3, -1,8)</w:t>
            </w:r>
          </w:p>
        </w:tc>
      </w:tr>
    </w:tbl>
    <w:p w14:paraId="3A120ED1"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Analiza podataka svih liječenih pacijenata (a</w:t>
      </w:r>
      <w:r>
        <w:rPr>
          <w:rFonts w:eastAsia="TimesNewRoman,Bold"/>
          <w:bCs/>
          <w:sz w:val="22"/>
          <w:szCs w:val="22"/>
          <w:lang w:val="sr-Latn-ME" w:eastAsia="sl-SI"/>
        </w:rPr>
        <w:t xml:space="preserve">naliza u populaciji pacijenata predviđenoj za liječenje </w:t>
      </w:r>
      <w:r>
        <w:rPr>
          <w:rFonts w:eastAsia="TimesNewRoman,Bold"/>
          <w:bCs/>
          <w:sz w:val="22"/>
          <w:szCs w:val="22"/>
          <w:lang w:val="sr-Latn-ME" w:eastAsia="sl-SI"/>
        </w:rPr>
        <w:sym w:font="Symbol" w:char="F05B"/>
      </w:r>
      <w:r>
        <w:rPr>
          <w:rFonts w:eastAsia="TimesNewRoman,Bold"/>
          <w:bCs/>
          <w:sz w:val="22"/>
          <w:szCs w:val="22"/>
          <w:lang w:val="sr-Latn-ME" w:eastAsia="sl-SI"/>
        </w:rPr>
        <w:t>eng.</w:t>
      </w:r>
      <w:r>
        <w:rPr>
          <w:sz w:val="22"/>
          <w:szCs w:val="22"/>
          <w:lang w:val="sr-Latn-ME" w:eastAsia="sr-Latn-ME"/>
        </w:rPr>
        <w:t xml:space="preserve"> </w:t>
      </w:r>
      <w:r>
        <w:rPr>
          <w:i/>
          <w:sz w:val="22"/>
          <w:szCs w:val="22"/>
          <w:lang w:val="sr-Latn-ME" w:eastAsia="sr-Latn-ME"/>
        </w:rPr>
        <w:t>intention-to-treat analysis</w:t>
      </w:r>
      <w:r>
        <w:rPr>
          <w:rFonts w:eastAsia="TimesNewRoman,Bold"/>
          <w:bCs/>
          <w:sz w:val="22"/>
          <w:szCs w:val="22"/>
          <w:lang w:val="sr-Latn-ME" w:eastAsia="sl-SI"/>
        </w:rPr>
        <w:sym w:font="Symbol" w:char="F05D"/>
      </w:r>
      <w:r>
        <w:rPr>
          <w:sz w:val="22"/>
          <w:szCs w:val="22"/>
          <w:lang w:val="sr-Latn-ME" w:eastAsia="sr-Latn-ME"/>
        </w:rPr>
        <w:t>).</w:t>
      </w:r>
    </w:p>
    <w:p w14:paraId="61CF464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Srednje vrijednosti najmanjih kvadratnih grešaka korigovane za status antihiperglikemijske terapije i početnu vrijednost.</w:t>
      </w:r>
    </w:p>
    <w:p w14:paraId="67C75D1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p &lt; 0,001 u odnosu na placebo ili placebo + kombinovana terapija.</w:t>
      </w:r>
    </w:p>
    <w:p w14:paraId="664C2D8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HbA</w:t>
      </w:r>
      <w:r>
        <w:rPr>
          <w:sz w:val="22"/>
          <w:szCs w:val="22"/>
          <w:vertAlign w:val="subscript"/>
          <w:lang w:val="sr-Latn-ME" w:eastAsia="sr-Latn-ME"/>
        </w:rPr>
        <w:t>1c</w:t>
      </w:r>
      <w:r>
        <w:rPr>
          <w:sz w:val="22"/>
          <w:szCs w:val="22"/>
          <w:lang w:val="sr-Latn-ME" w:eastAsia="sr-Latn-ME"/>
        </w:rPr>
        <w:t xml:space="preserve"> (%) u 24. nedjelji</w:t>
      </w:r>
    </w:p>
    <w:p w14:paraId="137A6D0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lastRenderedPageBreak/>
        <w:t>┌HbA</w:t>
      </w:r>
      <w:r>
        <w:rPr>
          <w:sz w:val="22"/>
          <w:szCs w:val="22"/>
          <w:vertAlign w:val="subscript"/>
          <w:lang w:val="sr-Latn-ME" w:eastAsia="sr-Latn-ME"/>
        </w:rPr>
        <w:t>1c</w:t>
      </w:r>
      <w:r>
        <w:rPr>
          <w:sz w:val="22"/>
          <w:szCs w:val="22"/>
          <w:lang w:val="sr-Latn-ME" w:eastAsia="sr-Latn-ME"/>
        </w:rPr>
        <w:t xml:space="preserve"> (%) u 26. nedjelji</w:t>
      </w:r>
    </w:p>
    <w:p w14:paraId="5AB5841A"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Srednje vrijednosti najmanjih kvadratnih grešaka korigovanih za primjenu insulina pri 1. posjeti („pre-mixed“ u odnosu „non-pre-mixed“ [srednjedjelujući ili dugodjelujući insulin]) i vrijednosti na početku terapije.</w:t>
      </w:r>
    </w:p>
    <w:p w14:paraId="0099BC21" w14:textId="77777777" w:rsidR="00BE1AF0" w:rsidRDefault="00BE1AF0">
      <w:pPr>
        <w:autoSpaceDE w:val="0"/>
        <w:autoSpaceDN w:val="0"/>
        <w:adjustRightInd w:val="0"/>
        <w:jc w:val="both"/>
        <w:rPr>
          <w:sz w:val="22"/>
          <w:szCs w:val="22"/>
          <w:lang w:val="sr-Latn-ME" w:eastAsia="sr-Latn-ME"/>
        </w:rPr>
      </w:pPr>
    </w:p>
    <w:p w14:paraId="24D2F9EF"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52-nedjeljnoj studiji koja je upoređivala efikasnost i bezbjednost dodavanja sitagliptina od 100 mg jednom dnevno ili glipizida (lijeka na bazi sulfoniluree) kod pacijenata sa neadekvatnom kontrolom glikemije koji su bili na monoterapiji metforminom, učinak sitagliptina bio je sličan glipizidu u smanjivanju HbA</w:t>
      </w:r>
      <w:r>
        <w:rPr>
          <w:sz w:val="22"/>
          <w:szCs w:val="22"/>
          <w:vertAlign w:val="subscript"/>
          <w:lang w:val="sr-Latn-ME" w:eastAsia="sr-Latn-ME"/>
        </w:rPr>
        <w:t>1c</w:t>
      </w:r>
      <w:r>
        <w:rPr>
          <w:sz w:val="22"/>
          <w:szCs w:val="22"/>
          <w:lang w:val="sr-Latn-ME" w:eastAsia="sr-Latn-ME"/>
        </w:rPr>
        <w:t xml:space="preserve"> (-0,7% srednje promjene u odnosu na početne vrijednosti u 52. nedjelji, uz početni HbA</w:t>
      </w:r>
      <w:r>
        <w:rPr>
          <w:sz w:val="22"/>
          <w:szCs w:val="22"/>
          <w:vertAlign w:val="subscript"/>
          <w:lang w:val="sr-Latn-ME" w:eastAsia="sr-Latn-ME"/>
        </w:rPr>
        <w:t>1c</w:t>
      </w:r>
      <w:r>
        <w:rPr>
          <w:sz w:val="22"/>
          <w:szCs w:val="22"/>
          <w:lang w:val="sr-Latn-ME" w:eastAsia="sr-Latn-ME"/>
        </w:rPr>
        <w:t xml:space="preserve"> od oko 7,5% u obje grupe). Prosječna doza glipizida koja se koristila u kontrolnoj grupi za upoređivanje iznosila je 10 mg na dan, a oko 40% pacijenata je u toku čitave studije zahtijevalo dozu glipizida ≤ 5 mg na dan. Međutim, više pacijenata je prekinulo terapiju usljed neefikasnosti u grupi sa sitagliptinom nego u grupi sa glipizidom. Pacijenti liječeni sitagliptinom pokazivali su znatno smanjenje srednje vrijednosti tjelesne mase u odnosu na početne vrijednosti (-1,5 kg) u odnosu na značajno povećanje tjelesne mase kod pacijenata koji su dobijali glipizid (+1,1 kg). Primjenom sitagliptina u ovoj studiji poboljšan je odnos proinsulina i insulina, marker efikasnosti sinteze i oslobađanja insulina, a pogoršan primjenom glipizida. Incidenca hipoglikemije u grupi sa sitagliptinom (4,9%) bila je znatno manja u odnosu na incidencu hipoglikemije u grupi sa glipizidom (32,0%).</w:t>
      </w:r>
    </w:p>
    <w:p w14:paraId="4CCB054A" w14:textId="77777777" w:rsidR="00BE1AF0" w:rsidRDefault="00BE1AF0">
      <w:pPr>
        <w:autoSpaceDE w:val="0"/>
        <w:autoSpaceDN w:val="0"/>
        <w:adjustRightInd w:val="0"/>
        <w:jc w:val="both"/>
        <w:rPr>
          <w:sz w:val="22"/>
          <w:szCs w:val="22"/>
          <w:lang w:val="sr-Latn-ME" w:eastAsia="sr-Latn-ME"/>
        </w:rPr>
      </w:pPr>
    </w:p>
    <w:p w14:paraId="2396C77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Dizajnirano je 24-nedjeljno placebo-kontrolosano ispitivanje, koje je uključivalo 660 pacijenata, sa ciljem da se procijeni efikasnost kroz „uštedu“ insulina i bezbjednost primjene sitagliptina (u dozi 100 mg jednom dnevno), kada je sitagliptin korišćen kao dodatak terapiji insulinom glargin, u toku intenziviranja insulinske terapije, sa metforminom ili bez njega (najmanja doza 1500 mg). Među pacijentima koji su uzimali metformin početna vrijednost HbA</w:t>
      </w:r>
      <w:r>
        <w:rPr>
          <w:sz w:val="22"/>
          <w:szCs w:val="22"/>
          <w:vertAlign w:val="subscript"/>
          <w:lang w:val="sr-Latn-ME" w:eastAsia="sr-Latn-ME"/>
        </w:rPr>
        <w:t>1c</w:t>
      </w:r>
      <w:r>
        <w:rPr>
          <w:sz w:val="22"/>
          <w:szCs w:val="22"/>
          <w:lang w:val="sr-Latn-ME" w:eastAsia="sr-Latn-ME"/>
        </w:rPr>
        <w:t xml:space="preserve"> bila je 8,70%, a početna doza insulina 37 i.j./dnevno. Pacijentima je data instrukcija da titriraju dozu insulina glargin na osnovu koncentracije glukoze natašte, određene u uzorku krvi iz prsta. Među pacijentima koji su primali metformin, u 24. nedjelji povećanje dnevne doze insulina bilo je 19 i.j./dnevno kod pacijenata na terapiji sitagliptinom i 24 i.j./dnevno kod pacijenata koji su dobijali placebo. Smanjenje vrijednosti HbA</w:t>
      </w:r>
      <w:r>
        <w:rPr>
          <w:sz w:val="22"/>
          <w:szCs w:val="22"/>
          <w:vertAlign w:val="subscript"/>
          <w:lang w:val="sr-Latn-ME" w:eastAsia="sr-Latn-ME"/>
        </w:rPr>
        <w:t>1c</w:t>
      </w:r>
      <w:r>
        <w:rPr>
          <w:sz w:val="22"/>
          <w:szCs w:val="22"/>
          <w:lang w:val="sr-Latn-ME" w:eastAsia="sr-Latn-ME"/>
        </w:rPr>
        <w:t xml:space="preserve"> kod pacijenata na terapiji sitagliptinom, metforminom i insulinom bilo je -1,35% u poređenju sa -0,90% kod pacijenata tretiranih placebom, metforminom i insulinom, što daje razliku od -0,45% [95% CI: -0,62, -0.29]. Učestalost pojave hipoglikemije bila je 24,9% kod pacijenata na terapiji sitagliptinom, metforminom i insulinom i 37,8% kod pacijenata na terapiji placebom, metforminom i insulinom. Razlika je uglavnom posljedica većeg procenta pacijenata u placebo grupi koji su doživjeli tri ili više epizoda hipoglikemije (9,1 naspram 19,8%). Nema razlike u učestalosti pojave teških hipoglikemija.</w:t>
      </w:r>
    </w:p>
    <w:p w14:paraId="6A6E8DF2" w14:textId="77777777" w:rsidR="00BE1AF0" w:rsidRDefault="00BE1AF0">
      <w:pPr>
        <w:autoSpaceDE w:val="0"/>
        <w:autoSpaceDN w:val="0"/>
        <w:adjustRightInd w:val="0"/>
        <w:jc w:val="both"/>
        <w:rPr>
          <w:sz w:val="22"/>
          <w:szCs w:val="22"/>
          <w:lang w:val="sr-Latn-ME" w:eastAsia="sr-Latn-ME"/>
        </w:rPr>
      </w:pPr>
    </w:p>
    <w:p w14:paraId="2E4870D4"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Metformin</w:t>
      </w:r>
    </w:p>
    <w:p w14:paraId="2C1D4EC8"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Mehanizam dejstva</w:t>
      </w:r>
    </w:p>
    <w:p w14:paraId="7B64195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Metformin je bigvanid sa antihiperglikemijskim dejstvom koji snižava i bazalnu i postprandijalnu koncentraciju glukoze u plazmi. On ne stimuliše lučenje insulina i zato ne izaziva hipoglikemiju.</w:t>
      </w:r>
    </w:p>
    <w:p w14:paraId="4A2DBBEF" w14:textId="77777777" w:rsidR="00BE1AF0" w:rsidRDefault="00BE1AF0">
      <w:pPr>
        <w:autoSpaceDE w:val="0"/>
        <w:autoSpaceDN w:val="0"/>
        <w:adjustRightInd w:val="0"/>
        <w:jc w:val="both"/>
        <w:rPr>
          <w:sz w:val="22"/>
          <w:szCs w:val="22"/>
          <w:lang w:val="sr-Latn-ME" w:eastAsia="sr-Latn-ME"/>
        </w:rPr>
      </w:pPr>
    </w:p>
    <w:p w14:paraId="578F8DA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Metformin može da djeluje preko tri mehanizma:</w:t>
      </w:r>
    </w:p>
    <w:p w14:paraId="393AF51F" w14:textId="77777777" w:rsidR="00BE1AF0" w:rsidRDefault="004F0139">
      <w:pPr>
        <w:pStyle w:val="ListParagraph"/>
        <w:numPr>
          <w:ilvl w:val="0"/>
          <w:numId w:val="14"/>
        </w:numPr>
        <w:autoSpaceDE w:val="0"/>
        <w:autoSpaceDN w:val="0"/>
        <w:adjustRightInd w:val="0"/>
        <w:ind w:left="426" w:hanging="371"/>
        <w:jc w:val="both"/>
        <w:rPr>
          <w:sz w:val="22"/>
          <w:szCs w:val="22"/>
          <w:lang w:val="sr-Latn-ME" w:eastAsia="sr-Latn-ME"/>
        </w:rPr>
      </w:pPr>
      <w:r>
        <w:rPr>
          <w:sz w:val="22"/>
          <w:szCs w:val="22"/>
          <w:lang w:val="sr-Latn-ME" w:eastAsia="sr-Latn-ME"/>
        </w:rPr>
        <w:t>smanjenjem proizvodnje glukoze u jetri putem inhibicije glukoneogeneze i glikogenolize;</w:t>
      </w:r>
    </w:p>
    <w:p w14:paraId="25DA86D9" w14:textId="77777777" w:rsidR="00BE1AF0" w:rsidRDefault="004F0139">
      <w:pPr>
        <w:pStyle w:val="ListParagraph"/>
        <w:numPr>
          <w:ilvl w:val="0"/>
          <w:numId w:val="14"/>
        </w:numPr>
        <w:autoSpaceDE w:val="0"/>
        <w:autoSpaceDN w:val="0"/>
        <w:adjustRightInd w:val="0"/>
        <w:ind w:left="426"/>
        <w:jc w:val="both"/>
        <w:rPr>
          <w:sz w:val="22"/>
          <w:szCs w:val="22"/>
          <w:lang w:val="sr-Latn-ME" w:eastAsia="sr-Latn-ME"/>
        </w:rPr>
      </w:pPr>
      <w:r>
        <w:rPr>
          <w:sz w:val="22"/>
          <w:szCs w:val="22"/>
          <w:lang w:val="sr-Latn-ME" w:eastAsia="sr-Latn-ME"/>
        </w:rPr>
        <w:t>u mišićima, umjerenim povećanjem osjetljivosti na insulin, poboljšavajući periferni unos i korišćenje glukoze;</w:t>
      </w:r>
    </w:p>
    <w:p w14:paraId="4B73EB7A" w14:textId="77777777" w:rsidR="00BE1AF0" w:rsidRDefault="004F0139">
      <w:pPr>
        <w:pStyle w:val="ListParagraph"/>
        <w:numPr>
          <w:ilvl w:val="0"/>
          <w:numId w:val="14"/>
        </w:numPr>
        <w:autoSpaceDE w:val="0"/>
        <w:autoSpaceDN w:val="0"/>
        <w:adjustRightInd w:val="0"/>
        <w:ind w:left="426"/>
        <w:jc w:val="both"/>
        <w:rPr>
          <w:sz w:val="22"/>
          <w:szCs w:val="22"/>
          <w:lang w:val="sr-Latn-ME" w:eastAsia="sr-Latn-ME"/>
        </w:rPr>
      </w:pPr>
      <w:r>
        <w:rPr>
          <w:sz w:val="22"/>
          <w:szCs w:val="22"/>
          <w:lang w:val="sr-Latn-ME" w:eastAsia="sr-Latn-ME"/>
        </w:rPr>
        <w:t>odlaganjem intenstinalne resorpcije glukoze.</w:t>
      </w:r>
    </w:p>
    <w:p w14:paraId="391D8D73" w14:textId="77777777" w:rsidR="00BE1AF0" w:rsidRDefault="00BE1AF0">
      <w:pPr>
        <w:autoSpaceDE w:val="0"/>
        <w:autoSpaceDN w:val="0"/>
        <w:adjustRightInd w:val="0"/>
        <w:jc w:val="both"/>
        <w:rPr>
          <w:sz w:val="22"/>
          <w:szCs w:val="22"/>
          <w:lang w:val="sr-Latn-ME" w:eastAsia="sr-Latn-ME"/>
        </w:rPr>
      </w:pPr>
    </w:p>
    <w:p w14:paraId="3DC83E5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Metformin stimuliše intracelularnu sintezu glikogena djelovanjem na glikogen sintazu. </w:t>
      </w:r>
    </w:p>
    <w:p w14:paraId="460D1122"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Metformin povećava transportni kapacitet specifičnih tipova membranskih transportera glukoze (GLUT-1 i GLUT-4).</w:t>
      </w:r>
    </w:p>
    <w:p w14:paraId="7E572AA7" w14:textId="77777777" w:rsidR="00BE1AF0" w:rsidRDefault="00BE1AF0">
      <w:pPr>
        <w:autoSpaceDE w:val="0"/>
        <w:autoSpaceDN w:val="0"/>
        <w:adjustRightInd w:val="0"/>
        <w:jc w:val="both"/>
        <w:rPr>
          <w:i/>
          <w:iCs/>
          <w:sz w:val="22"/>
          <w:szCs w:val="22"/>
          <w:lang w:val="sr-Latn-ME" w:eastAsia="sr-Latn-ME"/>
        </w:rPr>
      </w:pPr>
    </w:p>
    <w:p w14:paraId="710C38AF"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Klinička efikasnost i bezbjednost</w:t>
      </w:r>
    </w:p>
    <w:p w14:paraId="7CE780B1"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Kod ljudi, nezavisno od njegovog uticaja na glikemiju, metformin ima povoljan efekat na metabolizam</w:t>
      </w:r>
    </w:p>
    <w:p w14:paraId="5840EE8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lipida. U kontrolisanim kliničkim studijama srednjeg ili dugog trajanja pri terapijskim dozama, pokazalo se da metformin snižava nivo ukupnog holesterola, LDL holesterola i nivo triglicerida.</w:t>
      </w:r>
    </w:p>
    <w:p w14:paraId="4E0B7DFE" w14:textId="77777777" w:rsidR="00BE1AF0" w:rsidRDefault="00BE1AF0">
      <w:pPr>
        <w:autoSpaceDE w:val="0"/>
        <w:autoSpaceDN w:val="0"/>
        <w:adjustRightInd w:val="0"/>
        <w:jc w:val="both"/>
        <w:rPr>
          <w:sz w:val="22"/>
          <w:szCs w:val="22"/>
          <w:lang w:val="sr-Latn-ME" w:eastAsia="sr-Latn-ME"/>
        </w:rPr>
      </w:pPr>
    </w:p>
    <w:p w14:paraId="29ED680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Prospektivnom randomizovanom (UKPDS) studijom utvrđena je dugoročna korist od intenzivne kontrole glukoze u krvi kod pacijenata sa dijabetesom tip 2. Analiza rezultata pacijenata sa </w:t>
      </w:r>
      <w:r>
        <w:rPr>
          <w:sz w:val="22"/>
          <w:szCs w:val="22"/>
          <w:lang w:val="sr-Latn-ME" w:eastAsia="sr-Latn-ME"/>
        </w:rPr>
        <w:lastRenderedPageBreak/>
        <w:t>prekomjernom tjelesnom masom liječenih metforminom, nakon što dijeta samostalno nije dala rezultate, pokazala je:</w:t>
      </w:r>
    </w:p>
    <w:p w14:paraId="13BC4D21" w14:textId="77777777" w:rsidR="00BE1AF0" w:rsidRDefault="004F0139">
      <w:pPr>
        <w:pStyle w:val="ListParagraph"/>
        <w:numPr>
          <w:ilvl w:val="0"/>
          <w:numId w:val="13"/>
        </w:numPr>
        <w:autoSpaceDE w:val="0"/>
        <w:autoSpaceDN w:val="0"/>
        <w:adjustRightInd w:val="0"/>
        <w:jc w:val="both"/>
        <w:rPr>
          <w:sz w:val="22"/>
          <w:szCs w:val="22"/>
          <w:lang w:val="sr-Latn-ME" w:eastAsia="sr-Latn-ME"/>
        </w:rPr>
      </w:pPr>
      <w:r>
        <w:rPr>
          <w:sz w:val="22"/>
          <w:szCs w:val="22"/>
          <w:lang w:val="sr-Latn-ME" w:eastAsia="sr-Latn-ME"/>
        </w:rPr>
        <w:t>značajno smanjenje apsolutnog rizika svih komplikacija u vezi sa dijabetesom kod grupe koja je dobijala metformin (29,8 događaja/1000 pacijent-godina) u odnosu na grupu koja je bila samo na dijeti (43,3 događaja/1000 pacijent-godina), p=0,0023 i u odnosu na objedinjene podatke grupa u kojima su ispitanici primjenjivali ili sulfonilureu ili insulin kao monoterapiju (40,1 događaj/1000 pacijent-godina), p=0,0034</w:t>
      </w:r>
    </w:p>
    <w:p w14:paraId="39E79F24" w14:textId="77777777" w:rsidR="00BE1AF0" w:rsidRDefault="004F0139">
      <w:pPr>
        <w:pStyle w:val="ListParagraph"/>
        <w:numPr>
          <w:ilvl w:val="0"/>
          <w:numId w:val="13"/>
        </w:numPr>
        <w:autoSpaceDE w:val="0"/>
        <w:autoSpaceDN w:val="0"/>
        <w:adjustRightInd w:val="0"/>
        <w:jc w:val="both"/>
        <w:rPr>
          <w:sz w:val="22"/>
          <w:szCs w:val="22"/>
          <w:lang w:val="sr-Latn-ME" w:eastAsia="sr-Latn-ME"/>
        </w:rPr>
      </w:pPr>
      <w:r>
        <w:rPr>
          <w:sz w:val="22"/>
          <w:szCs w:val="22"/>
          <w:lang w:val="sr-Latn-ME" w:eastAsia="sr-Latn-ME"/>
        </w:rPr>
        <w:t>značajno smanjenje apsolutnog rizika od mortaliteta u vezi sa dijabetesom: metformin (7,5 događaja/1000 pacijent-godina), samo dijeta (12,7 događaja/1000 pacijent-godina), p=0,017</w:t>
      </w:r>
    </w:p>
    <w:p w14:paraId="05D0EBBE" w14:textId="77777777" w:rsidR="00BE1AF0" w:rsidRDefault="004F0139">
      <w:pPr>
        <w:pStyle w:val="ListParagraph"/>
        <w:numPr>
          <w:ilvl w:val="0"/>
          <w:numId w:val="13"/>
        </w:numPr>
        <w:autoSpaceDE w:val="0"/>
        <w:autoSpaceDN w:val="0"/>
        <w:adjustRightInd w:val="0"/>
        <w:jc w:val="both"/>
        <w:rPr>
          <w:sz w:val="22"/>
          <w:szCs w:val="22"/>
          <w:lang w:val="sr-Latn-ME" w:eastAsia="sr-Latn-ME"/>
        </w:rPr>
      </w:pPr>
      <w:r>
        <w:rPr>
          <w:sz w:val="22"/>
          <w:szCs w:val="22"/>
          <w:lang w:val="sr-Latn-ME" w:eastAsia="sr-Latn-ME"/>
        </w:rPr>
        <w:t>značajno smanjenje apsolutnog rizika od ukupnog mortaliteta: metformin (13,5 događaja/1000 pacijent-godina) u odnosu na dijetu (20,6 događaja/1000 pacijent-godina) (p=0,011) i u odnosu na objedinjene podatke grupa u kojima su ispitanici primjenjivali ili sulfonilureju ili insulin kao monoterapiju (18,9 događaja/1000 pacijent-godina) (p=0,021)</w:t>
      </w:r>
    </w:p>
    <w:p w14:paraId="3AF08C53" w14:textId="77777777" w:rsidR="00BE1AF0" w:rsidRDefault="004F0139">
      <w:pPr>
        <w:pStyle w:val="ListParagraph"/>
        <w:numPr>
          <w:ilvl w:val="0"/>
          <w:numId w:val="13"/>
        </w:numPr>
        <w:autoSpaceDE w:val="0"/>
        <w:autoSpaceDN w:val="0"/>
        <w:adjustRightInd w:val="0"/>
        <w:jc w:val="both"/>
        <w:rPr>
          <w:sz w:val="22"/>
          <w:szCs w:val="22"/>
          <w:lang w:val="sr-Latn-ME" w:eastAsia="sr-Latn-ME"/>
        </w:rPr>
      </w:pPr>
      <w:r>
        <w:rPr>
          <w:sz w:val="22"/>
          <w:szCs w:val="22"/>
          <w:lang w:val="sr-Latn-ME" w:eastAsia="sr-Latn-ME"/>
        </w:rPr>
        <w:t>značajno smanjenje apsolutnog rizika od infarkta miokarda: metformin (11 događaja/1000 pacijent-godina), samo dijeta (18 događaja/1000 pacijent-godina) (p=0,01).</w:t>
      </w:r>
    </w:p>
    <w:p w14:paraId="39441DC0" w14:textId="77777777" w:rsidR="00BE1AF0" w:rsidRDefault="00BE1AF0">
      <w:pPr>
        <w:autoSpaceDE w:val="0"/>
        <w:autoSpaceDN w:val="0"/>
        <w:adjustRightInd w:val="0"/>
        <w:jc w:val="both"/>
        <w:rPr>
          <w:sz w:val="22"/>
          <w:szCs w:val="22"/>
          <w:lang w:val="sr-Latn-ME" w:eastAsia="sr-Latn-ME"/>
        </w:rPr>
      </w:pPr>
    </w:p>
    <w:p w14:paraId="0536212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Studija TECOS je bila randomizovana studija u kojoj je učestvovalo 14671 pacijenata, koji pripadaju populaciji pacijenata predviđenoj za liječenje (eng. </w:t>
      </w:r>
      <w:r>
        <w:rPr>
          <w:i/>
          <w:iCs/>
          <w:sz w:val="22"/>
          <w:szCs w:val="22"/>
          <w:lang w:val="sr-Latn-ME" w:eastAsia="sr-Latn-ME"/>
        </w:rPr>
        <w:t>intention-to-treat</w:t>
      </w:r>
      <w:r>
        <w:rPr>
          <w:sz w:val="22"/>
          <w:szCs w:val="22"/>
          <w:lang w:val="sr-Latn-ME" w:eastAsia="sr-Latn-ME"/>
        </w:rPr>
        <w:t>), sa vrijednostima HbA</w:t>
      </w:r>
      <w:r>
        <w:rPr>
          <w:sz w:val="22"/>
          <w:szCs w:val="22"/>
          <w:vertAlign w:val="subscript"/>
          <w:lang w:val="sr-Latn-ME" w:eastAsia="sr-Latn-ME"/>
        </w:rPr>
        <w:t>1c</w:t>
      </w:r>
      <w:r>
        <w:rPr>
          <w:sz w:val="22"/>
          <w:szCs w:val="22"/>
          <w:lang w:val="sr-Latn-ME" w:eastAsia="sr-Latn-ME"/>
        </w:rPr>
        <w:t xml:space="preserve"> od ≥ 6,5 do 8,0% i potvrđenom KV bolešću, raspoređenih tako da su primali sitagliptin (7332) u dozi od 100 mg dnevno (ili 50 mg dnevno ako je početni eGFR bio ≥ 30 i &lt; 50 ml/min/1,73 m</w:t>
      </w:r>
      <w:r>
        <w:rPr>
          <w:sz w:val="22"/>
          <w:szCs w:val="22"/>
          <w:vertAlign w:val="superscript"/>
          <w:lang w:val="sr-Latn-ME" w:eastAsia="sr-Latn-ME"/>
        </w:rPr>
        <w:t>2</w:t>
      </w:r>
      <w:r>
        <w:rPr>
          <w:sz w:val="22"/>
          <w:szCs w:val="22"/>
          <w:lang w:val="sr-Latn-ME" w:eastAsia="sr-Latn-ME"/>
        </w:rPr>
        <w:t>) ili placebo (7339), kao</w:t>
      </w:r>
    </w:p>
    <w:p w14:paraId="08A3675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dodatak standardnoj terapiji za postizanje standardnih regionalnih vrijednosti HbA</w:t>
      </w:r>
      <w:r>
        <w:rPr>
          <w:sz w:val="22"/>
          <w:szCs w:val="22"/>
          <w:vertAlign w:val="subscript"/>
          <w:lang w:val="sr-Latn-ME" w:eastAsia="sr-Latn-ME"/>
        </w:rPr>
        <w:t>1c</w:t>
      </w:r>
      <w:r>
        <w:rPr>
          <w:sz w:val="22"/>
          <w:szCs w:val="22"/>
          <w:lang w:val="sr-Latn-ME" w:eastAsia="sr-Latn-ME"/>
        </w:rPr>
        <w:t xml:space="preserve"> i faktora KV rizika. U studiju nije bilo dozvoljeno uključiti pacijente kojima je eGFR bio &lt; 30 ml/min/1,73 m</w:t>
      </w:r>
      <w:r>
        <w:rPr>
          <w:sz w:val="22"/>
          <w:szCs w:val="22"/>
          <w:vertAlign w:val="superscript"/>
          <w:lang w:val="sr-Latn-ME" w:eastAsia="sr-Latn-ME"/>
        </w:rPr>
        <w:t>2</w:t>
      </w:r>
      <w:r>
        <w:rPr>
          <w:sz w:val="22"/>
          <w:szCs w:val="22"/>
          <w:lang w:val="sr-Latn-ME" w:eastAsia="sr-Latn-ME"/>
        </w:rPr>
        <w:t>. Ispitivana populacija uključivala je 2004 pacijenta starosti ≥ 75 godina i 3324 pacijenta sa oštećenjem funkcije bubrega (eGFR &lt; 60 ml/min/1,73 m</w:t>
      </w:r>
      <w:r>
        <w:rPr>
          <w:sz w:val="22"/>
          <w:szCs w:val="22"/>
          <w:vertAlign w:val="superscript"/>
          <w:lang w:val="sr-Latn-ME" w:eastAsia="sr-Latn-ME"/>
        </w:rPr>
        <w:t>2</w:t>
      </w:r>
      <w:r>
        <w:rPr>
          <w:sz w:val="22"/>
          <w:szCs w:val="22"/>
          <w:lang w:val="sr-Latn-ME" w:eastAsia="sr-Latn-ME"/>
        </w:rPr>
        <w:t>).</w:t>
      </w:r>
    </w:p>
    <w:p w14:paraId="7FBFF341" w14:textId="77777777" w:rsidR="00BE1AF0" w:rsidRDefault="00BE1AF0">
      <w:pPr>
        <w:autoSpaceDE w:val="0"/>
        <w:autoSpaceDN w:val="0"/>
        <w:adjustRightInd w:val="0"/>
        <w:jc w:val="both"/>
        <w:rPr>
          <w:sz w:val="22"/>
          <w:szCs w:val="22"/>
          <w:lang w:val="sr-Latn-ME" w:eastAsia="sr-Latn-ME"/>
        </w:rPr>
      </w:pPr>
    </w:p>
    <w:p w14:paraId="01E3FA7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Tokom trajanja studije ukupna procijenjena srednja razlika (SD) nivoa HbA</w:t>
      </w:r>
      <w:r>
        <w:rPr>
          <w:sz w:val="22"/>
          <w:szCs w:val="22"/>
          <w:vertAlign w:val="subscript"/>
          <w:lang w:val="sr-Latn-ME" w:eastAsia="sr-Latn-ME"/>
        </w:rPr>
        <w:t>1c</w:t>
      </w:r>
      <w:r>
        <w:rPr>
          <w:sz w:val="22"/>
          <w:szCs w:val="22"/>
          <w:lang w:val="sr-Latn-ME" w:eastAsia="sr-Latn-ME"/>
        </w:rPr>
        <w:t xml:space="preserve"> između grupe liječene sitagliptinom i one koja je primala placebo iznosila je 0,29% (0,01), 95% CI (-0,32; -0,27); p&lt;0,001.</w:t>
      </w:r>
    </w:p>
    <w:p w14:paraId="220CE986" w14:textId="77777777" w:rsidR="00BE1AF0" w:rsidRDefault="00BE1AF0">
      <w:pPr>
        <w:autoSpaceDE w:val="0"/>
        <w:autoSpaceDN w:val="0"/>
        <w:adjustRightInd w:val="0"/>
        <w:jc w:val="both"/>
        <w:rPr>
          <w:sz w:val="22"/>
          <w:szCs w:val="22"/>
          <w:lang w:val="sr-Latn-ME" w:eastAsia="sr-Latn-ME"/>
        </w:rPr>
      </w:pPr>
    </w:p>
    <w:p w14:paraId="64676CE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Primarni kardiovaskularni parametar praćenja u studiji predstavljao je kombinaciju prvog potvrđenog događaja smrti zbog kardiovaskularnog uzroka, infarkta miokarda bez smrtnog ishoda, moždanog udara bez smrtnog ishoda ili hospitalizacije zbog nestabilne angine. Sekundarni kardiovaskularni parametri praćenja u studiji obuhvatali su prvi potvrđen slučaj smrti zbog kardiovaskularnog uzroka, infarkt miokarda bez smrtnog ishoda ili nastup moždanog udara bez smrtnog ishoda; prvu pojavu pojedinih događaja primarnog parametra praćenja; smrt zbog bilo kog uzroka i hospitalizaciju zbog kongestivne srčane insuficijencije.</w:t>
      </w:r>
    </w:p>
    <w:p w14:paraId="6ECAE097" w14:textId="77777777" w:rsidR="00BE1AF0" w:rsidRDefault="00BE1AF0">
      <w:pPr>
        <w:autoSpaceDE w:val="0"/>
        <w:autoSpaceDN w:val="0"/>
        <w:adjustRightInd w:val="0"/>
        <w:jc w:val="both"/>
        <w:rPr>
          <w:sz w:val="22"/>
          <w:szCs w:val="22"/>
          <w:lang w:val="sr-Latn-ME" w:eastAsia="sr-Latn-ME"/>
        </w:rPr>
      </w:pPr>
    </w:p>
    <w:p w14:paraId="781703E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Uz medijanu praćenja od 3 godine sitagliptin kao dodatak standardnom liječenju nije povećao rizik od značajnih štetnih kardiovaskularnih događaja, niti rizik od hospitalizacije zbog srčane insuficijencije kod pacijenata sa dijabetesom tip 2 u poređenju sa standardnim liječenjem bez sitagliptina (Tabela 3).</w:t>
      </w:r>
    </w:p>
    <w:p w14:paraId="25FDA949" w14:textId="77777777" w:rsidR="00BE1AF0" w:rsidRDefault="00BE1AF0">
      <w:pPr>
        <w:tabs>
          <w:tab w:val="left" w:pos="540"/>
          <w:tab w:val="left" w:pos="569"/>
        </w:tabs>
        <w:jc w:val="both"/>
        <w:rPr>
          <w:b/>
          <w:bCs/>
          <w:sz w:val="22"/>
          <w:szCs w:val="22"/>
          <w:lang w:val="sr-Latn-ME" w:eastAsia="sr-Latn-ME"/>
        </w:rPr>
      </w:pPr>
    </w:p>
    <w:p w14:paraId="0F540C72" w14:textId="77777777" w:rsidR="00BE1AF0" w:rsidRDefault="004F0139">
      <w:pPr>
        <w:tabs>
          <w:tab w:val="left" w:pos="540"/>
          <w:tab w:val="left" w:pos="569"/>
        </w:tabs>
        <w:jc w:val="both"/>
        <w:rPr>
          <w:b/>
          <w:bCs/>
          <w:sz w:val="22"/>
          <w:szCs w:val="22"/>
          <w:lang w:val="sr-Latn-ME" w:eastAsia="sr-Latn-ME"/>
        </w:rPr>
      </w:pPr>
      <w:r>
        <w:rPr>
          <w:b/>
          <w:bCs/>
          <w:sz w:val="22"/>
          <w:szCs w:val="22"/>
          <w:lang w:val="sr-Latn-ME" w:eastAsia="sr-Latn-ME"/>
        </w:rPr>
        <w:t>Tabela 3. Stope objedinjenih kardiovaskularnih ishoda i ključnih sekundarnih ishoda</w:t>
      </w:r>
    </w:p>
    <w:p w14:paraId="266E2A5D" w14:textId="77777777" w:rsidR="00BE1AF0" w:rsidRDefault="00BE1AF0">
      <w:pPr>
        <w:tabs>
          <w:tab w:val="left" w:pos="540"/>
          <w:tab w:val="left" w:pos="569"/>
        </w:tabs>
        <w:jc w:val="both"/>
        <w:rPr>
          <w:b/>
          <w:bCs/>
          <w:sz w:val="22"/>
          <w:szCs w:val="22"/>
          <w:lang w:val="sr-Latn-ME" w:eastAsia="sr-Latn-M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992"/>
        <w:gridCol w:w="993"/>
        <w:gridCol w:w="1134"/>
        <w:gridCol w:w="1162"/>
        <w:gridCol w:w="1106"/>
      </w:tblGrid>
      <w:tr w:rsidR="00BE1AF0" w14:paraId="0F9F7A0E" w14:textId="77777777">
        <w:trPr>
          <w:trHeight w:val="310"/>
        </w:trPr>
        <w:tc>
          <w:tcPr>
            <w:tcW w:w="2660" w:type="dxa"/>
            <w:vMerge w:val="restart"/>
            <w:shd w:val="clear" w:color="auto" w:fill="auto"/>
          </w:tcPr>
          <w:p w14:paraId="6B5BE70F" w14:textId="77777777" w:rsidR="00BE1AF0" w:rsidRDefault="00BE1AF0">
            <w:pPr>
              <w:widowControl w:val="0"/>
              <w:rPr>
                <w:rFonts w:eastAsia="TimesNewRoman,Bold"/>
                <w:b/>
                <w:bCs/>
                <w:sz w:val="22"/>
                <w:szCs w:val="22"/>
                <w:lang w:val="sr-Latn-ME" w:eastAsia="sl-SI"/>
              </w:rPr>
            </w:pPr>
          </w:p>
        </w:tc>
        <w:tc>
          <w:tcPr>
            <w:tcW w:w="1984" w:type="dxa"/>
            <w:gridSpan w:val="2"/>
            <w:shd w:val="clear" w:color="auto" w:fill="auto"/>
          </w:tcPr>
          <w:p w14:paraId="3FBC09E9"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Sitagliptin 100 mg</w:t>
            </w:r>
          </w:p>
        </w:tc>
        <w:tc>
          <w:tcPr>
            <w:tcW w:w="2127" w:type="dxa"/>
            <w:gridSpan w:val="2"/>
            <w:shd w:val="clear" w:color="auto" w:fill="auto"/>
          </w:tcPr>
          <w:p w14:paraId="2BD4F302"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Placebo</w:t>
            </w:r>
          </w:p>
        </w:tc>
        <w:tc>
          <w:tcPr>
            <w:tcW w:w="1162" w:type="dxa"/>
            <w:vMerge w:val="restart"/>
            <w:shd w:val="clear" w:color="auto" w:fill="auto"/>
          </w:tcPr>
          <w:p w14:paraId="237B5285" w14:textId="77777777" w:rsidR="00BE1AF0" w:rsidRDefault="00BE1AF0">
            <w:pPr>
              <w:autoSpaceDE w:val="0"/>
              <w:autoSpaceDN w:val="0"/>
              <w:adjustRightInd w:val="0"/>
              <w:rPr>
                <w:rFonts w:eastAsia="TimesNewRoman,Bold"/>
                <w:b/>
                <w:bCs/>
                <w:sz w:val="22"/>
                <w:szCs w:val="22"/>
                <w:lang w:val="sr-Latn-ME" w:eastAsia="sl-SI"/>
              </w:rPr>
            </w:pPr>
          </w:p>
          <w:p w14:paraId="4D197409" w14:textId="77777777" w:rsidR="00BE1AF0" w:rsidRDefault="00BE1AF0">
            <w:pPr>
              <w:autoSpaceDE w:val="0"/>
              <w:autoSpaceDN w:val="0"/>
              <w:adjustRightInd w:val="0"/>
              <w:rPr>
                <w:rFonts w:eastAsia="TimesNewRoman,Bold"/>
                <w:b/>
                <w:bCs/>
                <w:sz w:val="22"/>
                <w:szCs w:val="22"/>
                <w:lang w:val="sr-Latn-ME" w:eastAsia="sl-SI"/>
              </w:rPr>
            </w:pPr>
          </w:p>
          <w:p w14:paraId="64854E31" w14:textId="77777777" w:rsidR="00BE1AF0" w:rsidRDefault="00BE1AF0">
            <w:pPr>
              <w:autoSpaceDE w:val="0"/>
              <w:autoSpaceDN w:val="0"/>
              <w:adjustRightInd w:val="0"/>
              <w:rPr>
                <w:rFonts w:eastAsia="TimesNewRoman,Bold"/>
                <w:b/>
                <w:bCs/>
                <w:sz w:val="22"/>
                <w:szCs w:val="22"/>
                <w:lang w:val="sr-Latn-ME" w:eastAsia="sl-SI"/>
              </w:rPr>
            </w:pPr>
          </w:p>
          <w:p w14:paraId="69158E3B" w14:textId="77777777" w:rsidR="00BE1AF0" w:rsidRDefault="00BE1AF0">
            <w:pPr>
              <w:autoSpaceDE w:val="0"/>
              <w:autoSpaceDN w:val="0"/>
              <w:adjustRightInd w:val="0"/>
              <w:rPr>
                <w:rFonts w:eastAsia="TimesNewRoman,Bold"/>
                <w:b/>
                <w:bCs/>
                <w:sz w:val="22"/>
                <w:szCs w:val="22"/>
                <w:lang w:val="sr-Latn-ME" w:eastAsia="sl-SI"/>
              </w:rPr>
            </w:pPr>
          </w:p>
          <w:p w14:paraId="7AFE64DE" w14:textId="77777777" w:rsidR="00BE1AF0" w:rsidRDefault="00BE1AF0">
            <w:pPr>
              <w:autoSpaceDE w:val="0"/>
              <w:autoSpaceDN w:val="0"/>
              <w:adjustRightInd w:val="0"/>
              <w:rPr>
                <w:rFonts w:eastAsia="TimesNewRoman,Bold"/>
                <w:b/>
                <w:bCs/>
                <w:sz w:val="22"/>
                <w:szCs w:val="22"/>
                <w:lang w:val="sr-Latn-ME" w:eastAsia="sl-SI"/>
              </w:rPr>
            </w:pPr>
          </w:p>
          <w:p w14:paraId="0C708705"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Odnos hazarda</w:t>
            </w:r>
          </w:p>
          <w:p w14:paraId="53F893B9"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(95% CI)</w:t>
            </w:r>
          </w:p>
        </w:tc>
        <w:tc>
          <w:tcPr>
            <w:tcW w:w="1106" w:type="dxa"/>
            <w:vMerge w:val="restart"/>
            <w:shd w:val="clear" w:color="auto" w:fill="auto"/>
          </w:tcPr>
          <w:p w14:paraId="0247EFEF" w14:textId="77777777" w:rsidR="00BE1AF0" w:rsidRDefault="00BE1AF0">
            <w:pPr>
              <w:autoSpaceDE w:val="0"/>
              <w:autoSpaceDN w:val="0"/>
              <w:adjustRightInd w:val="0"/>
              <w:rPr>
                <w:rFonts w:eastAsia="TimesNewRoman,Bold"/>
                <w:b/>
                <w:bCs/>
                <w:sz w:val="22"/>
                <w:szCs w:val="22"/>
                <w:lang w:val="sr-Latn-ME" w:eastAsia="sl-SI"/>
              </w:rPr>
            </w:pPr>
          </w:p>
          <w:p w14:paraId="1CCC617E" w14:textId="77777777" w:rsidR="00BE1AF0" w:rsidRDefault="00BE1AF0">
            <w:pPr>
              <w:autoSpaceDE w:val="0"/>
              <w:autoSpaceDN w:val="0"/>
              <w:adjustRightInd w:val="0"/>
              <w:rPr>
                <w:rFonts w:eastAsia="TimesNewRoman,Bold"/>
                <w:b/>
                <w:bCs/>
                <w:sz w:val="22"/>
                <w:szCs w:val="22"/>
                <w:lang w:val="sr-Latn-ME" w:eastAsia="sl-SI"/>
              </w:rPr>
            </w:pPr>
          </w:p>
          <w:p w14:paraId="67C4E50E" w14:textId="77777777" w:rsidR="00BE1AF0" w:rsidRDefault="00BE1AF0">
            <w:pPr>
              <w:autoSpaceDE w:val="0"/>
              <w:autoSpaceDN w:val="0"/>
              <w:adjustRightInd w:val="0"/>
              <w:rPr>
                <w:rFonts w:eastAsia="TimesNewRoman,Bold"/>
                <w:b/>
                <w:bCs/>
                <w:sz w:val="22"/>
                <w:szCs w:val="22"/>
                <w:lang w:val="sr-Latn-ME" w:eastAsia="sl-SI"/>
              </w:rPr>
            </w:pPr>
          </w:p>
          <w:p w14:paraId="07944978" w14:textId="77777777" w:rsidR="00BE1AF0" w:rsidRDefault="00BE1AF0">
            <w:pPr>
              <w:autoSpaceDE w:val="0"/>
              <w:autoSpaceDN w:val="0"/>
              <w:adjustRightInd w:val="0"/>
              <w:rPr>
                <w:rFonts w:eastAsia="TimesNewRoman,Bold"/>
                <w:b/>
                <w:bCs/>
                <w:sz w:val="22"/>
                <w:szCs w:val="22"/>
                <w:lang w:val="sr-Latn-ME" w:eastAsia="sl-SI"/>
              </w:rPr>
            </w:pPr>
          </w:p>
          <w:p w14:paraId="5ED32BFA" w14:textId="77777777" w:rsidR="00BE1AF0" w:rsidRDefault="00BE1AF0">
            <w:pPr>
              <w:autoSpaceDE w:val="0"/>
              <w:autoSpaceDN w:val="0"/>
              <w:adjustRightInd w:val="0"/>
              <w:rPr>
                <w:rFonts w:eastAsia="TimesNewRoman,Bold"/>
                <w:b/>
                <w:bCs/>
                <w:sz w:val="22"/>
                <w:szCs w:val="22"/>
                <w:lang w:val="sr-Latn-ME" w:eastAsia="sl-SI"/>
              </w:rPr>
            </w:pPr>
          </w:p>
          <w:p w14:paraId="664AF62D" w14:textId="77777777" w:rsidR="00BE1AF0" w:rsidRDefault="00BE1AF0">
            <w:pPr>
              <w:autoSpaceDE w:val="0"/>
              <w:autoSpaceDN w:val="0"/>
              <w:adjustRightInd w:val="0"/>
              <w:rPr>
                <w:rFonts w:eastAsia="TimesNewRoman,Bold"/>
                <w:b/>
                <w:bCs/>
                <w:sz w:val="22"/>
                <w:szCs w:val="22"/>
                <w:lang w:val="sr-Latn-ME" w:eastAsia="sl-SI"/>
              </w:rPr>
            </w:pPr>
          </w:p>
          <w:p w14:paraId="64D30CD0"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p-vrijednost</w:t>
            </w:r>
            <w:r>
              <w:rPr>
                <w:rFonts w:eastAsia="TimesNewRoman,Bold"/>
                <w:b/>
                <w:bCs/>
                <w:sz w:val="22"/>
                <w:szCs w:val="22"/>
                <w:vertAlign w:val="superscript"/>
                <w:lang w:val="sr-Latn-ME" w:eastAsia="sl-SI"/>
              </w:rPr>
              <w:t>†</w:t>
            </w:r>
          </w:p>
        </w:tc>
      </w:tr>
      <w:tr w:rsidR="00BE1AF0" w14:paraId="613840F0" w14:textId="77777777">
        <w:trPr>
          <w:trHeight w:val="830"/>
        </w:trPr>
        <w:tc>
          <w:tcPr>
            <w:tcW w:w="2660" w:type="dxa"/>
            <w:vMerge/>
            <w:shd w:val="clear" w:color="auto" w:fill="auto"/>
          </w:tcPr>
          <w:p w14:paraId="741A338A" w14:textId="77777777" w:rsidR="00BE1AF0" w:rsidRDefault="00BE1AF0">
            <w:pPr>
              <w:widowControl w:val="0"/>
              <w:rPr>
                <w:rFonts w:eastAsia="TimesNewRoman,Bold"/>
                <w:b/>
                <w:bCs/>
                <w:sz w:val="22"/>
                <w:szCs w:val="22"/>
                <w:lang w:val="sr-Latn-ME" w:eastAsia="sl-SI"/>
              </w:rPr>
            </w:pPr>
          </w:p>
        </w:tc>
        <w:tc>
          <w:tcPr>
            <w:tcW w:w="992" w:type="dxa"/>
            <w:shd w:val="clear" w:color="auto" w:fill="auto"/>
          </w:tcPr>
          <w:p w14:paraId="2C3827C6" w14:textId="77777777" w:rsidR="00BE1AF0" w:rsidRDefault="00BE1AF0">
            <w:pPr>
              <w:widowControl w:val="0"/>
              <w:rPr>
                <w:rFonts w:eastAsia="TimesNewRoman,Bold"/>
                <w:b/>
                <w:bCs/>
                <w:sz w:val="22"/>
                <w:szCs w:val="22"/>
                <w:lang w:val="sr-Latn-ME" w:eastAsia="sl-SI"/>
              </w:rPr>
            </w:pPr>
          </w:p>
          <w:p w14:paraId="015AAD7A" w14:textId="77777777" w:rsidR="00BE1AF0" w:rsidRDefault="00BE1AF0">
            <w:pPr>
              <w:widowControl w:val="0"/>
              <w:rPr>
                <w:rFonts w:eastAsia="TimesNewRoman,Bold"/>
                <w:b/>
                <w:bCs/>
                <w:sz w:val="22"/>
                <w:szCs w:val="22"/>
                <w:lang w:val="sr-Latn-ME" w:eastAsia="sl-SI"/>
              </w:rPr>
            </w:pPr>
          </w:p>
          <w:p w14:paraId="0EBDCCEF" w14:textId="77777777" w:rsidR="00BE1AF0" w:rsidRDefault="00BE1AF0">
            <w:pPr>
              <w:widowControl w:val="0"/>
              <w:rPr>
                <w:rFonts w:eastAsia="TimesNewRoman,Bold"/>
                <w:b/>
                <w:bCs/>
                <w:sz w:val="22"/>
                <w:szCs w:val="22"/>
                <w:lang w:val="sr-Latn-ME" w:eastAsia="sl-SI"/>
              </w:rPr>
            </w:pPr>
          </w:p>
          <w:p w14:paraId="226B955D" w14:textId="77777777" w:rsidR="00BE1AF0" w:rsidRDefault="00BE1AF0">
            <w:pPr>
              <w:widowControl w:val="0"/>
              <w:rPr>
                <w:rFonts w:eastAsia="TimesNewRoman,Bold"/>
                <w:b/>
                <w:bCs/>
                <w:sz w:val="22"/>
                <w:szCs w:val="22"/>
                <w:lang w:val="sr-Latn-ME" w:eastAsia="sl-SI"/>
              </w:rPr>
            </w:pPr>
          </w:p>
          <w:p w14:paraId="144DDA08" w14:textId="77777777" w:rsidR="00BE1AF0" w:rsidRDefault="00BE1AF0">
            <w:pPr>
              <w:widowControl w:val="0"/>
              <w:rPr>
                <w:rFonts w:eastAsia="TimesNewRoman,Bold"/>
                <w:b/>
                <w:bCs/>
                <w:sz w:val="22"/>
                <w:szCs w:val="22"/>
                <w:lang w:val="sr-Latn-ME" w:eastAsia="sl-SI"/>
              </w:rPr>
            </w:pPr>
          </w:p>
          <w:p w14:paraId="09B21A72"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N (%)</w:t>
            </w:r>
          </w:p>
        </w:tc>
        <w:tc>
          <w:tcPr>
            <w:tcW w:w="992" w:type="dxa"/>
            <w:shd w:val="clear" w:color="auto" w:fill="auto"/>
          </w:tcPr>
          <w:p w14:paraId="10AD45B8" w14:textId="77777777" w:rsidR="00BE1AF0" w:rsidRDefault="00BE1AF0">
            <w:pPr>
              <w:autoSpaceDE w:val="0"/>
              <w:autoSpaceDN w:val="0"/>
              <w:adjustRightInd w:val="0"/>
              <w:rPr>
                <w:rFonts w:eastAsia="TimesNewRoman,Bold"/>
                <w:b/>
                <w:bCs/>
                <w:sz w:val="22"/>
                <w:szCs w:val="22"/>
                <w:lang w:val="sr-Latn-ME" w:eastAsia="sl-SI"/>
              </w:rPr>
            </w:pPr>
          </w:p>
          <w:p w14:paraId="62586BD0"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Stopa incidence</w:t>
            </w:r>
          </w:p>
          <w:p w14:paraId="752CE316"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na</w:t>
            </w:r>
          </w:p>
          <w:p w14:paraId="5610C751"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100</w:t>
            </w:r>
          </w:p>
          <w:p w14:paraId="5CBB3FDF"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pacijent-</w:t>
            </w:r>
          </w:p>
          <w:p w14:paraId="168E38DD"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godina</w:t>
            </w:r>
            <w:r>
              <w:rPr>
                <w:rFonts w:eastAsia="TimesNewRoman,Bold"/>
                <w:b/>
                <w:bCs/>
                <w:sz w:val="22"/>
                <w:szCs w:val="22"/>
                <w:vertAlign w:val="superscript"/>
                <w:lang w:val="sr-Latn-ME" w:eastAsia="sl-SI"/>
              </w:rPr>
              <w:t>*</w:t>
            </w:r>
          </w:p>
        </w:tc>
        <w:tc>
          <w:tcPr>
            <w:tcW w:w="993" w:type="dxa"/>
            <w:shd w:val="clear" w:color="auto" w:fill="auto"/>
          </w:tcPr>
          <w:p w14:paraId="69282A82" w14:textId="77777777" w:rsidR="00BE1AF0" w:rsidRDefault="00BE1AF0">
            <w:pPr>
              <w:widowControl w:val="0"/>
              <w:rPr>
                <w:rFonts w:eastAsia="TimesNewRoman,Bold"/>
                <w:b/>
                <w:bCs/>
                <w:sz w:val="22"/>
                <w:szCs w:val="22"/>
                <w:lang w:val="sr-Latn-ME" w:eastAsia="sl-SI"/>
              </w:rPr>
            </w:pPr>
          </w:p>
          <w:p w14:paraId="44F3AE38" w14:textId="77777777" w:rsidR="00BE1AF0" w:rsidRDefault="00BE1AF0">
            <w:pPr>
              <w:widowControl w:val="0"/>
              <w:rPr>
                <w:rFonts w:eastAsia="TimesNewRoman,Bold"/>
                <w:b/>
                <w:bCs/>
                <w:sz w:val="22"/>
                <w:szCs w:val="22"/>
                <w:lang w:val="sr-Latn-ME" w:eastAsia="sl-SI"/>
              </w:rPr>
            </w:pPr>
          </w:p>
          <w:p w14:paraId="536F70E3" w14:textId="77777777" w:rsidR="00BE1AF0" w:rsidRDefault="00BE1AF0">
            <w:pPr>
              <w:widowControl w:val="0"/>
              <w:rPr>
                <w:rFonts w:eastAsia="TimesNewRoman,Bold"/>
                <w:b/>
                <w:bCs/>
                <w:sz w:val="22"/>
                <w:szCs w:val="22"/>
                <w:lang w:val="sr-Latn-ME" w:eastAsia="sl-SI"/>
              </w:rPr>
            </w:pPr>
          </w:p>
          <w:p w14:paraId="754A866F" w14:textId="77777777" w:rsidR="00BE1AF0" w:rsidRDefault="00BE1AF0">
            <w:pPr>
              <w:widowControl w:val="0"/>
              <w:rPr>
                <w:rFonts w:eastAsia="TimesNewRoman,Bold"/>
                <w:b/>
                <w:bCs/>
                <w:sz w:val="22"/>
                <w:szCs w:val="22"/>
                <w:lang w:val="sr-Latn-ME" w:eastAsia="sl-SI"/>
              </w:rPr>
            </w:pPr>
          </w:p>
          <w:p w14:paraId="47144596" w14:textId="77777777" w:rsidR="00BE1AF0" w:rsidRDefault="00BE1AF0">
            <w:pPr>
              <w:widowControl w:val="0"/>
              <w:rPr>
                <w:rFonts w:eastAsia="TimesNewRoman,Bold"/>
                <w:b/>
                <w:bCs/>
                <w:sz w:val="22"/>
                <w:szCs w:val="22"/>
                <w:lang w:val="sr-Latn-ME" w:eastAsia="sl-SI"/>
              </w:rPr>
            </w:pPr>
          </w:p>
          <w:p w14:paraId="6FBE6FAB"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N (%)</w:t>
            </w:r>
          </w:p>
        </w:tc>
        <w:tc>
          <w:tcPr>
            <w:tcW w:w="1134" w:type="dxa"/>
            <w:shd w:val="clear" w:color="auto" w:fill="auto"/>
          </w:tcPr>
          <w:p w14:paraId="77CEEDB3" w14:textId="77777777" w:rsidR="00BE1AF0" w:rsidRDefault="00BE1AF0">
            <w:pPr>
              <w:autoSpaceDE w:val="0"/>
              <w:autoSpaceDN w:val="0"/>
              <w:adjustRightInd w:val="0"/>
              <w:rPr>
                <w:rFonts w:eastAsia="TimesNewRoman,Bold"/>
                <w:b/>
                <w:bCs/>
                <w:sz w:val="22"/>
                <w:szCs w:val="22"/>
                <w:lang w:val="sr-Latn-ME" w:eastAsia="sl-SI"/>
              </w:rPr>
            </w:pPr>
          </w:p>
          <w:p w14:paraId="5881F286"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Stopa incidence</w:t>
            </w:r>
          </w:p>
          <w:p w14:paraId="0C41DA52"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na</w:t>
            </w:r>
          </w:p>
          <w:p w14:paraId="556134E2"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100</w:t>
            </w:r>
          </w:p>
          <w:p w14:paraId="0D36ABAE"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pacijent-</w:t>
            </w:r>
          </w:p>
          <w:p w14:paraId="0564E311"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godina</w:t>
            </w:r>
            <w:r>
              <w:rPr>
                <w:rFonts w:eastAsia="TimesNewRoman,Bold"/>
                <w:b/>
                <w:bCs/>
                <w:sz w:val="22"/>
                <w:szCs w:val="22"/>
                <w:vertAlign w:val="superscript"/>
                <w:lang w:val="sr-Latn-ME" w:eastAsia="sl-SI"/>
              </w:rPr>
              <w:t>*</w:t>
            </w:r>
          </w:p>
        </w:tc>
        <w:tc>
          <w:tcPr>
            <w:tcW w:w="1162" w:type="dxa"/>
            <w:vMerge/>
            <w:shd w:val="clear" w:color="auto" w:fill="auto"/>
          </w:tcPr>
          <w:p w14:paraId="0A67C724" w14:textId="77777777" w:rsidR="00BE1AF0" w:rsidRDefault="00BE1AF0">
            <w:pPr>
              <w:widowControl w:val="0"/>
              <w:rPr>
                <w:rFonts w:eastAsia="TimesNewRoman,Bold"/>
                <w:b/>
                <w:bCs/>
                <w:sz w:val="22"/>
                <w:szCs w:val="22"/>
                <w:lang w:val="sr-Latn-ME" w:eastAsia="sl-SI"/>
              </w:rPr>
            </w:pPr>
          </w:p>
        </w:tc>
        <w:tc>
          <w:tcPr>
            <w:tcW w:w="1106" w:type="dxa"/>
            <w:vMerge/>
            <w:shd w:val="clear" w:color="auto" w:fill="auto"/>
          </w:tcPr>
          <w:p w14:paraId="4A4F59E3" w14:textId="77777777" w:rsidR="00BE1AF0" w:rsidRDefault="00BE1AF0">
            <w:pPr>
              <w:widowControl w:val="0"/>
              <w:rPr>
                <w:rFonts w:eastAsia="TimesNewRoman,Bold"/>
                <w:b/>
                <w:bCs/>
                <w:sz w:val="22"/>
                <w:szCs w:val="22"/>
                <w:lang w:val="sr-Latn-ME" w:eastAsia="sl-SI"/>
              </w:rPr>
            </w:pPr>
          </w:p>
        </w:tc>
      </w:tr>
      <w:tr w:rsidR="00BE1AF0" w14:paraId="5C16B337" w14:textId="77777777">
        <w:tc>
          <w:tcPr>
            <w:tcW w:w="9039" w:type="dxa"/>
            <w:gridSpan w:val="7"/>
            <w:shd w:val="clear" w:color="auto" w:fill="auto"/>
          </w:tcPr>
          <w:p w14:paraId="46203178"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 xml:space="preserve">Analiza u populaciji pacijenata predviđenoj za liječenje (eng. </w:t>
            </w:r>
            <w:r>
              <w:rPr>
                <w:rFonts w:eastAsia="TimesNewRoman,Bold"/>
                <w:b/>
                <w:bCs/>
                <w:i/>
                <w:sz w:val="22"/>
                <w:szCs w:val="22"/>
                <w:lang w:val="sr-Latn-ME" w:eastAsia="sl-SI"/>
              </w:rPr>
              <w:t>Intention-to-Treat Population</w:t>
            </w:r>
            <w:r>
              <w:rPr>
                <w:rFonts w:eastAsia="TimesNewRoman,Bold"/>
                <w:b/>
                <w:bCs/>
                <w:sz w:val="22"/>
                <w:szCs w:val="22"/>
                <w:lang w:val="sr-Latn-ME" w:eastAsia="sl-SI"/>
              </w:rPr>
              <w:t>)</w:t>
            </w:r>
          </w:p>
        </w:tc>
      </w:tr>
      <w:tr w:rsidR="00BE1AF0" w14:paraId="1B2287E4" w14:textId="77777777">
        <w:tc>
          <w:tcPr>
            <w:tcW w:w="2660" w:type="dxa"/>
            <w:shd w:val="clear" w:color="auto" w:fill="auto"/>
          </w:tcPr>
          <w:p w14:paraId="6DE63106"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Broj pacijenata</w:t>
            </w:r>
          </w:p>
        </w:tc>
        <w:tc>
          <w:tcPr>
            <w:tcW w:w="1984" w:type="dxa"/>
            <w:gridSpan w:val="2"/>
            <w:shd w:val="clear" w:color="auto" w:fill="auto"/>
          </w:tcPr>
          <w:p w14:paraId="32F3B089"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7332</w:t>
            </w:r>
          </w:p>
        </w:tc>
        <w:tc>
          <w:tcPr>
            <w:tcW w:w="2127" w:type="dxa"/>
            <w:gridSpan w:val="2"/>
            <w:shd w:val="clear" w:color="auto" w:fill="auto"/>
          </w:tcPr>
          <w:p w14:paraId="49C84D43"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7339</w:t>
            </w:r>
          </w:p>
        </w:tc>
        <w:tc>
          <w:tcPr>
            <w:tcW w:w="1162" w:type="dxa"/>
            <w:shd w:val="clear" w:color="auto" w:fill="auto"/>
          </w:tcPr>
          <w:p w14:paraId="2448E6D9" w14:textId="77777777" w:rsidR="00BE1AF0" w:rsidRDefault="00BE1AF0">
            <w:pPr>
              <w:autoSpaceDE w:val="0"/>
              <w:autoSpaceDN w:val="0"/>
              <w:adjustRightInd w:val="0"/>
              <w:rPr>
                <w:rFonts w:eastAsia="TimesNewRoman,Bold"/>
                <w:b/>
                <w:bCs/>
                <w:sz w:val="22"/>
                <w:szCs w:val="22"/>
                <w:lang w:val="sr-Latn-ME" w:eastAsia="sl-SI"/>
              </w:rPr>
            </w:pPr>
          </w:p>
        </w:tc>
        <w:tc>
          <w:tcPr>
            <w:tcW w:w="1106" w:type="dxa"/>
            <w:shd w:val="clear" w:color="auto" w:fill="auto"/>
          </w:tcPr>
          <w:p w14:paraId="1BCCCEB4" w14:textId="77777777" w:rsidR="00BE1AF0" w:rsidRDefault="00BE1AF0">
            <w:pPr>
              <w:autoSpaceDE w:val="0"/>
              <w:autoSpaceDN w:val="0"/>
              <w:adjustRightInd w:val="0"/>
              <w:rPr>
                <w:rFonts w:eastAsia="TimesNewRoman,Bold"/>
                <w:b/>
                <w:bCs/>
                <w:sz w:val="22"/>
                <w:szCs w:val="22"/>
                <w:lang w:val="sr-Latn-ME" w:eastAsia="sl-SI"/>
              </w:rPr>
            </w:pPr>
          </w:p>
        </w:tc>
      </w:tr>
      <w:tr w:rsidR="00BE1AF0" w14:paraId="73BA44B2" w14:textId="77777777">
        <w:tc>
          <w:tcPr>
            <w:tcW w:w="2660" w:type="dxa"/>
            <w:shd w:val="clear" w:color="auto" w:fill="auto"/>
          </w:tcPr>
          <w:p w14:paraId="16C3E7A9"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lastRenderedPageBreak/>
              <w:t>Primarni složeni parameter praćenja</w:t>
            </w:r>
          </w:p>
          <w:p w14:paraId="749AE9DA" w14:textId="77777777" w:rsidR="00BE1AF0" w:rsidRDefault="004F0139">
            <w:pPr>
              <w:autoSpaceDE w:val="0"/>
              <w:autoSpaceDN w:val="0"/>
              <w:adjustRightInd w:val="0"/>
              <w:rPr>
                <w:rFonts w:eastAsia="TimesNewRoman,Bold"/>
                <w:bCs/>
                <w:sz w:val="22"/>
                <w:szCs w:val="22"/>
                <w:lang w:val="sr-Latn-ME" w:eastAsia="sl-SI"/>
              </w:rPr>
            </w:pPr>
            <w:r>
              <w:rPr>
                <w:rFonts w:eastAsia="TimesNewRoman,Bold"/>
                <w:bCs/>
                <w:sz w:val="22"/>
                <w:szCs w:val="22"/>
                <w:lang w:val="sr-Latn-ME" w:eastAsia="sl-SI"/>
              </w:rPr>
              <w:t>(smrt zbog kardiovaskularnog uzroka, infarkt miokarda bez smrtnog ishoda, moždani udar bez smrtnog ishoda ili hospitalizacija zbog nestabilne angine)</w:t>
            </w:r>
          </w:p>
        </w:tc>
        <w:tc>
          <w:tcPr>
            <w:tcW w:w="992" w:type="dxa"/>
            <w:shd w:val="clear" w:color="auto" w:fill="auto"/>
          </w:tcPr>
          <w:p w14:paraId="760A3785" w14:textId="77777777" w:rsidR="00BE1AF0" w:rsidRDefault="00BE1AF0">
            <w:pPr>
              <w:widowControl w:val="0"/>
              <w:rPr>
                <w:rFonts w:eastAsia="TimesNewRoman,Bold"/>
                <w:bCs/>
                <w:sz w:val="22"/>
                <w:szCs w:val="22"/>
                <w:lang w:val="sr-Latn-ME" w:eastAsia="sl-SI"/>
              </w:rPr>
            </w:pPr>
          </w:p>
          <w:p w14:paraId="0100D5BE" w14:textId="77777777" w:rsidR="00BE1AF0" w:rsidRDefault="00BE1AF0">
            <w:pPr>
              <w:widowControl w:val="0"/>
              <w:rPr>
                <w:rFonts w:eastAsia="TimesNewRoman,Bold"/>
                <w:bCs/>
                <w:sz w:val="22"/>
                <w:szCs w:val="22"/>
                <w:lang w:val="sr-Latn-ME" w:eastAsia="sl-SI"/>
              </w:rPr>
            </w:pPr>
          </w:p>
          <w:p w14:paraId="18148735" w14:textId="77777777" w:rsidR="00BE1AF0" w:rsidRDefault="00BE1AF0">
            <w:pPr>
              <w:widowControl w:val="0"/>
              <w:rPr>
                <w:rFonts w:eastAsia="TimesNewRoman,Bold"/>
                <w:bCs/>
                <w:sz w:val="22"/>
                <w:szCs w:val="22"/>
                <w:lang w:val="sr-Latn-ME" w:eastAsia="sl-SI"/>
              </w:rPr>
            </w:pPr>
          </w:p>
          <w:p w14:paraId="6693C409" w14:textId="77777777" w:rsidR="00BE1AF0" w:rsidRDefault="00BE1AF0">
            <w:pPr>
              <w:widowControl w:val="0"/>
              <w:rPr>
                <w:rFonts w:eastAsia="TimesNewRoman,Bold"/>
                <w:bCs/>
                <w:sz w:val="22"/>
                <w:szCs w:val="22"/>
                <w:lang w:val="sr-Latn-ME" w:eastAsia="sl-SI"/>
              </w:rPr>
            </w:pPr>
          </w:p>
          <w:p w14:paraId="4DD4730F"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839 (11,4)</w:t>
            </w:r>
          </w:p>
        </w:tc>
        <w:tc>
          <w:tcPr>
            <w:tcW w:w="992" w:type="dxa"/>
            <w:shd w:val="clear" w:color="auto" w:fill="auto"/>
          </w:tcPr>
          <w:p w14:paraId="6A4EEA40" w14:textId="77777777" w:rsidR="00BE1AF0" w:rsidRDefault="00BE1AF0">
            <w:pPr>
              <w:widowControl w:val="0"/>
              <w:rPr>
                <w:rFonts w:eastAsia="TimesNewRoman,Bold"/>
                <w:bCs/>
                <w:sz w:val="22"/>
                <w:szCs w:val="22"/>
                <w:lang w:val="sr-Latn-ME" w:eastAsia="sl-SI"/>
              </w:rPr>
            </w:pPr>
          </w:p>
          <w:p w14:paraId="707D975A" w14:textId="77777777" w:rsidR="00BE1AF0" w:rsidRDefault="00BE1AF0">
            <w:pPr>
              <w:widowControl w:val="0"/>
              <w:rPr>
                <w:rFonts w:eastAsia="TimesNewRoman,Bold"/>
                <w:bCs/>
                <w:sz w:val="22"/>
                <w:szCs w:val="22"/>
                <w:lang w:val="sr-Latn-ME" w:eastAsia="sl-SI"/>
              </w:rPr>
            </w:pPr>
          </w:p>
          <w:p w14:paraId="1D244C70" w14:textId="77777777" w:rsidR="00BE1AF0" w:rsidRDefault="00BE1AF0">
            <w:pPr>
              <w:widowControl w:val="0"/>
              <w:rPr>
                <w:rFonts w:eastAsia="TimesNewRoman,Bold"/>
                <w:bCs/>
                <w:sz w:val="22"/>
                <w:szCs w:val="22"/>
                <w:lang w:val="sr-Latn-ME" w:eastAsia="sl-SI"/>
              </w:rPr>
            </w:pPr>
          </w:p>
          <w:p w14:paraId="1495182B" w14:textId="77777777" w:rsidR="00BE1AF0" w:rsidRDefault="00BE1AF0">
            <w:pPr>
              <w:widowControl w:val="0"/>
              <w:rPr>
                <w:rFonts w:eastAsia="TimesNewRoman,Bold"/>
                <w:bCs/>
                <w:sz w:val="22"/>
                <w:szCs w:val="22"/>
                <w:lang w:val="sr-Latn-ME" w:eastAsia="sl-SI"/>
              </w:rPr>
            </w:pPr>
          </w:p>
          <w:p w14:paraId="36CCD4EE"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4,1</w:t>
            </w:r>
          </w:p>
        </w:tc>
        <w:tc>
          <w:tcPr>
            <w:tcW w:w="993" w:type="dxa"/>
            <w:shd w:val="clear" w:color="auto" w:fill="auto"/>
          </w:tcPr>
          <w:p w14:paraId="6B1187D9" w14:textId="77777777" w:rsidR="00BE1AF0" w:rsidRDefault="00BE1AF0">
            <w:pPr>
              <w:widowControl w:val="0"/>
              <w:rPr>
                <w:rFonts w:eastAsia="TimesNewRoman,Bold"/>
                <w:bCs/>
                <w:sz w:val="22"/>
                <w:szCs w:val="22"/>
                <w:lang w:val="sr-Latn-ME" w:eastAsia="sl-SI"/>
              </w:rPr>
            </w:pPr>
          </w:p>
          <w:p w14:paraId="1A95846C" w14:textId="77777777" w:rsidR="00BE1AF0" w:rsidRDefault="00BE1AF0">
            <w:pPr>
              <w:widowControl w:val="0"/>
              <w:rPr>
                <w:rFonts w:eastAsia="TimesNewRoman,Bold"/>
                <w:bCs/>
                <w:sz w:val="22"/>
                <w:szCs w:val="22"/>
                <w:lang w:val="sr-Latn-ME" w:eastAsia="sl-SI"/>
              </w:rPr>
            </w:pPr>
          </w:p>
          <w:p w14:paraId="7505EEFC" w14:textId="77777777" w:rsidR="00BE1AF0" w:rsidRDefault="00BE1AF0">
            <w:pPr>
              <w:widowControl w:val="0"/>
              <w:rPr>
                <w:rFonts w:eastAsia="TimesNewRoman,Bold"/>
                <w:bCs/>
                <w:sz w:val="22"/>
                <w:szCs w:val="22"/>
                <w:lang w:val="sr-Latn-ME" w:eastAsia="sl-SI"/>
              </w:rPr>
            </w:pPr>
          </w:p>
          <w:p w14:paraId="7FAE2BE2" w14:textId="77777777" w:rsidR="00BE1AF0" w:rsidRDefault="00BE1AF0">
            <w:pPr>
              <w:widowControl w:val="0"/>
              <w:rPr>
                <w:rFonts w:eastAsia="TimesNewRoman,Bold"/>
                <w:bCs/>
                <w:sz w:val="22"/>
                <w:szCs w:val="22"/>
                <w:lang w:val="sr-Latn-ME" w:eastAsia="sl-SI"/>
              </w:rPr>
            </w:pPr>
          </w:p>
          <w:p w14:paraId="57D6847F"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851 (11,6)</w:t>
            </w:r>
          </w:p>
        </w:tc>
        <w:tc>
          <w:tcPr>
            <w:tcW w:w="1134" w:type="dxa"/>
            <w:shd w:val="clear" w:color="auto" w:fill="auto"/>
          </w:tcPr>
          <w:p w14:paraId="5BA5DEAB" w14:textId="77777777" w:rsidR="00BE1AF0" w:rsidRDefault="00BE1AF0">
            <w:pPr>
              <w:widowControl w:val="0"/>
              <w:rPr>
                <w:rFonts w:eastAsia="TimesNewRoman,Bold"/>
                <w:bCs/>
                <w:sz w:val="22"/>
                <w:szCs w:val="22"/>
                <w:lang w:val="sr-Latn-ME" w:eastAsia="sl-SI"/>
              </w:rPr>
            </w:pPr>
          </w:p>
          <w:p w14:paraId="055C1A7F" w14:textId="77777777" w:rsidR="00BE1AF0" w:rsidRDefault="00BE1AF0">
            <w:pPr>
              <w:widowControl w:val="0"/>
              <w:rPr>
                <w:rFonts w:eastAsia="TimesNewRoman,Bold"/>
                <w:bCs/>
                <w:sz w:val="22"/>
                <w:szCs w:val="22"/>
                <w:lang w:val="sr-Latn-ME" w:eastAsia="sl-SI"/>
              </w:rPr>
            </w:pPr>
          </w:p>
          <w:p w14:paraId="39711B7B" w14:textId="77777777" w:rsidR="00BE1AF0" w:rsidRDefault="00BE1AF0">
            <w:pPr>
              <w:widowControl w:val="0"/>
              <w:rPr>
                <w:rFonts w:eastAsia="TimesNewRoman,Bold"/>
                <w:bCs/>
                <w:sz w:val="22"/>
                <w:szCs w:val="22"/>
                <w:lang w:val="sr-Latn-ME" w:eastAsia="sl-SI"/>
              </w:rPr>
            </w:pPr>
          </w:p>
          <w:p w14:paraId="43381101" w14:textId="77777777" w:rsidR="00BE1AF0" w:rsidRDefault="00BE1AF0">
            <w:pPr>
              <w:widowControl w:val="0"/>
              <w:rPr>
                <w:rFonts w:eastAsia="TimesNewRoman,Bold"/>
                <w:bCs/>
                <w:sz w:val="22"/>
                <w:szCs w:val="22"/>
                <w:lang w:val="sr-Latn-ME" w:eastAsia="sl-SI"/>
              </w:rPr>
            </w:pPr>
          </w:p>
          <w:p w14:paraId="58F12C9A"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4,2</w:t>
            </w:r>
          </w:p>
        </w:tc>
        <w:tc>
          <w:tcPr>
            <w:tcW w:w="1162" w:type="dxa"/>
            <w:shd w:val="clear" w:color="auto" w:fill="auto"/>
          </w:tcPr>
          <w:p w14:paraId="3748F699" w14:textId="77777777" w:rsidR="00BE1AF0" w:rsidRDefault="00BE1AF0">
            <w:pPr>
              <w:widowControl w:val="0"/>
              <w:rPr>
                <w:rFonts w:eastAsia="TimesNewRoman,Bold"/>
                <w:bCs/>
                <w:sz w:val="22"/>
                <w:szCs w:val="22"/>
                <w:lang w:val="sr-Latn-ME" w:eastAsia="sl-SI"/>
              </w:rPr>
            </w:pPr>
          </w:p>
          <w:p w14:paraId="05291F95" w14:textId="77777777" w:rsidR="00BE1AF0" w:rsidRDefault="00BE1AF0">
            <w:pPr>
              <w:widowControl w:val="0"/>
              <w:rPr>
                <w:rFonts w:eastAsia="TimesNewRoman,Bold"/>
                <w:bCs/>
                <w:sz w:val="22"/>
                <w:szCs w:val="22"/>
                <w:lang w:val="sr-Latn-ME" w:eastAsia="sl-SI"/>
              </w:rPr>
            </w:pPr>
          </w:p>
          <w:p w14:paraId="15AD3BFF" w14:textId="77777777" w:rsidR="00BE1AF0" w:rsidRDefault="00BE1AF0">
            <w:pPr>
              <w:widowControl w:val="0"/>
              <w:rPr>
                <w:rFonts w:eastAsia="TimesNewRoman,Bold"/>
                <w:bCs/>
                <w:sz w:val="22"/>
                <w:szCs w:val="22"/>
                <w:lang w:val="sr-Latn-ME" w:eastAsia="sl-SI"/>
              </w:rPr>
            </w:pPr>
          </w:p>
          <w:p w14:paraId="31E36733" w14:textId="77777777" w:rsidR="00BE1AF0" w:rsidRDefault="00BE1AF0">
            <w:pPr>
              <w:widowControl w:val="0"/>
              <w:rPr>
                <w:rFonts w:eastAsia="TimesNewRoman,Bold"/>
                <w:bCs/>
                <w:sz w:val="22"/>
                <w:szCs w:val="22"/>
                <w:lang w:val="sr-Latn-ME" w:eastAsia="sl-SI"/>
              </w:rPr>
            </w:pPr>
          </w:p>
          <w:p w14:paraId="7BFAE6E4"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0,98 (0,89–1,08)</w:t>
            </w:r>
          </w:p>
        </w:tc>
        <w:tc>
          <w:tcPr>
            <w:tcW w:w="1106" w:type="dxa"/>
            <w:shd w:val="clear" w:color="auto" w:fill="auto"/>
          </w:tcPr>
          <w:p w14:paraId="6378B116" w14:textId="77777777" w:rsidR="00BE1AF0" w:rsidRDefault="00BE1AF0">
            <w:pPr>
              <w:widowControl w:val="0"/>
              <w:rPr>
                <w:rFonts w:eastAsia="TimesNewRoman,Bold"/>
                <w:bCs/>
                <w:sz w:val="22"/>
                <w:szCs w:val="22"/>
                <w:lang w:val="sr-Latn-ME" w:eastAsia="sl-SI"/>
              </w:rPr>
            </w:pPr>
          </w:p>
          <w:p w14:paraId="282E875D" w14:textId="77777777" w:rsidR="00BE1AF0" w:rsidRDefault="00BE1AF0">
            <w:pPr>
              <w:widowControl w:val="0"/>
              <w:rPr>
                <w:rFonts w:eastAsia="TimesNewRoman,Bold"/>
                <w:bCs/>
                <w:sz w:val="22"/>
                <w:szCs w:val="22"/>
                <w:lang w:val="sr-Latn-ME" w:eastAsia="sl-SI"/>
              </w:rPr>
            </w:pPr>
          </w:p>
          <w:p w14:paraId="1C0BC39E" w14:textId="77777777" w:rsidR="00BE1AF0" w:rsidRDefault="00BE1AF0">
            <w:pPr>
              <w:widowControl w:val="0"/>
              <w:rPr>
                <w:rFonts w:eastAsia="TimesNewRoman,Bold"/>
                <w:bCs/>
                <w:sz w:val="22"/>
                <w:szCs w:val="22"/>
                <w:lang w:val="sr-Latn-ME" w:eastAsia="sl-SI"/>
              </w:rPr>
            </w:pPr>
          </w:p>
          <w:p w14:paraId="0A5C4D28" w14:textId="77777777" w:rsidR="00BE1AF0" w:rsidRDefault="00BE1AF0">
            <w:pPr>
              <w:widowControl w:val="0"/>
              <w:rPr>
                <w:rFonts w:eastAsia="TimesNewRoman,Bold"/>
                <w:bCs/>
                <w:sz w:val="22"/>
                <w:szCs w:val="22"/>
                <w:lang w:val="sr-Latn-ME" w:eastAsia="sl-SI"/>
              </w:rPr>
            </w:pPr>
          </w:p>
          <w:p w14:paraId="1208B952"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&lt;0,001</w:t>
            </w:r>
          </w:p>
        </w:tc>
      </w:tr>
      <w:tr w:rsidR="00BE1AF0" w14:paraId="7AE86DF7" w14:textId="77777777">
        <w:tc>
          <w:tcPr>
            <w:tcW w:w="2660" w:type="dxa"/>
            <w:shd w:val="clear" w:color="auto" w:fill="auto"/>
          </w:tcPr>
          <w:p w14:paraId="4BEA4C8F" w14:textId="77777777" w:rsidR="00BE1AF0" w:rsidRDefault="004F0139">
            <w:pPr>
              <w:autoSpaceDE w:val="0"/>
              <w:autoSpaceDN w:val="0"/>
              <w:adjustRightInd w:val="0"/>
              <w:rPr>
                <w:rFonts w:eastAsia="TimesNewRoman,Bold"/>
                <w:b/>
                <w:bCs/>
                <w:sz w:val="22"/>
                <w:szCs w:val="22"/>
                <w:lang w:val="sr-Latn-ME" w:eastAsia="sl-SI"/>
              </w:rPr>
            </w:pPr>
            <w:r>
              <w:rPr>
                <w:rFonts w:eastAsia="TimesNewRoman,Bold"/>
                <w:b/>
                <w:bCs/>
                <w:sz w:val="22"/>
                <w:szCs w:val="22"/>
                <w:lang w:val="sr-Latn-ME" w:eastAsia="sl-SI"/>
              </w:rPr>
              <w:t>Sekundarni složeni parameter praćenja</w:t>
            </w:r>
          </w:p>
          <w:p w14:paraId="7687F95D" w14:textId="77777777" w:rsidR="00BE1AF0" w:rsidRDefault="004F0139">
            <w:pPr>
              <w:autoSpaceDE w:val="0"/>
              <w:autoSpaceDN w:val="0"/>
              <w:adjustRightInd w:val="0"/>
              <w:rPr>
                <w:rFonts w:eastAsia="TimesNewRoman,Bold"/>
                <w:bCs/>
                <w:sz w:val="22"/>
                <w:szCs w:val="22"/>
                <w:lang w:val="sr-Latn-ME" w:eastAsia="sl-SI"/>
              </w:rPr>
            </w:pPr>
            <w:r>
              <w:rPr>
                <w:rFonts w:eastAsia="TimesNewRoman,Bold"/>
                <w:bCs/>
                <w:sz w:val="22"/>
                <w:szCs w:val="22"/>
                <w:lang w:val="sr-Latn-ME" w:eastAsia="sl-SI"/>
              </w:rPr>
              <w:t>(smrt zbog kardiovskularnog uzroka, infarkt miokarda bez smrtnog ishoda ili moždani udar bez smrtnog ishoda)</w:t>
            </w:r>
          </w:p>
        </w:tc>
        <w:tc>
          <w:tcPr>
            <w:tcW w:w="992" w:type="dxa"/>
            <w:shd w:val="clear" w:color="auto" w:fill="auto"/>
          </w:tcPr>
          <w:p w14:paraId="597668CF" w14:textId="77777777" w:rsidR="00BE1AF0" w:rsidRDefault="00BE1AF0">
            <w:pPr>
              <w:widowControl w:val="0"/>
              <w:rPr>
                <w:rFonts w:eastAsia="TimesNewRoman,Bold"/>
                <w:bCs/>
                <w:sz w:val="22"/>
                <w:szCs w:val="22"/>
                <w:lang w:val="sr-Latn-ME" w:eastAsia="sl-SI"/>
              </w:rPr>
            </w:pPr>
          </w:p>
          <w:p w14:paraId="2E9FA923" w14:textId="77777777" w:rsidR="00BE1AF0" w:rsidRDefault="00BE1AF0">
            <w:pPr>
              <w:widowControl w:val="0"/>
              <w:rPr>
                <w:rFonts w:eastAsia="TimesNewRoman,Bold"/>
                <w:bCs/>
                <w:sz w:val="22"/>
                <w:szCs w:val="22"/>
                <w:lang w:val="sr-Latn-ME" w:eastAsia="sl-SI"/>
              </w:rPr>
            </w:pPr>
          </w:p>
          <w:p w14:paraId="3E2878AF" w14:textId="77777777" w:rsidR="00BE1AF0" w:rsidRDefault="00BE1AF0">
            <w:pPr>
              <w:widowControl w:val="0"/>
              <w:rPr>
                <w:rFonts w:eastAsia="TimesNewRoman,Bold"/>
                <w:bCs/>
                <w:sz w:val="22"/>
                <w:szCs w:val="22"/>
                <w:lang w:val="sr-Latn-ME" w:eastAsia="sl-SI"/>
              </w:rPr>
            </w:pPr>
          </w:p>
          <w:p w14:paraId="31AAAAAA"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745 (10,2)</w:t>
            </w:r>
          </w:p>
        </w:tc>
        <w:tc>
          <w:tcPr>
            <w:tcW w:w="992" w:type="dxa"/>
            <w:shd w:val="clear" w:color="auto" w:fill="auto"/>
          </w:tcPr>
          <w:p w14:paraId="7B621478" w14:textId="77777777" w:rsidR="00BE1AF0" w:rsidRDefault="00BE1AF0">
            <w:pPr>
              <w:widowControl w:val="0"/>
              <w:rPr>
                <w:rFonts w:eastAsia="TimesNewRoman,Bold"/>
                <w:bCs/>
                <w:sz w:val="22"/>
                <w:szCs w:val="22"/>
                <w:lang w:val="sr-Latn-ME" w:eastAsia="sl-SI"/>
              </w:rPr>
            </w:pPr>
          </w:p>
          <w:p w14:paraId="7CB84231" w14:textId="77777777" w:rsidR="00BE1AF0" w:rsidRDefault="00BE1AF0">
            <w:pPr>
              <w:widowControl w:val="0"/>
              <w:rPr>
                <w:rFonts w:eastAsia="TimesNewRoman,Bold"/>
                <w:bCs/>
                <w:sz w:val="22"/>
                <w:szCs w:val="22"/>
                <w:lang w:val="sr-Latn-ME" w:eastAsia="sl-SI"/>
              </w:rPr>
            </w:pPr>
          </w:p>
          <w:p w14:paraId="43D042B8" w14:textId="77777777" w:rsidR="00BE1AF0" w:rsidRDefault="00BE1AF0">
            <w:pPr>
              <w:widowControl w:val="0"/>
              <w:rPr>
                <w:rFonts w:eastAsia="TimesNewRoman,Bold"/>
                <w:bCs/>
                <w:sz w:val="22"/>
                <w:szCs w:val="22"/>
                <w:lang w:val="sr-Latn-ME" w:eastAsia="sl-SI"/>
              </w:rPr>
            </w:pPr>
          </w:p>
          <w:p w14:paraId="279C5C7F"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3,6</w:t>
            </w:r>
          </w:p>
        </w:tc>
        <w:tc>
          <w:tcPr>
            <w:tcW w:w="993" w:type="dxa"/>
            <w:shd w:val="clear" w:color="auto" w:fill="auto"/>
          </w:tcPr>
          <w:p w14:paraId="34952AD6" w14:textId="77777777" w:rsidR="00BE1AF0" w:rsidRDefault="00BE1AF0">
            <w:pPr>
              <w:widowControl w:val="0"/>
              <w:rPr>
                <w:rFonts w:eastAsia="TimesNewRoman,Bold"/>
                <w:bCs/>
                <w:sz w:val="22"/>
                <w:szCs w:val="22"/>
                <w:lang w:val="sr-Latn-ME" w:eastAsia="sl-SI"/>
              </w:rPr>
            </w:pPr>
          </w:p>
          <w:p w14:paraId="59991E25" w14:textId="77777777" w:rsidR="00BE1AF0" w:rsidRDefault="00BE1AF0">
            <w:pPr>
              <w:widowControl w:val="0"/>
              <w:rPr>
                <w:rFonts w:eastAsia="TimesNewRoman,Bold"/>
                <w:bCs/>
                <w:sz w:val="22"/>
                <w:szCs w:val="22"/>
                <w:lang w:val="sr-Latn-ME" w:eastAsia="sl-SI"/>
              </w:rPr>
            </w:pPr>
          </w:p>
          <w:p w14:paraId="62265971" w14:textId="77777777" w:rsidR="00BE1AF0" w:rsidRDefault="00BE1AF0">
            <w:pPr>
              <w:widowControl w:val="0"/>
              <w:rPr>
                <w:rFonts w:eastAsia="TimesNewRoman,Bold"/>
                <w:bCs/>
                <w:sz w:val="22"/>
                <w:szCs w:val="22"/>
                <w:lang w:val="sr-Latn-ME" w:eastAsia="sl-SI"/>
              </w:rPr>
            </w:pPr>
          </w:p>
          <w:p w14:paraId="74422262"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746 (10,2)</w:t>
            </w:r>
          </w:p>
        </w:tc>
        <w:tc>
          <w:tcPr>
            <w:tcW w:w="1134" w:type="dxa"/>
            <w:shd w:val="clear" w:color="auto" w:fill="auto"/>
          </w:tcPr>
          <w:p w14:paraId="282DFDBE" w14:textId="77777777" w:rsidR="00BE1AF0" w:rsidRDefault="00BE1AF0">
            <w:pPr>
              <w:widowControl w:val="0"/>
              <w:rPr>
                <w:rFonts w:eastAsia="TimesNewRoman,Bold"/>
                <w:bCs/>
                <w:sz w:val="22"/>
                <w:szCs w:val="22"/>
                <w:lang w:val="sr-Latn-ME" w:eastAsia="sl-SI"/>
              </w:rPr>
            </w:pPr>
          </w:p>
          <w:p w14:paraId="076C2A7C" w14:textId="77777777" w:rsidR="00BE1AF0" w:rsidRDefault="00BE1AF0">
            <w:pPr>
              <w:widowControl w:val="0"/>
              <w:rPr>
                <w:rFonts w:eastAsia="TimesNewRoman,Bold"/>
                <w:bCs/>
                <w:sz w:val="22"/>
                <w:szCs w:val="22"/>
                <w:lang w:val="sr-Latn-ME" w:eastAsia="sl-SI"/>
              </w:rPr>
            </w:pPr>
          </w:p>
          <w:p w14:paraId="5BA67CF6" w14:textId="77777777" w:rsidR="00BE1AF0" w:rsidRDefault="00BE1AF0">
            <w:pPr>
              <w:widowControl w:val="0"/>
              <w:rPr>
                <w:rFonts w:eastAsia="TimesNewRoman,Bold"/>
                <w:bCs/>
                <w:sz w:val="22"/>
                <w:szCs w:val="22"/>
                <w:lang w:val="sr-Latn-ME" w:eastAsia="sl-SI"/>
              </w:rPr>
            </w:pPr>
          </w:p>
          <w:p w14:paraId="1D14BFC3"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3,6</w:t>
            </w:r>
          </w:p>
        </w:tc>
        <w:tc>
          <w:tcPr>
            <w:tcW w:w="1162" w:type="dxa"/>
            <w:shd w:val="clear" w:color="auto" w:fill="auto"/>
          </w:tcPr>
          <w:p w14:paraId="400D5FE0" w14:textId="77777777" w:rsidR="00BE1AF0" w:rsidRDefault="00BE1AF0">
            <w:pPr>
              <w:widowControl w:val="0"/>
              <w:rPr>
                <w:rFonts w:eastAsia="TimesNewRoman,Bold"/>
                <w:bCs/>
                <w:sz w:val="22"/>
                <w:szCs w:val="22"/>
                <w:lang w:val="sr-Latn-ME" w:eastAsia="sl-SI"/>
              </w:rPr>
            </w:pPr>
          </w:p>
          <w:p w14:paraId="5C23EB84" w14:textId="77777777" w:rsidR="00BE1AF0" w:rsidRDefault="00BE1AF0">
            <w:pPr>
              <w:widowControl w:val="0"/>
              <w:rPr>
                <w:rFonts w:eastAsia="TimesNewRoman,Bold"/>
                <w:bCs/>
                <w:sz w:val="22"/>
                <w:szCs w:val="22"/>
                <w:lang w:val="sr-Latn-ME" w:eastAsia="sl-SI"/>
              </w:rPr>
            </w:pPr>
          </w:p>
          <w:p w14:paraId="690F0A4E" w14:textId="77777777" w:rsidR="00BE1AF0" w:rsidRDefault="00BE1AF0">
            <w:pPr>
              <w:widowControl w:val="0"/>
              <w:rPr>
                <w:rFonts w:eastAsia="TimesNewRoman,Bold"/>
                <w:bCs/>
                <w:sz w:val="22"/>
                <w:szCs w:val="22"/>
                <w:lang w:val="sr-Latn-ME" w:eastAsia="sl-SI"/>
              </w:rPr>
            </w:pPr>
          </w:p>
          <w:p w14:paraId="010B4CFF"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0,99 (0,89–1,10)</w:t>
            </w:r>
          </w:p>
        </w:tc>
        <w:tc>
          <w:tcPr>
            <w:tcW w:w="1106" w:type="dxa"/>
            <w:shd w:val="clear" w:color="auto" w:fill="auto"/>
          </w:tcPr>
          <w:p w14:paraId="29959360" w14:textId="77777777" w:rsidR="00BE1AF0" w:rsidRDefault="00BE1AF0">
            <w:pPr>
              <w:widowControl w:val="0"/>
              <w:rPr>
                <w:rFonts w:eastAsia="TimesNewRoman,Bold"/>
                <w:bCs/>
                <w:sz w:val="22"/>
                <w:szCs w:val="22"/>
                <w:lang w:val="sr-Latn-ME" w:eastAsia="sl-SI"/>
              </w:rPr>
            </w:pPr>
          </w:p>
          <w:p w14:paraId="6A43A151" w14:textId="77777777" w:rsidR="00BE1AF0" w:rsidRDefault="00BE1AF0">
            <w:pPr>
              <w:widowControl w:val="0"/>
              <w:rPr>
                <w:rFonts w:eastAsia="TimesNewRoman,Bold"/>
                <w:bCs/>
                <w:sz w:val="22"/>
                <w:szCs w:val="22"/>
                <w:lang w:val="sr-Latn-ME" w:eastAsia="sl-SI"/>
              </w:rPr>
            </w:pPr>
          </w:p>
          <w:p w14:paraId="3F9084CB" w14:textId="77777777" w:rsidR="00BE1AF0" w:rsidRDefault="00BE1AF0">
            <w:pPr>
              <w:widowControl w:val="0"/>
              <w:rPr>
                <w:rFonts w:eastAsia="TimesNewRoman,Bold"/>
                <w:bCs/>
                <w:sz w:val="22"/>
                <w:szCs w:val="22"/>
                <w:lang w:val="sr-Latn-ME" w:eastAsia="sl-SI"/>
              </w:rPr>
            </w:pPr>
          </w:p>
          <w:p w14:paraId="2643322B"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&lt;0,001</w:t>
            </w:r>
          </w:p>
        </w:tc>
      </w:tr>
      <w:tr w:rsidR="00BE1AF0" w14:paraId="5299879B" w14:textId="77777777">
        <w:tc>
          <w:tcPr>
            <w:tcW w:w="9039" w:type="dxa"/>
            <w:gridSpan w:val="7"/>
            <w:shd w:val="clear" w:color="auto" w:fill="auto"/>
          </w:tcPr>
          <w:p w14:paraId="41CF8E79" w14:textId="77777777" w:rsidR="00BE1AF0" w:rsidRDefault="004F0139">
            <w:pPr>
              <w:widowControl w:val="0"/>
              <w:rPr>
                <w:rFonts w:eastAsia="TimesNewRoman,Bold"/>
                <w:b/>
                <w:bCs/>
                <w:sz w:val="22"/>
                <w:szCs w:val="22"/>
                <w:lang w:val="sr-Latn-ME" w:eastAsia="sl-SI"/>
              </w:rPr>
            </w:pPr>
            <w:r>
              <w:rPr>
                <w:rFonts w:eastAsia="TimesNewRoman,Bold"/>
                <w:b/>
                <w:bCs/>
                <w:sz w:val="22"/>
                <w:szCs w:val="22"/>
                <w:lang w:val="sr-Latn-ME" w:eastAsia="sl-SI"/>
              </w:rPr>
              <w:t>Sekundarni ishod</w:t>
            </w:r>
          </w:p>
        </w:tc>
      </w:tr>
      <w:tr w:rsidR="00BE1AF0" w14:paraId="66358137" w14:textId="77777777">
        <w:tc>
          <w:tcPr>
            <w:tcW w:w="2660" w:type="dxa"/>
            <w:shd w:val="clear" w:color="auto" w:fill="auto"/>
          </w:tcPr>
          <w:p w14:paraId="66F4225E"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Smrt zbog kardiovaskularnog uzroka</w:t>
            </w:r>
          </w:p>
        </w:tc>
        <w:tc>
          <w:tcPr>
            <w:tcW w:w="992" w:type="dxa"/>
            <w:shd w:val="clear" w:color="auto" w:fill="auto"/>
          </w:tcPr>
          <w:p w14:paraId="3ED760EA"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380 (5,2)</w:t>
            </w:r>
          </w:p>
        </w:tc>
        <w:tc>
          <w:tcPr>
            <w:tcW w:w="992" w:type="dxa"/>
            <w:shd w:val="clear" w:color="auto" w:fill="auto"/>
          </w:tcPr>
          <w:p w14:paraId="67ADD902"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1,7</w:t>
            </w:r>
          </w:p>
        </w:tc>
        <w:tc>
          <w:tcPr>
            <w:tcW w:w="993" w:type="dxa"/>
            <w:shd w:val="clear" w:color="auto" w:fill="auto"/>
          </w:tcPr>
          <w:p w14:paraId="136B0010"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366 (5,0)</w:t>
            </w:r>
          </w:p>
        </w:tc>
        <w:tc>
          <w:tcPr>
            <w:tcW w:w="1134" w:type="dxa"/>
            <w:shd w:val="clear" w:color="auto" w:fill="auto"/>
          </w:tcPr>
          <w:p w14:paraId="0AEE3397"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1,7</w:t>
            </w:r>
          </w:p>
        </w:tc>
        <w:tc>
          <w:tcPr>
            <w:tcW w:w="1162" w:type="dxa"/>
            <w:shd w:val="clear" w:color="auto" w:fill="auto"/>
          </w:tcPr>
          <w:p w14:paraId="6F3DF029"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1,03 (0,89-1,19)</w:t>
            </w:r>
          </w:p>
        </w:tc>
        <w:tc>
          <w:tcPr>
            <w:tcW w:w="1106" w:type="dxa"/>
            <w:shd w:val="clear" w:color="auto" w:fill="auto"/>
          </w:tcPr>
          <w:p w14:paraId="36333999"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0,711</w:t>
            </w:r>
          </w:p>
        </w:tc>
      </w:tr>
      <w:tr w:rsidR="00BE1AF0" w14:paraId="04B353D7" w14:textId="77777777">
        <w:tc>
          <w:tcPr>
            <w:tcW w:w="2660" w:type="dxa"/>
            <w:shd w:val="clear" w:color="auto" w:fill="auto"/>
          </w:tcPr>
          <w:p w14:paraId="2DAB04A1" w14:textId="77777777" w:rsidR="00BE1AF0" w:rsidRDefault="004F0139">
            <w:pPr>
              <w:autoSpaceDE w:val="0"/>
              <w:autoSpaceDN w:val="0"/>
              <w:adjustRightInd w:val="0"/>
              <w:rPr>
                <w:rFonts w:eastAsia="TimesNewRoman,Bold"/>
                <w:bCs/>
                <w:sz w:val="22"/>
                <w:szCs w:val="22"/>
                <w:lang w:val="sr-Latn-ME" w:eastAsia="sl-SI"/>
              </w:rPr>
            </w:pPr>
            <w:r>
              <w:rPr>
                <w:rFonts w:eastAsia="TimesNewRoman,Bold"/>
                <w:bCs/>
                <w:sz w:val="22"/>
                <w:szCs w:val="22"/>
                <w:lang w:val="sr-Latn-ME" w:eastAsia="sl-SI"/>
              </w:rPr>
              <w:t>Svi slučajevi infarkta miokarda</w:t>
            </w:r>
          </w:p>
          <w:p w14:paraId="14DD72AD" w14:textId="77777777" w:rsidR="00BE1AF0" w:rsidRDefault="004F0139">
            <w:pPr>
              <w:autoSpaceDE w:val="0"/>
              <w:autoSpaceDN w:val="0"/>
              <w:adjustRightInd w:val="0"/>
              <w:rPr>
                <w:rFonts w:eastAsia="TimesNewRoman,Bold"/>
                <w:bCs/>
                <w:sz w:val="22"/>
                <w:szCs w:val="22"/>
                <w:lang w:val="sr-Latn-ME" w:eastAsia="sl-SI"/>
              </w:rPr>
            </w:pPr>
            <w:r>
              <w:rPr>
                <w:rFonts w:eastAsia="TimesNewRoman,Bold"/>
                <w:bCs/>
                <w:sz w:val="22"/>
                <w:szCs w:val="22"/>
                <w:lang w:val="sr-Latn-ME" w:eastAsia="sl-SI"/>
              </w:rPr>
              <w:t>(sa smrtnim ishodom i bez njega)</w:t>
            </w:r>
          </w:p>
        </w:tc>
        <w:tc>
          <w:tcPr>
            <w:tcW w:w="992" w:type="dxa"/>
            <w:shd w:val="clear" w:color="auto" w:fill="auto"/>
          </w:tcPr>
          <w:p w14:paraId="0E8516B1"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300 (4,1)</w:t>
            </w:r>
          </w:p>
        </w:tc>
        <w:tc>
          <w:tcPr>
            <w:tcW w:w="992" w:type="dxa"/>
            <w:shd w:val="clear" w:color="auto" w:fill="auto"/>
          </w:tcPr>
          <w:p w14:paraId="22C42E7D"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1,4</w:t>
            </w:r>
          </w:p>
        </w:tc>
        <w:tc>
          <w:tcPr>
            <w:tcW w:w="993" w:type="dxa"/>
            <w:shd w:val="clear" w:color="auto" w:fill="auto"/>
          </w:tcPr>
          <w:p w14:paraId="5B382F00"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316 (4,3)</w:t>
            </w:r>
          </w:p>
        </w:tc>
        <w:tc>
          <w:tcPr>
            <w:tcW w:w="1134" w:type="dxa"/>
            <w:shd w:val="clear" w:color="auto" w:fill="auto"/>
          </w:tcPr>
          <w:p w14:paraId="156FF8AE"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1,5</w:t>
            </w:r>
          </w:p>
        </w:tc>
        <w:tc>
          <w:tcPr>
            <w:tcW w:w="1162" w:type="dxa"/>
            <w:shd w:val="clear" w:color="auto" w:fill="auto"/>
          </w:tcPr>
          <w:p w14:paraId="03A3F159"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0,95 (0,81–1,11)</w:t>
            </w:r>
          </w:p>
        </w:tc>
        <w:tc>
          <w:tcPr>
            <w:tcW w:w="1106" w:type="dxa"/>
            <w:shd w:val="clear" w:color="auto" w:fill="auto"/>
          </w:tcPr>
          <w:p w14:paraId="436E9768"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0,487</w:t>
            </w:r>
          </w:p>
        </w:tc>
      </w:tr>
      <w:tr w:rsidR="00BE1AF0" w14:paraId="10AC438E" w14:textId="77777777">
        <w:tc>
          <w:tcPr>
            <w:tcW w:w="2660" w:type="dxa"/>
            <w:shd w:val="clear" w:color="auto" w:fill="auto"/>
          </w:tcPr>
          <w:p w14:paraId="6EA41786"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Svi slučajevi moždanog udara (sa smrtnim ishodom i bez njega)</w:t>
            </w:r>
          </w:p>
        </w:tc>
        <w:tc>
          <w:tcPr>
            <w:tcW w:w="992" w:type="dxa"/>
            <w:shd w:val="clear" w:color="auto" w:fill="auto"/>
          </w:tcPr>
          <w:p w14:paraId="28276744"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178 (2,4)</w:t>
            </w:r>
          </w:p>
        </w:tc>
        <w:tc>
          <w:tcPr>
            <w:tcW w:w="992" w:type="dxa"/>
            <w:shd w:val="clear" w:color="auto" w:fill="auto"/>
          </w:tcPr>
          <w:p w14:paraId="0AB171A6"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0,8</w:t>
            </w:r>
          </w:p>
        </w:tc>
        <w:tc>
          <w:tcPr>
            <w:tcW w:w="993" w:type="dxa"/>
            <w:shd w:val="clear" w:color="auto" w:fill="auto"/>
          </w:tcPr>
          <w:p w14:paraId="5461ADE4"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183 (2,5)</w:t>
            </w:r>
          </w:p>
        </w:tc>
        <w:tc>
          <w:tcPr>
            <w:tcW w:w="1134" w:type="dxa"/>
            <w:shd w:val="clear" w:color="auto" w:fill="auto"/>
          </w:tcPr>
          <w:p w14:paraId="4258F3B2"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w:t>
            </w:r>
          </w:p>
        </w:tc>
        <w:tc>
          <w:tcPr>
            <w:tcW w:w="1162" w:type="dxa"/>
            <w:shd w:val="clear" w:color="auto" w:fill="auto"/>
          </w:tcPr>
          <w:p w14:paraId="6989D4C5"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0,97 (0,79–1,19)</w:t>
            </w:r>
          </w:p>
        </w:tc>
        <w:tc>
          <w:tcPr>
            <w:tcW w:w="1106" w:type="dxa"/>
            <w:shd w:val="clear" w:color="auto" w:fill="auto"/>
          </w:tcPr>
          <w:p w14:paraId="67B472FD"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0,760</w:t>
            </w:r>
          </w:p>
        </w:tc>
      </w:tr>
      <w:tr w:rsidR="00BE1AF0" w14:paraId="0A46C159" w14:textId="77777777">
        <w:tc>
          <w:tcPr>
            <w:tcW w:w="2660" w:type="dxa"/>
            <w:shd w:val="clear" w:color="auto" w:fill="auto"/>
          </w:tcPr>
          <w:p w14:paraId="3BA86ACA" w14:textId="77777777" w:rsidR="00BE1AF0" w:rsidRDefault="004F0139">
            <w:pPr>
              <w:autoSpaceDE w:val="0"/>
              <w:autoSpaceDN w:val="0"/>
              <w:adjustRightInd w:val="0"/>
              <w:rPr>
                <w:rFonts w:eastAsia="TimesNewRoman,Bold"/>
                <w:bCs/>
                <w:sz w:val="22"/>
                <w:szCs w:val="22"/>
                <w:lang w:val="sr-Latn-ME" w:eastAsia="sl-SI"/>
              </w:rPr>
            </w:pPr>
            <w:r>
              <w:rPr>
                <w:rFonts w:eastAsia="TimesNewRoman,Bold"/>
                <w:bCs/>
                <w:sz w:val="22"/>
                <w:szCs w:val="22"/>
                <w:lang w:val="sr-Latn-ME" w:eastAsia="sl-SI"/>
              </w:rPr>
              <w:t xml:space="preserve"> Hospitalizacija zbog nestabilne angine</w:t>
            </w:r>
          </w:p>
        </w:tc>
        <w:tc>
          <w:tcPr>
            <w:tcW w:w="992" w:type="dxa"/>
            <w:shd w:val="clear" w:color="auto" w:fill="auto"/>
          </w:tcPr>
          <w:p w14:paraId="471596CF"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116 (1,6)</w:t>
            </w:r>
          </w:p>
        </w:tc>
        <w:tc>
          <w:tcPr>
            <w:tcW w:w="992" w:type="dxa"/>
            <w:shd w:val="clear" w:color="auto" w:fill="auto"/>
          </w:tcPr>
          <w:p w14:paraId="22474B5B"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0,5</w:t>
            </w:r>
          </w:p>
        </w:tc>
        <w:tc>
          <w:tcPr>
            <w:tcW w:w="993" w:type="dxa"/>
            <w:shd w:val="clear" w:color="auto" w:fill="auto"/>
          </w:tcPr>
          <w:p w14:paraId="2422B8D4"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129 (1,8)</w:t>
            </w:r>
          </w:p>
        </w:tc>
        <w:tc>
          <w:tcPr>
            <w:tcW w:w="1134" w:type="dxa"/>
            <w:shd w:val="clear" w:color="auto" w:fill="auto"/>
          </w:tcPr>
          <w:p w14:paraId="63195D87"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0,6</w:t>
            </w:r>
          </w:p>
        </w:tc>
        <w:tc>
          <w:tcPr>
            <w:tcW w:w="1162" w:type="dxa"/>
            <w:shd w:val="clear" w:color="auto" w:fill="auto"/>
          </w:tcPr>
          <w:p w14:paraId="5F25ECF1"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0,90 (0,70–1,16)</w:t>
            </w:r>
          </w:p>
        </w:tc>
        <w:tc>
          <w:tcPr>
            <w:tcW w:w="1106" w:type="dxa"/>
            <w:shd w:val="clear" w:color="auto" w:fill="auto"/>
          </w:tcPr>
          <w:p w14:paraId="4CFFBEC7"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0,419</w:t>
            </w:r>
          </w:p>
        </w:tc>
      </w:tr>
      <w:tr w:rsidR="00BE1AF0" w14:paraId="6849B4C4" w14:textId="77777777">
        <w:tc>
          <w:tcPr>
            <w:tcW w:w="2660" w:type="dxa"/>
            <w:shd w:val="clear" w:color="auto" w:fill="auto"/>
          </w:tcPr>
          <w:p w14:paraId="577419C5"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Smrt zbog bilo kog uzroka</w:t>
            </w:r>
          </w:p>
        </w:tc>
        <w:tc>
          <w:tcPr>
            <w:tcW w:w="992" w:type="dxa"/>
            <w:shd w:val="clear" w:color="auto" w:fill="auto"/>
          </w:tcPr>
          <w:p w14:paraId="1C0D7B60"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547 (7,5)</w:t>
            </w:r>
          </w:p>
        </w:tc>
        <w:tc>
          <w:tcPr>
            <w:tcW w:w="992" w:type="dxa"/>
            <w:shd w:val="clear" w:color="auto" w:fill="auto"/>
          </w:tcPr>
          <w:p w14:paraId="4C42DF6D"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2,5</w:t>
            </w:r>
          </w:p>
        </w:tc>
        <w:tc>
          <w:tcPr>
            <w:tcW w:w="993" w:type="dxa"/>
            <w:shd w:val="clear" w:color="auto" w:fill="auto"/>
          </w:tcPr>
          <w:p w14:paraId="3C82325D"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537 (7,3)</w:t>
            </w:r>
          </w:p>
        </w:tc>
        <w:tc>
          <w:tcPr>
            <w:tcW w:w="1134" w:type="dxa"/>
            <w:shd w:val="clear" w:color="auto" w:fill="auto"/>
          </w:tcPr>
          <w:p w14:paraId="69D2E47D"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2,5</w:t>
            </w:r>
          </w:p>
        </w:tc>
        <w:tc>
          <w:tcPr>
            <w:tcW w:w="1162" w:type="dxa"/>
            <w:shd w:val="clear" w:color="auto" w:fill="auto"/>
          </w:tcPr>
          <w:p w14:paraId="5A946CEB"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1,01 (0,90–1,14)</w:t>
            </w:r>
          </w:p>
        </w:tc>
        <w:tc>
          <w:tcPr>
            <w:tcW w:w="1106" w:type="dxa"/>
            <w:shd w:val="clear" w:color="auto" w:fill="auto"/>
          </w:tcPr>
          <w:p w14:paraId="0B236797"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0,875</w:t>
            </w:r>
          </w:p>
        </w:tc>
      </w:tr>
      <w:tr w:rsidR="00BE1AF0" w14:paraId="223E3F64" w14:textId="77777777">
        <w:tc>
          <w:tcPr>
            <w:tcW w:w="2660" w:type="dxa"/>
            <w:shd w:val="clear" w:color="auto" w:fill="auto"/>
          </w:tcPr>
          <w:p w14:paraId="6EA8A3C8"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Hospitalizacija zbog srčane   insuficijencije</w:t>
            </w:r>
            <w:r>
              <w:rPr>
                <w:rFonts w:eastAsia="TimesNewRoman,Bold"/>
                <w:bCs/>
                <w:sz w:val="22"/>
                <w:szCs w:val="22"/>
                <w:vertAlign w:val="superscript"/>
                <w:lang w:val="sr-Latn-ME" w:eastAsia="sl-SI"/>
              </w:rPr>
              <w:t>‡</w:t>
            </w:r>
          </w:p>
        </w:tc>
        <w:tc>
          <w:tcPr>
            <w:tcW w:w="992" w:type="dxa"/>
            <w:shd w:val="clear" w:color="auto" w:fill="auto"/>
          </w:tcPr>
          <w:p w14:paraId="56A03507"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228 (3,1)</w:t>
            </w:r>
          </w:p>
        </w:tc>
        <w:tc>
          <w:tcPr>
            <w:tcW w:w="992" w:type="dxa"/>
            <w:shd w:val="clear" w:color="auto" w:fill="auto"/>
          </w:tcPr>
          <w:p w14:paraId="5B1F33AB"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1,1</w:t>
            </w:r>
          </w:p>
        </w:tc>
        <w:tc>
          <w:tcPr>
            <w:tcW w:w="993" w:type="dxa"/>
            <w:shd w:val="clear" w:color="auto" w:fill="auto"/>
          </w:tcPr>
          <w:p w14:paraId="570E1710"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229 (3,1)</w:t>
            </w:r>
          </w:p>
        </w:tc>
        <w:tc>
          <w:tcPr>
            <w:tcW w:w="1134" w:type="dxa"/>
            <w:shd w:val="clear" w:color="auto" w:fill="auto"/>
          </w:tcPr>
          <w:p w14:paraId="5297A8E3"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1,1</w:t>
            </w:r>
          </w:p>
        </w:tc>
        <w:tc>
          <w:tcPr>
            <w:tcW w:w="1162" w:type="dxa"/>
            <w:shd w:val="clear" w:color="auto" w:fill="auto"/>
          </w:tcPr>
          <w:p w14:paraId="1F36F1C5"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1,00 (0,83–1,20)</w:t>
            </w:r>
          </w:p>
        </w:tc>
        <w:tc>
          <w:tcPr>
            <w:tcW w:w="1106" w:type="dxa"/>
            <w:shd w:val="clear" w:color="auto" w:fill="auto"/>
          </w:tcPr>
          <w:p w14:paraId="19E5DC39" w14:textId="77777777" w:rsidR="00BE1AF0" w:rsidRDefault="004F0139">
            <w:pPr>
              <w:widowControl w:val="0"/>
              <w:rPr>
                <w:rFonts w:eastAsia="TimesNewRoman,Bold"/>
                <w:bCs/>
                <w:sz w:val="22"/>
                <w:szCs w:val="22"/>
                <w:lang w:val="sr-Latn-ME" w:eastAsia="sl-SI"/>
              </w:rPr>
            </w:pPr>
            <w:r>
              <w:rPr>
                <w:rFonts w:eastAsia="TimesNewRoman,Bold"/>
                <w:bCs/>
                <w:sz w:val="22"/>
                <w:szCs w:val="22"/>
                <w:lang w:val="sr-Latn-ME" w:eastAsia="sl-SI"/>
              </w:rPr>
              <w:t>0,983</w:t>
            </w:r>
          </w:p>
        </w:tc>
      </w:tr>
    </w:tbl>
    <w:p w14:paraId="49129A2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Stopa incidence na 100 pacijent-godina izračunava se kao 100 × (ukupan broj pacijenata koji imaju ≥ 1 događaja tokom ukupne izloženosti po ukupnom broju pacijent-godina praćenja).</w:t>
      </w:r>
    </w:p>
    <w:p w14:paraId="69B06DD5" w14:textId="77777777" w:rsidR="00BE1AF0" w:rsidRDefault="004F0139">
      <w:pPr>
        <w:autoSpaceDE w:val="0"/>
        <w:autoSpaceDN w:val="0"/>
        <w:adjustRightInd w:val="0"/>
        <w:ind w:left="142" w:hanging="142"/>
        <w:jc w:val="both"/>
        <w:rPr>
          <w:sz w:val="22"/>
          <w:szCs w:val="22"/>
          <w:lang w:val="sr-Latn-ME" w:eastAsia="sr-Latn-ME"/>
        </w:rPr>
      </w:pPr>
      <w:r>
        <w:rPr>
          <w:sz w:val="22"/>
          <w:szCs w:val="22"/>
          <w:lang w:val="sr-Latn-ME" w:eastAsia="sr-Latn-ME"/>
        </w:rPr>
        <w:t xml:space="preserve">† Zasnovano na </w:t>
      </w:r>
      <w:r>
        <w:rPr>
          <w:i/>
          <w:iCs/>
          <w:sz w:val="22"/>
          <w:szCs w:val="22"/>
          <w:lang w:val="sr-Latn-ME" w:eastAsia="sr-Latn-ME"/>
        </w:rPr>
        <w:t>Cox</w:t>
      </w:r>
      <w:r>
        <w:rPr>
          <w:sz w:val="22"/>
          <w:szCs w:val="22"/>
          <w:lang w:val="sr-Latn-ME" w:eastAsia="sr-Latn-ME"/>
        </w:rPr>
        <w:t>-ovom modelu stratificiranom prema regijama. Za kombinovani parametar praćenja, p-vrijednosti odgovaraju ispitivanju neinferiornosti kojim se želi dokazati da je odnos rizika manji od 1,3. Za sve ostale parametre praćenja, p-vrijednosti odgovaraju ispitivanju razlika u vrijednostima odnosa hazarda.</w:t>
      </w:r>
    </w:p>
    <w:p w14:paraId="30726FE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Analiza hospitalizacije zbog srčane insuficijencije prilagođena je anamnezi srčane insuficijencije na početku ispitivanja.</w:t>
      </w:r>
    </w:p>
    <w:p w14:paraId="313BBD7F" w14:textId="77777777" w:rsidR="00BE1AF0" w:rsidRDefault="00BE1AF0">
      <w:pPr>
        <w:autoSpaceDE w:val="0"/>
        <w:autoSpaceDN w:val="0"/>
        <w:adjustRightInd w:val="0"/>
        <w:jc w:val="both"/>
        <w:rPr>
          <w:sz w:val="22"/>
          <w:szCs w:val="22"/>
          <w:u w:val="single"/>
          <w:lang w:val="sr-Latn-ME" w:eastAsia="sr-Latn-ME"/>
        </w:rPr>
      </w:pPr>
    </w:p>
    <w:p w14:paraId="5BE17D0A"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Pedijatrijska populacija</w:t>
      </w:r>
    </w:p>
    <w:p w14:paraId="7486C28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Evropska agencija za ljekove odustala je od zahtjeva za dostavljanje rezultata studija referentnog lijeka koji sadrži metformin i sitagliptin na svim podgrupama pedijatrijske populacije sa dijabetes melitusom tip 2 (vidjeti dio 4.2 za informacije o primjeni lijeka u pedijatrijskoj populaciji).</w:t>
      </w:r>
    </w:p>
    <w:p w14:paraId="70E24D7F" w14:textId="77777777" w:rsidR="00BE1AF0" w:rsidRDefault="00BE1AF0">
      <w:pPr>
        <w:autoSpaceDE w:val="0"/>
        <w:autoSpaceDN w:val="0"/>
        <w:adjustRightInd w:val="0"/>
        <w:jc w:val="both"/>
        <w:rPr>
          <w:sz w:val="22"/>
          <w:szCs w:val="22"/>
          <w:lang w:val="sl-SI" w:eastAsia="sr-Latn-ME"/>
        </w:rPr>
      </w:pPr>
    </w:p>
    <w:p w14:paraId="34C3FCD8" w14:textId="77777777" w:rsidR="00BE1AF0" w:rsidRDefault="004F0139">
      <w:pPr>
        <w:autoSpaceDE w:val="0"/>
        <w:autoSpaceDN w:val="0"/>
        <w:adjustRightInd w:val="0"/>
        <w:jc w:val="both"/>
        <w:rPr>
          <w:sz w:val="22"/>
          <w:szCs w:val="22"/>
          <w:lang w:val="sl-SI" w:eastAsia="sr-Latn-ME"/>
        </w:rPr>
      </w:pPr>
      <w:r>
        <w:rPr>
          <w:sz w:val="22"/>
          <w:szCs w:val="22"/>
          <w:lang w:val="sl-SI" w:eastAsia="sr-Latn-ME"/>
        </w:rPr>
        <w:t xml:space="preserve">Bezbjednost i efikasnost dodavanja sitagliptina kod pedijatrijskih pacijenata uzrasta od 10 do 17 godina sa diabetesom tipa 2 i glikemijom neadekvatno kontrolisanom metforminom, sa insulinom ili bez njega procjenjivale su se u dva ispitivanja koja su trajala 54 sedmice. Dodavanje sitagliptina (koji se primjenjivao u kombinaciji sitagliptin + metformin ili sitagliptin + metformin s produženim oslobađanjem (XR)) upoređivalo se sa dodavanjem placeba metforminu ili metforminu sa produženim oslobađanjem (XR). </w:t>
      </w:r>
    </w:p>
    <w:p w14:paraId="5DC7C01C" w14:textId="77777777" w:rsidR="00BE1AF0" w:rsidRDefault="00BE1AF0">
      <w:pPr>
        <w:autoSpaceDE w:val="0"/>
        <w:autoSpaceDN w:val="0"/>
        <w:adjustRightInd w:val="0"/>
        <w:jc w:val="both"/>
        <w:rPr>
          <w:sz w:val="22"/>
          <w:szCs w:val="22"/>
          <w:lang w:val="sl-SI" w:eastAsia="sr-Latn-ME"/>
        </w:rPr>
      </w:pPr>
    </w:p>
    <w:p w14:paraId="5321E39D" w14:textId="77777777" w:rsidR="00BE1AF0" w:rsidRDefault="004F0139">
      <w:pPr>
        <w:autoSpaceDE w:val="0"/>
        <w:autoSpaceDN w:val="0"/>
        <w:adjustRightInd w:val="0"/>
        <w:jc w:val="both"/>
        <w:rPr>
          <w:sz w:val="22"/>
          <w:szCs w:val="22"/>
          <w:lang w:val="en-MY" w:eastAsia="sr-Latn-ME"/>
        </w:rPr>
      </w:pPr>
      <w:r>
        <w:rPr>
          <w:sz w:val="22"/>
          <w:szCs w:val="22"/>
          <w:lang w:eastAsia="sr-Latn-ME"/>
        </w:rPr>
        <w:lastRenderedPageBreak/>
        <w:t>Iako je analizom objedinjenih podataka iz ova dva ispitivanja dokazano da je kombinacija sitagliptin + metformin / sitagliptin + metformin s produženim oslobađanjem bila superiorna u odnosu na metformin s obzirom na sniženje vrijednosti HbA</w:t>
      </w:r>
      <w:r>
        <w:rPr>
          <w:sz w:val="22"/>
          <w:szCs w:val="22"/>
          <w:vertAlign w:val="subscript"/>
          <w:lang w:eastAsia="sr-Latn-ME"/>
        </w:rPr>
        <w:t>1c</w:t>
      </w:r>
      <w:r>
        <w:rPr>
          <w:sz w:val="22"/>
          <w:szCs w:val="22"/>
          <w:lang w:eastAsia="sr-Latn-ME"/>
        </w:rPr>
        <w:t xml:space="preserve"> u 20. sedmici, rezultati iz pojedinačnih ispitivanja bili su nedosljedni. Osim toga, veća efikasnost sitagliptina + metformina / sitagliptina + metformina s produženim oslobađanjem u odnosu na metformin nije primijećena u 54. sedmici. Stoga se sitagliptin + metformin zbog nedostatka efikasnosti ne smije primjenjivati kod pedijatrijskih pacijenata uzrasta od 10 do 17 godina (vidjeti dio 4.2 za informacije o pedijatrijskoj primjeni).</w:t>
      </w:r>
    </w:p>
    <w:p w14:paraId="5625D806" w14:textId="77777777" w:rsidR="00BE1AF0" w:rsidRDefault="00BE1AF0">
      <w:pPr>
        <w:autoSpaceDE w:val="0"/>
        <w:autoSpaceDN w:val="0"/>
        <w:adjustRightInd w:val="0"/>
        <w:jc w:val="both"/>
        <w:rPr>
          <w:sz w:val="22"/>
          <w:szCs w:val="22"/>
          <w:lang w:val="en-MY" w:eastAsia="sr-Latn-ME"/>
        </w:rPr>
      </w:pPr>
    </w:p>
    <w:p w14:paraId="04DD3DCB" w14:textId="77777777" w:rsidR="00BE1AF0" w:rsidRDefault="004F0139">
      <w:pPr>
        <w:tabs>
          <w:tab w:val="left" w:pos="540"/>
          <w:tab w:val="left" w:pos="569"/>
        </w:tabs>
        <w:jc w:val="both"/>
        <w:rPr>
          <w:b/>
          <w:bCs/>
          <w:sz w:val="22"/>
          <w:szCs w:val="22"/>
        </w:rPr>
      </w:pPr>
      <w:r>
        <w:rPr>
          <w:b/>
          <w:bCs/>
          <w:sz w:val="22"/>
          <w:szCs w:val="22"/>
        </w:rPr>
        <w:t xml:space="preserve">5.2. </w:t>
      </w:r>
      <w:r>
        <w:rPr>
          <w:b/>
          <w:bCs/>
          <w:sz w:val="22"/>
          <w:szCs w:val="22"/>
        </w:rPr>
        <w:tab/>
        <w:t xml:space="preserve">Farmakokinetički podaci </w:t>
      </w:r>
    </w:p>
    <w:p w14:paraId="36983F88" w14:textId="77777777" w:rsidR="00BE1AF0" w:rsidRDefault="00BE1AF0">
      <w:pPr>
        <w:tabs>
          <w:tab w:val="left" w:pos="540"/>
          <w:tab w:val="left" w:pos="569"/>
        </w:tabs>
        <w:jc w:val="both"/>
        <w:rPr>
          <w:b/>
          <w:bCs/>
          <w:sz w:val="22"/>
          <w:szCs w:val="22"/>
        </w:rPr>
      </w:pPr>
    </w:p>
    <w:p w14:paraId="09CA1362"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Metformin/sitagliptin</w:t>
      </w:r>
    </w:p>
    <w:p w14:paraId="28565B50"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Studija bioekvivalencije kod zdravih ispitanika pokazala je da su metformin hidrohlorid/sitagliptin kombinovane tablete bioekvivalentne istovremenoj primjeni sitagliptin fosfata i metformin hidrohlorida kao pojedinačnih tableta.</w:t>
      </w:r>
    </w:p>
    <w:p w14:paraId="13F9D532" w14:textId="77777777" w:rsidR="00BE1AF0" w:rsidRDefault="00BE1AF0">
      <w:pPr>
        <w:autoSpaceDE w:val="0"/>
        <w:autoSpaceDN w:val="0"/>
        <w:adjustRightInd w:val="0"/>
        <w:jc w:val="both"/>
        <w:rPr>
          <w:sz w:val="22"/>
          <w:szCs w:val="22"/>
          <w:lang w:val="sr-Latn-ME" w:eastAsia="sr-Latn-ME"/>
        </w:rPr>
      </w:pPr>
    </w:p>
    <w:p w14:paraId="72749D6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U nastavku teksta navode se farmakokinetičke osobine pojedinačnih aktivnih supstanci lijeka Maymetsi.</w:t>
      </w:r>
    </w:p>
    <w:p w14:paraId="7EC85CA0" w14:textId="77777777" w:rsidR="00BE1AF0" w:rsidRDefault="00BE1AF0">
      <w:pPr>
        <w:autoSpaceDE w:val="0"/>
        <w:autoSpaceDN w:val="0"/>
        <w:adjustRightInd w:val="0"/>
        <w:jc w:val="both"/>
        <w:rPr>
          <w:sz w:val="22"/>
          <w:szCs w:val="22"/>
          <w:lang w:val="sr-Latn-ME" w:eastAsia="sr-Latn-ME"/>
        </w:rPr>
      </w:pPr>
    </w:p>
    <w:p w14:paraId="6796540B"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Sitagliptin</w:t>
      </w:r>
    </w:p>
    <w:p w14:paraId="0D2315D2"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Resorpcija</w:t>
      </w:r>
    </w:p>
    <w:p w14:paraId="1608DB61"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 se brzo resorbovao nakon oralne primjene doze od 100 mg kod zdravih ispitanika, uz dostizanje maksimalne koncentracije u plazmi (medijana T</w:t>
      </w:r>
      <w:r>
        <w:rPr>
          <w:sz w:val="22"/>
          <w:szCs w:val="22"/>
          <w:vertAlign w:val="subscript"/>
          <w:lang w:val="sr-Latn-ME" w:eastAsia="sr-Latn-ME"/>
        </w:rPr>
        <w:t>max</w:t>
      </w:r>
      <w:r>
        <w:rPr>
          <w:sz w:val="22"/>
          <w:szCs w:val="22"/>
          <w:lang w:val="sr-Latn-ME" w:eastAsia="sr-Latn-ME"/>
        </w:rPr>
        <w:t>) u periodu od 1 do 4 sata nakon uzimanja doze, pri čemu je srednja vrijednost PIK sitagliptina u plazmi iznosila 8,53 </w:t>
      </w:r>
      <w:r>
        <w:rPr>
          <w:sz w:val="22"/>
          <w:szCs w:val="22"/>
          <w:lang w:val="sr-Latn-ME"/>
        </w:rPr>
        <w:t>µm•hr</w:t>
      </w:r>
      <w:r>
        <w:rPr>
          <w:sz w:val="22"/>
          <w:szCs w:val="22"/>
          <w:lang w:val="sr-Latn-ME" w:eastAsia="sr-Latn-ME"/>
        </w:rPr>
        <w:t>, a C</w:t>
      </w:r>
      <w:r>
        <w:rPr>
          <w:sz w:val="22"/>
          <w:szCs w:val="22"/>
          <w:vertAlign w:val="subscript"/>
          <w:lang w:val="sr-Latn-ME" w:eastAsia="sr-Latn-ME"/>
        </w:rPr>
        <w:t>max</w:t>
      </w:r>
      <w:r>
        <w:rPr>
          <w:sz w:val="22"/>
          <w:szCs w:val="22"/>
          <w:lang w:val="sr-Latn-ME" w:eastAsia="sr-Latn-ME"/>
        </w:rPr>
        <w:t xml:space="preserve"> je iznosila 950 nm. Apsolutna bioraspoloživost sitagliptina iznosi oko 87%. Pošto istovremena primjena obroka bogatog mastima uz sitagliptin nije imala uticaja na farmakokinetiku, sitagliptin se može primjenjivati uz hranu ili bez nje. </w:t>
      </w:r>
    </w:p>
    <w:p w14:paraId="6CD4D3A7" w14:textId="77777777" w:rsidR="00BE1AF0" w:rsidRDefault="00BE1AF0">
      <w:pPr>
        <w:autoSpaceDE w:val="0"/>
        <w:autoSpaceDN w:val="0"/>
        <w:adjustRightInd w:val="0"/>
        <w:jc w:val="both"/>
        <w:rPr>
          <w:sz w:val="22"/>
          <w:szCs w:val="22"/>
          <w:lang w:val="sr-Latn-ME" w:eastAsia="sr-Latn-ME"/>
        </w:rPr>
      </w:pPr>
    </w:p>
    <w:p w14:paraId="3BC8AF72"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PIK vrijednosti sitagliptina u plazmi su se povećavale proporcionalno dozi. Proporcionalnost u odnosu na dozu nije utvrđena kod C</w:t>
      </w:r>
      <w:r>
        <w:rPr>
          <w:sz w:val="22"/>
          <w:szCs w:val="22"/>
          <w:vertAlign w:val="subscript"/>
          <w:lang w:val="sr-Latn-ME" w:eastAsia="sr-Latn-ME"/>
        </w:rPr>
        <w:t>max</w:t>
      </w:r>
      <w:r>
        <w:rPr>
          <w:sz w:val="22"/>
          <w:szCs w:val="22"/>
          <w:lang w:val="sr-Latn-ME" w:eastAsia="sr-Latn-ME"/>
        </w:rPr>
        <w:t xml:space="preserve"> i C</w:t>
      </w:r>
      <w:r>
        <w:rPr>
          <w:sz w:val="22"/>
          <w:szCs w:val="22"/>
          <w:vertAlign w:val="subscript"/>
          <w:lang w:val="sr-Latn-ME" w:eastAsia="sr-Latn-ME"/>
        </w:rPr>
        <w:t>24hr</w:t>
      </w:r>
      <w:r>
        <w:rPr>
          <w:sz w:val="22"/>
          <w:szCs w:val="22"/>
          <w:lang w:val="sr-Latn-ME" w:eastAsia="sr-Latn-ME"/>
        </w:rPr>
        <w:t xml:space="preserve"> (C</w:t>
      </w:r>
      <w:r>
        <w:rPr>
          <w:sz w:val="22"/>
          <w:szCs w:val="22"/>
          <w:vertAlign w:val="subscript"/>
          <w:lang w:val="sr-Latn-ME" w:eastAsia="sr-Latn-ME"/>
        </w:rPr>
        <w:t>max</w:t>
      </w:r>
      <w:r>
        <w:rPr>
          <w:sz w:val="22"/>
          <w:szCs w:val="22"/>
          <w:lang w:val="sr-Latn-ME" w:eastAsia="sr-Latn-ME"/>
        </w:rPr>
        <w:t xml:space="preserve"> se povećala više nego proporcionalno dozi, a C</w:t>
      </w:r>
      <w:r>
        <w:rPr>
          <w:sz w:val="22"/>
          <w:szCs w:val="22"/>
          <w:vertAlign w:val="subscript"/>
          <w:lang w:val="sr-Latn-ME" w:eastAsia="sr-Latn-ME"/>
        </w:rPr>
        <w:t>24hr</w:t>
      </w:r>
      <w:r>
        <w:rPr>
          <w:sz w:val="22"/>
          <w:szCs w:val="22"/>
          <w:lang w:val="sr-Latn-ME" w:eastAsia="sr-Latn-ME"/>
        </w:rPr>
        <w:t xml:space="preserve"> se povećala manje nego proporcionalno dozi).</w:t>
      </w:r>
    </w:p>
    <w:p w14:paraId="1CFF72F8" w14:textId="77777777" w:rsidR="00BE1AF0" w:rsidRDefault="00BE1AF0">
      <w:pPr>
        <w:autoSpaceDE w:val="0"/>
        <w:autoSpaceDN w:val="0"/>
        <w:adjustRightInd w:val="0"/>
        <w:jc w:val="both"/>
        <w:rPr>
          <w:i/>
          <w:iCs/>
          <w:sz w:val="22"/>
          <w:szCs w:val="22"/>
          <w:lang w:val="sr-Latn-ME" w:eastAsia="sr-Latn-ME"/>
        </w:rPr>
      </w:pPr>
    </w:p>
    <w:p w14:paraId="0EEA63AC"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Distribucija</w:t>
      </w:r>
    </w:p>
    <w:p w14:paraId="50FE6D3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Srednja vrijednost volumena distribucije u stanju ravnoteže nakon primjene jedne intravenske doze sitagliptina od 100 mg kod zdravih ispitanika iznosila je oko 198 litara. Dio sitagliptina koji se reverzibilno vezuje za proteine iz plazme je mali (38%).</w:t>
      </w:r>
    </w:p>
    <w:p w14:paraId="4BB0A581" w14:textId="77777777" w:rsidR="00BE1AF0" w:rsidRDefault="00BE1AF0">
      <w:pPr>
        <w:autoSpaceDE w:val="0"/>
        <w:autoSpaceDN w:val="0"/>
        <w:adjustRightInd w:val="0"/>
        <w:jc w:val="both"/>
        <w:rPr>
          <w:sz w:val="22"/>
          <w:szCs w:val="22"/>
          <w:lang w:val="sr-Latn-ME" w:eastAsia="sr-Latn-ME"/>
        </w:rPr>
      </w:pPr>
    </w:p>
    <w:p w14:paraId="52CA2D7D"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Biotransformacija</w:t>
      </w:r>
    </w:p>
    <w:p w14:paraId="313FF64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 se primarno eliminiše urinom u neizmijenjenom obliku, a metabolizam predstavlja sporedni put eliminacije. Oko 79% sitagliptina se izlučuje urinom u neizmijenjenom obliku.</w:t>
      </w:r>
    </w:p>
    <w:p w14:paraId="7DD77115" w14:textId="77777777" w:rsidR="00BE1AF0" w:rsidRDefault="00BE1AF0">
      <w:pPr>
        <w:autoSpaceDE w:val="0"/>
        <w:autoSpaceDN w:val="0"/>
        <w:adjustRightInd w:val="0"/>
        <w:jc w:val="both"/>
        <w:rPr>
          <w:sz w:val="22"/>
          <w:szCs w:val="22"/>
          <w:lang w:val="sr-Latn-ME" w:eastAsia="sr-Latn-ME"/>
        </w:rPr>
      </w:pPr>
    </w:p>
    <w:p w14:paraId="4D1A1F6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Oko 16% radioaktivnosti izlučivalo se u obliku metabolita sitagliptina nakon oralne doze [</w:t>
      </w:r>
      <w:r>
        <w:rPr>
          <w:sz w:val="22"/>
          <w:szCs w:val="22"/>
          <w:vertAlign w:val="superscript"/>
          <w:lang w:val="sr-Latn-ME" w:eastAsia="sr-Latn-ME"/>
        </w:rPr>
        <w:t>14</w:t>
      </w:r>
      <w:r>
        <w:rPr>
          <w:sz w:val="22"/>
          <w:szCs w:val="22"/>
          <w:lang w:val="sr-Latn-ME" w:eastAsia="sr-Latn-ME"/>
        </w:rPr>
        <w:t xml:space="preserve">C]sitagliptina. Otkriveno je šest metabolita u tragovima i ne očekuje se da će oni doprinijeti inhibitornom dejstvu sitagliptina na DDP-4 u plazmi. Studije </w:t>
      </w:r>
      <w:r>
        <w:rPr>
          <w:i/>
          <w:iCs/>
          <w:sz w:val="22"/>
          <w:szCs w:val="22"/>
          <w:lang w:val="sr-Latn-ME" w:eastAsia="sr-Latn-ME"/>
        </w:rPr>
        <w:t xml:space="preserve">in vitro </w:t>
      </w:r>
      <w:r>
        <w:rPr>
          <w:sz w:val="22"/>
          <w:szCs w:val="22"/>
          <w:lang w:val="sr-Latn-ME" w:eastAsia="sr-Latn-ME"/>
        </w:rPr>
        <w:t>ukazale su na to da je CYP3A4 primarni enzim odgovoran za ograničeni metabolizam sitagliptina, uz doprinos enzima CYP2C8.</w:t>
      </w:r>
    </w:p>
    <w:p w14:paraId="7E34688B" w14:textId="77777777" w:rsidR="00BE1AF0" w:rsidRDefault="00BE1AF0">
      <w:pPr>
        <w:autoSpaceDE w:val="0"/>
        <w:autoSpaceDN w:val="0"/>
        <w:adjustRightInd w:val="0"/>
        <w:jc w:val="both"/>
        <w:rPr>
          <w:sz w:val="22"/>
          <w:szCs w:val="22"/>
          <w:lang w:val="sr-Latn-ME" w:eastAsia="sr-Latn-ME"/>
        </w:rPr>
      </w:pPr>
    </w:p>
    <w:p w14:paraId="3B9B956E"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Podaci dobijeni u </w:t>
      </w:r>
      <w:r>
        <w:rPr>
          <w:i/>
          <w:iCs/>
          <w:sz w:val="22"/>
          <w:szCs w:val="22"/>
          <w:lang w:val="sr-Latn-ME" w:eastAsia="sr-Latn-ME"/>
        </w:rPr>
        <w:t xml:space="preserve">in vitro </w:t>
      </w:r>
      <w:r>
        <w:rPr>
          <w:iCs/>
          <w:sz w:val="22"/>
          <w:szCs w:val="22"/>
          <w:lang w:val="sr-Latn-ME" w:eastAsia="sr-Latn-ME"/>
        </w:rPr>
        <w:t>istraživanjima</w:t>
      </w:r>
      <w:r>
        <w:rPr>
          <w:i/>
          <w:iCs/>
          <w:sz w:val="22"/>
          <w:szCs w:val="22"/>
          <w:lang w:val="sr-Latn-ME" w:eastAsia="sr-Latn-ME"/>
        </w:rPr>
        <w:t xml:space="preserve"> </w:t>
      </w:r>
      <w:r>
        <w:rPr>
          <w:sz w:val="22"/>
          <w:szCs w:val="22"/>
          <w:lang w:val="sr-Latn-ME" w:eastAsia="sr-Latn-ME"/>
        </w:rPr>
        <w:t>pokazali su da sitagliptin nije inhibitor CYP izoenzima CYP3A4, 2C8, 2C9, 2D6, 1A2, 2C19 ili 2B6 i da nije induktor CYP3A4 i CYP1A2.</w:t>
      </w:r>
    </w:p>
    <w:p w14:paraId="5AC07D64" w14:textId="77777777" w:rsidR="00BE1AF0" w:rsidRDefault="00BE1AF0">
      <w:pPr>
        <w:autoSpaceDE w:val="0"/>
        <w:autoSpaceDN w:val="0"/>
        <w:adjustRightInd w:val="0"/>
        <w:jc w:val="both"/>
        <w:rPr>
          <w:i/>
          <w:iCs/>
          <w:sz w:val="22"/>
          <w:szCs w:val="22"/>
          <w:lang w:val="sr-Latn-ME" w:eastAsia="sr-Latn-ME"/>
        </w:rPr>
      </w:pPr>
    </w:p>
    <w:p w14:paraId="25975CC4"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Izlučivanje</w:t>
      </w:r>
    </w:p>
    <w:p w14:paraId="3ACE933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Oko 100% primijenjene radioaktivnosti izlučivalo se preko fecesa (13%) ili urina (87%), u periodu od jedne nedjelje nakon primjene oralne doze [</w:t>
      </w:r>
      <w:r>
        <w:rPr>
          <w:sz w:val="22"/>
          <w:szCs w:val="22"/>
          <w:vertAlign w:val="superscript"/>
          <w:lang w:val="sr-Latn-ME" w:eastAsia="sr-Latn-ME"/>
        </w:rPr>
        <w:t>14</w:t>
      </w:r>
      <w:r>
        <w:rPr>
          <w:sz w:val="22"/>
          <w:szCs w:val="22"/>
          <w:lang w:val="sr-Latn-ME" w:eastAsia="sr-Latn-ME"/>
        </w:rPr>
        <w:t>C]sitagliptina kod zdravih ispitanika. Prividno terminalno poluvrijeme eliminacije (t</w:t>
      </w:r>
      <w:r>
        <w:rPr>
          <w:sz w:val="22"/>
          <w:szCs w:val="22"/>
          <w:vertAlign w:val="subscript"/>
          <w:lang w:val="sr-Latn-ME" w:eastAsia="sr-Latn-ME"/>
        </w:rPr>
        <w:t>1/2</w:t>
      </w:r>
      <w:r>
        <w:rPr>
          <w:sz w:val="22"/>
          <w:szCs w:val="22"/>
          <w:lang w:val="sr-Latn-ME" w:eastAsia="sr-Latn-ME"/>
        </w:rPr>
        <w:t xml:space="preserve">) nakon oralne doze sitagliptina od 100 mg iznosilo je oko 12,4 sata. Sitagliptin se minimalno akumulira tek kod višestrukog doziranja. Renalni klirens je iznosio oko 350 ml/min. </w:t>
      </w:r>
    </w:p>
    <w:p w14:paraId="21F24773" w14:textId="77777777" w:rsidR="00BE1AF0" w:rsidRDefault="00BE1AF0">
      <w:pPr>
        <w:autoSpaceDE w:val="0"/>
        <w:autoSpaceDN w:val="0"/>
        <w:adjustRightInd w:val="0"/>
        <w:jc w:val="both"/>
        <w:rPr>
          <w:sz w:val="22"/>
          <w:szCs w:val="22"/>
          <w:lang w:val="sr-Latn-ME" w:eastAsia="sr-Latn-ME"/>
        </w:rPr>
      </w:pPr>
    </w:p>
    <w:p w14:paraId="66ABCF8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Izlučivanje sitagliptina primarno se odvija putem renalne ekskrecije i uključuje aktivnu tubularnu sekreciju. Sitagliptin je supstrat za humani organski anjonski transporter-3 (hOAT-3), koji bi mogao da bude uključen u renalnu eliminaciju sitagliptina. Nije utvrđen klinički značaj hOAT-3 u transportu </w:t>
      </w:r>
      <w:r>
        <w:rPr>
          <w:sz w:val="22"/>
          <w:szCs w:val="22"/>
          <w:lang w:val="sr-Latn-ME" w:eastAsia="sr-Latn-ME"/>
        </w:rPr>
        <w:lastRenderedPageBreak/>
        <w:t xml:space="preserve">sitagliptina. Sitagliptin je supstrat i p-glikoproteina, koji bi takođe mogao biti uključen u posredovanje renalne eliminacije sitagliptina. Međutim, ciklosporin, inhibitor p-glikoproteina, nije smanjio renalni klirens sitagliptina. Sitagliptin nije supstrat za transportere OCT2, OAT1 ili PEPT1/2. Sitagliptin </w:t>
      </w:r>
      <w:r>
        <w:rPr>
          <w:i/>
          <w:iCs/>
          <w:sz w:val="22"/>
          <w:szCs w:val="22"/>
          <w:lang w:val="sr-Latn-ME" w:eastAsia="sr-Latn-ME"/>
        </w:rPr>
        <w:t xml:space="preserve">in vitro </w:t>
      </w:r>
      <w:r>
        <w:rPr>
          <w:sz w:val="22"/>
          <w:szCs w:val="22"/>
          <w:lang w:val="sr-Latn-ME" w:eastAsia="sr-Latn-ME"/>
        </w:rPr>
        <w:t>nije inhibirao OAT3 (IC50=160 </w:t>
      </w:r>
      <w:r>
        <w:rPr>
          <w:sz w:val="22"/>
          <w:szCs w:val="22"/>
          <w:lang w:val="sr-Latn-ME"/>
        </w:rPr>
        <w:t>µm</w:t>
      </w:r>
      <w:r>
        <w:rPr>
          <w:sz w:val="22"/>
          <w:szCs w:val="22"/>
          <w:lang w:val="sr-Latn-ME" w:eastAsia="sr-Latn-ME"/>
        </w:rPr>
        <w:t>) ili p-glikoproteinom (do 250 </w:t>
      </w:r>
      <w:r>
        <w:rPr>
          <w:sz w:val="22"/>
          <w:szCs w:val="22"/>
          <w:lang w:val="sr-Latn-ME"/>
        </w:rPr>
        <w:t>µm</w:t>
      </w:r>
      <w:r>
        <w:rPr>
          <w:sz w:val="22"/>
          <w:szCs w:val="22"/>
          <w:lang w:val="sr-Latn-ME" w:eastAsia="sr-Latn-ME"/>
        </w:rPr>
        <w:t>) posredovani transport pri terapijski relevantnim koncentracijama u plazmi. Sitagliptin je u kliničkoj studiji imao mali uticaj na koncentraciju digoksina u plazmi, što je ukazivalo na to da sitagliptin može biti blagi inhibitor p-glikoproteina.</w:t>
      </w:r>
    </w:p>
    <w:p w14:paraId="68457C8E" w14:textId="77777777" w:rsidR="00BE1AF0" w:rsidRDefault="00BE1AF0">
      <w:pPr>
        <w:autoSpaceDE w:val="0"/>
        <w:autoSpaceDN w:val="0"/>
        <w:adjustRightInd w:val="0"/>
        <w:jc w:val="both"/>
        <w:rPr>
          <w:i/>
          <w:iCs/>
          <w:sz w:val="22"/>
          <w:szCs w:val="22"/>
          <w:lang w:val="sr-Latn-ME" w:eastAsia="sr-Latn-ME"/>
        </w:rPr>
      </w:pPr>
    </w:p>
    <w:p w14:paraId="4CC83FDB"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Posebne grupe pacijenata</w:t>
      </w:r>
    </w:p>
    <w:p w14:paraId="3946A07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Farmakokinetika sitagliptina bila je generalno slična kod zdravih ispitanika i kod pacijenata sa dijabetesom tip 2.</w:t>
      </w:r>
    </w:p>
    <w:p w14:paraId="6586718F" w14:textId="77777777" w:rsidR="00BE1AF0" w:rsidRDefault="00BE1AF0">
      <w:pPr>
        <w:autoSpaceDE w:val="0"/>
        <w:autoSpaceDN w:val="0"/>
        <w:adjustRightInd w:val="0"/>
        <w:jc w:val="both"/>
        <w:rPr>
          <w:sz w:val="22"/>
          <w:szCs w:val="22"/>
          <w:lang w:val="sr-Latn-ME" w:eastAsia="sr-Latn-ME"/>
        </w:rPr>
      </w:pPr>
    </w:p>
    <w:p w14:paraId="71BF589B"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Oštećenje funkcije bubrega</w:t>
      </w:r>
    </w:p>
    <w:p w14:paraId="54B7347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Otvorena studija pojedinačne doze sprovedena je u cilju procjene farmakokinetike smanjene doze sitagliptina (50 mg) kod pacijenata sa različitim stepenom hroničnog oštećenja funkcije bubrega u odnosu na zdrave kontrolne ispitanike. Studija je obuhvatala pacijente sa blagim, umjerenim i teškim oštećenjima funkcije bubrega, kao i pacijente sa pacijente sa završnom fazom oboljenja bubrega (ESRD) na hemodijalizi. Dodatno, uticaji oštećenja funkcije bubrega na farmakokinetiku sitagliptina kod pacijenata sa dijabetesom tip 2 i blagim, umjerenim ili teškim oštećenjem funkcije bubrega (uključujući ESRD) bili su procijenjeni korišćenjem populacione farmakokinetičke analize.</w:t>
      </w:r>
    </w:p>
    <w:p w14:paraId="136459FA" w14:textId="77777777" w:rsidR="00BE1AF0" w:rsidRDefault="00BE1AF0">
      <w:pPr>
        <w:autoSpaceDE w:val="0"/>
        <w:autoSpaceDN w:val="0"/>
        <w:adjustRightInd w:val="0"/>
        <w:jc w:val="both"/>
        <w:rPr>
          <w:sz w:val="22"/>
          <w:szCs w:val="22"/>
          <w:lang w:val="sr-Latn-ME" w:eastAsia="sr-Latn-ME"/>
        </w:rPr>
      </w:pPr>
    </w:p>
    <w:p w14:paraId="0BDC8DC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U poređenju sa zdravim kontrolnim ispitanicima vrijednost PIK sitagliptina u plazmi bila je povećana približno 1,2 puta kod pacijenata sa blagim oštećenjem funkcije bubrega (GFR ≥ 60 do &lt; 90 ml/min) i 1,6 puta kod pacijenata sa umjerenim oštećenjem funkcije bubrega (GFR ≥ 45 do &lt; 60 ml/min). </w:t>
      </w:r>
    </w:p>
    <w:p w14:paraId="27371F5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 obzirom na to da ova povećanja nijesu klinički značajna, kod ovih pacijenata nije neophodno prilagođavanje doze.</w:t>
      </w:r>
    </w:p>
    <w:p w14:paraId="08B97073" w14:textId="77777777" w:rsidR="00BE1AF0" w:rsidRDefault="00BE1AF0">
      <w:pPr>
        <w:autoSpaceDE w:val="0"/>
        <w:autoSpaceDN w:val="0"/>
        <w:adjustRightInd w:val="0"/>
        <w:jc w:val="both"/>
        <w:rPr>
          <w:sz w:val="22"/>
          <w:szCs w:val="22"/>
          <w:lang w:val="sr-Latn-ME" w:eastAsia="sr-Latn-ME"/>
        </w:rPr>
      </w:pPr>
    </w:p>
    <w:p w14:paraId="4D1B8F3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Vrijednost PIK sitagliptina u plazmi bila je povećana približno 2 puta kod pacijenata sa umjerenim oštećenjem funkcije bubrega (GFR ≥ 30 do &lt; 45 ml/min) i približno 4 puta kod pacijenata sa teškim oštećenjem funkcije bubrega (GFR &lt; 30 ml/min), uključujući pacijente sa ESRD na hemodijalizi. Sitagliptin se umjereno odstranjivao hemodijalizom (13,5% u toku tročasovne do četvoročasovne hemodijalize koja počinje 4 sata nakon primijenjene doze).</w:t>
      </w:r>
    </w:p>
    <w:p w14:paraId="35522DF6" w14:textId="77777777" w:rsidR="00BE1AF0" w:rsidRDefault="00BE1AF0">
      <w:pPr>
        <w:autoSpaceDE w:val="0"/>
        <w:autoSpaceDN w:val="0"/>
        <w:adjustRightInd w:val="0"/>
        <w:jc w:val="both"/>
        <w:rPr>
          <w:i/>
          <w:iCs/>
          <w:sz w:val="22"/>
          <w:szCs w:val="22"/>
          <w:lang w:val="sr-Latn-ME" w:eastAsia="sr-Latn-ME"/>
        </w:rPr>
      </w:pPr>
    </w:p>
    <w:p w14:paraId="2CBA0F4F"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Oštećenje funkcije jetre</w:t>
      </w:r>
    </w:p>
    <w:p w14:paraId="78EA147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Kod pacijenata sa blagim do umjerenim oštećenjem funkcije jetre (</w:t>
      </w:r>
      <w:r>
        <w:rPr>
          <w:i/>
          <w:sz w:val="22"/>
          <w:szCs w:val="22"/>
          <w:lang w:val="sr-Latn-ME" w:eastAsia="sr-Latn-ME"/>
        </w:rPr>
        <w:t>Child-Pugh</w:t>
      </w:r>
      <w:r>
        <w:rPr>
          <w:sz w:val="22"/>
          <w:szCs w:val="22"/>
          <w:lang w:val="sr-Latn-ME" w:eastAsia="sr-Latn-ME"/>
        </w:rPr>
        <w:t xml:space="preserve"> skor ≤ 9) nije neophodna</w:t>
      </w:r>
    </w:p>
    <w:p w14:paraId="472070C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korekcija doze sitagliptina. Nema kliničkog iskustva sa pacijentima sa teškim oštećenjem funkcije jetre</w:t>
      </w:r>
    </w:p>
    <w:p w14:paraId="4294324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w:t>
      </w:r>
      <w:r>
        <w:rPr>
          <w:i/>
          <w:iCs/>
          <w:sz w:val="22"/>
          <w:szCs w:val="22"/>
          <w:lang w:val="sr-Latn-ME" w:eastAsia="sr-Latn-ME"/>
        </w:rPr>
        <w:t xml:space="preserve">Child-Pugh </w:t>
      </w:r>
      <w:r>
        <w:rPr>
          <w:sz w:val="22"/>
          <w:szCs w:val="22"/>
          <w:lang w:val="sr-Latn-ME" w:eastAsia="sr-Latn-ME"/>
        </w:rPr>
        <w:t>skor &gt; 9). Međutim, pošto se sitagliptin primarno eliminiše preko bubrega, ne očekuje se da teška oštećenja funkcije jetre utiču na farmakokinetiku sitagliptina.</w:t>
      </w:r>
    </w:p>
    <w:p w14:paraId="4A59A469" w14:textId="77777777" w:rsidR="00BE1AF0" w:rsidRDefault="00BE1AF0">
      <w:pPr>
        <w:autoSpaceDE w:val="0"/>
        <w:autoSpaceDN w:val="0"/>
        <w:adjustRightInd w:val="0"/>
        <w:jc w:val="both"/>
        <w:rPr>
          <w:sz w:val="22"/>
          <w:szCs w:val="22"/>
          <w:lang w:val="sr-Latn-ME" w:eastAsia="sr-Latn-ME"/>
        </w:rPr>
      </w:pPr>
    </w:p>
    <w:p w14:paraId="6C052915" w14:textId="77777777" w:rsidR="00BE1AF0" w:rsidRDefault="004F0139">
      <w:pPr>
        <w:autoSpaceDE w:val="0"/>
        <w:autoSpaceDN w:val="0"/>
        <w:adjustRightInd w:val="0"/>
        <w:jc w:val="both"/>
        <w:rPr>
          <w:iCs/>
          <w:sz w:val="22"/>
          <w:szCs w:val="22"/>
          <w:u w:val="single"/>
          <w:lang w:val="sr-Latn-ME" w:eastAsia="sr-Latn-ME"/>
        </w:rPr>
      </w:pPr>
      <w:r>
        <w:rPr>
          <w:sz w:val="22"/>
          <w:szCs w:val="22"/>
          <w:u w:val="single"/>
          <w:lang w:val="sr-Latn-ME" w:eastAsia="sr-Latn-ME"/>
        </w:rPr>
        <w:t>S</w:t>
      </w:r>
      <w:r>
        <w:rPr>
          <w:iCs/>
          <w:sz w:val="22"/>
          <w:szCs w:val="22"/>
          <w:u w:val="single"/>
          <w:lang w:val="sr-Latn-ME" w:eastAsia="sr-Latn-ME"/>
        </w:rPr>
        <w:t>tarije osobe</w:t>
      </w:r>
    </w:p>
    <w:p w14:paraId="1D05FBC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Nije potrebna korekcija doze u zavisnosti od životnog doba. Sudeći po podacima iz populacione farmakokinetičke analize faze I i faze II, životno doba nema klinički značajan uticaj na farmakokinetiku</w:t>
      </w:r>
    </w:p>
    <w:p w14:paraId="09989933"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sitagliptina. Koncentracije sitagliptina u plazmi bile su oko 19% više kod starijih ispitanika (od 65 do 80 godina) nego kod mlađih ispitanika.</w:t>
      </w:r>
    </w:p>
    <w:p w14:paraId="3E39EAD5" w14:textId="77777777" w:rsidR="00BE1AF0" w:rsidRDefault="00BE1AF0">
      <w:pPr>
        <w:autoSpaceDE w:val="0"/>
        <w:autoSpaceDN w:val="0"/>
        <w:adjustRightInd w:val="0"/>
        <w:jc w:val="both"/>
        <w:rPr>
          <w:i/>
          <w:iCs/>
          <w:sz w:val="22"/>
          <w:szCs w:val="22"/>
          <w:lang w:val="sr-Latn-ME" w:eastAsia="sr-Latn-ME"/>
        </w:rPr>
      </w:pPr>
    </w:p>
    <w:p w14:paraId="4EF2B4C9"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Pedijatrijski pacijenti</w:t>
      </w:r>
    </w:p>
    <w:p w14:paraId="500E60D4" w14:textId="77777777" w:rsidR="00BE1AF0" w:rsidRDefault="004F0139">
      <w:pPr>
        <w:autoSpaceDE w:val="0"/>
        <w:autoSpaceDN w:val="0"/>
        <w:adjustRightInd w:val="0"/>
        <w:jc w:val="both"/>
        <w:rPr>
          <w:sz w:val="22"/>
          <w:szCs w:val="22"/>
          <w:lang w:val="sl-SI" w:eastAsia="sr-Latn-ME"/>
        </w:rPr>
      </w:pPr>
      <w:r>
        <w:rPr>
          <w:sz w:val="22"/>
          <w:szCs w:val="22"/>
          <w:lang w:eastAsia="sr-Latn-ME"/>
        </w:rPr>
        <w:t>Farmakokinetika sitagliptina (nakon jedne doze od 50 mg, 100 mg ili 200 mg) ispitivala se kod pedijatrijskih pacijenata (uzrasta od 10 do 17 godina) s dijabetesom tipa 2. U toj populaciji je dozno prilagođen  PIK sitagliptina u plazmi bio približno 18% niži nego kod odraslih pacijenata s dijabetesom tipa 2 nakon primjene doze od 100 mg. Nijesu sprovedena ispitivanja sitagliptina kod pedijatrijskih pacijenata mlađih od 10 godina.</w:t>
      </w:r>
    </w:p>
    <w:p w14:paraId="52A58EBD" w14:textId="77777777" w:rsidR="00BE1AF0" w:rsidRDefault="00BE1AF0">
      <w:pPr>
        <w:autoSpaceDE w:val="0"/>
        <w:autoSpaceDN w:val="0"/>
        <w:adjustRightInd w:val="0"/>
        <w:jc w:val="both"/>
        <w:rPr>
          <w:i/>
          <w:iCs/>
          <w:sz w:val="22"/>
          <w:szCs w:val="22"/>
          <w:lang w:val="sr-Latn-ME" w:eastAsia="sr-Latn-ME"/>
        </w:rPr>
      </w:pPr>
    </w:p>
    <w:p w14:paraId="3461CDD0"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Ostale grupe pacijenata</w:t>
      </w:r>
    </w:p>
    <w:p w14:paraId="272186A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Nijesu neophodne korekcije doza u zavisnosti od pola, rase ili indeksa tjelesne mase (BMI). Sudeći prema kombinovanoj analizi farmakokinetičkih podataka faze I i podataka iz farmakokinetičke populacione analize u fazi I i fazi II, ove karakteristike nijesu imale klinički značajan uticaj na farmakokinetiku sitagliptina. </w:t>
      </w:r>
    </w:p>
    <w:p w14:paraId="4C3738DD" w14:textId="77777777" w:rsidR="00BE1AF0" w:rsidRDefault="00BE1AF0">
      <w:pPr>
        <w:autoSpaceDE w:val="0"/>
        <w:autoSpaceDN w:val="0"/>
        <w:adjustRightInd w:val="0"/>
        <w:jc w:val="both"/>
        <w:rPr>
          <w:sz w:val="22"/>
          <w:szCs w:val="22"/>
          <w:lang w:val="sr-Latn-ME" w:eastAsia="sr-Latn-ME"/>
        </w:rPr>
      </w:pPr>
    </w:p>
    <w:p w14:paraId="7D8D56B7" w14:textId="77777777" w:rsidR="00BE1AF0" w:rsidRDefault="004F0139">
      <w:pPr>
        <w:autoSpaceDE w:val="0"/>
        <w:autoSpaceDN w:val="0"/>
        <w:adjustRightInd w:val="0"/>
        <w:jc w:val="both"/>
        <w:rPr>
          <w:i/>
          <w:sz w:val="22"/>
          <w:szCs w:val="22"/>
          <w:lang w:val="sr-Latn-ME" w:eastAsia="sr-Latn-ME"/>
        </w:rPr>
      </w:pPr>
      <w:r>
        <w:rPr>
          <w:i/>
          <w:sz w:val="22"/>
          <w:szCs w:val="22"/>
          <w:lang w:val="sr-Latn-ME" w:eastAsia="sr-Latn-ME"/>
        </w:rPr>
        <w:t>Metformin</w:t>
      </w:r>
    </w:p>
    <w:p w14:paraId="3244A1EB"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Resorpcija</w:t>
      </w:r>
    </w:p>
    <w:p w14:paraId="0E047C8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T</w:t>
      </w:r>
      <w:r>
        <w:rPr>
          <w:sz w:val="22"/>
          <w:szCs w:val="22"/>
          <w:vertAlign w:val="subscript"/>
          <w:lang w:val="sr-Latn-ME" w:eastAsia="sr-Latn-ME"/>
        </w:rPr>
        <w:t>max</w:t>
      </w:r>
      <w:r>
        <w:rPr>
          <w:sz w:val="22"/>
          <w:szCs w:val="22"/>
          <w:lang w:val="sr-Latn-ME" w:eastAsia="sr-Latn-ME"/>
        </w:rPr>
        <w:t xml:space="preserve"> se dostiže 2,5 sati nakon oralne doze metformina. Apsolutna bioraspoloživost tablete od 500 mg metformina iznosi oko 50-60% kod zdravih ispitanika. Poslije oralne doze, neresorbovana frakcija izlučena fecesom iznosila je 20-30%.</w:t>
      </w:r>
    </w:p>
    <w:p w14:paraId="5D2A1DCF" w14:textId="77777777" w:rsidR="00BE1AF0" w:rsidRDefault="00BE1AF0">
      <w:pPr>
        <w:autoSpaceDE w:val="0"/>
        <w:autoSpaceDN w:val="0"/>
        <w:adjustRightInd w:val="0"/>
        <w:jc w:val="both"/>
        <w:rPr>
          <w:sz w:val="22"/>
          <w:szCs w:val="22"/>
          <w:lang w:val="sr-Latn-ME" w:eastAsia="sr-Latn-ME"/>
        </w:rPr>
      </w:pPr>
    </w:p>
    <w:p w14:paraId="33C6751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Resorpcija metformina nakon oralne primjene je zasićena i nepotpuna. Pretpostavlja se da je farmakokinetika resorpcije metformina nelinearna. Tokom uobičajenog doziranja metformina, ravnotežna koncentracija u plazmi dostiže se između 24 i 48 sati i generalno je manja od 1 </w:t>
      </w:r>
      <w:r>
        <w:rPr>
          <w:sz w:val="22"/>
          <w:szCs w:val="22"/>
          <w:lang w:val="sr-Latn-ME"/>
        </w:rPr>
        <w:t>μg</w:t>
      </w:r>
      <w:r>
        <w:rPr>
          <w:sz w:val="22"/>
          <w:szCs w:val="22"/>
          <w:lang w:val="sr-Latn-ME" w:eastAsia="sr-Latn-ME"/>
        </w:rPr>
        <w:t>/ml. U kontrolisanim kliničkim studijama maksimalna koncentracija metformina u plazmi (C</w:t>
      </w:r>
      <w:r>
        <w:rPr>
          <w:sz w:val="22"/>
          <w:szCs w:val="22"/>
          <w:vertAlign w:val="superscript"/>
          <w:lang w:val="sr-Latn-ME" w:eastAsia="sr-Latn-ME"/>
        </w:rPr>
        <w:t>max</w:t>
      </w:r>
      <w:r>
        <w:rPr>
          <w:sz w:val="22"/>
          <w:szCs w:val="22"/>
          <w:lang w:val="sr-Latn-ME" w:eastAsia="sr-Latn-ME"/>
        </w:rPr>
        <w:t>) nije prelazila 5 </w:t>
      </w:r>
      <w:r>
        <w:rPr>
          <w:sz w:val="22"/>
          <w:szCs w:val="22"/>
          <w:lang w:val="sr-Latn-ME"/>
        </w:rPr>
        <w:t>μg/</w:t>
      </w:r>
      <w:r>
        <w:rPr>
          <w:sz w:val="22"/>
          <w:szCs w:val="22"/>
          <w:lang w:val="sr-Latn-ME" w:eastAsia="sr-Latn-ME"/>
        </w:rPr>
        <w:t>ml, čak ni pri maksimalnim dozama.</w:t>
      </w:r>
    </w:p>
    <w:p w14:paraId="5F8642CD" w14:textId="77777777" w:rsidR="00BE1AF0" w:rsidRDefault="00BE1AF0">
      <w:pPr>
        <w:autoSpaceDE w:val="0"/>
        <w:autoSpaceDN w:val="0"/>
        <w:adjustRightInd w:val="0"/>
        <w:jc w:val="both"/>
        <w:rPr>
          <w:sz w:val="22"/>
          <w:szCs w:val="22"/>
          <w:lang w:val="sr-Latn-ME" w:eastAsia="sr-Latn-ME"/>
        </w:rPr>
      </w:pPr>
    </w:p>
    <w:p w14:paraId="3CBD97B4"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Hrana smanjuje stepen i blago usporava resorpciju metformina. Nakon primjene doze od 850 mg, primijećeno je smanjenje za 40% maksimalne koncentracije u plazmi, smanjenje za 25% vrijednosti PIK i za 35 minuta produženo vrijeme do postizanja maksimalne koncentracije u plazmi. Klinički značaj pomenutih smanjenja nije poznat.</w:t>
      </w:r>
    </w:p>
    <w:p w14:paraId="50719713" w14:textId="77777777" w:rsidR="00BE1AF0" w:rsidRDefault="00BE1AF0">
      <w:pPr>
        <w:autoSpaceDE w:val="0"/>
        <w:autoSpaceDN w:val="0"/>
        <w:adjustRightInd w:val="0"/>
        <w:jc w:val="both"/>
        <w:rPr>
          <w:i/>
          <w:iCs/>
          <w:sz w:val="22"/>
          <w:szCs w:val="22"/>
          <w:lang w:val="sr-Latn-ME" w:eastAsia="sr-Latn-ME"/>
        </w:rPr>
      </w:pPr>
    </w:p>
    <w:p w14:paraId="30BDA712"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Distribucija</w:t>
      </w:r>
    </w:p>
    <w:p w14:paraId="76BF17F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Vezivanje za proteine plazme je zanemarljivo. Metformin ulazi u eritrocite. Maksimalna koncentracija u krvi je niža od maksimalne koncentracije u plazmi i do njih dolazi skoro u isto vrijeme. Eritrociti najvjerovatnije predstavljaju sekundarni prostor distribucije. Srednji volumen distribucije (Vd) kreće se između 63-276 l.</w:t>
      </w:r>
    </w:p>
    <w:p w14:paraId="1C07EC1A" w14:textId="77777777" w:rsidR="00BE1AF0" w:rsidRDefault="00BE1AF0">
      <w:pPr>
        <w:autoSpaceDE w:val="0"/>
        <w:autoSpaceDN w:val="0"/>
        <w:adjustRightInd w:val="0"/>
        <w:jc w:val="both"/>
        <w:rPr>
          <w:i/>
          <w:iCs/>
          <w:sz w:val="22"/>
          <w:szCs w:val="22"/>
          <w:lang w:val="sr-Latn-ME" w:eastAsia="sr-Latn-ME"/>
        </w:rPr>
      </w:pPr>
    </w:p>
    <w:p w14:paraId="76F954EB"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Biotransformacija</w:t>
      </w:r>
    </w:p>
    <w:p w14:paraId="563BB368"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Metformin se izlučuje nepromijenjen u urin. Kod ljudi nijesu otkriveni metaboliti.</w:t>
      </w:r>
    </w:p>
    <w:p w14:paraId="4B5E7652" w14:textId="77777777" w:rsidR="00BE1AF0" w:rsidRDefault="00BE1AF0">
      <w:pPr>
        <w:autoSpaceDE w:val="0"/>
        <w:autoSpaceDN w:val="0"/>
        <w:adjustRightInd w:val="0"/>
        <w:jc w:val="both"/>
        <w:rPr>
          <w:i/>
          <w:iCs/>
          <w:sz w:val="22"/>
          <w:szCs w:val="22"/>
          <w:lang w:val="sr-Latn-ME" w:eastAsia="sr-Latn-ME"/>
        </w:rPr>
      </w:pPr>
    </w:p>
    <w:p w14:paraId="01EE03F4" w14:textId="77777777" w:rsidR="00BE1AF0" w:rsidRDefault="004F0139">
      <w:pPr>
        <w:autoSpaceDE w:val="0"/>
        <w:autoSpaceDN w:val="0"/>
        <w:adjustRightInd w:val="0"/>
        <w:jc w:val="both"/>
        <w:rPr>
          <w:iCs/>
          <w:sz w:val="22"/>
          <w:szCs w:val="22"/>
          <w:u w:val="single"/>
          <w:lang w:val="sr-Latn-ME" w:eastAsia="sr-Latn-ME"/>
        </w:rPr>
      </w:pPr>
      <w:r>
        <w:rPr>
          <w:iCs/>
          <w:sz w:val="22"/>
          <w:szCs w:val="22"/>
          <w:u w:val="single"/>
          <w:lang w:val="sr-Latn-ME" w:eastAsia="sr-Latn-ME"/>
        </w:rPr>
        <w:t>Izlučivanje</w:t>
      </w:r>
    </w:p>
    <w:p w14:paraId="231A6B2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Renalni klirens metformina iznosi &gt; 400 ml/min, što ukazuje na to da se metformin izlučuje glomerularnom filtracijom i tubularnom sekrecijom. Prividno terminalno poluvrijeme eliminacije nakon oralne doze iznosi oko 6,5 sati. Kada je oštećena funkcija bubrega, smanjuje se renalni klirens proporcionalno klirensu kreatinina, tako da se produžava poluvrijeme eliminacije, što dovodi do povećanih koncentracija metformina u plazmi.</w:t>
      </w:r>
    </w:p>
    <w:p w14:paraId="478D83E6" w14:textId="77777777" w:rsidR="00BE1AF0" w:rsidRDefault="00BE1AF0">
      <w:pPr>
        <w:tabs>
          <w:tab w:val="left" w:pos="540"/>
          <w:tab w:val="left" w:pos="569"/>
        </w:tabs>
        <w:jc w:val="both"/>
        <w:rPr>
          <w:bCs/>
          <w:sz w:val="22"/>
          <w:szCs w:val="22"/>
          <w:lang w:val="sr-Latn-ME"/>
        </w:rPr>
      </w:pPr>
    </w:p>
    <w:p w14:paraId="1B09D909" w14:textId="77777777" w:rsidR="00BE1AF0" w:rsidRDefault="004F0139">
      <w:pPr>
        <w:tabs>
          <w:tab w:val="left" w:pos="540"/>
          <w:tab w:val="left" w:pos="569"/>
        </w:tabs>
        <w:jc w:val="both"/>
        <w:rPr>
          <w:b/>
          <w:bCs/>
          <w:sz w:val="22"/>
          <w:szCs w:val="22"/>
        </w:rPr>
      </w:pPr>
      <w:r>
        <w:rPr>
          <w:b/>
          <w:bCs/>
          <w:sz w:val="22"/>
          <w:szCs w:val="22"/>
        </w:rPr>
        <w:t xml:space="preserve">5.3. </w:t>
      </w:r>
      <w:r>
        <w:rPr>
          <w:b/>
          <w:bCs/>
          <w:sz w:val="22"/>
          <w:szCs w:val="22"/>
        </w:rPr>
        <w:tab/>
        <w:t xml:space="preserve">Pretklinički podaci o bezbjednosti </w:t>
      </w:r>
    </w:p>
    <w:p w14:paraId="63D7F6E0" w14:textId="77777777" w:rsidR="00BE1AF0" w:rsidRDefault="00BE1AF0">
      <w:pPr>
        <w:tabs>
          <w:tab w:val="left" w:pos="540"/>
          <w:tab w:val="left" w:pos="569"/>
        </w:tabs>
        <w:jc w:val="both"/>
        <w:rPr>
          <w:b/>
          <w:bCs/>
          <w:sz w:val="22"/>
          <w:szCs w:val="22"/>
        </w:rPr>
      </w:pPr>
    </w:p>
    <w:p w14:paraId="6F26C99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Nijesu sprovedene studije na životinjama sa lijekom Maymetsi.</w:t>
      </w:r>
    </w:p>
    <w:p w14:paraId="3E107402" w14:textId="77777777" w:rsidR="00BE1AF0" w:rsidRDefault="00BE1AF0">
      <w:pPr>
        <w:autoSpaceDE w:val="0"/>
        <w:autoSpaceDN w:val="0"/>
        <w:adjustRightInd w:val="0"/>
        <w:jc w:val="both"/>
        <w:rPr>
          <w:sz w:val="22"/>
          <w:szCs w:val="22"/>
          <w:lang w:val="sr-Latn-ME" w:eastAsia="sr-Latn-ME"/>
        </w:rPr>
      </w:pPr>
    </w:p>
    <w:p w14:paraId="183F3597"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Nije primijećena dodatna toksičnost kombinacije metformina i sitagliptina u odnosu na sam metformin u 16-nedjeljnim studijama na psima. U tim studijama nivo bez uočenog efekta (eng. </w:t>
      </w:r>
      <w:r>
        <w:rPr>
          <w:i/>
          <w:iCs/>
          <w:sz w:val="22"/>
          <w:szCs w:val="22"/>
          <w:lang w:val="sr-Latn-ME" w:eastAsia="sr-Latn-ME"/>
        </w:rPr>
        <w:t>No Observed Effect Level</w:t>
      </w:r>
      <w:r>
        <w:rPr>
          <w:sz w:val="22"/>
          <w:szCs w:val="22"/>
          <w:lang w:val="sr-Latn-ME" w:eastAsia="sr-Latn-ME"/>
        </w:rPr>
        <w:t xml:space="preserve"> – NOEL) zapažen je pri izloženosti metforminu koja je oko 2,5 veća od izloženosti kod ljudi i pri izloženosti sitagliptinu koja je oko 6 puta veća od izloženosti kod ljudi.</w:t>
      </w:r>
    </w:p>
    <w:p w14:paraId="4BF7928F" w14:textId="77777777" w:rsidR="00BE1AF0" w:rsidRDefault="00BE1AF0">
      <w:pPr>
        <w:autoSpaceDE w:val="0"/>
        <w:autoSpaceDN w:val="0"/>
        <w:adjustRightInd w:val="0"/>
        <w:jc w:val="both"/>
        <w:rPr>
          <w:sz w:val="22"/>
          <w:szCs w:val="22"/>
          <w:lang w:val="sr-Latn-ME" w:eastAsia="sr-Latn-ME"/>
        </w:rPr>
      </w:pPr>
    </w:p>
    <w:p w14:paraId="73BE545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Sljedeći podaci predstavljaju saznanja dobijena u studijama koje su sprovođene pojedinačno sa metforminom ili sitagliptinom.</w:t>
      </w:r>
    </w:p>
    <w:p w14:paraId="67B63FA8" w14:textId="77777777" w:rsidR="00BE1AF0" w:rsidRDefault="00BE1AF0">
      <w:pPr>
        <w:autoSpaceDE w:val="0"/>
        <w:autoSpaceDN w:val="0"/>
        <w:adjustRightInd w:val="0"/>
        <w:jc w:val="both"/>
        <w:rPr>
          <w:sz w:val="22"/>
          <w:szCs w:val="22"/>
          <w:lang w:val="sr-Latn-ME" w:eastAsia="sr-Latn-ME"/>
        </w:rPr>
      </w:pPr>
    </w:p>
    <w:p w14:paraId="55B4F6C2"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Sitagliptin</w:t>
      </w:r>
    </w:p>
    <w:p w14:paraId="1A6B4B71"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Kod glodara je primijećena toksičnost za bubrege i jetru pri sistemskoj izloženosti 58 puta višoj od one kod ljudi, a otkriveno je da izloženost 19 puta viša od one kod ljudi nije imala uticaja. Kod pacova su primijećene abnormalnosti sjekutića pri izloženosti 67 puta višoj od nivoa kliničke izloženosti; na osnovu podataka iz 14-nedjeljne studije na pacovima izloženost bez uticaja u pogledu ovog toksičnog efekta je bila 58 puta viša. Nije poznat značaj ovih saznanja za ljude. Pri izloženosti oko 23 puta višoj od nivoa kliničke izloženosti kod pasa primijećeni su prolazni fizički znaci u vezi sa terapijom, od kojih neki navode na zaključak o neurotoksičnosti, kao što su disanje otvorenih usta, pojačana salivacija, povraćanje pjenastog bijelog sadržaja, ataksija, drhtanje, smanjena aktivnost i/ili pogureno držanje. Osim toga, histološki je primijećena i vrlo blaga ili blaga degeneracija skeletnih mišića pri dozama koje </w:t>
      </w:r>
      <w:r>
        <w:rPr>
          <w:sz w:val="22"/>
          <w:szCs w:val="22"/>
          <w:lang w:val="sr-Latn-ME" w:eastAsia="sr-Latn-ME"/>
        </w:rPr>
        <w:lastRenderedPageBreak/>
        <w:t>su dovodile do sistemske izloženosti oko 23 puta veće od one kod ljudi. Nivo lijeka bez uticaja na ovaj rezultat zapažen je pri izloženosti koja je 6 puta veća od nivoa kliničke izloženosti.</w:t>
      </w:r>
    </w:p>
    <w:p w14:paraId="2139F529" w14:textId="77777777" w:rsidR="00BE1AF0" w:rsidRDefault="00BE1AF0">
      <w:pPr>
        <w:autoSpaceDE w:val="0"/>
        <w:autoSpaceDN w:val="0"/>
        <w:adjustRightInd w:val="0"/>
        <w:jc w:val="both"/>
        <w:rPr>
          <w:sz w:val="22"/>
          <w:szCs w:val="22"/>
          <w:lang w:val="sr-Latn-ME" w:eastAsia="sr-Latn-ME"/>
        </w:rPr>
      </w:pPr>
    </w:p>
    <w:p w14:paraId="477EE7D5"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 xml:space="preserve">U pretkliničkim studijama nije pokazana genotoksičnost sitagliptina. Sitagliptin nije bio karcinogen kod miševa. Kod pacova je bila povećana incidenca adenoma i karcinoma jetre pri sistemskoj izloženosti 58 puta većoj od izloženosti kod ljudi. Pošto je utvrđena korelacija između hepatotoksičnosti lijeka i nastanka neoplazija u jetri pacova, pri tako visokoj dozi vjerovatno je povećana učestalost tumora jetre posljedica hroničnog toksičnog djelovanja na jetru. Budući da su bezbjednosne granice visoke (19 puta veće od nivoa bez uočenog efekta), ove se neoplazije ne smatraju relevantnim za primjenu lijeka kod ljudi. </w:t>
      </w:r>
    </w:p>
    <w:p w14:paraId="6A90AA39" w14:textId="77777777" w:rsidR="00BE1AF0" w:rsidRDefault="00BE1AF0">
      <w:pPr>
        <w:autoSpaceDE w:val="0"/>
        <w:autoSpaceDN w:val="0"/>
        <w:adjustRightInd w:val="0"/>
        <w:jc w:val="both"/>
        <w:rPr>
          <w:sz w:val="22"/>
          <w:szCs w:val="22"/>
          <w:lang w:val="sr-Latn-ME" w:eastAsia="sr-Latn-ME"/>
        </w:rPr>
      </w:pPr>
    </w:p>
    <w:p w14:paraId="4ADF305C"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Kod mužjaka i ženki pacova koji su sitagliptin primali prije i u toku parenja nijesu primijećeni uticaji na plodnost u vezi sa primjenom lijeka.</w:t>
      </w:r>
    </w:p>
    <w:p w14:paraId="6F4F2996" w14:textId="77777777" w:rsidR="00BE1AF0" w:rsidRDefault="00BE1AF0">
      <w:pPr>
        <w:autoSpaceDE w:val="0"/>
        <w:autoSpaceDN w:val="0"/>
        <w:adjustRightInd w:val="0"/>
        <w:jc w:val="both"/>
        <w:rPr>
          <w:sz w:val="22"/>
          <w:szCs w:val="22"/>
          <w:lang w:val="sr-Latn-ME" w:eastAsia="sr-Latn-ME"/>
        </w:rPr>
      </w:pPr>
    </w:p>
    <w:p w14:paraId="4AFB5C79"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Sitagliptin nije pokazivao neželjena dejstva u studiji prenatalnog/postnatalnog razvoja sprovedenoj na</w:t>
      </w:r>
    </w:p>
    <w:p w14:paraId="281766E6"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pacovima.</w:t>
      </w:r>
    </w:p>
    <w:p w14:paraId="24D35056" w14:textId="77777777" w:rsidR="00BE1AF0" w:rsidRDefault="00BE1AF0">
      <w:pPr>
        <w:autoSpaceDE w:val="0"/>
        <w:autoSpaceDN w:val="0"/>
        <w:adjustRightInd w:val="0"/>
        <w:jc w:val="both"/>
        <w:rPr>
          <w:sz w:val="22"/>
          <w:szCs w:val="22"/>
          <w:lang w:val="sr-Latn-ME" w:eastAsia="sr-Latn-ME"/>
        </w:rPr>
      </w:pPr>
    </w:p>
    <w:p w14:paraId="59BDB15B"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Studije reproduktivne toksičnosti pokazale su neznatno povećanu učestalost prenatalnih malformacija rebara povezanih sa primjenom lijeka (nedostatak rebara, hipoplastična ili talasasta rebra) kod mladunčadi pacova pri sistemskoj izloženosti 29 puta većoj od izloženosti koja se postiže kod ljudi. Toksičnost za majku uočena je kod ženki kunića pri 29 puta višem nivou izloženosti nego kod ljudi. Budući da je granica bezbjednosti visoka, ova saznanja ne upućuju na to da postoji značajan rizik za reprodukciju kod ljudi. Sitagliptin se u znatnim količinama izlučuje u mlijeko ženki pacova (odnos mlijeko/plazma: 4:1).</w:t>
      </w:r>
    </w:p>
    <w:p w14:paraId="5D49E026" w14:textId="77777777" w:rsidR="00BE1AF0" w:rsidRDefault="00BE1AF0">
      <w:pPr>
        <w:autoSpaceDE w:val="0"/>
        <w:autoSpaceDN w:val="0"/>
        <w:adjustRightInd w:val="0"/>
        <w:jc w:val="both"/>
        <w:rPr>
          <w:sz w:val="22"/>
          <w:szCs w:val="22"/>
          <w:lang w:val="sr-Latn-ME" w:eastAsia="sr-Latn-ME"/>
        </w:rPr>
      </w:pPr>
    </w:p>
    <w:p w14:paraId="762907D0" w14:textId="77777777" w:rsidR="00BE1AF0" w:rsidRDefault="004F0139">
      <w:pPr>
        <w:autoSpaceDE w:val="0"/>
        <w:autoSpaceDN w:val="0"/>
        <w:adjustRightInd w:val="0"/>
        <w:jc w:val="both"/>
        <w:rPr>
          <w:sz w:val="22"/>
          <w:szCs w:val="22"/>
          <w:u w:val="single"/>
          <w:lang w:val="sr-Latn-ME" w:eastAsia="sr-Latn-ME"/>
        </w:rPr>
      </w:pPr>
      <w:r>
        <w:rPr>
          <w:sz w:val="22"/>
          <w:szCs w:val="22"/>
          <w:u w:val="single"/>
          <w:lang w:val="sr-Latn-ME" w:eastAsia="sr-Latn-ME"/>
        </w:rPr>
        <w:t>Metformin</w:t>
      </w:r>
    </w:p>
    <w:p w14:paraId="1F1DB9FD" w14:textId="77777777" w:rsidR="00BE1AF0" w:rsidRDefault="004F0139">
      <w:pPr>
        <w:autoSpaceDE w:val="0"/>
        <w:autoSpaceDN w:val="0"/>
        <w:adjustRightInd w:val="0"/>
        <w:jc w:val="both"/>
        <w:rPr>
          <w:sz w:val="22"/>
          <w:szCs w:val="22"/>
          <w:lang w:val="sr-Latn-ME" w:eastAsia="sr-Latn-ME"/>
        </w:rPr>
      </w:pPr>
      <w:r>
        <w:rPr>
          <w:sz w:val="22"/>
          <w:szCs w:val="22"/>
          <w:lang w:val="sr-Latn-ME" w:eastAsia="sr-Latn-ME"/>
        </w:rPr>
        <w:t>Pretklinički podaci o bezbjednosti metformina zasnovani na konvencionalnim studijama bezbjednosne farmakologije, toksičnosti pri ponovljenim dozama, genotoksičnosti, kancerogenog potencijala i reproduktivne toksičnosti ne ukazuju na posebne rizike pri primjeni ovog lijeka kod ljudi.</w:t>
      </w:r>
    </w:p>
    <w:p w14:paraId="5274E977" w14:textId="77777777" w:rsidR="00BE1AF0" w:rsidRDefault="00BE1AF0">
      <w:pPr>
        <w:tabs>
          <w:tab w:val="left" w:pos="540"/>
          <w:tab w:val="left" w:pos="569"/>
        </w:tabs>
        <w:rPr>
          <w:bCs/>
          <w:sz w:val="22"/>
          <w:szCs w:val="22"/>
          <w:lang w:val="sr-Latn-ME"/>
        </w:rPr>
      </w:pPr>
    </w:p>
    <w:p w14:paraId="6A2D49CD" w14:textId="77777777" w:rsidR="00BE1AF0" w:rsidRDefault="00BE1AF0">
      <w:pPr>
        <w:tabs>
          <w:tab w:val="left" w:pos="540"/>
          <w:tab w:val="left" w:pos="569"/>
        </w:tabs>
        <w:rPr>
          <w:b/>
          <w:bCs/>
          <w:sz w:val="22"/>
          <w:szCs w:val="22"/>
          <w:lang w:val="sr-Latn-ME"/>
        </w:rPr>
      </w:pPr>
    </w:p>
    <w:p w14:paraId="667539ED" w14:textId="77777777" w:rsidR="00BE1AF0" w:rsidRDefault="004F0139">
      <w:pPr>
        <w:tabs>
          <w:tab w:val="left" w:pos="540"/>
          <w:tab w:val="left" w:pos="569"/>
        </w:tabs>
        <w:rPr>
          <w:b/>
          <w:bCs/>
          <w:sz w:val="22"/>
          <w:szCs w:val="22"/>
          <w:lang w:val="sr-Latn-ME"/>
        </w:rPr>
      </w:pPr>
      <w:r>
        <w:rPr>
          <w:b/>
          <w:bCs/>
          <w:sz w:val="22"/>
          <w:szCs w:val="22"/>
          <w:lang w:val="sr-Latn-ME"/>
        </w:rPr>
        <w:t xml:space="preserve">6. </w:t>
      </w:r>
      <w:r>
        <w:rPr>
          <w:b/>
          <w:bCs/>
          <w:sz w:val="22"/>
          <w:szCs w:val="22"/>
          <w:lang w:val="sr-Latn-ME"/>
        </w:rPr>
        <w:tab/>
      </w:r>
      <w:r>
        <w:rPr>
          <w:b/>
          <w:bCs/>
          <w:sz w:val="22"/>
          <w:szCs w:val="22"/>
        </w:rPr>
        <w:t>FARMACEUTSKI</w:t>
      </w:r>
      <w:r>
        <w:rPr>
          <w:b/>
          <w:bCs/>
          <w:sz w:val="22"/>
          <w:szCs w:val="22"/>
          <w:lang w:val="sr-Latn-ME"/>
        </w:rPr>
        <w:t xml:space="preserve"> </w:t>
      </w:r>
      <w:r>
        <w:rPr>
          <w:b/>
          <w:bCs/>
          <w:sz w:val="22"/>
          <w:szCs w:val="22"/>
        </w:rPr>
        <w:t>PODACI</w:t>
      </w:r>
    </w:p>
    <w:p w14:paraId="3A3C2DFD" w14:textId="77777777" w:rsidR="00BE1AF0" w:rsidRDefault="00BE1AF0">
      <w:pPr>
        <w:tabs>
          <w:tab w:val="left" w:pos="540"/>
          <w:tab w:val="left" w:pos="569"/>
        </w:tabs>
        <w:rPr>
          <w:bCs/>
          <w:sz w:val="22"/>
          <w:szCs w:val="22"/>
          <w:lang w:val="sr-Latn-ME"/>
        </w:rPr>
      </w:pPr>
    </w:p>
    <w:p w14:paraId="31BD042D" w14:textId="77777777" w:rsidR="00BE1AF0" w:rsidRDefault="004F0139">
      <w:pPr>
        <w:tabs>
          <w:tab w:val="left" w:pos="540"/>
          <w:tab w:val="left" w:pos="569"/>
        </w:tabs>
        <w:rPr>
          <w:b/>
          <w:bCs/>
          <w:sz w:val="22"/>
          <w:szCs w:val="22"/>
          <w:lang w:val="sr-Latn-ME"/>
        </w:rPr>
      </w:pPr>
      <w:r>
        <w:rPr>
          <w:b/>
          <w:bCs/>
          <w:sz w:val="22"/>
          <w:szCs w:val="22"/>
          <w:lang w:val="sr-Latn-ME"/>
        </w:rPr>
        <w:t xml:space="preserve">6.1. </w:t>
      </w:r>
      <w:r>
        <w:rPr>
          <w:b/>
          <w:bCs/>
          <w:sz w:val="22"/>
          <w:szCs w:val="22"/>
          <w:lang w:val="sr-Latn-ME"/>
        </w:rPr>
        <w:tab/>
      </w:r>
      <w:r>
        <w:rPr>
          <w:b/>
          <w:bCs/>
          <w:sz w:val="22"/>
          <w:szCs w:val="22"/>
        </w:rPr>
        <w:t>Lista</w:t>
      </w:r>
      <w:r>
        <w:rPr>
          <w:b/>
          <w:bCs/>
          <w:sz w:val="22"/>
          <w:szCs w:val="22"/>
          <w:lang w:val="sr-Latn-ME"/>
        </w:rPr>
        <w:t xml:space="preserve"> </w:t>
      </w:r>
      <w:r>
        <w:rPr>
          <w:b/>
          <w:bCs/>
          <w:sz w:val="22"/>
          <w:szCs w:val="22"/>
        </w:rPr>
        <w:t>pomo</w:t>
      </w:r>
      <w:r>
        <w:rPr>
          <w:b/>
          <w:bCs/>
          <w:sz w:val="22"/>
          <w:szCs w:val="22"/>
          <w:lang w:val="sr-Latn-ME"/>
        </w:rPr>
        <w:t>ć</w:t>
      </w:r>
      <w:r>
        <w:rPr>
          <w:b/>
          <w:bCs/>
          <w:sz w:val="22"/>
          <w:szCs w:val="22"/>
        </w:rPr>
        <w:t>nih</w:t>
      </w:r>
      <w:r>
        <w:rPr>
          <w:b/>
          <w:bCs/>
          <w:sz w:val="22"/>
          <w:szCs w:val="22"/>
          <w:lang w:val="sr-Latn-ME"/>
        </w:rPr>
        <w:t xml:space="preserve"> </w:t>
      </w:r>
      <w:r>
        <w:rPr>
          <w:b/>
          <w:bCs/>
          <w:sz w:val="22"/>
          <w:szCs w:val="22"/>
        </w:rPr>
        <w:t>supstanci</w:t>
      </w:r>
      <w:r>
        <w:rPr>
          <w:b/>
          <w:bCs/>
          <w:sz w:val="22"/>
          <w:szCs w:val="22"/>
          <w:lang w:val="sr-Latn-ME"/>
        </w:rPr>
        <w:t xml:space="preserve"> (</w:t>
      </w:r>
      <w:r>
        <w:rPr>
          <w:b/>
          <w:bCs/>
          <w:sz w:val="22"/>
          <w:szCs w:val="22"/>
        </w:rPr>
        <w:t>ekscipijenasa</w:t>
      </w:r>
      <w:r>
        <w:rPr>
          <w:b/>
          <w:bCs/>
          <w:sz w:val="22"/>
          <w:szCs w:val="22"/>
          <w:lang w:val="sr-Latn-ME"/>
        </w:rPr>
        <w:t>)</w:t>
      </w:r>
    </w:p>
    <w:p w14:paraId="3B55EDD7" w14:textId="77777777" w:rsidR="00BE1AF0" w:rsidRDefault="00BE1AF0">
      <w:pPr>
        <w:tabs>
          <w:tab w:val="left" w:pos="540"/>
          <w:tab w:val="left" w:pos="569"/>
        </w:tabs>
        <w:rPr>
          <w:b/>
          <w:bCs/>
          <w:sz w:val="22"/>
          <w:szCs w:val="22"/>
          <w:lang w:val="sr-Latn-ME"/>
        </w:rPr>
      </w:pPr>
    </w:p>
    <w:p w14:paraId="6A92337C" w14:textId="77777777" w:rsidR="00BE1AF0" w:rsidRDefault="004F0139">
      <w:pPr>
        <w:tabs>
          <w:tab w:val="left" w:pos="540"/>
          <w:tab w:val="left" w:pos="569"/>
        </w:tabs>
        <w:rPr>
          <w:bCs/>
          <w:sz w:val="22"/>
          <w:szCs w:val="22"/>
          <w:u w:val="single"/>
          <w:lang w:val="sr-Latn-ME"/>
        </w:rPr>
      </w:pPr>
      <w:r>
        <w:rPr>
          <w:bCs/>
          <w:sz w:val="22"/>
          <w:szCs w:val="22"/>
          <w:u w:val="single"/>
          <w:lang w:val="sr-Latn-ME"/>
        </w:rPr>
        <w:t>Jezgro tablete</w:t>
      </w:r>
    </w:p>
    <w:p w14:paraId="05CE08D9" w14:textId="77777777" w:rsidR="00BE1AF0" w:rsidRDefault="004F0139">
      <w:pPr>
        <w:tabs>
          <w:tab w:val="left" w:pos="540"/>
          <w:tab w:val="left" w:pos="569"/>
        </w:tabs>
        <w:rPr>
          <w:bCs/>
          <w:sz w:val="22"/>
          <w:szCs w:val="22"/>
          <w:lang w:val="sr-Latn-ME"/>
        </w:rPr>
      </w:pPr>
      <w:r>
        <w:rPr>
          <w:bCs/>
          <w:sz w:val="22"/>
          <w:szCs w:val="22"/>
          <w:lang w:val="sr-Latn-ME"/>
        </w:rPr>
        <w:t>Povidon</w:t>
      </w:r>
    </w:p>
    <w:p w14:paraId="4C36166B" w14:textId="77777777" w:rsidR="00BE1AF0" w:rsidRDefault="004F0139">
      <w:pPr>
        <w:tabs>
          <w:tab w:val="left" w:pos="540"/>
          <w:tab w:val="left" w:pos="569"/>
        </w:tabs>
        <w:rPr>
          <w:bCs/>
          <w:sz w:val="22"/>
          <w:szCs w:val="22"/>
          <w:lang w:val="sr-Latn-ME"/>
        </w:rPr>
      </w:pPr>
      <w:r>
        <w:rPr>
          <w:bCs/>
          <w:sz w:val="22"/>
          <w:szCs w:val="22"/>
          <w:lang w:val="sr-Latn-ME"/>
        </w:rPr>
        <w:t>Celuloza, mikrokristalna</w:t>
      </w:r>
    </w:p>
    <w:p w14:paraId="5206D971" w14:textId="77777777" w:rsidR="00BE1AF0" w:rsidRDefault="004F0139">
      <w:pPr>
        <w:tabs>
          <w:tab w:val="left" w:pos="540"/>
          <w:tab w:val="left" w:pos="569"/>
        </w:tabs>
        <w:rPr>
          <w:bCs/>
          <w:sz w:val="22"/>
          <w:szCs w:val="22"/>
          <w:lang w:val="sr-Latn-ME"/>
        </w:rPr>
      </w:pPr>
      <w:r>
        <w:rPr>
          <w:bCs/>
          <w:sz w:val="22"/>
          <w:szCs w:val="22"/>
          <w:lang w:val="sr-Latn-ME"/>
        </w:rPr>
        <w:t>Manitol</w:t>
      </w:r>
    </w:p>
    <w:p w14:paraId="6BD0A455" w14:textId="77777777" w:rsidR="00BE1AF0" w:rsidRDefault="004F0139">
      <w:pPr>
        <w:tabs>
          <w:tab w:val="left" w:pos="540"/>
          <w:tab w:val="left" w:pos="569"/>
        </w:tabs>
        <w:rPr>
          <w:bCs/>
          <w:sz w:val="22"/>
          <w:szCs w:val="22"/>
          <w:lang w:val="sr-Latn-ME"/>
        </w:rPr>
      </w:pPr>
      <w:r>
        <w:rPr>
          <w:bCs/>
          <w:sz w:val="22"/>
          <w:szCs w:val="22"/>
          <w:lang w:val="sr-Latn-ME"/>
        </w:rPr>
        <w:t>Natrijum laurilsulfat</w:t>
      </w:r>
    </w:p>
    <w:p w14:paraId="3E3D3A61" w14:textId="77777777" w:rsidR="00BE1AF0" w:rsidRDefault="004F0139">
      <w:pPr>
        <w:tabs>
          <w:tab w:val="left" w:pos="540"/>
          <w:tab w:val="left" w:pos="569"/>
        </w:tabs>
        <w:rPr>
          <w:bCs/>
          <w:sz w:val="22"/>
          <w:szCs w:val="22"/>
        </w:rPr>
      </w:pPr>
      <w:r>
        <w:rPr>
          <w:bCs/>
          <w:sz w:val="22"/>
          <w:szCs w:val="22"/>
        </w:rPr>
        <w:t>Magnezijum stearat</w:t>
      </w:r>
    </w:p>
    <w:p w14:paraId="4DF56B7C" w14:textId="77777777" w:rsidR="00BE1AF0" w:rsidRDefault="00BE1AF0">
      <w:pPr>
        <w:tabs>
          <w:tab w:val="left" w:pos="540"/>
          <w:tab w:val="left" w:pos="569"/>
        </w:tabs>
        <w:rPr>
          <w:bCs/>
          <w:sz w:val="22"/>
          <w:szCs w:val="22"/>
        </w:rPr>
      </w:pPr>
    </w:p>
    <w:p w14:paraId="5B29627D" w14:textId="77777777" w:rsidR="00BE1AF0" w:rsidRDefault="004F0139">
      <w:pPr>
        <w:tabs>
          <w:tab w:val="left" w:pos="540"/>
          <w:tab w:val="left" w:pos="569"/>
        </w:tabs>
        <w:rPr>
          <w:bCs/>
          <w:sz w:val="22"/>
          <w:szCs w:val="22"/>
          <w:u w:val="single"/>
          <w:lang w:val="sr-Latn-ME"/>
        </w:rPr>
      </w:pPr>
      <w:r>
        <w:rPr>
          <w:bCs/>
          <w:sz w:val="22"/>
          <w:szCs w:val="22"/>
          <w:u w:val="single"/>
          <w:lang w:val="sr-Latn-ME"/>
        </w:rPr>
        <w:t>Film tablete</w:t>
      </w:r>
    </w:p>
    <w:p w14:paraId="5DB44B92" w14:textId="77777777" w:rsidR="00BE1AF0" w:rsidRDefault="004F0139">
      <w:pPr>
        <w:tabs>
          <w:tab w:val="left" w:pos="540"/>
          <w:tab w:val="left" w:pos="569"/>
        </w:tabs>
        <w:rPr>
          <w:bCs/>
          <w:sz w:val="22"/>
          <w:szCs w:val="22"/>
          <w:lang w:val="sr-Latn-ME"/>
        </w:rPr>
      </w:pPr>
      <w:r>
        <w:rPr>
          <w:bCs/>
          <w:sz w:val="22"/>
          <w:szCs w:val="22"/>
          <w:lang w:val="sr-Latn-ME"/>
        </w:rPr>
        <w:t>Hipromeloza</w:t>
      </w:r>
    </w:p>
    <w:p w14:paraId="68C40B09" w14:textId="77777777" w:rsidR="00BE1AF0" w:rsidRDefault="004F0139">
      <w:pPr>
        <w:tabs>
          <w:tab w:val="left" w:pos="540"/>
          <w:tab w:val="left" w:pos="569"/>
        </w:tabs>
        <w:rPr>
          <w:bCs/>
          <w:sz w:val="22"/>
          <w:szCs w:val="22"/>
          <w:lang w:val="sr-Latn-ME"/>
        </w:rPr>
      </w:pPr>
      <w:r>
        <w:rPr>
          <w:bCs/>
          <w:sz w:val="22"/>
          <w:szCs w:val="22"/>
          <w:lang w:val="sr-Latn-ME"/>
        </w:rPr>
        <w:t>Titan dioksid (E171)</w:t>
      </w:r>
    </w:p>
    <w:p w14:paraId="43E840CB" w14:textId="77777777" w:rsidR="00BE1AF0" w:rsidRDefault="004F0139">
      <w:pPr>
        <w:tabs>
          <w:tab w:val="left" w:pos="540"/>
          <w:tab w:val="left" w:pos="569"/>
        </w:tabs>
        <w:rPr>
          <w:bCs/>
          <w:sz w:val="22"/>
          <w:szCs w:val="22"/>
          <w:lang w:val="sr-Latn-ME"/>
        </w:rPr>
      </w:pPr>
      <w:r>
        <w:rPr>
          <w:bCs/>
          <w:sz w:val="22"/>
          <w:szCs w:val="22"/>
          <w:lang w:val="sr-Latn-ME"/>
        </w:rPr>
        <w:t>Talk</w:t>
      </w:r>
    </w:p>
    <w:p w14:paraId="400A947F" w14:textId="77777777" w:rsidR="00BE1AF0" w:rsidRDefault="004F0139">
      <w:pPr>
        <w:tabs>
          <w:tab w:val="left" w:pos="540"/>
          <w:tab w:val="left" w:pos="569"/>
        </w:tabs>
        <w:rPr>
          <w:bCs/>
          <w:sz w:val="22"/>
          <w:szCs w:val="22"/>
          <w:lang w:val="sr-Latn-ME"/>
        </w:rPr>
      </w:pPr>
      <w:r>
        <w:rPr>
          <w:bCs/>
          <w:sz w:val="22"/>
          <w:szCs w:val="22"/>
          <w:lang w:val="sr-Latn-ME"/>
        </w:rPr>
        <w:t>Propilen glikol</w:t>
      </w:r>
    </w:p>
    <w:p w14:paraId="70EFA36D" w14:textId="77777777" w:rsidR="00BE1AF0" w:rsidRDefault="004F0139">
      <w:pPr>
        <w:tabs>
          <w:tab w:val="left" w:pos="540"/>
          <w:tab w:val="left" w:pos="569"/>
        </w:tabs>
        <w:rPr>
          <w:bCs/>
          <w:sz w:val="22"/>
          <w:szCs w:val="22"/>
          <w:lang w:val="sr-Latn-ME"/>
        </w:rPr>
      </w:pPr>
      <w:r>
        <w:rPr>
          <w:bCs/>
          <w:sz w:val="22"/>
          <w:szCs w:val="22"/>
          <w:lang w:val="sr-Latn-ME"/>
        </w:rPr>
        <w:t>Gvožđe oksid, crveni (E172)</w:t>
      </w:r>
    </w:p>
    <w:p w14:paraId="345D7DE4" w14:textId="77777777" w:rsidR="00BE1AF0" w:rsidRDefault="00BE1AF0">
      <w:pPr>
        <w:tabs>
          <w:tab w:val="left" w:pos="540"/>
          <w:tab w:val="left" w:pos="569"/>
        </w:tabs>
        <w:rPr>
          <w:bCs/>
          <w:sz w:val="22"/>
          <w:szCs w:val="22"/>
          <w:lang w:val="sr-Latn-ME"/>
        </w:rPr>
      </w:pPr>
    </w:p>
    <w:p w14:paraId="01B35FE2" w14:textId="77777777" w:rsidR="00BE1AF0" w:rsidRDefault="004F0139">
      <w:pPr>
        <w:tabs>
          <w:tab w:val="left" w:pos="540"/>
          <w:tab w:val="left" w:pos="569"/>
        </w:tabs>
        <w:rPr>
          <w:b/>
          <w:bCs/>
          <w:sz w:val="22"/>
          <w:szCs w:val="22"/>
          <w:lang w:val="sr-Latn-ME"/>
        </w:rPr>
      </w:pPr>
      <w:r>
        <w:rPr>
          <w:b/>
          <w:bCs/>
          <w:sz w:val="22"/>
          <w:szCs w:val="22"/>
          <w:lang w:val="sr-Latn-ME"/>
        </w:rPr>
        <w:t xml:space="preserve">6.2. </w:t>
      </w:r>
      <w:r>
        <w:rPr>
          <w:b/>
          <w:bCs/>
          <w:sz w:val="22"/>
          <w:szCs w:val="22"/>
          <w:lang w:val="sr-Latn-ME"/>
        </w:rPr>
        <w:tab/>
      </w:r>
      <w:r>
        <w:rPr>
          <w:b/>
          <w:bCs/>
          <w:sz w:val="22"/>
          <w:szCs w:val="22"/>
        </w:rPr>
        <w:t>Inkompatibilnosti</w:t>
      </w:r>
    </w:p>
    <w:p w14:paraId="59722296" w14:textId="77777777" w:rsidR="00BE1AF0" w:rsidRDefault="00BE1AF0">
      <w:pPr>
        <w:tabs>
          <w:tab w:val="left" w:pos="540"/>
          <w:tab w:val="left" w:pos="569"/>
        </w:tabs>
        <w:rPr>
          <w:b/>
          <w:bCs/>
          <w:sz w:val="22"/>
          <w:szCs w:val="22"/>
          <w:lang w:val="sr-Latn-ME"/>
        </w:rPr>
      </w:pPr>
    </w:p>
    <w:p w14:paraId="0AA5CB42" w14:textId="77777777" w:rsidR="00BE1AF0" w:rsidRDefault="004F0139">
      <w:pPr>
        <w:tabs>
          <w:tab w:val="left" w:pos="540"/>
          <w:tab w:val="left" w:pos="569"/>
        </w:tabs>
        <w:rPr>
          <w:bCs/>
          <w:sz w:val="22"/>
          <w:szCs w:val="22"/>
          <w:lang w:val="sr-Latn-ME"/>
        </w:rPr>
      </w:pPr>
      <w:r>
        <w:rPr>
          <w:bCs/>
          <w:sz w:val="22"/>
          <w:szCs w:val="22"/>
          <w:lang w:val="sr-Latn-ME"/>
        </w:rPr>
        <w:t>Nije primjenljivo.</w:t>
      </w:r>
    </w:p>
    <w:p w14:paraId="157369A3" w14:textId="77777777" w:rsidR="00BE1AF0" w:rsidRDefault="00BE1AF0">
      <w:pPr>
        <w:tabs>
          <w:tab w:val="left" w:pos="540"/>
          <w:tab w:val="left" w:pos="569"/>
        </w:tabs>
        <w:rPr>
          <w:bCs/>
          <w:sz w:val="22"/>
          <w:szCs w:val="22"/>
          <w:lang w:val="sr-Latn-ME"/>
        </w:rPr>
      </w:pPr>
    </w:p>
    <w:p w14:paraId="07A850B5" w14:textId="77777777" w:rsidR="00BE1AF0" w:rsidRDefault="004F0139">
      <w:pPr>
        <w:tabs>
          <w:tab w:val="left" w:pos="540"/>
          <w:tab w:val="left" w:pos="569"/>
        </w:tabs>
        <w:rPr>
          <w:b/>
          <w:bCs/>
          <w:sz w:val="22"/>
          <w:szCs w:val="22"/>
          <w:lang w:val="sr-Latn-ME"/>
        </w:rPr>
      </w:pPr>
      <w:r>
        <w:rPr>
          <w:b/>
          <w:bCs/>
          <w:sz w:val="22"/>
          <w:szCs w:val="22"/>
          <w:lang w:val="sr-Latn-ME"/>
        </w:rPr>
        <w:t xml:space="preserve">6.3. </w:t>
      </w:r>
      <w:r>
        <w:rPr>
          <w:b/>
          <w:bCs/>
          <w:sz w:val="22"/>
          <w:szCs w:val="22"/>
          <w:lang w:val="sr-Latn-ME"/>
        </w:rPr>
        <w:tab/>
      </w:r>
      <w:r>
        <w:rPr>
          <w:b/>
          <w:bCs/>
          <w:sz w:val="22"/>
          <w:szCs w:val="22"/>
        </w:rPr>
        <w:t>Rok</w:t>
      </w:r>
      <w:r>
        <w:rPr>
          <w:b/>
          <w:bCs/>
          <w:sz w:val="22"/>
          <w:szCs w:val="22"/>
          <w:lang w:val="sr-Latn-ME"/>
        </w:rPr>
        <w:t xml:space="preserve"> </w:t>
      </w:r>
      <w:r>
        <w:rPr>
          <w:b/>
          <w:bCs/>
          <w:sz w:val="22"/>
          <w:szCs w:val="22"/>
        </w:rPr>
        <w:t>upotrebe</w:t>
      </w:r>
    </w:p>
    <w:p w14:paraId="5F2CF5F6" w14:textId="77777777" w:rsidR="00BE1AF0" w:rsidRDefault="00BE1AF0">
      <w:pPr>
        <w:tabs>
          <w:tab w:val="left" w:pos="540"/>
          <w:tab w:val="left" w:pos="569"/>
        </w:tabs>
        <w:rPr>
          <w:b/>
          <w:bCs/>
          <w:sz w:val="22"/>
          <w:szCs w:val="22"/>
          <w:lang w:val="sr-Latn-ME"/>
        </w:rPr>
      </w:pPr>
    </w:p>
    <w:p w14:paraId="5AE4BFC6" w14:textId="77777777" w:rsidR="00BE1AF0" w:rsidRDefault="004F0139">
      <w:pPr>
        <w:tabs>
          <w:tab w:val="left" w:pos="540"/>
          <w:tab w:val="left" w:pos="569"/>
        </w:tabs>
        <w:rPr>
          <w:bCs/>
          <w:sz w:val="22"/>
          <w:szCs w:val="22"/>
          <w:lang w:val="sr-Latn-ME"/>
        </w:rPr>
      </w:pPr>
      <w:r>
        <w:rPr>
          <w:bCs/>
          <w:sz w:val="22"/>
          <w:szCs w:val="22"/>
          <w:lang w:val="de-DE"/>
        </w:rPr>
        <w:t>OPA/Al/PVC//Alu blister</w:t>
      </w:r>
      <w:r>
        <w:rPr>
          <w:bCs/>
          <w:sz w:val="22"/>
          <w:szCs w:val="22"/>
          <w:lang w:val="sr-Latn-ME"/>
        </w:rPr>
        <w:t>: 2 godine</w:t>
      </w:r>
    </w:p>
    <w:p w14:paraId="149DEDDE" w14:textId="77777777" w:rsidR="00BE1AF0" w:rsidRDefault="004F0139">
      <w:pPr>
        <w:tabs>
          <w:tab w:val="left" w:pos="540"/>
          <w:tab w:val="left" w:pos="569"/>
        </w:tabs>
        <w:rPr>
          <w:bCs/>
          <w:sz w:val="22"/>
          <w:szCs w:val="22"/>
        </w:rPr>
      </w:pPr>
      <w:r>
        <w:rPr>
          <w:bCs/>
          <w:sz w:val="22"/>
          <w:szCs w:val="22"/>
        </w:rPr>
        <w:t xml:space="preserve">PVC/PE/PVDC/PE/PVC//Alu blister: </w:t>
      </w:r>
      <w:r>
        <w:rPr>
          <w:bCs/>
          <w:sz w:val="22"/>
          <w:szCs w:val="22"/>
          <w:lang w:val="sr-Latn-ME"/>
        </w:rPr>
        <w:t>3 godine</w:t>
      </w:r>
    </w:p>
    <w:p w14:paraId="09BB1673" w14:textId="77777777" w:rsidR="00BE1AF0" w:rsidRDefault="004F0139">
      <w:pPr>
        <w:tabs>
          <w:tab w:val="left" w:pos="540"/>
          <w:tab w:val="left" w:pos="569"/>
        </w:tabs>
        <w:rPr>
          <w:b/>
          <w:bCs/>
          <w:sz w:val="22"/>
          <w:szCs w:val="22"/>
          <w:lang w:val="sr-Latn-ME"/>
        </w:rPr>
      </w:pPr>
      <w:r>
        <w:rPr>
          <w:b/>
          <w:bCs/>
          <w:sz w:val="22"/>
          <w:szCs w:val="22"/>
          <w:lang w:val="sr-Latn-ME"/>
        </w:rPr>
        <w:lastRenderedPageBreak/>
        <w:t xml:space="preserve">6.4. </w:t>
      </w:r>
      <w:r>
        <w:rPr>
          <w:b/>
          <w:bCs/>
          <w:sz w:val="22"/>
          <w:szCs w:val="22"/>
          <w:lang w:val="sr-Latn-ME"/>
        </w:rPr>
        <w:tab/>
      </w:r>
      <w:r>
        <w:rPr>
          <w:b/>
          <w:bCs/>
          <w:sz w:val="22"/>
          <w:szCs w:val="22"/>
        </w:rPr>
        <w:t>Posebne</w:t>
      </w:r>
      <w:r>
        <w:rPr>
          <w:b/>
          <w:bCs/>
          <w:sz w:val="22"/>
          <w:szCs w:val="22"/>
          <w:lang w:val="sr-Latn-ME"/>
        </w:rPr>
        <w:t xml:space="preserve"> </w:t>
      </w:r>
      <w:r>
        <w:rPr>
          <w:b/>
          <w:bCs/>
          <w:sz w:val="22"/>
          <w:szCs w:val="22"/>
        </w:rPr>
        <w:t>mjere</w:t>
      </w:r>
      <w:r>
        <w:rPr>
          <w:b/>
          <w:bCs/>
          <w:sz w:val="22"/>
          <w:szCs w:val="22"/>
          <w:lang w:val="sr-Latn-ME"/>
        </w:rPr>
        <w:t xml:space="preserve"> </w:t>
      </w:r>
      <w:r>
        <w:rPr>
          <w:b/>
          <w:bCs/>
          <w:sz w:val="22"/>
          <w:szCs w:val="22"/>
        </w:rPr>
        <w:t>upozorenja</w:t>
      </w:r>
      <w:r>
        <w:rPr>
          <w:b/>
          <w:bCs/>
          <w:sz w:val="22"/>
          <w:szCs w:val="22"/>
          <w:lang w:val="sr-Latn-ME"/>
        </w:rPr>
        <w:t xml:space="preserve"> </w:t>
      </w:r>
      <w:r>
        <w:rPr>
          <w:b/>
          <w:bCs/>
          <w:sz w:val="22"/>
          <w:szCs w:val="22"/>
        </w:rPr>
        <w:t>pri</w:t>
      </w:r>
      <w:r>
        <w:rPr>
          <w:b/>
          <w:bCs/>
          <w:sz w:val="22"/>
          <w:szCs w:val="22"/>
          <w:lang w:val="sr-Latn-ME"/>
        </w:rPr>
        <w:t xml:space="preserve"> č</w:t>
      </w:r>
      <w:r>
        <w:rPr>
          <w:b/>
          <w:bCs/>
          <w:sz w:val="22"/>
          <w:szCs w:val="22"/>
        </w:rPr>
        <w:t>uvanju</w:t>
      </w:r>
      <w:r>
        <w:rPr>
          <w:b/>
          <w:bCs/>
          <w:sz w:val="22"/>
          <w:szCs w:val="22"/>
          <w:lang w:val="sr-Latn-ME"/>
        </w:rPr>
        <w:t xml:space="preserve"> </w:t>
      </w:r>
      <w:r>
        <w:rPr>
          <w:b/>
          <w:bCs/>
          <w:sz w:val="22"/>
          <w:szCs w:val="22"/>
        </w:rPr>
        <w:t>lijeka</w:t>
      </w:r>
    </w:p>
    <w:p w14:paraId="6958E11D" w14:textId="77777777" w:rsidR="00BE1AF0" w:rsidRDefault="00BE1AF0">
      <w:pPr>
        <w:tabs>
          <w:tab w:val="left" w:pos="540"/>
          <w:tab w:val="left" w:pos="569"/>
        </w:tabs>
        <w:rPr>
          <w:b/>
          <w:bCs/>
          <w:sz w:val="22"/>
          <w:szCs w:val="22"/>
          <w:lang w:val="sr-Latn-ME"/>
        </w:rPr>
      </w:pPr>
    </w:p>
    <w:p w14:paraId="11C0FD3D" w14:textId="77777777" w:rsidR="00BE1AF0" w:rsidRDefault="004F0139">
      <w:pPr>
        <w:tabs>
          <w:tab w:val="left" w:pos="540"/>
          <w:tab w:val="left" w:pos="569"/>
        </w:tabs>
        <w:rPr>
          <w:bCs/>
          <w:i/>
          <w:sz w:val="22"/>
          <w:szCs w:val="22"/>
          <w:u w:val="single"/>
          <w:lang w:val="de-DE"/>
        </w:rPr>
      </w:pPr>
      <w:r>
        <w:rPr>
          <w:bCs/>
          <w:i/>
          <w:sz w:val="22"/>
          <w:szCs w:val="22"/>
          <w:u w:val="single"/>
          <w:lang w:val="de-DE"/>
        </w:rPr>
        <w:t>OPA/Al/PVC//Alu blister:</w:t>
      </w:r>
    </w:p>
    <w:p w14:paraId="33BFCF9F" w14:textId="77777777" w:rsidR="00BE1AF0" w:rsidRDefault="004F0139">
      <w:pPr>
        <w:tabs>
          <w:tab w:val="left" w:pos="540"/>
          <w:tab w:val="left" w:pos="569"/>
        </w:tabs>
        <w:rPr>
          <w:bCs/>
          <w:sz w:val="22"/>
          <w:szCs w:val="22"/>
          <w:lang w:val="de-DE"/>
        </w:rPr>
      </w:pPr>
      <w:r>
        <w:rPr>
          <w:bCs/>
          <w:sz w:val="22"/>
          <w:szCs w:val="22"/>
          <w:lang w:val="de-DE"/>
        </w:rPr>
        <w:t>Lijek ne zahtijeva posebne temperaturne uslove čuvanja.</w:t>
      </w:r>
    </w:p>
    <w:p w14:paraId="608CE505" w14:textId="77777777" w:rsidR="00BE1AF0" w:rsidRDefault="004F0139">
      <w:pPr>
        <w:tabs>
          <w:tab w:val="left" w:pos="540"/>
          <w:tab w:val="left" w:pos="569"/>
        </w:tabs>
        <w:rPr>
          <w:bCs/>
          <w:sz w:val="22"/>
          <w:szCs w:val="22"/>
          <w:lang w:val="de-DE"/>
        </w:rPr>
      </w:pPr>
      <w:r>
        <w:rPr>
          <w:bCs/>
          <w:sz w:val="22"/>
          <w:szCs w:val="22"/>
          <w:lang w:val="de-DE"/>
        </w:rPr>
        <w:t>Lijek čuvajte u originalnom pakovanju zbog zaštite od vlage.</w:t>
      </w:r>
    </w:p>
    <w:p w14:paraId="183ADDFD" w14:textId="77777777" w:rsidR="00BE1AF0" w:rsidRDefault="00BE1AF0">
      <w:pPr>
        <w:tabs>
          <w:tab w:val="left" w:pos="540"/>
          <w:tab w:val="left" w:pos="569"/>
        </w:tabs>
        <w:rPr>
          <w:bCs/>
          <w:sz w:val="22"/>
          <w:szCs w:val="22"/>
          <w:lang w:val="de-DE"/>
        </w:rPr>
      </w:pPr>
    </w:p>
    <w:p w14:paraId="2562FF57" w14:textId="77777777" w:rsidR="00BE1AF0" w:rsidRDefault="004F0139">
      <w:pPr>
        <w:tabs>
          <w:tab w:val="left" w:pos="540"/>
          <w:tab w:val="left" w:pos="569"/>
        </w:tabs>
        <w:rPr>
          <w:bCs/>
          <w:i/>
          <w:sz w:val="22"/>
          <w:szCs w:val="22"/>
          <w:u w:val="single"/>
        </w:rPr>
      </w:pPr>
      <w:r>
        <w:rPr>
          <w:bCs/>
          <w:i/>
          <w:sz w:val="22"/>
          <w:szCs w:val="22"/>
          <w:u w:val="single"/>
        </w:rPr>
        <w:t>PVC/PE/PVDC/PE/PVC//Alu blister:</w:t>
      </w:r>
    </w:p>
    <w:p w14:paraId="61EA6A92" w14:textId="77777777" w:rsidR="00BE1AF0" w:rsidRDefault="004F0139">
      <w:pPr>
        <w:tabs>
          <w:tab w:val="left" w:pos="540"/>
          <w:tab w:val="left" w:pos="569"/>
        </w:tabs>
        <w:rPr>
          <w:bCs/>
          <w:sz w:val="22"/>
          <w:szCs w:val="22"/>
        </w:rPr>
      </w:pPr>
      <w:r>
        <w:rPr>
          <w:bCs/>
          <w:sz w:val="22"/>
          <w:szCs w:val="22"/>
        </w:rPr>
        <w:t>Lijek čuvajte na temperaturi do 30ºC.</w:t>
      </w:r>
    </w:p>
    <w:p w14:paraId="79074531" w14:textId="77777777" w:rsidR="00BE1AF0" w:rsidRDefault="004F0139">
      <w:pPr>
        <w:tabs>
          <w:tab w:val="left" w:pos="540"/>
          <w:tab w:val="left" w:pos="569"/>
        </w:tabs>
        <w:rPr>
          <w:bCs/>
          <w:sz w:val="22"/>
          <w:szCs w:val="22"/>
        </w:rPr>
      </w:pPr>
      <w:r>
        <w:rPr>
          <w:bCs/>
          <w:sz w:val="22"/>
          <w:szCs w:val="22"/>
        </w:rPr>
        <w:t>Lijek čuvajte u originalnom pakovanju zbog zaštite od vlage.</w:t>
      </w:r>
    </w:p>
    <w:p w14:paraId="26F6670F" w14:textId="77777777" w:rsidR="00BE1AF0" w:rsidRDefault="00BE1AF0">
      <w:pPr>
        <w:tabs>
          <w:tab w:val="left" w:pos="540"/>
          <w:tab w:val="left" w:pos="569"/>
        </w:tabs>
        <w:rPr>
          <w:bCs/>
          <w:sz w:val="22"/>
          <w:szCs w:val="22"/>
        </w:rPr>
      </w:pPr>
    </w:p>
    <w:p w14:paraId="55DC6079" w14:textId="77777777" w:rsidR="00BE1AF0" w:rsidRDefault="004F0139">
      <w:pPr>
        <w:tabs>
          <w:tab w:val="left" w:pos="540"/>
          <w:tab w:val="left" w:pos="569"/>
        </w:tabs>
        <w:rPr>
          <w:b/>
          <w:bCs/>
          <w:sz w:val="22"/>
          <w:szCs w:val="22"/>
        </w:rPr>
      </w:pPr>
      <w:r>
        <w:rPr>
          <w:b/>
          <w:bCs/>
          <w:sz w:val="22"/>
          <w:szCs w:val="22"/>
        </w:rPr>
        <w:t xml:space="preserve">6.5. </w:t>
      </w:r>
      <w:r>
        <w:rPr>
          <w:b/>
          <w:bCs/>
          <w:sz w:val="22"/>
          <w:szCs w:val="22"/>
        </w:rPr>
        <w:tab/>
        <w:t xml:space="preserve">Vrsta i sadržaj pakovanja </w:t>
      </w:r>
    </w:p>
    <w:p w14:paraId="026DDA60" w14:textId="77777777" w:rsidR="00BE1AF0" w:rsidRDefault="00BE1AF0">
      <w:pPr>
        <w:tabs>
          <w:tab w:val="left" w:pos="540"/>
          <w:tab w:val="left" w:pos="569"/>
        </w:tabs>
        <w:rPr>
          <w:b/>
          <w:bCs/>
          <w:sz w:val="22"/>
          <w:szCs w:val="22"/>
        </w:rPr>
      </w:pPr>
    </w:p>
    <w:p w14:paraId="4B5F553D" w14:textId="77777777" w:rsidR="00BE1AF0" w:rsidRDefault="004F0139">
      <w:pPr>
        <w:rPr>
          <w:noProof/>
          <w:sz w:val="22"/>
          <w:szCs w:val="22"/>
          <w:lang w:val="en-GB" w:eastAsia="sl-SI"/>
        </w:rPr>
      </w:pPr>
      <w:r>
        <w:rPr>
          <w:bCs/>
          <w:noProof/>
          <w:sz w:val="22"/>
          <w:szCs w:val="22"/>
          <w:lang w:val="en-GB" w:eastAsia="sl-SI"/>
        </w:rPr>
        <w:t>Lijek Maymetsi</w:t>
      </w:r>
      <w:r>
        <w:rPr>
          <w:noProof/>
          <w:sz w:val="22"/>
          <w:szCs w:val="22"/>
          <w:lang w:val="en-GB" w:eastAsia="sl-SI"/>
        </w:rPr>
        <w:t xml:space="preserve"> je dostupan u pakovanjima sa:</w:t>
      </w:r>
    </w:p>
    <w:p w14:paraId="2355E021" w14:textId="77777777" w:rsidR="00BE1AF0" w:rsidRDefault="004F0139">
      <w:pPr>
        <w:pStyle w:val="ListParagraph"/>
        <w:numPr>
          <w:ilvl w:val="0"/>
          <w:numId w:val="18"/>
        </w:numPr>
        <w:ind w:left="567" w:hanging="567"/>
        <w:rPr>
          <w:bCs/>
          <w:sz w:val="22"/>
          <w:szCs w:val="22"/>
          <w:u w:val="single"/>
        </w:rPr>
      </w:pPr>
      <w:r>
        <w:rPr>
          <w:bCs/>
          <w:sz w:val="22"/>
          <w:szCs w:val="22"/>
        </w:rPr>
        <w:t>56 (4x14) film tableta u blisterima (OPA/Alu/PVC//Alu ili PVC/PE/PVDC/PE/PVC//Alu), u kartonskoj kutiji, kalendarsko pakovanje</w:t>
      </w:r>
    </w:p>
    <w:p w14:paraId="308409BC" w14:textId="77777777" w:rsidR="00BE1AF0" w:rsidRDefault="004F0139">
      <w:pPr>
        <w:pStyle w:val="ListParagraph"/>
        <w:numPr>
          <w:ilvl w:val="0"/>
          <w:numId w:val="17"/>
        </w:numPr>
        <w:tabs>
          <w:tab w:val="left" w:pos="540"/>
          <w:tab w:val="left" w:pos="567"/>
        </w:tabs>
        <w:ind w:left="567" w:hanging="567"/>
        <w:rPr>
          <w:bCs/>
          <w:sz w:val="22"/>
          <w:szCs w:val="22"/>
          <w:u w:val="single"/>
        </w:rPr>
      </w:pPr>
      <w:r>
        <w:rPr>
          <w:bCs/>
          <w:sz w:val="22"/>
          <w:szCs w:val="22"/>
        </w:rPr>
        <w:t>56 (4x14) film tableta u blisterima (OPA/Alu/PVC//Alu ili PVC/PE/PVDC/PE/PVC//Alu), u kartonskoj kutiji.</w:t>
      </w:r>
    </w:p>
    <w:p w14:paraId="54765088" w14:textId="77777777" w:rsidR="00BE1AF0" w:rsidRDefault="004F0139">
      <w:pPr>
        <w:pStyle w:val="ListParagraph"/>
        <w:numPr>
          <w:ilvl w:val="0"/>
          <w:numId w:val="17"/>
        </w:numPr>
        <w:tabs>
          <w:tab w:val="left" w:pos="540"/>
          <w:tab w:val="left" w:pos="567"/>
        </w:tabs>
        <w:ind w:left="567" w:hanging="567"/>
        <w:rPr>
          <w:bCs/>
          <w:sz w:val="22"/>
          <w:szCs w:val="22"/>
          <w:lang w:val="sl-SI"/>
        </w:rPr>
      </w:pPr>
      <w:r>
        <w:rPr>
          <w:bCs/>
          <w:sz w:val="22"/>
          <w:szCs w:val="22"/>
          <w:lang w:val="sl-SI"/>
        </w:rPr>
        <w:t xml:space="preserve">60 (6×10) film tableta u blisterima (OPA/Alu/PVC//Alu ili </w:t>
      </w:r>
      <w:r>
        <w:rPr>
          <w:bCs/>
          <w:sz w:val="22"/>
          <w:szCs w:val="22"/>
        </w:rPr>
        <w:t>PVC/PE/PVDC/PE/PVC//Alu</w:t>
      </w:r>
      <w:r>
        <w:rPr>
          <w:bCs/>
          <w:sz w:val="22"/>
          <w:szCs w:val="22"/>
          <w:lang w:val="sl-SI"/>
        </w:rPr>
        <w:t>), u kartonskoj kutiji</w:t>
      </w:r>
    </w:p>
    <w:p w14:paraId="59FC4613" w14:textId="77777777" w:rsidR="00BE1AF0" w:rsidRDefault="00BE1AF0">
      <w:pPr>
        <w:tabs>
          <w:tab w:val="left" w:pos="540"/>
          <w:tab w:val="left" w:pos="569"/>
        </w:tabs>
        <w:rPr>
          <w:b/>
          <w:bCs/>
          <w:sz w:val="22"/>
          <w:szCs w:val="22"/>
        </w:rPr>
      </w:pPr>
    </w:p>
    <w:p w14:paraId="3E192A7C" w14:textId="77777777" w:rsidR="00BE1AF0" w:rsidRDefault="004F0139">
      <w:pPr>
        <w:tabs>
          <w:tab w:val="left" w:pos="540"/>
          <w:tab w:val="left" w:pos="569"/>
        </w:tabs>
        <w:rPr>
          <w:b/>
          <w:bCs/>
          <w:sz w:val="22"/>
          <w:szCs w:val="22"/>
        </w:rPr>
      </w:pPr>
      <w:r>
        <w:rPr>
          <w:b/>
          <w:bCs/>
          <w:sz w:val="22"/>
          <w:szCs w:val="22"/>
        </w:rPr>
        <w:t xml:space="preserve">6.6. </w:t>
      </w:r>
      <w:r>
        <w:rPr>
          <w:b/>
          <w:bCs/>
          <w:sz w:val="22"/>
          <w:szCs w:val="22"/>
        </w:rPr>
        <w:tab/>
      </w:r>
      <w:r>
        <w:rPr>
          <w:b/>
          <w:bCs/>
          <w:color w:val="000000"/>
          <w:sz w:val="22"/>
          <w:szCs w:val="22"/>
        </w:rPr>
        <w:t>Posebne mjere opreza pri odlaganju materijala koji treba odbaciti nakon primjene lijeka</w:t>
      </w:r>
      <w:r>
        <w:rPr>
          <w:b/>
          <w:bCs/>
          <w:sz w:val="22"/>
          <w:szCs w:val="22"/>
        </w:rPr>
        <w:t xml:space="preserve"> (i druga uputstva za rukovanje lijekom) </w:t>
      </w:r>
    </w:p>
    <w:p w14:paraId="667F99E2" w14:textId="77777777" w:rsidR="00BE1AF0" w:rsidRDefault="00BE1AF0">
      <w:pPr>
        <w:tabs>
          <w:tab w:val="left" w:pos="540"/>
          <w:tab w:val="left" w:pos="569"/>
        </w:tabs>
        <w:rPr>
          <w:b/>
          <w:bCs/>
          <w:sz w:val="22"/>
          <w:szCs w:val="22"/>
        </w:rPr>
      </w:pPr>
    </w:p>
    <w:p w14:paraId="483F4DD7" w14:textId="77777777" w:rsidR="00BE1AF0" w:rsidRDefault="004F0139">
      <w:pPr>
        <w:tabs>
          <w:tab w:val="left" w:pos="540"/>
          <w:tab w:val="left" w:pos="569"/>
        </w:tabs>
        <w:rPr>
          <w:bCs/>
          <w:sz w:val="22"/>
          <w:szCs w:val="22"/>
          <w:lang w:val="sr-Latn-ME"/>
        </w:rPr>
      </w:pPr>
      <w:r>
        <w:rPr>
          <w:sz w:val="22"/>
          <w:szCs w:val="22"/>
          <w:lang w:val="sr-Latn-ME"/>
        </w:rPr>
        <w:t>Neupotrijebljeni lijek se uništava u skladu sa važećim propisima.</w:t>
      </w:r>
    </w:p>
    <w:p w14:paraId="3F9A09AC" w14:textId="77777777" w:rsidR="00BE1AF0" w:rsidRDefault="00BE1AF0">
      <w:pPr>
        <w:tabs>
          <w:tab w:val="left" w:pos="540"/>
          <w:tab w:val="left" w:pos="569"/>
        </w:tabs>
        <w:rPr>
          <w:bCs/>
          <w:sz w:val="22"/>
          <w:szCs w:val="22"/>
        </w:rPr>
      </w:pPr>
    </w:p>
    <w:p w14:paraId="1371D9CA" w14:textId="77777777" w:rsidR="00BE1AF0" w:rsidRDefault="00BE1AF0">
      <w:pPr>
        <w:tabs>
          <w:tab w:val="left" w:pos="540"/>
          <w:tab w:val="left" w:pos="569"/>
        </w:tabs>
        <w:rPr>
          <w:bCs/>
          <w:sz w:val="22"/>
          <w:szCs w:val="22"/>
        </w:rPr>
      </w:pPr>
    </w:p>
    <w:p w14:paraId="11BCC6BE" w14:textId="77777777" w:rsidR="00BE1AF0" w:rsidRDefault="004F0139">
      <w:pPr>
        <w:tabs>
          <w:tab w:val="left" w:pos="540"/>
          <w:tab w:val="left" w:pos="569"/>
        </w:tabs>
        <w:rPr>
          <w:b/>
          <w:bCs/>
          <w:sz w:val="22"/>
          <w:szCs w:val="22"/>
        </w:rPr>
      </w:pPr>
      <w:r>
        <w:rPr>
          <w:b/>
          <w:bCs/>
          <w:sz w:val="22"/>
          <w:szCs w:val="22"/>
        </w:rPr>
        <w:t xml:space="preserve">7. </w:t>
      </w:r>
      <w:r>
        <w:rPr>
          <w:b/>
          <w:bCs/>
          <w:sz w:val="22"/>
          <w:szCs w:val="22"/>
        </w:rPr>
        <w:tab/>
        <w:t xml:space="preserve">NOSILAC DOZVOLE </w:t>
      </w:r>
    </w:p>
    <w:p w14:paraId="12212EE2" w14:textId="77777777" w:rsidR="00BE1AF0" w:rsidRDefault="00BE1AF0">
      <w:pPr>
        <w:tabs>
          <w:tab w:val="left" w:pos="540"/>
          <w:tab w:val="left" w:pos="569"/>
        </w:tabs>
        <w:rPr>
          <w:bCs/>
          <w:sz w:val="22"/>
          <w:szCs w:val="22"/>
        </w:rPr>
      </w:pPr>
    </w:p>
    <w:p w14:paraId="1E104EFF" w14:textId="77777777" w:rsidR="00BE1AF0" w:rsidRDefault="004F0139">
      <w:pPr>
        <w:autoSpaceDE w:val="0"/>
        <w:autoSpaceDN w:val="0"/>
        <w:adjustRightInd w:val="0"/>
        <w:ind w:left="1985" w:hanging="1985"/>
        <w:jc w:val="both"/>
        <w:rPr>
          <w:sz w:val="22"/>
          <w:szCs w:val="22"/>
          <w:lang w:val="sr-Latn-ME"/>
        </w:rPr>
      </w:pPr>
      <w:r>
        <w:rPr>
          <w:sz w:val="22"/>
          <w:szCs w:val="22"/>
          <w:lang w:val="sr-Latn-ME"/>
        </w:rPr>
        <w:t>D.S.D „KRKA, d.d., Novo mesto“ - predstavništvo Podgorica,</w:t>
      </w:r>
    </w:p>
    <w:p w14:paraId="72B35DA2" w14:textId="77777777" w:rsidR="00BE1AF0" w:rsidRDefault="004F0139">
      <w:pPr>
        <w:autoSpaceDE w:val="0"/>
        <w:autoSpaceDN w:val="0"/>
        <w:adjustRightInd w:val="0"/>
        <w:ind w:right="71"/>
        <w:rPr>
          <w:sz w:val="22"/>
          <w:szCs w:val="22"/>
          <w:lang w:val="sr-Latn-ME"/>
        </w:rPr>
      </w:pPr>
      <w:r>
        <w:rPr>
          <w:sz w:val="22"/>
          <w:szCs w:val="22"/>
          <w:lang w:val="sr-Latn-ME"/>
        </w:rPr>
        <w:t>Svetlane Kane Radević br. 3, 81000 Podgorica, Crna Gora</w:t>
      </w:r>
    </w:p>
    <w:p w14:paraId="661BF740" w14:textId="77777777" w:rsidR="00BE1AF0" w:rsidRDefault="00BE1AF0">
      <w:pPr>
        <w:tabs>
          <w:tab w:val="left" w:pos="540"/>
          <w:tab w:val="left" w:pos="569"/>
        </w:tabs>
        <w:rPr>
          <w:bCs/>
          <w:sz w:val="22"/>
          <w:szCs w:val="22"/>
        </w:rPr>
      </w:pPr>
    </w:p>
    <w:p w14:paraId="59E94590" w14:textId="77777777" w:rsidR="00BE1AF0" w:rsidRDefault="00BE1AF0">
      <w:pPr>
        <w:tabs>
          <w:tab w:val="left" w:pos="540"/>
          <w:tab w:val="left" w:pos="569"/>
        </w:tabs>
        <w:rPr>
          <w:bCs/>
          <w:sz w:val="22"/>
          <w:szCs w:val="22"/>
        </w:rPr>
      </w:pPr>
    </w:p>
    <w:p w14:paraId="651E940E" w14:textId="77777777" w:rsidR="00BE1AF0" w:rsidRDefault="004F0139">
      <w:pPr>
        <w:tabs>
          <w:tab w:val="left" w:pos="540"/>
          <w:tab w:val="left" w:pos="569"/>
        </w:tabs>
        <w:rPr>
          <w:b/>
          <w:bCs/>
          <w:sz w:val="22"/>
          <w:szCs w:val="22"/>
        </w:rPr>
      </w:pPr>
      <w:r>
        <w:rPr>
          <w:b/>
          <w:bCs/>
          <w:sz w:val="22"/>
          <w:szCs w:val="22"/>
        </w:rPr>
        <w:t xml:space="preserve">8. </w:t>
      </w:r>
      <w:r>
        <w:rPr>
          <w:b/>
          <w:bCs/>
          <w:sz w:val="22"/>
          <w:szCs w:val="22"/>
        </w:rPr>
        <w:tab/>
        <w:t>BROJ DOZVOLE ZA STAVLJANJE LIJEKA U PROMET</w:t>
      </w:r>
    </w:p>
    <w:p w14:paraId="6122C8C2" w14:textId="77777777" w:rsidR="00BE1AF0" w:rsidRDefault="00BE1AF0">
      <w:pPr>
        <w:tabs>
          <w:tab w:val="left" w:pos="540"/>
          <w:tab w:val="left" w:pos="569"/>
        </w:tabs>
        <w:rPr>
          <w:bCs/>
          <w:sz w:val="22"/>
          <w:szCs w:val="22"/>
          <w:highlight w:val="yellow"/>
        </w:rPr>
      </w:pPr>
    </w:p>
    <w:p w14:paraId="0E7C94FE" w14:textId="77777777" w:rsidR="00BE1AF0" w:rsidRDefault="004F0139">
      <w:pPr>
        <w:widowControl w:val="0"/>
        <w:tabs>
          <w:tab w:val="left" w:pos="567"/>
        </w:tabs>
        <w:rPr>
          <w:sz w:val="22"/>
          <w:szCs w:val="22"/>
          <w:lang w:val="sr-Latn-ME"/>
        </w:rPr>
      </w:pPr>
      <w:r>
        <w:rPr>
          <w:sz w:val="22"/>
          <w:szCs w:val="22"/>
          <w:lang w:val="sr-Latn-ME"/>
        </w:rPr>
        <w:t>Maymetsi, 850 mg + 50 mg, blister, 56 film tableta: 2030/22/2571 - 3558</w:t>
      </w:r>
    </w:p>
    <w:p w14:paraId="5C6C97EF" w14:textId="77777777" w:rsidR="00BE1AF0" w:rsidRDefault="004F0139">
      <w:pPr>
        <w:widowControl w:val="0"/>
        <w:tabs>
          <w:tab w:val="left" w:pos="567"/>
        </w:tabs>
        <w:rPr>
          <w:sz w:val="22"/>
          <w:szCs w:val="22"/>
          <w:lang w:val="sr-Latn-ME"/>
        </w:rPr>
      </w:pPr>
      <w:r>
        <w:rPr>
          <w:sz w:val="22"/>
          <w:szCs w:val="22"/>
          <w:lang w:val="sr-Latn-ME"/>
        </w:rPr>
        <w:t>Maymetsi, 850 mg + 50 mg, blister, 60 film tableta: 2030/22/2574 - 3559</w:t>
      </w:r>
    </w:p>
    <w:p w14:paraId="4D0D867D" w14:textId="77777777" w:rsidR="00BE1AF0" w:rsidRDefault="004F0139">
      <w:pPr>
        <w:widowControl w:val="0"/>
        <w:tabs>
          <w:tab w:val="left" w:pos="567"/>
        </w:tabs>
        <w:rPr>
          <w:sz w:val="22"/>
          <w:szCs w:val="22"/>
          <w:lang w:val="sr-Latn-ME"/>
        </w:rPr>
      </w:pPr>
      <w:r>
        <w:rPr>
          <w:sz w:val="22"/>
          <w:szCs w:val="22"/>
          <w:lang w:val="sr-Latn-ME"/>
        </w:rPr>
        <w:t>Maymetsi, 1000 mg + 50 mg, blister, 56 film tableta: 2030/22/2575 - 3560</w:t>
      </w:r>
    </w:p>
    <w:p w14:paraId="1AED3B02" w14:textId="77777777" w:rsidR="00BE1AF0" w:rsidRDefault="004F0139">
      <w:pPr>
        <w:widowControl w:val="0"/>
        <w:tabs>
          <w:tab w:val="left" w:pos="567"/>
        </w:tabs>
        <w:rPr>
          <w:sz w:val="22"/>
          <w:szCs w:val="22"/>
          <w:lang w:val="sr-Latn-ME"/>
        </w:rPr>
      </w:pPr>
      <w:r>
        <w:rPr>
          <w:sz w:val="22"/>
          <w:szCs w:val="22"/>
          <w:lang w:val="sr-Latn-ME"/>
        </w:rPr>
        <w:t>Maymetsi, 1000 mg + 50 mg, blister, 60 film tableta: 2030/22/2577 - 3561</w:t>
      </w:r>
    </w:p>
    <w:p w14:paraId="19FD8E26" w14:textId="77777777" w:rsidR="00BE1AF0" w:rsidRDefault="00BE1AF0">
      <w:pPr>
        <w:tabs>
          <w:tab w:val="left" w:pos="540"/>
          <w:tab w:val="left" w:pos="569"/>
        </w:tabs>
        <w:rPr>
          <w:bCs/>
          <w:sz w:val="22"/>
          <w:szCs w:val="22"/>
          <w:highlight w:val="yellow"/>
        </w:rPr>
      </w:pPr>
    </w:p>
    <w:p w14:paraId="2F431A27" w14:textId="77777777" w:rsidR="00BE1AF0" w:rsidRDefault="00BE1AF0">
      <w:pPr>
        <w:tabs>
          <w:tab w:val="left" w:pos="540"/>
          <w:tab w:val="left" w:pos="569"/>
        </w:tabs>
        <w:rPr>
          <w:bCs/>
          <w:sz w:val="22"/>
          <w:szCs w:val="22"/>
          <w:highlight w:val="yellow"/>
        </w:rPr>
      </w:pPr>
    </w:p>
    <w:p w14:paraId="3C4F158C" w14:textId="77777777" w:rsidR="00BE1AF0" w:rsidRDefault="004F0139">
      <w:pPr>
        <w:tabs>
          <w:tab w:val="left" w:pos="540"/>
          <w:tab w:val="left" w:pos="569"/>
        </w:tabs>
        <w:rPr>
          <w:b/>
          <w:bCs/>
          <w:sz w:val="22"/>
          <w:szCs w:val="22"/>
        </w:rPr>
      </w:pPr>
      <w:r>
        <w:rPr>
          <w:b/>
          <w:bCs/>
          <w:sz w:val="22"/>
          <w:szCs w:val="22"/>
        </w:rPr>
        <w:t xml:space="preserve">9. </w:t>
      </w:r>
      <w:r>
        <w:rPr>
          <w:b/>
          <w:bCs/>
          <w:sz w:val="22"/>
          <w:szCs w:val="22"/>
        </w:rPr>
        <w:tab/>
        <w:t>DATUM PRVE DOZVOLE/OBNOVE DOZVOLE ZA STAVLJANJE LIJEKA U PROMET</w:t>
      </w:r>
    </w:p>
    <w:p w14:paraId="40FA6B5C" w14:textId="77777777" w:rsidR="00BE1AF0" w:rsidRDefault="00BE1AF0">
      <w:pPr>
        <w:tabs>
          <w:tab w:val="left" w:pos="540"/>
          <w:tab w:val="left" w:pos="569"/>
        </w:tabs>
        <w:rPr>
          <w:bCs/>
          <w:sz w:val="22"/>
          <w:szCs w:val="22"/>
          <w:highlight w:val="yellow"/>
        </w:rPr>
      </w:pPr>
    </w:p>
    <w:p w14:paraId="61F5778B" w14:textId="77777777" w:rsidR="00BE1AF0" w:rsidRDefault="004F0139">
      <w:pPr>
        <w:tabs>
          <w:tab w:val="left" w:pos="540"/>
          <w:tab w:val="left" w:pos="569"/>
        </w:tabs>
        <w:rPr>
          <w:sz w:val="22"/>
          <w:szCs w:val="22"/>
          <w:lang w:val="sr-Latn-ME"/>
        </w:rPr>
      </w:pPr>
      <w:r>
        <w:rPr>
          <w:bCs/>
          <w:sz w:val="22"/>
          <w:szCs w:val="22"/>
        </w:rPr>
        <w:t xml:space="preserve">11.10.2022. </w:t>
      </w:r>
      <w:r>
        <w:rPr>
          <w:sz w:val="22"/>
          <w:szCs w:val="22"/>
          <w:lang w:val="sr-Latn-ME"/>
        </w:rPr>
        <w:t>godine</w:t>
      </w:r>
    </w:p>
    <w:p w14:paraId="20F80882" w14:textId="77777777" w:rsidR="00BE1AF0" w:rsidRDefault="00BE1AF0">
      <w:pPr>
        <w:tabs>
          <w:tab w:val="left" w:pos="540"/>
          <w:tab w:val="left" w:pos="569"/>
        </w:tabs>
        <w:rPr>
          <w:bCs/>
          <w:sz w:val="22"/>
          <w:szCs w:val="22"/>
          <w:highlight w:val="yellow"/>
        </w:rPr>
      </w:pPr>
    </w:p>
    <w:p w14:paraId="666B241D" w14:textId="77777777" w:rsidR="00BE1AF0" w:rsidRDefault="00BE1AF0">
      <w:pPr>
        <w:tabs>
          <w:tab w:val="left" w:pos="540"/>
          <w:tab w:val="left" w:pos="569"/>
        </w:tabs>
        <w:rPr>
          <w:bCs/>
          <w:sz w:val="22"/>
          <w:szCs w:val="22"/>
          <w:highlight w:val="yellow"/>
        </w:rPr>
      </w:pPr>
    </w:p>
    <w:p w14:paraId="375551EA" w14:textId="77777777" w:rsidR="00BE1AF0" w:rsidRDefault="004F0139">
      <w:pPr>
        <w:tabs>
          <w:tab w:val="left" w:pos="540"/>
          <w:tab w:val="left" w:pos="569"/>
        </w:tabs>
        <w:ind w:left="540" w:hanging="540"/>
        <w:rPr>
          <w:b/>
          <w:bCs/>
          <w:sz w:val="22"/>
          <w:szCs w:val="22"/>
        </w:rPr>
      </w:pPr>
      <w:r>
        <w:rPr>
          <w:b/>
          <w:bCs/>
          <w:sz w:val="22"/>
          <w:szCs w:val="22"/>
        </w:rPr>
        <w:t xml:space="preserve">10. </w:t>
      </w:r>
      <w:r>
        <w:rPr>
          <w:b/>
          <w:bCs/>
          <w:sz w:val="22"/>
          <w:szCs w:val="22"/>
        </w:rPr>
        <w:tab/>
        <w:t xml:space="preserve">DATUM REVIZIJE TEKSTA </w:t>
      </w:r>
    </w:p>
    <w:p w14:paraId="5F344EA1" w14:textId="77777777" w:rsidR="00BE1AF0" w:rsidRDefault="00BE1AF0">
      <w:pPr>
        <w:tabs>
          <w:tab w:val="left" w:pos="540"/>
          <w:tab w:val="left" w:pos="569"/>
        </w:tabs>
        <w:ind w:left="540" w:hanging="540"/>
        <w:rPr>
          <w:b/>
          <w:bCs/>
          <w:sz w:val="22"/>
          <w:szCs w:val="22"/>
        </w:rPr>
      </w:pPr>
    </w:p>
    <w:p w14:paraId="74B96168" w14:textId="1023E924" w:rsidR="00BE1AF0" w:rsidRDefault="005F6544">
      <w:pPr>
        <w:tabs>
          <w:tab w:val="left" w:pos="540"/>
          <w:tab w:val="left" w:pos="569"/>
        </w:tabs>
        <w:ind w:left="540" w:hanging="540"/>
        <w:rPr>
          <w:bCs/>
          <w:sz w:val="22"/>
          <w:szCs w:val="22"/>
        </w:rPr>
      </w:pPr>
      <w:r>
        <w:rPr>
          <w:bCs/>
          <w:sz w:val="22"/>
          <w:szCs w:val="22"/>
        </w:rPr>
        <w:t>Decembar, 2024. godine</w:t>
      </w:r>
      <w:bookmarkStart w:id="0" w:name="_GoBack"/>
      <w:bookmarkEnd w:id="0"/>
    </w:p>
    <w:sectPr w:rsidR="00BE1AF0">
      <w:headerReference w:type="even" r:id="rId12"/>
      <w:headerReference w:type="default" r:id="rId13"/>
      <w:footerReference w:type="even" r:id="rId14"/>
      <w:footerReference w:type="default" r:id="rId15"/>
      <w:headerReference w:type="first" r:id="rId16"/>
      <w:footerReference w:type="first" r:id="rId17"/>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26ADA" w14:textId="77777777" w:rsidR="002F4865" w:rsidRDefault="002F4865">
      <w:r>
        <w:separator/>
      </w:r>
    </w:p>
  </w:endnote>
  <w:endnote w:type="continuationSeparator" w:id="0">
    <w:p w14:paraId="2BEB25DA" w14:textId="77777777" w:rsidR="002F4865" w:rsidRDefault="002F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Italic">
    <w:altName w:val="Yu Gothic UI"/>
    <w:panose1 w:val="00000000000000000000"/>
    <w:charset w:val="80"/>
    <w:family w:val="auto"/>
    <w:notTrueType/>
    <w:pitch w:val="default"/>
    <w:sig w:usb0="00000000" w:usb1="08070000" w:usb2="00000010" w:usb3="00000000" w:csb0="00020000"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0F52" w14:textId="77777777" w:rsidR="004F0139" w:rsidRDefault="004F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9B8FF" w14:textId="5FBFFF06" w:rsidR="004F0139" w:rsidRDefault="004F0139">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sidR="005F6544">
      <w:rPr>
        <w:noProof/>
        <w:sz w:val="22"/>
        <w:szCs w:val="22"/>
      </w:rPr>
      <w:t>20</w:t>
    </w:r>
    <w:r>
      <w:rPr>
        <w:sz w:val="22"/>
        <w:szCs w:val="22"/>
      </w:rPr>
      <w:fldChar w:fldCharType="end"/>
    </w:r>
    <w:r>
      <w:rPr>
        <w:sz w:val="22"/>
        <w:szCs w:val="22"/>
      </w:rPr>
      <w:t xml:space="preserve"> / </w:t>
    </w:r>
    <w:r>
      <w:rPr>
        <w:sz w:val="22"/>
        <w:szCs w:val="22"/>
      </w:rPr>
      <w:fldChar w:fldCharType="begin"/>
    </w:r>
    <w:r>
      <w:rPr>
        <w:sz w:val="22"/>
        <w:szCs w:val="22"/>
      </w:rPr>
      <w:instrText xml:space="preserve"> NUMPAGES </w:instrText>
    </w:r>
    <w:r>
      <w:rPr>
        <w:sz w:val="22"/>
        <w:szCs w:val="22"/>
      </w:rPr>
      <w:fldChar w:fldCharType="separate"/>
    </w:r>
    <w:r w:rsidR="005F6544">
      <w:rPr>
        <w:noProof/>
        <w:sz w:val="22"/>
        <w:szCs w:val="22"/>
      </w:rPr>
      <w:t>20</w:t>
    </w:r>
    <w:r>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1D857" w14:textId="77777777" w:rsidR="004F0139" w:rsidRDefault="004F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20214C" w14:textId="77777777" w:rsidR="002F4865" w:rsidRDefault="002F4865">
      <w:r>
        <w:separator/>
      </w:r>
    </w:p>
  </w:footnote>
  <w:footnote w:type="continuationSeparator" w:id="0">
    <w:p w14:paraId="2DF611F2" w14:textId="77777777" w:rsidR="002F4865" w:rsidRDefault="002F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040E0" w14:textId="77777777" w:rsidR="004F0139" w:rsidRDefault="004F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4BDC4" w14:textId="77777777" w:rsidR="004F0139" w:rsidRDefault="004F0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B894F" w14:textId="77777777" w:rsidR="004F0139" w:rsidRDefault="004F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9171B1"/>
    <w:multiLevelType w:val="hybridMultilevel"/>
    <w:tmpl w:val="5BBE0D78"/>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2EAE0B7D"/>
    <w:multiLevelType w:val="hybridMultilevel"/>
    <w:tmpl w:val="D5E428E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487E3CCC"/>
    <w:multiLevelType w:val="hybridMultilevel"/>
    <w:tmpl w:val="2C6C7454"/>
    <w:lvl w:ilvl="0" w:tplc="FFFFFFFF">
      <w:start w:val="1"/>
      <w:numFmt w:val="bullet"/>
      <w:lvlText w:val="-"/>
      <w:lvlJc w:val="left"/>
      <w:pPr>
        <w:ind w:left="721" w:hanging="360"/>
      </w:pPr>
    </w:lvl>
    <w:lvl w:ilvl="1" w:tplc="241A0003" w:tentative="1">
      <w:start w:val="1"/>
      <w:numFmt w:val="bullet"/>
      <w:lvlText w:val="o"/>
      <w:lvlJc w:val="left"/>
      <w:pPr>
        <w:ind w:left="1441" w:hanging="360"/>
      </w:pPr>
      <w:rPr>
        <w:rFonts w:ascii="Courier New" w:hAnsi="Courier New" w:cs="Courier New" w:hint="default"/>
      </w:rPr>
    </w:lvl>
    <w:lvl w:ilvl="2" w:tplc="241A0005" w:tentative="1">
      <w:start w:val="1"/>
      <w:numFmt w:val="bullet"/>
      <w:lvlText w:val=""/>
      <w:lvlJc w:val="left"/>
      <w:pPr>
        <w:ind w:left="2161" w:hanging="360"/>
      </w:pPr>
      <w:rPr>
        <w:rFonts w:ascii="Wingdings" w:hAnsi="Wingdings" w:hint="default"/>
      </w:rPr>
    </w:lvl>
    <w:lvl w:ilvl="3" w:tplc="241A0001" w:tentative="1">
      <w:start w:val="1"/>
      <w:numFmt w:val="bullet"/>
      <w:lvlText w:val=""/>
      <w:lvlJc w:val="left"/>
      <w:pPr>
        <w:ind w:left="2881" w:hanging="360"/>
      </w:pPr>
      <w:rPr>
        <w:rFonts w:ascii="Symbol" w:hAnsi="Symbol" w:hint="default"/>
      </w:rPr>
    </w:lvl>
    <w:lvl w:ilvl="4" w:tplc="241A0003" w:tentative="1">
      <w:start w:val="1"/>
      <w:numFmt w:val="bullet"/>
      <w:lvlText w:val="o"/>
      <w:lvlJc w:val="left"/>
      <w:pPr>
        <w:ind w:left="3601" w:hanging="360"/>
      </w:pPr>
      <w:rPr>
        <w:rFonts w:ascii="Courier New" w:hAnsi="Courier New" w:cs="Courier New" w:hint="default"/>
      </w:rPr>
    </w:lvl>
    <w:lvl w:ilvl="5" w:tplc="241A0005" w:tentative="1">
      <w:start w:val="1"/>
      <w:numFmt w:val="bullet"/>
      <w:lvlText w:val=""/>
      <w:lvlJc w:val="left"/>
      <w:pPr>
        <w:ind w:left="4321" w:hanging="360"/>
      </w:pPr>
      <w:rPr>
        <w:rFonts w:ascii="Wingdings" w:hAnsi="Wingdings" w:hint="default"/>
      </w:rPr>
    </w:lvl>
    <w:lvl w:ilvl="6" w:tplc="241A0001" w:tentative="1">
      <w:start w:val="1"/>
      <w:numFmt w:val="bullet"/>
      <w:lvlText w:val=""/>
      <w:lvlJc w:val="left"/>
      <w:pPr>
        <w:ind w:left="5041" w:hanging="360"/>
      </w:pPr>
      <w:rPr>
        <w:rFonts w:ascii="Symbol" w:hAnsi="Symbol" w:hint="default"/>
      </w:rPr>
    </w:lvl>
    <w:lvl w:ilvl="7" w:tplc="241A0003" w:tentative="1">
      <w:start w:val="1"/>
      <w:numFmt w:val="bullet"/>
      <w:lvlText w:val="o"/>
      <w:lvlJc w:val="left"/>
      <w:pPr>
        <w:ind w:left="5761" w:hanging="360"/>
      </w:pPr>
      <w:rPr>
        <w:rFonts w:ascii="Courier New" w:hAnsi="Courier New" w:cs="Courier New" w:hint="default"/>
      </w:rPr>
    </w:lvl>
    <w:lvl w:ilvl="8" w:tplc="241A0005" w:tentative="1">
      <w:start w:val="1"/>
      <w:numFmt w:val="bullet"/>
      <w:lvlText w:val=""/>
      <w:lvlJc w:val="left"/>
      <w:pPr>
        <w:ind w:left="6481" w:hanging="360"/>
      </w:pPr>
      <w:rPr>
        <w:rFonts w:ascii="Wingdings" w:hAnsi="Wingdings" w:hint="default"/>
      </w:rPr>
    </w:lvl>
  </w:abstractNum>
  <w:abstractNum w:abstractNumId="11" w15:restartNumberingAfterBreak="0">
    <w:nsid w:val="4FB358EA"/>
    <w:multiLevelType w:val="hybridMultilevel"/>
    <w:tmpl w:val="AB209474"/>
    <w:lvl w:ilvl="0" w:tplc="FFFFFFFF">
      <w:start w:val="1"/>
      <w:numFmt w:val="bullet"/>
      <w:lvlText w:val="-"/>
      <w:lvlJc w:val="left"/>
      <w:pPr>
        <w:ind w:left="1080" w:hanging="360"/>
      </w:p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15:restartNumberingAfterBreak="0">
    <w:nsid w:val="53A94141"/>
    <w:multiLevelType w:val="hybridMultilevel"/>
    <w:tmpl w:val="492A46C2"/>
    <w:lvl w:ilvl="0" w:tplc="5686E7E8">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8A555E0"/>
    <w:multiLevelType w:val="hybridMultilevel"/>
    <w:tmpl w:val="CC78B754"/>
    <w:lvl w:ilvl="0" w:tplc="FFFFFFFF">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432B6C"/>
    <w:multiLevelType w:val="hybridMultilevel"/>
    <w:tmpl w:val="F222B6AE"/>
    <w:lvl w:ilvl="0" w:tplc="4C34D40A">
      <w:numFmt w:val="bullet"/>
      <w:lvlText w:val="-"/>
      <w:lvlJc w:val="left"/>
      <w:pPr>
        <w:ind w:left="360" w:hanging="360"/>
      </w:pPr>
      <w:rPr>
        <w:rFonts w:ascii="Times New Roman" w:eastAsia="Times New Roman" w:hAnsi="Times New Roman" w:cs="Times New Roman" w:hint="default"/>
        <w:w w:val="128"/>
        <w:sz w:val="17"/>
        <w:szCs w:val="17"/>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7DA27E89"/>
    <w:multiLevelType w:val="hybridMultilevel"/>
    <w:tmpl w:val="49C43D3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0"/>
  </w:num>
  <w:num w:numId="4">
    <w:abstractNumId w:val="13"/>
  </w:num>
  <w:num w:numId="5">
    <w:abstractNumId w:val="5"/>
  </w:num>
  <w:num w:numId="6">
    <w:abstractNumId w:val="1"/>
  </w:num>
  <w:num w:numId="7">
    <w:abstractNumId w:val="9"/>
  </w:num>
  <w:num w:numId="8">
    <w:abstractNumId w:val="4"/>
  </w:num>
  <w:num w:numId="9">
    <w:abstractNumId w:val="7"/>
  </w:num>
  <w:num w:numId="10">
    <w:abstractNumId w:val="16"/>
  </w:num>
  <w:num w:numId="11">
    <w:abstractNumId w:val="6"/>
  </w:num>
  <w:num w:numId="12">
    <w:abstractNumId w:val="10"/>
  </w:num>
  <w:num w:numId="13">
    <w:abstractNumId w:val="12"/>
  </w:num>
  <w:num w:numId="14">
    <w:abstractNumId w:val="11"/>
  </w:num>
  <w:num w:numId="15">
    <w:abstractNumId w:val="14"/>
  </w:num>
  <w:num w:numId="16">
    <w:abstractNumId w:val="8"/>
  </w:num>
  <w:num w:numId="17">
    <w:abstractNumId w:val="2"/>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AF0"/>
    <w:rsid w:val="001858BD"/>
    <w:rsid w:val="002118AB"/>
    <w:rsid w:val="002F4865"/>
    <w:rsid w:val="00384E10"/>
    <w:rsid w:val="003A5108"/>
    <w:rsid w:val="003F2969"/>
    <w:rsid w:val="004F0139"/>
    <w:rsid w:val="005F6544"/>
    <w:rsid w:val="00BE1AF0"/>
    <w:rsid w:val="00FD725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658CC9"/>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numbering" w:styleId="111111">
    <w:name w:val="Outline List 2"/>
    <w:basedOn w:val="NoList"/>
    <w:pPr>
      <w:numPr>
        <w:numId w:val="3"/>
      </w:numPr>
    </w:p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Spacing">
    <w:name w:val="No Spacing"/>
    <w:uiPriority w:val="1"/>
    <w:qFormat/>
    <w:rPr>
      <w:sz w:val="24"/>
      <w:szCs w:val="24"/>
      <w:lang w:val="en-US" w:eastAsia="en-US"/>
    </w:rPr>
  </w:style>
  <w:style w:type="character" w:customStyle="1" w:styleId="CommentTextChar">
    <w:name w:val="Comment Text Char"/>
    <w:link w:val="CommentText"/>
    <w:semiHidden/>
    <w:rPr>
      <w:lang w:val="en-US" w:eastAsia="en-US"/>
    </w:rPr>
  </w:style>
  <w:style w:type="character" w:styleId="Hyperlink">
    <w:name w:val="Hyperlink"/>
    <w:basedOn w:val="DefaultParagraphFont"/>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381498">
      <w:bodyDiv w:val="1"/>
      <w:marLeft w:val="0"/>
      <w:marRight w:val="0"/>
      <w:marTop w:val="0"/>
      <w:marBottom w:val="0"/>
      <w:divBdr>
        <w:top w:val="none" w:sz="0" w:space="0" w:color="auto"/>
        <w:left w:val="none" w:sz="0" w:space="0" w:color="auto"/>
        <w:bottom w:val="none" w:sz="0" w:space="0" w:color="auto"/>
        <w:right w:val="none" w:sz="0" w:space="0" w:color="auto"/>
      </w:divBdr>
    </w:div>
    <w:div w:id="12158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D399-29CF-49F5-B33A-20CBB565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9388</Words>
  <Characters>53516</Characters>
  <Application>Microsoft Office Word</Application>
  <DocSecurity>0</DocSecurity>
  <Lines>445</Lines>
  <Paragraphs>125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Obrazac za SmPC</vt:lpstr>
      <vt:lpstr>Obrazac za SmPC</vt:lpstr>
    </vt:vector>
  </TitlesOfParts>
  <Company>CInMED</Company>
  <LinksUpToDate>false</LinksUpToDate>
  <CharactersWithSpaces>62779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Tamara Dedejić</cp:lastModifiedBy>
  <cp:revision>2</cp:revision>
  <dcterms:created xsi:type="dcterms:W3CDTF">2024-12-02T07:29:00Z</dcterms:created>
  <dcterms:modified xsi:type="dcterms:W3CDTF">2024-12-02T07:29:00Z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