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2E535" w14:textId="77777777" w:rsidR="002E7166" w:rsidRPr="006B7F8B" w:rsidRDefault="002E7166" w:rsidP="00AE0627">
      <w:pPr>
        <w:tabs>
          <w:tab w:val="left" w:pos="284"/>
        </w:tabs>
        <w:spacing w:after="0" w:line="720" w:lineRule="auto"/>
        <w:jc w:val="center"/>
        <w:rPr>
          <w:rFonts w:ascii="Times New Roman" w:eastAsia="Times New Roman" w:hAnsi="Times New Roman" w:cs="Times New Roman"/>
          <w:b/>
          <w:bCs/>
          <w:iCs/>
          <w:u w:val="single"/>
          <w:lang w:val="sr-Latn-ME"/>
        </w:rPr>
      </w:pPr>
      <w:r w:rsidRPr="006B7F8B">
        <w:rPr>
          <w:rFonts w:ascii="Times New Roman" w:eastAsia="Times New Roman" w:hAnsi="Times New Roman" w:cs="Times New Roman"/>
          <w:b/>
          <w:lang w:val="sr-Latn-ME"/>
        </w:rPr>
        <w:tab/>
      </w:r>
      <w:r w:rsidRPr="006B7F8B">
        <w:rPr>
          <w:rFonts w:ascii="Times New Roman" w:eastAsia="Times New Roman" w:hAnsi="Times New Roman" w:cs="Times New Roman"/>
          <w:b/>
          <w:bCs/>
          <w:iCs/>
          <w:u w:val="single"/>
          <w:lang w:val="sr-Latn-ME"/>
        </w:rPr>
        <w:t>SAŽETAK KARAKTERISTIKA LIJEKA</w:t>
      </w:r>
    </w:p>
    <w:p w14:paraId="5542E536" w14:textId="77777777" w:rsidR="002E7166" w:rsidRPr="006B7F8B" w:rsidRDefault="002E7166" w:rsidP="00851C9A">
      <w:pPr>
        <w:tabs>
          <w:tab w:val="left" w:pos="284"/>
        </w:tabs>
        <w:spacing w:after="0" w:line="240" w:lineRule="auto"/>
        <w:jc w:val="both"/>
        <w:rPr>
          <w:rFonts w:ascii="Times New Roman" w:eastAsia="Times New Roman" w:hAnsi="Times New Roman" w:cs="Times New Roman"/>
          <w:b/>
          <w:lang w:val="sr-Latn-ME"/>
        </w:rPr>
      </w:pPr>
    </w:p>
    <w:p w14:paraId="5542E537" w14:textId="4DEC3BC3" w:rsidR="002E7166" w:rsidRPr="00A06B15" w:rsidRDefault="00AE0627" w:rsidP="00A06B15">
      <w:pPr>
        <w:pStyle w:val="ListParagraph"/>
        <w:numPr>
          <w:ilvl w:val="0"/>
          <w:numId w:val="4"/>
        </w:numPr>
        <w:tabs>
          <w:tab w:val="left" w:pos="110"/>
        </w:tabs>
        <w:spacing w:after="0" w:line="240" w:lineRule="auto"/>
        <w:ind w:left="660" w:hanging="720"/>
        <w:jc w:val="both"/>
        <w:rPr>
          <w:rFonts w:ascii="Times New Roman" w:eastAsia="Times New Roman" w:hAnsi="Times New Roman" w:cs="Times New Roman"/>
          <w:lang w:val="sr-Latn-ME"/>
        </w:rPr>
      </w:pPr>
      <w:r>
        <w:rPr>
          <w:rFonts w:ascii="Times New Roman" w:eastAsia="Times New Roman" w:hAnsi="Times New Roman" w:cs="Times New Roman"/>
          <w:b/>
          <w:lang w:val="sr-Latn-ME"/>
        </w:rPr>
        <w:t xml:space="preserve"> </w:t>
      </w:r>
      <w:r w:rsidR="002E7166" w:rsidRPr="00A06B15">
        <w:rPr>
          <w:rFonts w:ascii="Times New Roman" w:eastAsia="Times New Roman" w:hAnsi="Times New Roman" w:cs="Times New Roman"/>
          <w:b/>
          <w:lang w:val="sr-Latn-ME"/>
        </w:rPr>
        <w:t>NAZIV LIJEKA</w:t>
      </w:r>
    </w:p>
    <w:p w14:paraId="5542E538"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i/>
          <w:iCs/>
          <w:lang w:val="sr-Latn-ME"/>
        </w:rPr>
      </w:pPr>
    </w:p>
    <w:p w14:paraId="62256611" w14:textId="4FC98B18" w:rsidR="00AE0627" w:rsidRDefault="002E7166" w:rsidP="00AE0627">
      <w:pPr>
        <w:tabs>
          <w:tab w:val="left" w:pos="284"/>
        </w:tabs>
        <w:spacing w:after="0" w:line="240" w:lineRule="auto"/>
        <w:jc w:val="both"/>
        <w:rPr>
          <w:rFonts w:ascii="Times New Roman" w:eastAsia="Times New Roman" w:hAnsi="Times New Roman" w:cs="Times New Roman"/>
          <w:lang w:val="sr-Latn-ME"/>
        </w:rPr>
      </w:pPr>
      <w:proofErr w:type="spellStart"/>
      <w:r w:rsidRPr="007076F7">
        <w:rPr>
          <w:rFonts w:ascii="Times New Roman" w:eastAsia="Times New Roman" w:hAnsi="Times New Roman" w:cs="Times New Roman"/>
          <w:lang w:val="sr-Latn-ME"/>
        </w:rPr>
        <w:t>Pepticaid</w:t>
      </w:r>
      <w:proofErr w:type="spellEnd"/>
      <w:r w:rsidRPr="007076F7">
        <w:rPr>
          <w:rFonts w:ascii="Times New Roman" w:eastAsia="Times New Roman" w:hAnsi="Times New Roman" w:cs="Times New Roman"/>
          <w:lang w:val="sr-Latn-ME"/>
        </w:rPr>
        <w:t xml:space="preserve">, 40 mg, </w:t>
      </w:r>
      <w:proofErr w:type="spellStart"/>
      <w:r w:rsidRPr="007076F7">
        <w:rPr>
          <w:rFonts w:ascii="Times New Roman" w:eastAsia="Times New Roman" w:hAnsi="Times New Roman" w:cs="Times New Roman"/>
          <w:lang w:val="sr-Latn-ME"/>
        </w:rPr>
        <w:t>gastrorezistentne</w:t>
      </w:r>
      <w:proofErr w:type="spellEnd"/>
      <w:r w:rsidRPr="007076F7">
        <w:rPr>
          <w:rFonts w:ascii="Times New Roman" w:eastAsia="Times New Roman" w:hAnsi="Times New Roman" w:cs="Times New Roman"/>
          <w:lang w:val="sr-Latn-ME"/>
        </w:rPr>
        <w:t xml:space="preserve"> tablete</w:t>
      </w:r>
    </w:p>
    <w:p w14:paraId="055AFE58" w14:textId="77777777" w:rsidR="00AE0627" w:rsidRPr="00AE0627" w:rsidRDefault="00AE0627" w:rsidP="00AE0627">
      <w:pPr>
        <w:tabs>
          <w:tab w:val="left" w:pos="284"/>
        </w:tabs>
        <w:spacing w:after="0" w:line="240" w:lineRule="auto"/>
        <w:jc w:val="both"/>
        <w:rPr>
          <w:rFonts w:ascii="Times New Roman" w:eastAsia="Times New Roman" w:hAnsi="Times New Roman" w:cs="Times New Roman"/>
          <w:lang w:val="sr-Latn-ME"/>
        </w:rPr>
      </w:pPr>
    </w:p>
    <w:p w14:paraId="5542E53A"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INN: </w:t>
      </w:r>
      <w:proofErr w:type="spellStart"/>
      <w:r w:rsidRPr="007076F7">
        <w:rPr>
          <w:rFonts w:ascii="Times New Roman" w:eastAsia="Times New Roman" w:hAnsi="Times New Roman" w:cs="Times New Roman"/>
          <w:lang w:val="sr-Latn-ME"/>
        </w:rPr>
        <w:t>pantoprazol</w:t>
      </w:r>
      <w:proofErr w:type="spellEnd"/>
    </w:p>
    <w:p w14:paraId="5542E53B" w14:textId="77777777" w:rsidR="002828B6" w:rsidRPr="007076F7" w:rsidRDefault="002828B6" w:rsidP="00AE0627">
      <w:pPr>
        <w:tabs>
          <w:tab w:val="left" w:pos="284"/>
        </w:tabs>
        <w:spacing w:after="0" w:line="240" w:lineRule="auto"/>
        <w:jc w:val="both"/>
        <w:rPr>
          <w:rFonts w:ascii="Times New Roman" w:eastAsia="Times New Roman" w:hAnsi="Times New Roman" w:cs="Times New Roman"/>
          <w:lang w:val="sr-Latn-ME"/>
        </w:rPr>
      </w:pPr>
    </w:p>
    <w:p w14:paraId="5542E53C"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p>
    <w:p w14:paraId="5542E53D"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2. KVALITATIVNI I KVANTITATIVNI SASTAV</w:t>
      </w:r>
    </w:p>
    <w:p w14:paraId="5542E53E"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53F" w14:textId="73D36B1A"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Jedna </w:t>
      </w:r>
      <w:proofErr w:type="spellStart"/>
      <w:r w:rsidRPr="007076F7">
        <w:rPr>
          <w:rFonts w:ascii="Times New Roman" w:eastAsia="Times New Roman" w:hAnsi="Times New Roman" w:cs="Times New Roman"/>
          <w:lang w:val="sr-Latn-ME"/>
        </w:rPr>
        <w:t>gastrorezistentna</w:t>
      </w:r>
      <w:proofErr w:type="spellEnd"/>
      <w:r w:rsidRPr="007076F7">
        <w:rPr>
          <w:rFonts w:ascii="Times New Roman" w:eastAsia="Times New Roman" w:hAnsi="Times New Roman" w:cs="Times New Roman"/>
          <w:lang w:val="sr-Latn-ME"/>
        </w:rPr>
        <w:t xml:space="preserve"> tableta sadrži 40 mg, što odgovara 45,15 mg </w:t>
      </w:r>
      <w:proofErr w:type="spellStart"/>
      <w:r w:rsidRPr="007076F7">
        <w:rPr>
          <w:rFonts w:ascii="Times New Roman" w:eastAsia="Times New Roman" w:hAnsi="Times New Roman" w:cs="Times New Roman"/>
          <w:lang w:val="sr-Latn-ME"/>
        </w:rPr>
        <w:t>pantoprazol</w:t>
      </w:r>
      <w:proofErr w:type="spellEnd"/>
      <w:r w:rsidR="00851C9A" w:rsidRPr="007076F7">
        <w:rPr>
          <w:rFonts w:ascii="Times New Roman" w:eastAsia="Times New Roman" w:hAnsi="Times New Roman" w:cs="Times New Roman"/>
          <w:lang w:val="sr-Latn-ME"/>
        </w:rPr>
        <w:t xml:space="preserve"> </w:t>
      </w:r>
      <w:r w:rsidRPr="007076F7">
        <w:rPr>
          <w:rFonts w:ascii="Times New Roman" w:eastAsia="Times New Roman" w:hAnsi="Times New Roman" w:cs="Times New Roman"/>
          <w:lang w:val="sr-Latn-ME"/>
        </w:rPr>
        <w:t xml:space="preserve">natrijum, </w:t>
      </w:r>
      <w:proofErr w:type="spellStart"/>
      <w:r w:rsidRPr="007076F7">
        <w:rPr>
          <w:rFonts w:ascii="Times New Roman" w:eastAsia="Times New Roman" w:hAnsi="Times New Roman" w:cs="Times New Roman"/>
          <w:lang w:val="sr-Latn-ME"/>
        </w:rPr>
        <w:t>seskvihidrata</w:t>
      </w:r>
      <w:proofErr w:type="spellEnd"/>
      <w:r w:rsidRPr="007076F7">
        <w:rPr>
          <w:rFonts w:ascii="Times New Roman" w:eastAsia="Times New Roman" w:hAnsi="Times New Roman" w:cs="Times New Roman"/>
          <w:lang w:val="sr-Latn-ME"/>
        </w:rPr>
        <w:t>.</w:t>
      </w:r>
    </w:p>
    <w:p w14:paraId="5542E540"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p>
    <w:p w14:paraId="5542E542" w14:textId="4D7E8F0D"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Pomoćna supstanca sa potvrđenim dejstvom:</w:t>
      </w:r>
      <w:r w:rsidR="00851C9A" w:rsidRPr="007076F7">
        <w:rPr>
          <w:rFonts w:ascii="Times New Roman" w:eastAsia="Times New Roman" w:hAnsi="Times New Roman" w:cs="Times New Roman"/>
          <w:lang w:val="sr-Latn-ME"/>
        </w:rPr>
        <w:t xml:space="preserve"> j</w:t>
      </w:r>
      <w:r w:rsidRPr="007076F7">
        <w:rPr>
          <w:rFonts w:ascii="Times New Roman" w:eastAsia="Times New Roman" w:hAnsi="Times New Roman" w:cs="Times New Roman"/>
          <w:lang w:val="sr-Latn-ME"/>
        </w:rPr>
        <w:t xml:space="preserve">edna tableta sadrži 76.850 mg </w:t>
      </w:r>
      <w:proofErr w:type="spellStart"/>
      <w:r w:rsidRPr="007076F7">
        <w:rPr>
          <w:rFonts w:ascii="Times New Roman" w:eastAsia="Times New Roman" w:hAnsi="Times New Roman" w:cs="Times New Roman"/>
          <w:lang w:val="sr-Latn-ME"/>
        </w:rPr>
        <w:t>maltitola</w:t>
      </w:r>
      <w:proofErr w:type="spellEnd"/>
      <w:r w:rsidRPr="007076F7">
        <w:rPr>
          <w:rFonts w:ascii="Times New Roman" w:eastAsia="Times New Roman" w:hAnsi="Times New Roman" w:cs="Times New Roman"/>
          <w:lang w:val="sr-Latn-ME"/>
        </w:rPr>
        <w:t>.</w:t>
      </w:r>
    </w:p>
    <w:p w14:paraId="5542E543" w14:textId="77777777" w:rsidR="002E7166" w:rsidRPr="007076F7" w:rsidRDefault="002E7166" w:rsidP="00AE0627">
      <w:pPr>
        <w:tabs>
          <w:tab w:val="left" w:pos="1500"/>
        </w:tabs>
        <w:spacing w:after="0" w:line="240" w:lineRule="auto"/>
        <w:jc w:val="both"/>
        <w:rPr>
          <w:rFonts w:ascii="Times New Roman" w:eastAsia="Times New Roman" w:hAnsi="Times New Roman" w:cs="Times New Roman"/>
          <w:bCs/>
          <w:lang w:val="sr-Latn-ME"/>
        </w:rPr>
      </w:pPr>
    </w:p>
    <w:p w14:paraId="5542E544" w14:textId="285625F0" w:rsidR="002E7166" w:rsidRPr="007076F7" w:rsidRDefault="002E7166" w:rsidP="00AE0627">
      <w:pPr>
        <w:tabs>
          <w:tab w:val="center" w:pos="4536"/>
          <w:tab w:val="right" w:pos="9072"/>
        </w:tabs>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 xml:space="preserve">Za listu svih </w:t>
      </w:r>
      <w:proofErr w:type="spellStart"/>
      <w:r w:rsidR="00A442DE" w:rsidRPr="007076F7">
        <w:rPr>
          <w:rFonts w:ascii="Times New Roman" w:eastAsia="Times New Roman" w:hAnsi="Times New Roman" w:cs="Times New Roman"/>
          <w:lang w:val="sr-Latn-CS" w:eastAsia="sr-Latn-CS"/>
        </w:rPr>
        <w:t>ekscipijenasa</w:t>
      </w:r>
      <w:proofErr w:type="spellEnd"/>
      <w:r w:rsidR="00A442DE" w:rsidRPr="007076F7">
        <w:rPr>
          <w:rFonts w:ascii="Times New Roman" w:eastAsia="Times New Roman" w:hAnsi="Times New Roman" w:cs="Times New Roman"/>
          <w:lang w:val="sr-Latn-CS" w:eastAsia="sr-Latn-CS"/>
        </w:rPr>
        <w:t xml:space="preserve">, pogledati </w:t>
      </w:r>
      <w:proofErr w:type="spellStart"/>
      <w:r w:rsidR="00A442DE" w:rsidRPr="007076F7">
        <w:rPr>
          <w:rFonts w:ascii="Times New Roman" w:eastAsia="Times New Roman" w:hAnsi="Times New Roman" w:cs="Times New Roman"/>
          <w:lang w:val="sr-Latn-CS" w:eastAsia="sr-Latn-CS"/>
        </w:rPr>
        <w:t>dio</w:t>
      </w:r>
      <w:proofErr w:type="spellEnd"/>
      <w:r w:rsidR="00A442DE" w:rsidRPr="007076F7" w:rsidDel="00A442DE">
        <w:rPr>
          <w:rFonts w:ascii="Times New Roman" w:eastAsia="Times New Roman" w:hAnsi="Times New Roman" w:cs="Times New Roman"/>
          <w:lang w:val="sr-Latn-ME" w:eastAsia="sr-Latn-CS"/>
        </w:rPr>
        <w:t xml:space="preserve"> </w:t>
      </w:r>
      <w:r w:rsidRPr="007076F7">
        <w:rPr>
          <w:rFonts w:ascii="Times New Roman" w:eastAsia="Times New Roman" w:hAnsi="Times New Roman" w:cs="Times New Roman"/>
          <w:lang w:val="sr-Latn-ME" w:eastAsia="sr-Latn-CS"/>
        </w:rPr>
        <w:t>6.1.</w:t>
      </w:r>
    </w:p>
    <w:p w14:paraId="5542E545" w14:textId="77777777" w:rsidR="002828B6" w:rsidRPr="007076F7" w:rsidRDefault="002828B6" w:rsidP="00AE0627">
      <w:pPr>
        <w:tabs>
          <w:tab w:val="center" w:pos="4536"/>
          <w:tab w:val="right" w:pos="9072"/>
        </w:tabs>
        <w:spacing w:after="0" w:line="240" w:lineRule="auto"/>
        <w:jc w:val="both"/>
        <w:rPr>
          <w:rFonts w:ascii="Times New Roman" w:eastAsia="Times New Roman" w:hAnsi="Times New Roman" w:cs="Times New Roman"/>
          <w:bCs/>
          <w:lang w:val="sr-Latn-ME" w:eastAsia="sr-Latn-CS"/>
        </w:rPr>
      </w:pPr>
    </w:p>
    <w:p w14:paraId="5542E546"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547"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3. FARMACEUTSKI OBLIK</w:t>
      </w:r>
    </w:p>
    <w:p w14:paraId="5542E548"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549" w14:textId="77777777" w:rsidR="002E7166" w:rsidRPr="007076F7" w:rsidRDefault="002E7166" w:rsidP="007076F7">
      <w:pPr>
        <w:tabs>
          <w:tab w:val="left" w:pos="284"/>
        </w:tabs>
        <w:spacing w:after="0" w:line="240" w:lineRule="auto"/>
        <w:jc w:val="both"/>
        <w:rPr>
          <w:rFonts w:ascii="Times New Roman" w:eastAsia="Times New Roman" w:hAnsi="Times New Roman" w:cs="Times New Roman"/>
          <w:i/>
          <w:lang w:val="sr-Latn-ME"/>
        </w:rPr>
      </w:pPr>
      <w:proofErr w:type="spellStart"/>
      <w:r w:rsidRPr="007076F7">
        <w:rPr>
          <w:rFonts w:ascii="Times New Roman" w:eastAsia="Times New Roman" w:hAnsi="Times New Roman" w:cs="Times New Roman"/>
          <w:lang w:val="sr-Latn-ME"/>
        </w:rPr>
        <w:t>Gastrorezistentna</w:t>
      </w:r>
      <w:proofErr w:type="spellEnd"/>
      <w:r w:rsidRPr="007076F7">
        <w:rPr>
          <w:rFonts w:ascii="Times New Roman" w:eastAsia="Times New Roman" w:hAnsi="Times New Roman" w:cs="Times New Roman"/>
          <w:lang w:val="sr-Latn-ME"/>
        </w:rPr>
        <w:t xml:space="preserve"> tableta.</w:t>
      </w:r>
    </w:p>
    <w:p w14:paraId="5542E54A"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Žute ovalne tablete.</w:t>
      </w:r>
    </w:p>
    <w:p w14:paraId="5542E54B" w14:textId="77777777" w:rsidR="002828B6" w:rsidRPr="007076F7" w:rsidRDefault="002828B6">
      <w:pPr>
        <w:tabs>
          <w:tab w:val="left" w:pos="284"/>
        </w:tabs>
        <w:spacing w:after="0" w:line="240" w:lineRule="auto"/>
        <w:jc w:val="both"/>
        <w:rPr>
          <w:rFonts w:ascii="Times New Roman" w:eastAsia="Times New Roman" w:hAnsi="Times New Roman" w:cs="Times New Roman"/>
          <w:lang w:val="sr-Latn-ME"/>
        </w:rPr>
      </w:pPr>
    </w:p>
    <w:p w14:paraId="5542E54C"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54D" w14:textId="77777777" w:rsidR="002E7166" w:rsidRPr="007076F7" w:rsidRDefault="002E7166" w:rsidP="007076F7">
      <w:pPr>
        <w:tabs>
          <w:tab w:val="left" w:pos="284"/>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4. KLINIČKI PODACI</w:t>
      </w:r>
    </w:p>
    <w:p w14:paraId="5542E54E"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p>
    <w:p w14:paraId="5542E54F"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4.1. Terapijske indikacije</w:t>
      </w:r>
    </w:p>
    <w:p w14:paraId="5542E550"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43355506" w14:textId="77777777" w:rsidR="00A442DE" w:rsidRPr="007076F7" w:rsidRDefault="00A442DE">
      <w:pPr>
        <w:tabs>
          <w:tab w:val="left" w:pos="284"/>
          <w:tab w:val="left" w:pos="708"/>
        </w:tabs>
        <w:autoSpaceDE w:val="0"/>
        <w:autoSpaceDN w:val="0"/>
        <w:adjustRightInd w:val="0"/>
        <w:spacing w:after="0" w:line="240" w:lineRule="auto"/>
        <w:jc w:val="both"/>
        <w:rPr>
          <w:rFonts w:ascii="Times New Roman" w:eastAsia="TimesNewRoman" w:hAnsi="Times New Roman" w:cs="Times New Roman"/>
          <w:i/>
          <w:iCs/>
          <w:lang w:val="sr-Latn-ME"/>
        </w:rPr>
      </w:pPr>
      <w:r w:rsidRPr="007076F7">
        <w:rPr>
          <w:rFonts w:ascii="Times New Roman" w:eastAsia="TimesNewRoman" w:hAnsi="Times New Roman" w:cs="Times New Roman"/>
          <w:i/>
          <w:iCs/>
          <w:lang w:val="sr-Latn-ME"/>
        </w:rPr>
        <w:t>Odrasli i adolescenti od 12 godina i stariji:</w:t>
      </w:r>
    </w:p>
    <w:p w14:paraId="5542E552" w14:textId="77777777" w:rsidR="002E7166" w:rsidRPr="007076F7" w:rsidRDefault="002E7166" w:rsidP="00AE0627">
      <w:pPr>
        <w:numPr>
          <w:ilvl w:val="0"/>
          <w:numId w:val="2"/>
        </w:numPr>
        <w:tabs>
          <w:tab w:val="left" w:pos="284"/>
          <w:tab w:val="left" w:pos="708"/>
        </w:tabs>
        <w:autoSpaceDE w:val="0"/>
        <w:autoSpaceDN w:val="0"/>
        <w:adjustRightInd w:val="0"/>
        <w:spacing w:after="0" w:line="240" w:lineRule="auto"/>
        <w:ind w:left="0" w:firstLine="0"/>
        <w:jc w:val="both"/>
        <w:rPr>
          <w:rFonts w:ascii="Times New Roman" w:eastAsia="TimesNewRoman" w:hAnsi="Times New Roman" w:cs="Times New Roman"/>
          <w:lang w:val="sr-Latn-ME"/>
        </w:rPr>
      </w:pPr>
      <w:proofErr w:type="spellStart"/>
      <w:r w:rsidRPr="007076F7">
        <w:rPr>
          <w:rFonts w:ascii="Times New Roman" w:eastAsia="TimesNewRoman" w:hAnsi="Times New Roman" w:cs="Times New Roman"/>
          <w:lang w:val="sr-Latn-ME"/>
        </w:rPr>
        <w:t>refluksni</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ezofagitis</w:t>
      </w:r>
      <w:proofErr w:type="spellEnd"/>
      <w:r w:rsidRPr="007076F7">
        <w:rPr>
          <w:rFonts w:ascii="Times New Roman" w:eastAsia="TimesNewRoman" w:hAnsi="Times New Roman" w:cs="Times New Roman"/>
          <w:lang w:val="sr-Latn-ME"/>
        </w:rPr>
        <w:t>.</w:t>
      </w:r>
    </w:p>
    <w:p w14:paraId="5542E553"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54" w14:textId="6B53423F" w:rsidR="002E7166" w:rsidRPr="007076F7" w:rsidRDefault="00A442DE">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t>Odrasli</w:t>
      </w:r>
      <w:r w:rsidR="002E7166" w:rsidRPr="007076F7">
        <w:rPr>
          <w:rFonts w:ascii="Times New Roman" w:eastAsia="Times New Roman" w:hAnsi="Times New Roman" w:cs="Times New Roman"/>
          <w:i/>
          <w:iCs/>
          <w:lang w:val="sr-Latn-ME"/>
        </w:rPr>
        <w:t>:</w:t>
      </w:r>
    </w:p>
    <w:p w14:paraId="5542E555" w14:textId="74214EFD" w:rsidR="002E7166" w:rsidRPr="007076F7" w:rsidRDefault="002E7166" w:rsidP="00AE0627">
      <w:pPr>
        <w:numPr>
          <w:ilvl w:val="0"/>
          <w:numId w:val="1"/>
        </w:numPr>
        <w:tabs>
          <w:tab w:val="left" w:pos="284"/>
          <w:tab w:val="left" w:pos="708"/>
        </w:tabs>
        <w:autoSpaceDE w:val="0"/>
        <w:autoSpaceDN w:val="0"/>
        <w:adjustRightInd w:val="0"/>
        <w:spacing w:after="0" w:line="240" w:lineRule="auto"/>
        <w:ind w:left="0" w:firstLine="0"/>
        <w:jc w:val="both"/>
        <w:rPr>
          <w:rFonts w:ascii="Times New Roman" w:eastAsia="TimesNewRoman" w:hAnsi="Times New Roman" w:cs="Times New Roman"/>
          <w:lang w:val="sr-Latn-ME"/>
        </w:rPr>
      </w:pPr>
      <w:proofErr w:type="spellStart"/>
      <w:r w:rsidRPr="007076F7">
        <w:rPr>
          <w:rFonts w:ascii="Times New Roman" w:eastAsia="TimesNewRoman" w:hAnsi="Times New Roman" w:cs="Times New Roman"/>
          <w:lang w:val="sr-Latn-ME"/>
        </w:rPr>
        <w:t>eradikacij</w:t>
      </w:r>
      <w:r w:rsidR="00A442DE" w:rsidRPr="007076F7">
        <w:rPr>
          <w:rFonts w:ascii="Times New Roman" w:eastAsia="TimesNewRoman" w:hAnsi="Times New Roman" w:cs="Times New Roman"/>
          <w:lang w:val="sr-Latn-ME"/>
        </w:rPr>
        <w:t>a</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 New Roman" w:hAnsi="Times New Roman" w:cs="Times New Roman"/>
          <w:i/>
          <w:iCs/>
          <w:lang w:val="sr-Latn-ME"/>
        </w:rPr>
        <w:t>Helicobacter</w:t>
      </w:r>
      <w:proofErr w:type="spellEnd"/>
      <w:r w:rsidRPr="007076F7">
        <w:rPr>
          <w:rFonts w:ascii="Times New Roman" w:eastAsia="Times New Roman" w:hAnsi="Times New Roman" w:cs="Times New Roman"/>
          <w:i/>
          <w:iCs/>
          <w:lang w:val="sr-Latn-ME"/>
        </w:rPr>
        <w:t xml:space="preserve"> </w:t>
      </w:r>
      <w:proofErr w:type="spellStart"/>
      <w:r w:rsidRPr="007076F7">
        <w:rPr>
          <w:rFonts w:ascii="Times New Roman" w:eastAsia="Times New Roman" w:hAnsi="Times New Roman" w:cs="Times New Roman"/>
          <w:i/>
          <w:iCs/>
          <w:lang w:val="sr-Latn-ME"/>
        </w:rPr>
        <w:t>pylori</w:t>
      </w:r>
      <w:proofErr w:type="spellEnd"/>
      <w:r w:rsidRPr="007076F7">
        <w:rPr>
          <w:rFonts w:ascii="Times New Roman" w:eastAsia="Times New Roman" w:hAnsi="Times New Roman" w:cs="Times New Roman"/>
          <w:i/>
          <w:iCs/>
          <w:lang w:val="sr-Latn-ME"/>
        </w:rPr>
        <w:t xml:space="preserve"> (H. </w:t>
      </w:r>
      <w:proofErr w:type="spellStart"/>
      <w:r w:rsidRPr="007076F7">
        <w:rPr>
          <w:rFonts w:ascii="Times New Roman" w:eastAsia="Times New Roman" w:hAnsi="Times New Roman" w:cs="Times New Roman"/>
          <w:i/>
          <w:iCs/>
          <w:lang w:val="sr-Latn-ME"/>
        </w:rPr>
        <w:t>pylori</w:t>
      </w:r>
      <w:proofErr w:type="spellEnd"/>
      <w:r w:rsidRPr="007076F7">
        <w:rPr>
          <w:rFonts w:ascii="Times New Roman" w:eastAsia="Times New Roman" w:hAnsi="Times New Roman" w:cs="Times New Roman"/>
          <w:i/>
          <w:iCs/>
          <w:lang w:val="sr-Latn-ME"/>
        </w:rPr>
        <w:t xml:space="preserve">) </w:t>
      </w:r>
      <w:r w:rsidRPr="007076F7">
        <w:rPr>
          <w:rFonts w:ascii="Times New Roman" w:eastAsia="TimesNewRoman" w:hAnsi="Times New Roman" w:cs="Times New Roman"/>
          <w:lang w:val="sr-Latn-ME"/>
        </w:rPr>
        <w:t xml:space="preserve">u kombinaciji sa adekvatnom </w:t>
      </w:r>
      <w:proofErr w:type="spellStart"/>
      <w:r w:rsidRPr="007076F7">
        <w:rPr>
          <w:rFonts w:ascii="Times New Roman" w:eastAsia="TimesNewRoman" w:hAnsi="Times New Roman" w:cs="Times New Roman"/>
          <w:lang w:val="sr-Latn-ME"/>
        </w:rPr>
        <w:t>antibiotskom</w:t>
      </w:r>
      <w:proofErr w:type="spellEnd"/>
      <w:r w:rsidRPr="007076F7">
        <w:rPr>
          <w:rFonts w:ascii="Times New Roman" w:eastAsia="TimesNewRoman" w:hAnsi="Times New Roman" w:cs="Times New Roman"/>
          <w:lang w:val="sr-Latn-ME"/>
        </w:rPr>
        <w:t xml:space="preserve"> terapijom kod pacijenata sa </w:t>
      </w:r>
      <w:proofErr w:type="spellStart"/>
      <w:r w:rsidRPr="007076F7">
        <w:rPr>
          <w:rFonts w:ascii="Times New Roman" w:eastAsia="TimesNewRoman" w:hAnsi="Times New Roman" w:cs="Times New Roman"/>
          <w:lang w:val="sr-Latn-ME"/>
        </w:rPr>
        <w:t>ulkusima</w:t>
      </w:r>
      <w:proofErr w:type="spellEnd"/>
      <w:r w:rsidRPr="007076F7">
        <w:rPr>
          <w:rFonts w:ascii="Times New Roman" w:eastAsia="TimesNewRoman" w:hAnsi="Times New Roman" w:cs="Times New Roman"/>
          <w:lang w:val="sr-Latn-ME"/>
        </w:rPr>
        <w:t xml:space="preserve"> koji su u vezi sa </w:t>
      </w:r>
      <w:r w:rsidRPr="007076F7">
        <w:rPr>
          <w:rFonts w:ascii="Times New Roman" w:eastAsia="Times New Roman" w:hAnsi="Times New Roman" w:cs="Times New Roman"/>
          <w:i/>
          <w:iCs/>
          <w:lang w:val="sr-Latn-ME"/>
        </w:rPr>
        <w:t xml:space="preserve">H. </w:t>
      </w:r>
      <w:proofErr w:type="spellStart"/>
      <w:r w:rsidRPr="007076F7">
        <w:rPr>
          <w:rFonts w:ascii="Times New Roman" w:eastAsia="Times New Roman" w:hAnsi="Times New Roman" w:cs="Times New Roman"/>
          <w:i/>
          <w:iCs/>
          <w:lang w:val="sr-Latn-ME"/>
        </w:rPr>
        <w:t>pylori</w:t>
      </w:r>
      <w:proofErr w:type="spellEnd"/>
      <w:r w:rsidRPr="007076F7">
        <w:rPr>
          <w:rFonts w:ascii="Times New Roman" w:eastAsia="Times New Roman" w:hAnsi="Times New Roman" w:cs="Times New Roman"/>
          <w:i/>
          <w:iCs/>
          <w:lang w:val="sr-Latn-ME"/>
        </w:rPr>
        <w:t>,</w:t>
      </w:r>
    </w:p>
    <w:p w14:paraId="5542E556" w14:textId="77777777" w:rsidR="002E7166" w:rsidRPr="007076F7" w:rsidRDefault="002E7166" w:rsidP="00AE0627">
      <w:pPr>
        <w:numPr>
          <w:ilvl w:val="0"/>
          <w:numId w:val="1"/>
        </w:numPr>
        <w:tabs>
          <w:tab w:val="left" w:pos="284"/>
          <w:tab w:val="left" w:pos="708"/>
        </w:tabs>
        <w:autoSpaceDE w:val="0"/>
        <w:autoSpaceDN w:val="0"/>
        <w:adjustRightInd w:val="0"/>
        <w:spacing w:after="0" w:line="240" w:lineRule="auto"/>
        <w:ind w:left="0" w:firstLine="0"/>
        <w:jc w:val="both"/>
        <w:rPr>
          <w:rFonts w:ascii="Times New Roman" w:eastAsia="TimesNewRoman" w:hAnsi="Times New Roman" w:cs="Times New Roman"/>
          <w:lang w:val="sr-Latn-ME"/>
        </w:rPr>
      </w:pPr>
      <w:proofErr w:type="spellStart"/>
      <w:r w:rsidRPr="007076F7">
        <w:rPr>
          <w:rFonts w:ascii="Times New Roman" w:eastAsia="TimesNewRoman" w:hAnsi="Times New Roman" w:cs="Times New Roman"/>
          <w:lang w:val="sr-Latn-ME"/>
        </w:rPr>
        <w:t>ulkus</w:t>
      </w:r>
      <w:proofErr w:type="spellEnd"/>
      <w:r w:rsidRPr="007076F7">
        <w:rPr>
          <w:rFonts w:ascii="Times New Roman" w:eastAsia="TimesNewRoman" w:hAnsi="Times New Roman" w:cs="Times New Roman"/>
          <w:lang w:val="sr-Latn-ME"/>
        </w:rPr>
        <w:t xml:space="preserve"> želuca i </w:t>
      </w:r>
      <w:proofErr w:type="spellStart"/>
      <w:r w:rsidRPr="007076F7">
        <w:rPr>
          <w:rFonts w:ascii="Times New Roman" w:eastAsia="TimesNewRoman" w:hAnsi="Times New Roman" w:cs="Times New Roman"/>
          <w:lang w:val="sr-Latn-ME"/>
        </w:rPr>
        <w:t>duodenuma</w:t>
      </w:r>
      <w:proofErr w:type="spellEnd"/>
      <w:r w:rsidRPr="007076F7">
        <w:rPr>
          <w:rFonts w:ascii="Times New Roman" w:eastAsia="TimesNewRoman" w:hAnsi="Times New Roman" w:cs="Times New Roman"/>
          <w:lang w:val="sr-Latn-ME"/>
        </w:rPr>
        <w:t>,</w:t>
      </w:r>
    </w:p>
    <w:p w14:paraId="5542E557" w14:textId="77777777" w:rsidR="002E7166" w:rsidRPr="007076F7" w:rsidRDefault="002E7166" w:rsidP="00AE0627">
      <w:pPr>
        <w:numPr>
          <w:ilvl w:val="0"/>
          <w:numId w:val="1"/>
        </w:numPr>
        <w:tabs>
          <w:tab w:val="left" w:pos="284"/>
          <w:tab w:val="left" w:pos="708"/>
        </w:tabs>
        <w:autoSpaceDE w:val="0"/>
        <w:autoSpaceDN w:val="0"/>
        <w:adjustRightInd w:val="0"/>
        <w:spacing w:after="0" w:line="240" w:lineRule="auto"/>
        <w:ind w:left="0" w:firstLine="0"/>
        <w:jc w:val="both"/>
        <w:rPr>
          <w:rFonts w:ascii="Times New Roman" w:eastAsia="TimesNewRoman" w:hAnsi="Times New Roman" w:cs="Times New Roman"/>
          <w:lang w:val="sr-Latn-ME"/>
        </w:rPr>
      </w:pPr>
      <w:proofErr w:type="spellStart"/>
      <w:r w:rsidRPr="007076F7">
        <w:rPr>
          <w:rFonts w:ascii="Times New Roman" w:eastAsia="Times New Roman" w:hAnsi="Times New Roman" w:cs="Times New Roman"/>
          <w:i/>
          <w:iCs/>
          <w:lang w:val="sr-Latn-ME"/>
        </w:rPr>
        <w:t>Zollinger-Ellison</w:t>
      </w:r>
      <w:proofErr w:type="spellEnd"/>
      <w:r w:rsidRPr="007076F7">
        <w:rPr>
          <w:rFonts w:ascii="Times New Roman" w:eastAsia="Times New Roman" w:hAnsi="Times New Roman" w:cs="Times New Roman"/>
          <w:i/>
          <w:iCs/>
          <w:lang w:val="sr-Latn-ME"/>
        </w:rPr>
        <w:t xml:space="preserve"> </w:t>
      </w:r>
      <w:r w:rsidRPr="007076F7">
        <w:rPr>
          <w:rFonts w:ascii="Times New Roman" w:eastAsia="TimesNewRoman" w:hAnsi="Times New Roman" w:cs="Times New Roman"/>
          <w:lang w:val="sr-Latn-ME"/>
        </w:rPr>
        <w:t xml:space="preserve">sindrom i druga stanja patološke </w:t>
      </w:r>
      <w:proofErr w:type="spellStart"/>
      <w:r w:rsidRPr="007076F7">
        <w:rPr>
          <w:rFonts w:ascii="Times New Roman" w:eastAsia="TimesNewRoman" w:hAnsi="Times New Roman" w:cs="Times New Roman"/>
          <w:lang w:val="sr-Latn-ME"/>
        </w:rPr>
        <w:t>hipersekrecije</w:t>
      </w:r>
      <w:proofErr w:type="spellEnd"/>
      <w:r w:rsidRPr="007076F7">
        <w:rPr>
          <w:rFonts w:ascii="Times New Roman" w:eastAsia="TimesNewRoman" w:hAnsi="Times New Roman" w:cs="Times New Roman"/>
          <w:lang w:val="sr-Latn-ME"/>
        </w:rPr>
        <w:t>.</w:t>
      </w:r>
    </w:p>
    <w:p w14:paraId="5542E558"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559"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4.2. Doziranje i način primjene</w:t>
      </w:r>
    </w:p>
    <w:p w14:paraId="5542E55A"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5B" w14:textId="3CE03386" w:rsidR="002E7166" w:rsidRPr="007076F7" w:rsidRDefault="004E3DF7">
      <w:pPr>
        <w:tabs>
          <w:tab w:val="left" w:pos="708"/>
        </w:tabs>
        <w:autoSpaceDE w:val="0"/>
        <w:autoSpaceDN w:val="0"/>
        <w:adjustRightInd w:val="0"/>
        <w:spacing w:after="0" w:line="240" w:lineRule="auto"/>
        <w:jc w:val="both"/>
        <w:rPr>
          <w:rFonts w:ascii="Times New Roman" w:eastAsia="TimesNewRoman" w:hAnsi="Times New Roman" w:cs="Times New Roman"/>
          <w:u w:val="single"/>
          <w:lang w:val="sr-Latn-ME"/>
        </w:rPr>
      </w:pPr>
      <w:r w:rsidRPr="007076F7">
        <w:rPr>
          <w:rFonts w:ascii="Times New Roman" w:eastAsia="TimesNewRoman" w:hAnsi="Times New Roman" w:cs="Times New Roman"/>
          <w:u w:val="single"/>
          <w:lang w:val="sr-Latn-ME"/>
        </w:rPr>
        <w:t>D</w:t>
      </w:r>
      <w:r w:rsidR="002E7166" w:rsidRPr="007076F7">
        <w:rPr>
          <w:rFonts w:ascii="Times New Roman" w:eastAsia="TimesNewRoman" w:hAnsi="Times New Roman" w:cs="Times New Roman"/>
          <w:u w:val="single"/>
          <w:lang w:val="sr-Latn-ME"/>
        </w:rPr>
        <w:t>oziranje</w:t>
      </w:r>
    </w:p>
    <w:p w14:paraId="5542E55C"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i/>
          <w:iCs/>
          <w:u w:val="single"/>
          <w:lang w:val="sr-Latn-ME"/>
        </w:rPr>
      </w:pPr>
    </w:p>
    <w:p w14:paraId="5542E55D" w14:textId="00258003"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i/>
          <w:iCs/>
          <w:lang w:val="sr-Latn-ME"/>
        </w:rPr>
      </w:pPr>
      <w:r w:rsidRPr="007076F7">
        <w:rPr>
          <w:rFonts w:ascii="Times New Roman" w:eastAsia="TimesNewRoman" w:hAnsi="Times New Roman" w:cs="Times New Roman"/>
          <w:i/>
          <w:iCs/>
          <w:lang w:val="sr-Latn-ME"/>
        </w:rPr>
        <w:t>Odrasli i adolescenti od 12 godina i stariji:</w:t>
      </w:r>
    </w:p>
    <w:p w14:paraId="5542E55E"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i/>
          <w:iCs/>
          <w:lang w:val="sr-Latn-ME"/>
        </w:rPr>
      </w:pPr>
    </w:p>
    <w:p w14:paraId="5542E55F"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u w:val="single"/>
          <w:lang w:val="sr-Latn-ME"/>
        </w:rPr>
      </w:pPr>
      <w:proofErr w:type="spellStart"/>
      <w:r w:rsidRPr="007076F7">
        <w:rPr>
          <w:rFonts w:ascii="Times New Roman" w:eastAsia="TimesNewRoman" w:hAnsi="Times New Roman" w:cs="Times New Roman"/>
          <w:u w:val="single"/>
          <w:lang w:val="sr-Latn-ME"/>
        </w:rPr>
        <w:t>Refluksni</w:t>
      </w:r>
      <w:proofErr w:type="spellEnd"/>
      <w:r w:rsidRPr="007076F7">
        <w:rPr>
          <w:rFonts w:ascii="Times New Roman" w:eastAsia="TimesNewRoman" w:hAnsi="Times New Roman" w:cs="Times New Roman"/>
          <w:u w:val="single"/>
          <w:lang w:val="sr-Latn-ME"/>
        </w:rPr>
        <w:t xml:space="preserve"> </w:t>
      </w:r>
      <w:proofErr w:type="spellStart"/>
      <w:r w:rsidRPr="007076F7">
        <w:rPr>
          <w:rFonts w:ascii="Times New Roman" w:eastAsia="TimesNewRoman" w:hAnsi="Times New Roman" w:cs="Times New Roman"/>
          <w:u w:val="single"/>
          <w:lang w:val="sr-Latn-ME"/>
        </w:rPr>
        <w:t>ezofagitis</w:t>
      </w:r>
      <w:proofErr w:type="spellEnd"/>
    </w:p>
    <w:p w14:paraId="5542E561" w14:textId="0B42B680" w:rsidR="0096073D" w:rsidRPr="007076F7" w:rsidRDefault="002E7166">
      <w:pPr>
        <w:tabs>
          <w:tab w:val="left" w:pos="284"/>
          <w:tab w:val="center" w:pos="4536"/>
          <w:tab w:val="right" w:pos="9072"/>
        </w:tabs>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Jedna </w:t>
      </w:r>
      <w:proofErr w:type="spellStart"/>
      <w:r w:rsidRPr="007076F7">
        <w:rPr>
          <w:rFonts w:ascii="Times New Roman" w:eastAsia="TimesNewRoman" w:hAnsi="Times New Roman" w:cs="Times New Roman"/>
          <w:lang w:val="sr-Latn-ME"/>
        </w:rPr>
        <w:t>gastrorezistentna</w:t>
      </w:r>
      <w:proofErr w:type="spellEnd"/>
      <w:r w:rsidRPr="007076F7">
        <w:rPr>
          <w:rFonts w:ascii="Times New Roman" w:eastAsia="TimesNewRoman" w:hAnsi="Times New Roman" w:cs="Times New Roman"/>
          <w:lang w:val="sr-Latn-ME"/>
        </w:rPr>
        <w:t xml:space="preserve"> tableta lijeka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dnevno.</w:t>
      </w:r>
    </w:p>
    <w:p w14:paraId="5542E562"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U pojedinačnim slučajevima, doza može biti udvostručena (do 2 tablete na dan), posebno kada izostane odgovor na drugu terapiju. Period od 4 nedjelje je najčešće dovoljan za liječenje </w:t>
      </w:r>
      <w:proofErr w:type="spellStart"/>
      <w:r w:rsidRPr="007076F7">
        <w:rPr>
          <w:rFonts w:ascii="Times New Roman" w:eastAsia="TimesNewRoman" w:hAnsi="Times New Roman" w:cs="Times New Roman"/>
          <w:lang w:val="sr-Latn-ME"/>
        </w:rPr>
        <w:t>refluksnog</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ezofagitisa</w:t>
      </w:r>
      <w:proofErr w:type="spellEnd"/>
      <w:r w:rsidRPr="007076F7">
        <w:rPr>
          <w:rFonts w:ascii="Times New Roman" w:eastAsia="TimesNewRoman" w:hAnsi="Times New Roman" w:cs="Times New Roman"/>
          <w:lang w:val="sr-Latn-ME"/>
        </w:rPr>
        <w:t>. Ako ovo nije dovoljno, izliječenje se obično postiže u naredne 4 nedjelje.</w:t>
      </w:r>
    </w:p>
    <w:p w14:paraId="5542E563"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64"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i/>
          <w:iCs/>
          <w:lang w:val="sr-Latn-ME"/>
        </w:rPr>
      </w:pPr>
      <w:r w:rsidRPr="007076F7">
        <w:rPr>
          <w:rFonts w:ascii="Times New Roman" w:eastAsia="TimesNewRoman" w:hAnsi="Times New Roman" w:cs="Times New Roman"/>
          <w:i/>
          <w:iCs/>
          <w:lang w:val="sr-Latn-ME"/>
        </w:rPr>
        <w:t>Odrasli</w:t>
      </w:r>
    </w:p>
    <w:p w14:paraId="5542E565"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u w:val="single"/>
          <w:lang w:val="sr-Latn-ME"/>
        </w:rPr>
      </w:pPr>
      <w:proofErr w:type="spellStart"/>
      <w:r w:rsidRPr="007076F7">
        <w:rPr>
          <w:rFonts w:ascii="Times New Roman" w:eastAsia="TimesNewRoman" w:hAnsi="Times New Roman" w:cs="Times New Roman"/>
          <w:u w:val="single"/>
          <w:lang w:val="sr-Latn-ME"/>
        </w:rPr>
        <w:t>Eradikacija</w:t>
      </w:r>
      <w:proofErr w:type="spellEnd"/>
      <w:r w:rsidRPr="007076F7">
        <w:rPr>
          <w:rFonts w:ascii="Times New Roman" w:eastAsia="TimesNewRoman" w:hAnsi="Times New Roman" w:cs="Times New Roman"/>
          <w:u w:val="single"/>
          <w:lang w:val="sr-Latn-ME"/>
        </w:rPr>
        <w:t xml:space="preserve"> </w:t>
      </w:r>
      <w:r w:rsidRPr="007076F7">
        <w:rPr>
          <w:rFonts w:ascii="Times New Roman" w:eastAsia="TimesNewRoman" w:hAnsi="Times New Roman" w:cs="Times New Roman"/>
          <w:i/>
          <w:iCs/>
          <w:u w:val="single"/>
          <w:lang w:val="sr-Latn-ME"/>
        </w:rPr>
        <w:t xml:space="preserve">H. </w:t>
      </w:r>
      <w:proofErr w:type="spellStart"/>
      <w:r w:rsidRPr="007076F7">
        <w:rPr>
          <w:rFonts w:ascii="Times New Roman" w:eastAsia="TimesNewRoman" w:hAnsi="Times New Roman" w:cs="Times New Roman"/>
          <w:i/>
          <w:iCs/>
          <w:u w:val="single"/>
          <w:lang w:val="sr-Latn-ME"/>
        </w:rPr>
        <w:t>pylori</w:t>
      </w:r>
      <w:proofErr w:type="spellEnd"/>
      <w:r w:rsidRPr="007076F7">
        <w:rPr>
          <w:rFonts w:ascii="Times New Roman" w:eastAsia="TimesNewRoman" w:hAnsi="Times New Roman" w:cs="Times New Roman"/>
          <w:i/>
          <w:iCs/>
          <w:u w:val="single"/>
          <w:lang w:val="sr-Latn-ME"/>
        </w:rPr>
        <w:t xml:space="preserve"> </w:t>
      </w:r>
      <w:r w:rsidRPr="007076F7">
        <w:rPr>
          <w:rFonts w:ascii="Times New Roman" w:eastAsia="TimesNewRoman" w:hAnsi="Times New Roman" w:cs="Times New Roman"/>
          <w:u w:val="single"/>
          <w:lang w:val="sr-Latn-ME"/>
        </w:rPr>
        <w:t>u kombinaciji sa dva odgovarajuća antibiotika</w:t>
      </w:r>
    </w:p>
    <w:p w14:paraId="5542E566"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i/>
          <w:iCs/>
          <w:lang w:val="sr-Latn-ME"/>
        </w:rPr>
      </w:pPr>
      <w:r w:rsidRPr="007076F7">
        <w:rPr>
          <w:rFonts w:ascii="Times New Roman" w:eastAsia="TimesNewRoman" w:hAnsi="Times New Roman" w:cs="Times New Roman"/>
          <w:lang w:val="sr-Latn-ME"/>
        </w:rPr>
        <w:t xml:space="preserve">U slučajevima </w:t>
      </w:r>
      <w:proofErr w:type="spellStart"/>
      <w:r w:rsidRPr="007076F7">
        <w:rPr>
          <w:rFonts w:ascii="Times New Roman" w:eastAsia="TimesNewRoman" w:hAnsi="Times New Roman" w:cs="Times New Roman"/>
          <w:lang w:val="sr-Latn-ME"/>
        </w:rPr>
        <w:t>duodenalnog</w:t>
      </w:r>
      <w:proofErr w:type="spellEnd"/>
      <w:r w:rsidRPr="007076F7">
        <w:rPr>
          <w:rFonts w:ascii="Times New Roman" w:eastAsia="TimesNewRoman" w:hAnsi="Times New Roman" w:cs="Times New Roman"/>
          <w:lang w:val="sr-Latn-ME"/>
        </w:rPr>
        <w:t xml:space="preserve"> ili želudačnog </w:t>
      </w:r>
      <w:proofErr w:type="spellStart"/>
      <w:r w:rsidRPr="007076F7">
        <w:rPr>
          <w:rFonts w:ascii="Times New Roman" w:eastAsia="TimesNewRoman" w:hAnsi="Times New Roman" w:cs="Times New Roman"/>
          <w:lang w:val="sr-Latn-ME"/>
        </w:rPr>
        <w:t>ulkusa</w:t>
      </w:r>
      <w:proofErr w:type="spellEnd"/>
      <w:r w:rsidRPr="007076F7">
        <w:rPr>
          <w:rFonts w:ascii="Times New Roman" w:eastAsia="TimesNewRoman" w:hAnsi="Times New Roman" w:cs="Times New Roman"/>
          <w:lang w:val="sr-Latn-ME"/>
        </w:rPr>
        <w:t xml:space="preserve"> i sa potvrđenom infekcijom </w:t>
      </w:r>
      <w:proofErr w:type="spellStart"/>
      <w:r w:rsidRPr="007076F7">
        <w:rPr>
          <w:rFonts w:ascii="Times New Roman" w:eastAsia="TimesNewRoman" w:hAnsi="Times New Roman" w:cs="Times New Roman"/>
          <w:i/>
          <w:iCs/>
          <w:lang w:val="sr-Latn-ME"/>
        </w:rPr>
        <w:t>Helicobacter</w:t>
      </w:r>
      <w:proofErr w:type="spellEnd"/>
      <w:r w:rsidRPr="007076F7">
        <w:rPr>
          <w:rFonts w:ascii="Times New Roman" w:eastAsia="TimesNewRoman" w:hAnsi="Times New Roman" w:cs="Times New Roman"/>
          <w:i/>
          <w:iCs/>
          <w:lang w:val="sr-Latn-ME"/>
        </w:rPr>
        <w:t xml:space="preserve"> </w:t>
      </w:r>
      <w:proofErr w:type="spellStart"/>
      <w:r w:rsidRPr="007076F7">
        <w:rPr>
          <w:rFonts w:ascii="Times New Roman" w:eastAsia="TimesNewRoman" w:hAnsi="Times New Roman" w:cs="Times New Roman"/>
          <w:i/>
          <w:iCs/>
          <w:lang w:val="sr-Latn-ME"/>
        </w:rPr>
        <w:t>pylori</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eradikaciju</w:t>
      </w:r>
      <w:proofErr w:type="spellEnd"/>
      <w:r w:rsidRPr="007076F7">
        <w:rPr>
          <w:rFonts w:ascii="Times New Roman" w:eastAsia="TimesNewRoman" w:hAnsi="Times New Roman" w:cs="Times New Roman"/>
          <w:lang w:val="sr-Latn-ME"/>
        </w:rPr>
        <w:t xml:space="preserve"> treba postići kombinovanom terapijom.</w:t>
      </w:r>
    </w:p>
    <w:p w14:paraId="5542E567"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lastRenderedPageBreak/>
        <w:t>Treba uzeti u obzir nacionalne preporuke i vodiče dobre kliničke prakse u vezi sa rezistencijom bakterije i odgovarajućom primjenom i propisivanjem antibiotika.</w:t>
      </w:r>
    </w:p>
    <w:p w14:paraId="5542E568"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69"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Za </w:t>
      </w:r>
      <w:proofErr w:type="spellStart"/>
      <w:r w:rsidRPr="007076F7">
        <w:rPr>
          <w:rFonts w:ascii="Times New Roman" w:eastAsia="TimesNewRoman" w:hAnsi="Times New Roman" w:cs="Times New Roman"/>
          <w:lang w:val="sr-Latn-ME"/>
        </w:rPr>
        <w:t>eradikaciju</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i/>
          <w:iCs/>
          <w:lang w:val="sr-Latn-ME"/>
        </w:rPr>
        <w:t>Helicobacter</w:t>
      </w:r>
      <w:proofErr w:type="spellEnd"/>
      <w:r w:rsidRPr="007076F7">
        <w:rPr>
          <w:rFonts w:ascii="Times New Roman" w:eastAsia="TimesNewRoman" w:hAnsi="Times New Roman" w:cs="Times New Roman"/>
          <w:i/>
          <w:iCs/>
          <w:lang w:val="sr-Latn-ME"/>
        </w:rPr>
        <w:t xml:space="preserve"> </w:t>
      </w:r>
      <w:proofErr w:type="spellStart"/>
      <w:r w:rsidRPr="007076F7">
        <w:rPr>
          <w:rFonts w:ascii="Times New Roman" w:eastAsia="TimesNewRoman" w:hAnsi="Times New Roman" w:cs="Times New Roman"/>
          <w:i/>
          <w:iCs/>
          <w:lang w:val="sr-Latn-ME"/>
        </w:rPr>
        <w:t>pylori</w:t>
      </w:r>
      <w:proofErr w:type="spellEnd"/>
      <w:r w:rsidRPr="007076F7">
        <w:rPr>
          <w:rFonts w:ascii="Times New Roman" w:eastAsia="TimesNewRoman" w:hAnsi="Times New Roman" w:cs="Times New Roman"/>
          <w:lang w:val="sr-Latn-ME"/>
        </w:rPr>
        <w:t>, zavisno od rezistencije, preporučuju se sljedeće kombinacije:</w:t>
      </w:r>
    </w:p>
    <w:p w14:paraId="5542E56A"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6B" w14:textId="30BDEBFF"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a) 2 x 1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gastrorezistentna</w:t>
      </w:r>
      <w:proofErr w:type="spellEnd"/>
      <w:r w:rsidRPr="007076F7">
        <w:rPr>
          <w:rFonts w:ascii="Times New Roman" w:eastAsia="TimesNewRoman" w:hAnsi="Times New Roman" w:cs="Times New Roman"/>
          <w:lang w:val="sr-Latn-ME"/>
        </w:rPr>
        <w:t xml:space="preserve"> tableta na dan</w:t>
      </w:r>
    </w:p>
    <w:p w14:paraId="5542E56C"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+ 2 x 1000 mg </w:t>
      </w:r>
      <w:proofErr w:type="spellStart"/>
      <w:r w:rsidRPr="007076F7">
        <w:rPr>
          <w:rFonts w:ascii="Times New Roman" w:eastAsia="TimesNewRoman" w:hAnsi="Times New Roman" w:cs="Times New Roman"/>
          <w:lang w:val="sr-Latn-ME"/>
        </w:rPr>
        <w:t>amoksicilina</w:t>
      </w:r>
      <w:proofErr w:type="spellEnd"/>
      <w:r w:rsidRPr="007076F7">
        <w:rPr>
          <w:rFonts w:ascii="Times New Roman" w:eastAsia="TimesNewRoman" w:hAnsi="Times New Roman" w:cs="Times New Roman"/>
          <w:lang w:val="sr-Latn-ME"/>
        </w:rPr>
        <w:t xml:space="preserve"> na dan</w:t>
      </w:r>
    </w:p>
    <w:p w14:paraId="5542E56D"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+ 2 x 500 mg </w:t>
      </w:r>
      <w:proofErr w:type="spellStart"/>
      <w:r w:rsidRPr="007076F7">
        <w:rPr>
          <w:rFonts w:ascii="Times New Roman" w:eastAsia="TimesNewRoman" w:hAnsi="Times New Roman" w:cs="Times New Roman"/>
          <w:lang w:val="sr-Latn-ME"/>
        </w:rPr>
        <w:t>klaritromicina</w:t>
      </w:r>
      <w:proofErr w:type="spellEnd"/>
      <w:r w:rsidRPr="007076F7">
        <w:rPr>
          <w:rFonts w:ascii="Times New Roman" w:eastAsia="TimesNewRoman" w:hAnsi="Times New Roman" w:cs="Times New Roman"/>
          <w:lang w:val="sr-Latn-ME"/>
        </w:rPr>
        <w:t xml:space="preserve"> na dan</w:t>
      </w:r>
    </w:p>
    <w:p w14:paraId="5542E56E"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6F" w14:textId="011359FA"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b) 2 x 1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gastrorezistentna</w:t>
      </w:r>
      <w:proofErr w:type="spellEnd"/>
      <w:r w:rsidRPr="007076F7">
        <w:rPr>
          <w:rFonts w:ascii="Times New Roman" w:eastAsia="TimesNewRoman" w:hAnsi="Times New Roman" w:cs="Times New Roman"/>
          <w:lang w:val="sr-Latn-ME"/>
        </w:rPr>
        <w:t xml:space="preserve"> tableta na dan</w:t>
      </w:r>
    </w:p>
    <w:p w14:paraId="5542E570"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+ 2 x 400-500 mg </w:t>
      </w:r>
      <w:proofErr w:type="spellStart"/>
      <w:r w:rsidRPr="007076F7">
        <w:rPr>
          <w:rFonts w:ascii="Times New Roman" w:eastAsia="TimesNewRoman" w:hAnsi="Times New Roman" w:cs="Times New Roman"/>
          <w:lang w:val="sr-Latn-ME"/>
        </w:rPr>
        <w:t>metronidazola</w:t>
      </w:r>
      <w:proofErr w:type="spellEnd"/>
      <w:r w:rsidRPr="007076F7">
        <w:rPr>
          <w:rFonts w:ascii="Times New Roman" w:eastAsia="TimesNewRoman" w:hAnsi="Times New Roman" w:cs="Times New Roman"/>
          <w:lang w:val="sr-Latn-ME"/>
        </w:rPr>
        <w:t xml:space="preserve"> na dan (ili 500 mg </w:t>
      </w:r>
      <w:proofErr w:type="spellStart"/>
      <w:r w:rsidRPr="007076F7">
        <w:rPr>
          <w:rFonts w:ascii="Times New Roman" w:eastAsia="TimesNewRoman" w:hAnsi="Times New Roman" w:cs="Times New Roman"/>
          <w:lang w:val="sr-Latn-ME"/>
        </w:rPr>
        <w:t>tinidazola</w:t>
      </w:r>
      <w:proofErr w:type="spellEnd"/>
      <w:r w:rsidRPr="007076F7">
        <w:rPr>
          <w:rFonts w:ascii="Times New Roman" w:eastAsia="TimesNewRoman" w:hAnsi="Times New Roman" w:cs="Times New Roman"/>
          <w:lang w:val="sr-Latn-ME"/>
        </w:rPr>
        <w:t>)</w:t>
      </w:r>
    </w:p>
    <w:p w14:paraId="5542E571"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+ 2 x 250-500 mg </w:t>
      </w:r>
      <w:proofErr w:type="spellStart"/>
      <w:r w:rsidRPr="007076F7">
        <w:rPr>
          <w:rFonts w:ascii="Times New Roman" w:eastAsia="TimesNewRoman" w:hAnsi="Times New Roman" w:cs="Times New Roman"/>
          <w:lang w:val="sr-Latn-ME"/>
        </w:rPr>
        <w:t>klaritromicina</w:t>
      </w:r>
      <w:proofErr w:type="spellEnd"/>
      <w:r w:rsidRPr="007076F7">
        <w:rPr>
          <w:rFonts w:ascii="Times New Roman" w:eastAsia="TimesNewRoman" w:hAnsi="Times New Roman" w:cs="Times New Roman"/>
          <w:lang w:val="sr-Latn-ME"/>
        </w:rPr>
        <w:t xml:space="preserve"> na dan</w:t>
      </w:r>
    </w:p>
    <w:p w14:paraId="5542E572"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73" w14:textId="5E6F721B"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c) 2 x 1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gastrorezistentna</w:t>
      </w:r>
      <w:proofErr w:type="spellEnd"/>
      <w:r w:rsidRPr="007076F7">
        <w:rPr>
          <w:rFonts w:ascii="Times New Roman" w:eastAsia="TimesNewRoman" w:hAnsi="Times New Roman" w:cs="Times New Roman"/>
          <w:lang w:val="sr-Latn-ME"/>
        </w:rPr>
        <w:t xml:space="preserve"> tableta na dan</w:t>
      </w:r>
    </w:p>
    <w:p w14:paraId="5542E574"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+ 2 x 1000 mg </w:t>
      </w:r>
      <w:proofErr w:type="spellStart"/>
      <w:r w:rsidRPr="007076F7">
        <w:rPr>
          <w:rFonts w:ascii="Times New Roman" w:eastAsia="TimesNewRoman" w:hAnsi="Times New Roman" w:cs="Times New Roman"/>
          <w:lang w:val="sr-Latn-ME"/>
        </w:rPr>
        <w:t>amoksicilina</w:t>
      </w:r>
      <w:proofErr w:type="spellEnd"/>
      <w:r w:rsidRPr="007076F7">
        <w:rPr>
          <w:rFonts w:ascii="Times New Roman" w:eastAsia="TimesNewRoman" w:hAnsi="Times New Roman" w:cs="Times New Roman"/>
          <w:lang w:val="sr-Latn-ME"/>
        </w:rPr>
        <w:t xml:space="preserve"> na dan</w:t>
      </w:r>
    </w:p>
    <w:p w14:paraId="5542E575" w14:textId="77777777" w:rsidR="002E7166" w:rsidRPr="007076F7" w:rsidRDefault="002E7166">
      <w:pPr>
        <w:tabs>
          <w:tab w:val="center" w:pos="4536"/>
          <w:tab w:val="right" w:pos="9072"/>
        </w:tabs>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+ 2 x 400-500 mg </w:t>
      </w:r>
      <w:proofErr w:type="spellStart"/>
      <w:r w:rsidRPr="007076F7">
        <w:rPr>
          <w:rFonts w:ascii="Times New Roman" w:eastAsia="TimesNewRoman" w:hAnsi="Times New Roman" w:cs="Times New Roman"/>
          <w:lang w:val="sr-Latn-ME"/>
        </w:rPr>
        <w:t>metronidazola</w:t>
      </w:r>
      <w:proofErr w:type="spellEnd"/>
      <w:r w:rsidRPr="007076F7">
        <w:rPr>
          <w:rFonts w:ascii="Times New Roman" w:eastAsia="TimesNewRoman" w:hAnsi="Times New Roman" w:cs="Times New Roman"/>
          <w:lang w:val="sr-Latn-ME"/>
        </w:rPr>
        <w:t xml:space="preserve"> na dan (ili 500 mg </w:t>
      </w:r>
      <w:proofErr w:type="spellStart"/>
      <w:r w:rsidRPr="007076F7">
        <w:rPr>
          <w:rFonts w:ascii="Times New Roman" w:eastAsia="TimesNewRoman" w:hAnsi="Times New Roman" w:cs="Times New Roman"/>
          <w:lang w:val="sr-Latn-ME"/>
        </w:rPr>
        <w:t>tinidazola</w:t>
      </w:r>
      <w:proofErr w:type="spellEnd"/>
      <w:r w:rsidRPr="007076F7">
        <w:rPr>
          <w:rFonts w:ascii="Times New Roman" w:eastAsia="TimesNewRoman" w:hAnsi="Times New Roman" w:cs="Times New Roman"/>
          <w:lang w:val="sr-Latn-ME"/>
        </w:rPr>
        <w:t>)</w:t>
      </w:r>
    </w:p>
    <w:p w14:paraId="5542E576" w14:textId="77777777" w:rsidR="002E7166" w:rsidRPr="007076F7" w:rsidRDefault="002E7166">
      <w:pPr>
        <w:tabs>
          <w:tab w:val="center" w:pos="4536"/>
          <w:tab w:val="right" w:pos="9072"/>
        </w:tabs>
        <w:spacing w:after="0" w:line="240" w:lineRule="auto"/>
        <w:jc w:val="both"/>
        <w:rPr>
          <w:rFonts w:ascii="Times New Roman" w:eastAsia="TimesNewRoman" w:hAnsi="Times New Roman" w:cs="Times New Roman"/>
          <w:lang w:val="sr-Latn-ME"/>
        </w:rPr>
      </w:pPr>
    </w:p>
    <w:p w14:paraId="5542E577"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U kombinovanoj terapiji za </w:t>
      </w:r>
      <w:proofErr w:type="spellStart"/>
      <w:r w:rsidRPr="007076F7">
        <w:rPr>
          <w:rFonts w:ascii="Times New Roman" w:eastAsia="TimesNewRoman" w:hAnsi="Times New Roman" w:cs="Times New Roman"/>
          <w:lang w:val="sr-Latn-ME"/>
        </w:rPr>
        <w:t>eradikaciju</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i/>
          <w:iCs/>
          <w:lang w:val="sr-Latn-ME"/>
        </w:rPr>
        <w:t>Helicobacter</w:t>
      </w:r>
      <w:proofErr w:type="spellEnd"/>
      <w:r w:rsidRPr="007076F7">
        <w:rPr>
          <w:rFonts w:ascii="Times New Roman" w:eastAsia="TimesNewRoman" w:hAnsi="Times New Roman" w:cs="Times New Roman"/>
          <w:i/>
          <w:iCs/>
          <w:lang w:val="sr-Latn-ME"/>
        </w:rPr>
        <w:t xml:space="preserve"> </w:t>
      </w:r>
      <w:proofErr w:type="spellStart"/>
      <w:r w:rsidRPr="007076F7">
        <w:rPr>
          <w:rFonts w:ascii="Times New Roman" w:eastAsia="TimesNewRoman" w:hAnsi="Times New Roman" w:cs="Times New Roman"/>
          <w:i/>
          <w:iCs/>
          <w:lang w:val="sr-Latn-ME"/>
        </w:rPr>
        <w:t>pylori</w:t>
      </w:r>
      <w:proofErr w:type="spellEnd"/>
      <w:r w:rsidRPr="007076F7">
        <w:rPr>
          <w:rFonts w:ascii="Times New Roman" w:eastAsia="TimesNewRoman" w:hAnsi="Times New Roman" w:cs="Times New Roman"/>
          <w:i/>
          <w:iCs/>
          <w:lang w:val="sr-Latn-ME"/>
        </w:rPr>
        <w:t xml:space="preserve"> </w:t>
      </w:r>
      <w:r w:rsidRPr="007076F7">
        <w:rPr>
          <w:rFonts w:ascii="Times New Roman" w:eastAsia="TimesNewRoman" w:hAnsi="Times New Roman" w:cs="Times New Roman"/>
          <w:lang w:val="sr-Latn-ME"/>
        </w:rPr>
        <w:t xml:space="preserve">infekcije, drugu tabletu lijeka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bi trebalo uzeti 1 h prije večernjeg obroka. Kombinovana terapija se upotrebljava 7 dana, a može se produžiti upotreba za još 7 dana, do ukupno dvije nedjelje trajanja terapije.</w:t>
      </w:r>
    </w:p>
    <w:p w14:paraId="5542E578"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Ako je, da bi se postiglo izliječenje </w:t>
      </w:r>
      <w:proofErr w:type="spellStart"/>
      <w:r w:rsidRPr="007076F7">
        <w:rPr>
          <w:rFonts w:ascii="Times New Roman" w:eastAsia="Calibri" w:hAnsi="Times New Roman" w:cs="Times New Roman"/>
          <w:lang w:val="sr-Latn-ME"/>
        </w:rPr>
        <w:t>ulkusa</w:t>
      </w:r>
      <w:proofErr w:type="spellEnd"/>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indikovana</w:t>
      </w:r>
      <w:proofErr w:type="spellEnd"/>
      <w:r w:rsidRPr="007076F7">
        <w:rPr>
          <w:rFonts w:ascii="Times New Roman" w:eastAsia="Calibri" w:hAnsi="Times New Roman" w:cs="Times New Roman"/>
          <w:lang w:val="sr-Latn-ME"/>
        </w:rPr>
        <w:t xml:space="preserve"> dalja terapija </w:t>
      </w:r>
      <w:proofErr w:type="spellStart"/>
      <w:r w:rsidRPr="007076F7">
        <w:rPr>
          <w:rFonts w:ascii="Times New Roman" w:eastAsia="Calibri" w:hAnsi="Times New Roman" w:cs="Times New Roman"/>
          <w:lang w:val="sr-Latn-ME"/>
        </w:rPr>
        <w:t>pantoprazolom</w:t>
      </w:r>
      <w:proofErr w:type="spellEnd"/>
      <w:r w:rsidRPr="007076F7">
        <w:rPr>
          <w:rFonts w:ascii="Times New Roman" w:eastAsia="Calibri" w:hAnsi="Times New Roman" w:cs="Times New Roman"/>
          <w:lang w:val="sr-Latn-ME"/>
        </w:rPr>
        <w:t xml:space="preserve">, treba pratiti preporuke koje se odnose na doziranje kod </w:t>
      </w:r>
      <w:proofErr w:type="spellStart"/>
      <w:r w:rsidRPr="007076F7">
        <w:rPr>
          <w:rFonts w:ascii="Times New Roman" w:eastAsia="Calibri" w:hAnsi="Times New Roman" w:cs="Times New Roman"/>
          <w:lang w:val="sr-Latn-ME"/>
        </w:rPr>
        <w:t>duodenalnog</w:t>
      </w:r>
      <w:proofErr w:type="spellEnd"/>
      <w:r w:rsidRPr="007076F7">
        <w:rPr>
          <w:rFonts w:ascii="Times New Roman" w:eastAsia="Calibri" w:hAnsi="Times New Roman" w:cs="Times New Roman"/>
          <w:lang w:val="sr-Latn-ME"/>
        </w:rPr>
        <w:t xml:space="preserve"> i </w:t>
      </w:r>
      <w:proofErr w:type="spellStart"/>
      <w:r w:rsidRPr="007076F7">
        <w:rPr>
          <w:rFonts w:ascii="Times New Roman" w:eastAsia="Calibri" w:hAnsi="Times New Roman" w:cs="Times New Roman"/>
          <w:lang w:val="sr-Latn-ME"/>
        </w:rPr>
        <w:t>gastričnog</w:t>
      </w:r>
      <w:proofErr w:type="spellEnd"/>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ulkusa</w:t>
      </w:r>
      <w:proofErr w:type="spellEnd"/>
      <w:r w:rsidRPr="007076F7">
        <w:rPr>
          <w:rFonts w:ascii="Times New Roman" w:eastAsia="Calibri" w:hAnsi="Times New Roman" w:cs="Times New Roman"/>
          <w:lang w:val="sr-Latn-ME"/>
        </w:rPr>
        <w:t>.</w:t>
      </w:r>
    </w:p>
    <w:p w14:paraId="5542E579"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
    <w:p w14:paraId="5542E57A"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Ako kombinovana terapija ne može da se primijeni, npr. ako su analize pacijenta negativne na prisustvo H. </w:t>
      </w:r>
      <w:proofErr w:type="spellStart"/>
      <w:r w:rsidRPr="007076F7">
        <w:rPr>
          <w:rFonts w:ascii="Times New Roman" w:eastAsia="TimesNewRoman" w:hAnsi="Times New Roman" w:cs="Times New Roman"/>
          <w:lang w:val="sr-Latn-ME"/>
        </w:rPr>
        <w:t>pylori</w:t>
      </w:r>
      <w:proofErr w:type="spellEnd"/>
      <w:r w:rsidRPr="007076F7">
        <w:rPr>
          <w:rFonts w:ascii="Times New Roman" w:eastAsia="TimesNewRoman" w:hAnsi="Times New Roman" w:cs="Times New Roman"/>
          <w:lang w:val="sr-Latn-ME"/>
        </w:rPr>
        <w:t xml:space="preserve">, potrebno je pratiti sljedeće preporuke za doziranje koje se odnose na </w:t>
      </w:r>
      <w:proofErr w:type="spellStart"/>
      <w:r w:rsidRPr="007076F7">
        <w:rPr>
          <w:rFonts w:ascii="Times New Roman" w:eastAsia="TimesNewRoman" w:hAnsi="Times New Roman" w:cs="Times New Roman"/>
          <w:lang w:val="sr-Latn-ME"/>
        </w:rPr>
        <w:t>monoterapiju</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pantoprazolom</w:t>
      </w:r>
      <w:proofErr w:type="spellEnd"/>
      <w:r w:rsidRPr="007076F7">
        <w:rPr>
          <w:rFonts w:ascii="Times New Roman" w:eastAsia="TimesNewRoman" w:hAnsi="Times New Roman" w:cs="Times New Roman"/>
          <w:lang w:val="sr-Latn-ME"/>
        </w:rPr>
        <w:t>:</w:t>
      </w:r>
      <w:r w:rsidRPr="007076F7" w:rsidDel="00D619EF">
        <w:rPr>
          <w:rFonts w:ascii="Times New Roman" w:eastAsia="TimesNewRoman" w:hAnsi="Times New Roman" w:cs="Times New Roman"/>
          <w:lang w:val="sr-Latn-ME"/>
        </w:rPr>
        <w:t xml:space="preserve"> </w:t>
      </w:r>
    </w:p>
    <w:p w14:paraId="5542E57B" w14:textId="77777777" w:rsidR="00DC1D8A" w:rsidRPr="007076F7" w:rsidRDefault="00DC1D8A">
      <w:pPr>
        <w:tabs>
          <w:tab w:val="left" w:pos="708"/>
        </w:tabs>
        <w:autoSpaceDE w:val="0"/>
        <w:autoSpaceDN w:val="0"/>
        <w:adjustRightInd w:val="0"/>
        <w:spacing w:after="0" w:line="240" w:lineRule="auto"/>
        <w:jc w:val="both"/>
        <w:rPr>
          <w:rFonts w:ascii="Times New Roman" w:eastAsia="TimesNewRoman" w:hAnsi="Times New Roman" w:cs="Times New Roman"/>
          <w:u w:val="single"/>
          <w:lang w:val="sr-Latn-ME"/>
        </w:rPr>
      </w:pPr>
    </w:p>
    <w:p w14:paraId="5542E57C"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u w:val="single"/>
          <w:lang w:val="sr-Latn-ME"/>
        </w:rPr>
      </w:pPr>
      <w:r w:rsidRPr="007076F7">
        <w:rPr>
          <w:rFonts w:ascii="Times New Roman" w:eastAsia="TimesNewRoman" w:hAnsi="Times New Roman" w:cs="Times New Roman"/>
          <w:u w:val="single"/>
          <w:lang w:val="sr-Latn-ME"/>
        </w:rPr>
        <w:t xml:space="preserve">Terapija </w:t>
      </w:r>
      <w:proofErr w:type="spellStart"/>
      <w:r w:rsidRPr="007076F7">
        <w:rPr>
          <w:rFonts w:ascii="Times New Roman" w:eastAsia="TimesNewRoman" w:hAnsi="Times New Roman" w:cs="Times New Roman"/>
          <w:u w:val="single"/>
          <w:lang w:val="sr-Latn-ME"/>
        </w:rPr>
        <w:t>ulkusa</w:t>
      </w:r>
      <w:proofErr w:type="spellEnd"/>
      <w:r w:rsidRPr="007076F7">
        <w:rPr>
          <w:rFonts w:ascii="Times New Roman" w:eastAsia="TimesNewRoman" w:hAnsi="Times New Roman" w:cs="Times New Roman"/>
          <w:u w:val="single"/>
          <w:lang w:val="sr-Latn-ME"/>
        </w:rPr>
        <w:t xml:space="preserve"> želuca</w:t>
      </w:r>
    </w:p>
    <w:p w14:paraId="5542E57D" w14:textId="71A5DA40"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Jedna </w:t>
      </w:r>
      <w:proofErr w:type="spellStart"/>
      <w:r w:rsidRPr="007076F7">
        <w:rPr>
          <w:rFonts w:ascii="Times New Roman" w:eastAsia="TimesNewRoman" w:hAnsi="Times New Roman" w:cs="Times New Roman"/>
          <w:lang w:val="sr-Latn-ME"/>
        </w:rPr>
        <w:t>gastrorezistentna</w:t>
      </w:r>
      <w:proofErr w:type="spellEnd"/>
      <w:r w:rsidRPr="007076F7">
        <w:rPr>
          <w:rFonts w:ascii="Times New Roman" w:eastAsia="TimesNewRoman" w:hAnsi="Times New Roman" w:cs="Times New Roman"/>
          <w:lang w:val="sr-Latn-ME"/>
        </w:rPr>
        <w:t xml:space="preserve"> tableta lijeka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na dan. U pojedinačnim slučajevima, doza se može udvostručiti (povećanje doze na 2 </w:t>
      </w:r>
      <w:proofErr w:type="spellStart"/>
      <w:r w:rsidRPr="007076F7">
        <w:rPr>
          <w:rFonts w:ascii="Times New Roman" w:eastAsia="TimesNewRoman" w:hAnsi="Times New Roman" w:cs="Times New Roman"/>
          <w:lang w:val="sr-Latn-ME"/>
        </w:rPr>
        <w:t>gastrorezistentne</w:t>
      </w:r>
      <w:proofErr w:type="spellEnd"/>
      <w:r w:rsidRPr="007076F7">
        <w:rPr>
          <w:rFonts w:ascii="Times New Roman" w:eastAsia="TimesNewRoman" w:hAnsi="Times New Roman" w:cs="Times New Roman"/>
          <w:lang w:val="sr-Latn-ME"/>
        </w:rPr>
        <w:t xml:space="preserve"> tablete lijeka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na dan) posebno kada ne postoji odgovor na drugu terapiju. U većini slučajeva, terapija </w:t>
      </w:r>
      <w:proofErr w:type="spellStart"/>
      <w:r w:rsidRPr="007076F7">
        <w:rPr>
          <w:rFonts w:ascii="Times New Roman" w:eastAsia="TimesNewRoman" w:hAnsi="Times New Roman" w:cs="Times New Roman"/>
          <w:lang w:val="sr-Latn-ME"/>
        </w:rPr>
        <w:t>ulkusa</w:t>
      </w:r>
      <w:proofErr w:type="spellEnd"/>
      <w:r w:rsidRPr="007076F7">
        <w:rPr>
          <w:rFonts w:ascii="Times New Roman" w:eastAsia="TimesNewRoman" w:hAnsi="Times New Roman" w:cs="Times New Roman"/>
          <w:lang w:val="sr-Latn-ME"/>
        </w:rPr>
        <w:t xml:space="preserve"> želuca obično traje 4 nedjelje. Ako ovakva terapija nije dovoljna, izliječenje se obično postiže u toku naredne 4 nedjelje.</w:t>
      </w:r>
    </w:p>
    <w:p w14:paraId="5542E57E"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7F"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u w:val="single"/>
          <w:lang w:val="sr-Latn-ME"/>
        </w:rPr>
      </w:pPr>
      <w:r w:rsidRPr="007076F7">
        <w:rPr>
          <w:rFonts w:ascii="Times New Roman" w:eastAsia="TimesNewRoman" w:hAnsi="Times New Roman" w:cs="Times New Roman"/>
          <w:u w:val="single"/>
          <w:lang w:val="sr-Latn-ME"/>
        </w:rPr>
        <w:t xml:space="preserve">Terapija </w:t>
      </w:r>
      <w:proofErr w:type="spellStart"/>
      <w:r w:rsidRPr="007076F7">
        <w:rPr>
          <w:rFonts w:ascii="Times New Roman" w:eastAsia="TimesNewRoman" w:hAnsi="Times New Roman" w:cs="Times New Roman"/>
          <w:u w:val="single"/>
          <w:lang w:val="sr-Latn-ME"/>
        </w:rPr>
        <w:t>ulkusa</w:t>
      </w:r>
      <w:proofErr w:type="spellEnd"/>
      <w:r w:rsidRPr="007076F7">
        <w:rPr>
          <w:rFonts w:ascii="Times New Roman" w:eastAsia="TimesNewRoman" w:hAnsi="Times New Roman" w:cs="Times New Roman"/>
          <w:u w:val="single"/>
          <w:lang w:val="sr-Latn-ME"/>
        </w:rPr>
        <w:t xml:space="preserve"> </w:t>
      </w:r>
      <w:proofErr w:type="spellStart"/>
      <w:r w:rsidRPr="007076F7">
        <w:rPr>
          <w:rFonts w:ascii="Times New Roman" w:eastAsia="TimesNewRoman" w:hAnsi="Times New Roman" w:cs="Times New Roman"/>
          <w:u w:val="single"/>
          <w:lang w:val="sr-Latn-ME"/>
        </w:rPr>
        <w:t>duodenuma</w:t>
      </w:r>
      <w:proofErr w:type="spellEnd"/>
    </w:p>
    <w:p w14:paraId="5542E580" w14:textId="1E99C7E4"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Jedna </w:t>
      </w:r>
      <w:proofErr w:type="spellStart"/>
      <w:r w:rsidRPr="007076F7">
        <w:rPr>
          <w:rFonts w:ascii="Times New Roman" w:eastAsia="TimesNewRoman" w:hAnsi="Times New Roman" w:cs="Times New Roman"/>
          <w:lang w:val="sr-Latn-ME"/>
        </w:rPr>
        <w:t>gastrorezistentna</w:t>
      </w:r>
      <w:proofErr w:type="spellEnd"/>
      <w:r w:rsidRPr="007076F7">
        <w:rPr>
          <w:rFonts w:ascii="Times New Roman" w:eastAsia="TimesNewRoman" w:hAnsi="Times New Roman" w:cs="Times New Roman"/>
          <w:lang w:val="sr-Latn-ME"/>
        </w:rPr>
        <w:t xml:space="preserve"> tableta lijeka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na dan. U pojedinačnim slučajevima, doza se može udvostručiti (povećanje doze na 2 </w:t>
      </w:r>
      <w:proofErr w:type="spellStart"/>
      <w:r w:rsidRPr="007076F7">
        <w:rPr>
          <w:rFonts w:ascii="Times New Roman" w:eastAsia="TimesNewRoman" w:hAnsi="Times New Roman" w:cs="Times New Roman"/>
          <w:lang w:val="sr-Latn-ME"/>
        </w:rPr>
        <w:t>gastrorezistentne</w:t>
      </w:r>
      <w:proofErr w:type="spellEnd"/>
      <w:r w:rsidRPr="007076F7">
        <w:rPr>
          <w:rFonts w:ascii="Times New Roman" w:eastAsia="TimesNewRoman" w:hAnsi="Times New Roman" w:cs="Times New Roman"/>
          <w:lang w:val="sr-Latn-ME"/>
        </w:rPr>
        <w:t xml:space="preserve"> tablete lijeka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na dan), posebno kada ne postoji odgovor na drugu terapiju. U većini slučajeva, za terapiju </w:t>
      </w:r>
      <w:proofErr w:type="spellStart"/>
      <w:r w:rsidRPr="007076F7">
        <w:rPr>
          <w:rFonts w:ascii="Times New Roman" w:eastAsia="TimesNewRoman" w:hAnsi="Times New Roman" w:cs="Times New Roman"/>
          <w:lang w:val="sr-Latn-ME"/>
        </w:rPr>
        <w:t>duodenalnog</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ulkusa</w:t>
      </w:r>
      <w:proofErr w:type="spellEnd"/>
      <w:r w:rsidRPr="007076F7">
        <w:rPr>
          <w:rFonts w:ascii="Times New Roman" w:eastAsia="TimesNewRoman" w:hAnsi="Times New Roman" w:cs="Times New Roman"/>
          <w:lang w:val="sr-Latn-ME"/>
        </w:rPr>
        <w:t xml:space="preserve"> je neophodna dvonedjeljna terapija. Ako ovo nije dovoljno, izliječenje će se u većini slučajeva postići u toku naredne dvije nedjelje.</w:t>
      </w:r>
    </w:p>
    <w:p w14:paraId="5542E581"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82"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u w:val="single"/>
          <w:lang w:val="sr-Latn-ME"/>
        </w:rPr>
      </w:pPr>
      <w:proofErr w:type="spellStart"/>
      <w:r w:rsidRPr="007076F7">
        <w:rPr>
          <w:rFonts w:ascii="Times New Roman" w:eastAsia="TimesNewRoman" w:hAnsi="Times New Roman" w:cs="Times New Roman"/>
          <w:i/>
          <w:iCs/>
          <w:u w:val="single"/>
          <w:lang w:val="sr-Latn-ME"/>
        </w:rPr>
        <w:t>Zollinger-Ellison</w:t>
      </w:r>
      <w:proofErr w:type="spellEnd"/>
      <w:r w:rsidRPr="007076F7">
        <w:rPr>
          <w:rFonts w:ascii="Times New Roman" w:eastAsia="TimesNewRoman" w:hAnsi="Times New Roman" w:cs="Times New Roman"/>
          <w:i/>
          <w:iCs/>
          <w:u w:val="single"/>
          <w:lang w:val="sr-Latn-ME"/>
        </w:rPr>
        <w:t xml:space="preserve"> </w:t>
      </w:r>
      <w:r w:rsidRPr="007076F7">
        <w:rPr>
          <w:rFonts w:ascii="Times New Roman" w:eastAsia="TimesNewRoman" w:hAnsi="Times New Roman" w:cs="Times New Roman"/>
          <w:u w:val="single"/>
          <w:lang w:val="sr-Latn-ME"/>
        </w:rPr>
        <w:t xml:space="preserve">sindrom i druga stanja patološke </w:t>
      </w:r>
      <w:proofErr w:type="spellStart"/>
      <w:r w:rsidRPr="007076F7">
        <w:rPr>
          <w:rFonts w:ascii="Times New Roman" w:eastAsia="TimesNewRoman" w:hAnsi="Times New Roman" w:cs="Times New Roman"/>
          <w:u w:val="single"/>
          <w:lang w:val="sr-Latn-ME"/>
        </w:rPr>
        <w:t>hipersekrecije</w:t>
      </w:r>
      <w:proofErr w:type="spellEnd"/>
    </w:p>
    <w:p w14:paraId="5542E583"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Za dugotrajno liječenje </w:t>
      </w:r>
      <w:proofErr w:type="spellStart"/>
      <w:r w:rsidRPr="007076F7">
        <w:rPr>
          <w:rFonts w:ascii="Times New Roman" w:eastAsia="TimesNewRoman" w:hAnsi="Times New Roman" w:cs="Times New Roman"/>
          <w:i/>
          <w:iCs/>
          <w:lang w:val="sr-Latn-ME"/>
        </w:rPr>
        <w:t>Zollinger-Ellison</w:t>
      </w:r>
      <w:proofErr w:type="spellEnd"/>
      <w:r w:rsidRPr="007076F7">
        <w:rPr>
          <w:rFonts w:ascii="Times New Roman" w:eastAsia="TimesNewRoman" w:hAnsi="Times New Roman" w:cs="Times New Roman"/>
          <w:i/>
          <w:iCs/>
          <w:lang w:val="sr-Latn-ME"/>
        </w:rPr>
        <w:t xml:space="preserve"> </w:t>
      </w:r>
      <w:r w:rsidRPr="007076F7">
        <w:rPr>
          <w:rFonts w:ascii="Times New Roman" w:eastAsia="TimesNewRoman" w:hAnsi="Times New Roman" w:cs="Times New Roman"/>
          <w:lang w:val="sr-Latn-ME"/>
        </w:rPr>
        <w:t xml:space="preserve">sindroma i drugih patoloških stanja </w:t>
      </w:r>
      <w:proofErr w:type="spellStart"/>
      <w:r w:rsidRPr="007076F7">
        <w:rPr>
          <w:rFonts w:ascii="Times New Roman" w:eastAsia="TimesNewRoman" w:hAnsi="Times New Roman" w:cs="Times New Roman"/>
          <w:lang w:val="sr-Latn-ME"/>
        </w:rPr>
        <w:t>hipersekrecije</w:t>
      </w:r>
      <w:proofErr w:type="spellEnd"/>
      <w:r w:rsidRPr="007076F7">
        <w:rPr>
          <w:rFonts w:ascii="Times New Roman" w:eastAsia="TimesNewRoman" w:hAnsi="Times New Roman" w:cs="Times New Roman"/>
          <w:lang w:val="sr-Latn-ME"/>
        </w:rPr>
        <w:t xml:space="preserve">, pacijenti treba da započnu liječenje sa 80 mg na dan (2 </w:t>
      </w:r>
      <w:proofErr w:type="spellStart"/>
      <w:r w:rsidRPr="007076F7">
        <w:rPr>
          <w:rFonts w:ascii="Times New Roman" w:eastAsia="TimesNewRoman" w:hAnsi="Times New Roman" w:cs="Times New Roman"/>
          <w:lang w:val="sr-Latn-ME"/>
        </w:rPr>
        <w:t>gastrorezistentne</w:t>
      </w:r>
      <w:proofErr w:type="spellEnd"/>
      <w:r w:rsidRPr="007076F7">
        <w:rPr>
          <w:rFonts w:ascii="Times New Roman" w:eastAsia="TimesNewRoman" w:hAnsi="Times New Roman" w:cs="Times New Roman"/>
          <w:lang w:val="sr-Latn-ME"/>
        </w:rPr>
        <w:t xml:space="preserve"> tablete lijeka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40 mg). Zatim, doza se može individualno </w:t>
      </w:r>
      <w:proofErr w:type="spellStart"/>
      <w:r w:rsidRPr="007076F7">
        <w:rPr>
          <w:rFonts w:ascii="Times New Roman" w:eastAsia="TimesNewRoman" w:hAnsi="Times New Roman" w:cs="Times New Roman"/>
          <w:lang w:val="sr-Latn-ME"/>
        </w:rPr>
        <w:t>titrirati</w:t>
      </w:r>
      <w:proofErr w:type="spellEnd"/>
      <w:r w:rsidRPr="007076F7">
        <w:rPr>
          <w:rFonts w:ascii="Times New Roman" w:eastAsia="TimesNewRoman" w:hAnsi="Times New Roman" w:cs="Times New Roman"/>
          <w:lang w:val="sr-Latn-ME"/>
        </w:rPr>
        <w:t xml:space="preserve"> u zavisnosti od sekrecije želudačne kiseline.</w:t>
      </w:r>
    </w:p>
    <w:p w14:paraId="5542E584"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Kod primjene doza većih od 80 mg dnevno, doza se mora podijeliti i uzimati dva puta dnevno. Moguće je i privremeno povećanje dnevne doze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iznad 160 mg, ali je ne treba primjenjivati duže nego što je potrebno da bi se postigla adekvatna kontrola sekrecije želudačne kiseline.</w:t>
      </w:r>
    </w:p>
    <w:p w14:paraId="5542E585"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86"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Nema ograničenja dužine trajanja terapije </w:t>
      </w:r>
      <w:proofErr w:type="spellStart"/>
      <w:r w:rsidRPr="007076F7">
        <w:rPr>
          <w:rFonts w:ascii="Times New Roman" w:eastAsia="TimesNewRoman" w:hAnsi="Times New Roman" w:cs="Times New Roman"/>
          <w:i/>
          <w:iCs/>
          <w:lang w:val="sr-Latn-ME"/>
        </w:rPr>
        <w:t>Zollinger</w:t>
      </w:r>
      <w:proofErr w:type="spellEnd"/>
      <w:r w:rsidRPr="007076F7">
        <w:rPr>
          <w:rFonts w:ascii="Times New Roman" w:eastAsia="TimesNewRoman" w:hAnsi="Times New Roman" w:cs="Times New Roman"/>
          <w:i/>
          <w:iCs/>
          <w:lang w:val="sr-Latn-ME"/>
        </w:rPr>
        <w:t>-</w:t>
      </w:r>
      <w:proofErr w:type="spellStart"/>
      <w:r w:rsidRPr="007076F7">
        <w:rPr>
          <w:rFonts w:ascii="Times New Roman" w:eastAsia="TimesNewRoman" w:hAnsi="Times New Roman" w:cs="Times New Roman"/>
          <w:i/>
          <w:iCs/>
          <w:lang w:val="sr-Latn-ME"/>
        </w:rPr>
        <w:t>Ellison</w:t>
      </w:r>
      <w:proofErr w:type="spellEnd"/>
      <w:r w:rsidRPr="007076F7">
        <w:rPr>
          <w:rFonts w:ascii="Times New Roman" w:eastAsia="TimesNewRoman" w:hAnsi="Times New Roman" w:cs="Times New Roman"/>
          <w:iCs/>
          <w:lang w:val="sr-Latn-ME"/>
        </w:rPr>
        <w:t>-ovog</w:t>
      </w:r>
      <w:r w:rsidRPr="007076F7">
        <w:rPr>
          <w:rFonts w:ascii="Times New Roman" w:eastAsia="TimesNewRoman" w:hAnsi="Times New Roman" w:cs="Times New Roman"/>
          <w:i/>
          <w:iCs/>
          <w:lang w:val="sr-Latn-ME"/>
        </w:rPr>
        <w:t xml:space="preserve"> </w:t>
      </w:r>
      <w:r w:rsidRPr="007076F7">
        <w:rPr>
          <w:rFonts w:ascii="Times New Roman" w:eastAsia="TimesNewRoman" w:hAnsi="Times New Roman" w:cs="Times New Roman"/>
          <w:lang w:val="sr-Latn-ME"/>
        </w:rPr>
        <w:t xml:space="preserve">sindroma i ostalih oboljenja praćenih patološkom </w:t>
      </w:r>
      <w:proofErr w:type="spellStart"/>
      <w:r w:rsidRPr="007076F7">
        <w:rPr>
          <w:rFonts w:ascii="Times New Roman" w:eastAsia="TimesNewRoman" w:hAnsi="Times New Roman" w:cs="Times New Roman"/>
          <w:lang w:val="sr-Latn-ME"/>
        </w:rPr>
        <w:t>hipersekrecijom</w:t>
      </w:r>
      <w:proofErr w:type="spellEnd"/>
      <w:r w:rsidRPr="007076F7">
        <w:rPr>
          <w:rFonts w:ascii="Times New Roman" w:eastAsia="TimesNewRoman" w:hAnsi="Times New Roman" w:cs="Times New Roman"/>
          <w:lang w:val="sr-Latn-ME"/>
        </w:rPr>
        <w:t xml:space="preserve"> želudačne kiseline; terapiju treba primjenjivati onoliko dugo koliko to klinički pokazatelji zahtijevaju.</w:t>
      </w:r>
    </w:p>
    <w:p w14:paraId="5542E587" w14:textId="10F39D6D" w:rsidR="00783B8D" w:rsidRDefault="00783B8D">
      <w:pPr>
        <w:rPr>
          <w:rFonts w:ascii="Times New Roman" w:eastAsia="TimesNewRoman" w:hAnsi="Times New Roman" w:cs="Times New Roman"/>
          <w:lang w:val="sr-Latn-ME"/>
        </w:rPr>
      </w:pPr>
      <w:r>
        <w:rPr>
          <w:rFonts w:ascii="Times New Roman" w:eastAsia="TimesNewRoman" w:hAnsi="Times New Roman" w:cs="Times New Roman"/>
          <w:lang w:val="sr-Latn-ME"/>
        </w:rPr>
        <w:br w:type="page"/>
      </w:r>
    </w:p>
    <w:p w14:paraId="5542E588"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r w:rsidRPr="007076F7">
        <w:rPr>
          <w:rFonts w:ascii="Times New Roman" w:eastAsia="Times New Roman" w:hAnsi="Times New Roman" w:cs="Times New Roman"/>
          <w:i/>
          <w:iCs/>
          <w:u w:val="single"/>
          <w:lang w:val="sr-Latn-ME"/>
        </w:rPr>
        <w:lastRenderedPageBreak/>
        <w:t>Posebne grupe pacijenata</w:t>
      </w:r>
    </w:p>
    <w:p w14:paraId="5542E589"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p>
    <w:p w14:paraId="5542E58A"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t>Pacijenti sa oštećenjem funkcije jetre</w:t>
      </w:r>
    </w:p>
    <w:p w14:paraId="5542E58B" w14:textId="0C964183"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Kod pacijenata sa teškim oštećenjem jetre, ne smije se premašiti dnevna doza od 20 mg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(za ovu namjenu su dostupne </w:t>
      </w:r>
      <w:proofErr w:type="spellStart"/>
      <w:r w:rsidRPr="007076F7">
        <w:rPr>
          <w:rFonts w:ascii="Times New Roman" w:eastAsia="TimesNewRoman" w:hAnsi="Times New Roman" w:cs="Times New Roman"/>
          <w:lang w:val="sr-Latn-ME"/>
        </w:rPr>
        <w:t>gastrorezistentne</w:t>
      </w:r>
      <w:proofErr w:type="spellEnd"/>
      <w:r w:rsidRPr="007076F7">
        <w:rPr>
          <w:rFonts w:ascii="Times New Roman" w:eastAsia="TimesNewRoman" w:hAnsi="Times New Roman" w:cs="Times New Roman"/>
          <w:lang w:val="sr-Latn-ME"/>
        </w:rPr>
        <w:t xml:space="preserve"> tablete od 20 mg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S obzirom na to da trenutno nema dostupnih podataka o efikasnosti i bezbjednosti primjene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u kombinovanoj terapiji kod pacijenata sa umjerenom i teškom disfunkcijom jetre, ovaj lijek se ne smije primjenjivati u kombinovanoj terapiji za </w:t>
      </w:r>
      <w:proofErr w:type="spellStart"/>
      <w:r w:rsidRPr="007076F7">
        <w:rPr>
          <w:rFonts w:ascii="Times New Roman" w:eastAsia="TimesNewRoman" w:hAnsi="Times New Roman" w:cs="Times New Roman"/>
          <w:lang w:val="sr-Latn-ME"/>
        </w:rPr>
        <w:t>eradikaciju</w:t>
      </w:r>
      <w:proofErr w:type="spellEnd"/>
      <w:r w:rsidRPr="007076F7">
        <w:rPr>
          <w:rFonts w:ascii="Times New Roman" w:eastAsia="TimesNewRoman" w:hAnsi="Times New Roman" w:cs="Times New Roman"/>
          <w:lang w:val="sr-Latn-ME"/>
        </w:rPr>
        <w:t xml:space="preserve"> </w:t>
      </w:r>
      <w:r w:rsidRPr="007076F7">
        <w:rPr>
          <w:rFonts w:ascii="Times New Roman" w:eastAsia="Times New Roman" w:hAnsi="Times New Roman" w:cs="Times New Roman"/>
          <w:i/>
          <w:iCs/>
          <w:lang w:val="sr-Latn-ME"/>
        </w:rPr>
        <w:t xml:space="preserve">H. </w:t>
      </w:r>
      <w:proofErr w:type="spellStart"/>
      <w:r w:rsidRPr="007076F7">
        <w:rPr>
          <w:rFonts w:ascii="Times New Roman" w:eastAsia="Times New Roman" w:hAnsi="Times New Roman" w:cs="Times New Roman"/>
          <w:i/>
          <w:iCs/>
          <w:lang w:val="sr-Latn-ME"/>
        </w:rPr>
        <w:t>pylori</w:t>
      </w:r>
      <w:proofErr w:type="spellEnd"/>
      <w:r w:rsidRPr="007076F7">
        <w:rPr>
          <w:rFonts w:ascii="Times New Roman" w:eastAsia="Times New Roman" w:hAnsi="Times New Roman" w:cs="Times New Roman"/>
          <w:i/>
          <w:iCs/>
          <w:lang w:val="sr-Latn-ME"/>
        </w:rPr>
        <w:t xml:space="preserve"> </w:t>
      </w:r>
      <w:r w:rsidRPr="007076F7">
        <w:rPr>
          <w:rFonts w:ascii="Times New Roman" w:eastAsia="TimesNewRoman" w:hAnsi="Times New Roman" w:cs="Times New Roman"/>
          <w:lang w:val="sr-Latn-ME"/>
        </w:rPr>
        <w:t>kod ovih pacijenata (</w:t>
      </w:r>
      <w:r w:rsidR="005341C1" w:rsidRPr="007076F7">
        <w:rPr>
          <w:rFonts w:ascii="Times New Roman" w:eastAsia="TimesNewRoman" w:hAnsi="Times New Roman" w:cs="Times New Roman"/>
          <w:lang w:val="nl-BE"/>
        </w:rPr>
        <w:t xml:space="preserve">pogledati dio </w:t>
      </w:r>
      <w:r w:rsidRPr="007076F7">
        <w:rPr>
          <w:rFonts w:ascii="Times New Roman" w:eastAsia="TimesNewRoman" w:hAnsi="Times New Roman" w:cs="Times New Roman"/>
          <w:lang w:val="sr-Latn-ME"/>
        </w:rPr>
        <w:t>4.4).</w:t>
      </w:r>
    </w:p>
    <w:p w14:paraId="5542E58C"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8D"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t>Pacijenti sa oštećenjem funkcije bubrega</w:t>
      </w:r>
    </w:p>
    <w:p w14:paraId="5542E58E" w14:textId="7B5BF43C"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Kod pacijenata sa oštećenom funkcijom bubrega nije potrebno prilagođavanje doze. S obzirom na to da trenutno nema dostupnih podataka o efikasnosti i bezbjednosti primjene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u kombinovanoj terapiji kod pacijenata sa oštećenjem funkcije bubrega, ovaj lijek se ne smije primjenjivati u kombinovanoj terapiji za </w:t>
      </w:r>
      <w:proofErr w:type="spellStart"/>
      <w:r w:rsidRPr="007076F7">
        <w:rPr>
          <w:rFonts w:ascii="Times New Roman" w:eastAsia="TimesNewRoman" w:hAnsi="Times New Roman" w:cs="Times New Roman"/>
          <w:lang w:val="sr-Latn-ME"/>
        </w:rPr>
        <w:t>eradikaciju</w:t>
      </w:r>
      <w:proofErr w:type="spellEnd"/>
      <w:r w:rsidRPr="007076F7">
        <w:rPr>
          <w:rFonts w:ascii="Times New Roman" w:eastAsia="TimesNewRoman" w:hAnsi="Times New Roman" w:cs="Times New Roman"/>
          <w:lang w:val="sr-Latn-ME"/>
        </w:rPr>
        <w:t xml:space="preserve"> </w:t>
      </w:r>
      <w:r w:rsidRPr="007076F7">
        <w:rPr>
          <w:rFonts w:ascii="Times New Roman" w:eastAsia="Times New Roman" w:hAnsi="Times New Roman" w:cs="Times New Roman"/>
          <w:i/>
          <w:iCs/>
          <w:lang w:val="sr-Latn-ME"/>
        </w:rPr>
        <w:t xml:space="preserve">H. </w:t>
      </w:r>
      <w:proofErr w:type="spellStart"/>
      <w:r w:rsidRPr="007076F7">
        <w:rPr>
          <w:rFonts w:ascii="Times New Roman" w:eastAsia="Times New Roman" w:hAnsi="Times New Roman" w:cs="Times New Roman"/>
          <w:i/>
          <w:iCs/>
          <w:lang w:val="sr-Latn-ME"/>
        </w:rPr>
        <w:t>pylori</w:t>
      </w:r>
      <w:proofErr w:type="spellEnd"/>
      <w:r w:rsidRPr="007076F7">
        <w:rPr>
          <w:rFonts w:ascii="Times New Roman" w:eastAsia="Times New Roman" w:hAnsi="Times New Roman" w:cs="Times New Roman"/>
          <w:i/>
          <w:iCs/>
          <w:lang w:val="sr-Latn-ME"/>
        </w:rPr>
        <w:t xml:space="preserve"> </w:t>
      </w:r>
      <w:r w:rsidRPr="007076F7">
        <w:rPr>
          <w:rFonts w:ascii="Times New Roman" w:eastAsia="TimesNewRoman" w:hAnsi="Times New Roman" w:cs="Times New Roman"/>
          <w:lang w:val="sr-Latn-ME"/>
        </w:rPr>
        <w:t>kod ovih pacijenata (</w:t>
      </w:r>
      <w:r w:rsidR="005341C1" w:rsidRPr="007076F7">
        <w:rPr>
          <w:rFonts w:ascii="Times New Roman" w:eastAsia="TimesNewRoman" w:hAnsi="Times New Roman" w:cs="Times New Roman"/>
          <w:lang w:val="nl-BE"/>
        </w:rPr>
        <w:t xml:space="preserve">pogledati dio </w:t>
      </w:r>
      <w:r w:rsidRPr="007076F7">
        <w:rPr>
          <w:rFonts w:ascii="Times New Roman" w:eastAsia="TimesNewRoman" w:hAnsi="Times New Roman" w:cs="Times New Roman"/>
          <w:lang w:val="sr-Latn-ME"/>
        </w:rPr>
        <w:t>5.2).</w:t>
      </w:r>
    </w:p>
    <w:p w14:paraId="5542E58F"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90"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t>Stariji pacijenti</w:t>
      </w:r>
    </w:p>
    <w:p w14:paraId="5542E591" w14:textId="11B5A41A"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Kod starijih pacijenata nije potrebno prilagođavanje doze (</w:t>
      </w:r>
      <w:r w:rsidR="005341C1" w:rsidRPr="007076F7">
        <w:rPr>
          <w:rFonts w:ascii="Times New Roman" w:eastAsia="TimesNewRoman" w:hAnsi="Times New Roman" w:cs="Times New Roman"/>
          <w:lang w:val="nl-BE"/>
        </w:rPr>
        <w:t xml:space="preserve">pogledati dio </w:t>
      </w:r>
      <w:r w:rsidRPr="007076F7">
        <w:rPr>
          <w:rFonts w:ascii="Times New Roman" w:eastAsia="TimesNewRoman" w:hAnsi="Times New Roman" w:cs="Times New Roman"/>
          <w:lang w:val="sr-Latn-ME"/>
        </w:rPr>
        <w:t xml:space="preserve">5.2). </w:t>
      </w:r>
    </w:p>
    <w:p w14:paraId="5542E592"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93"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i/>
          <w:lang w:val="sr-Latn-ME"/>
        </w:rPr>
      </w:pPr>
      <w:r w:rsidRPr="007076F7">
        <w:rPr>
          <w:rFonts w:ascii="Times New Roman" w:eastAsia="TimesNewRoman" w:hAnsi="Times New Roman" w:cs="Times New Roman"/>
          <w:i/>
          <w:lang w:val="sr-Latn-ME"/>
        </w:rPr>
        <w:t>Pedijatrijska populacija</w:t>
      </w:r>
    </w:p>
    <w:p w14:paraId="5542E594" w14:textId="65E8952B"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Lijek </w:t>
      </w:r>
      <w:proofErr w:type="spellStart"/>
      <w:r w:rsidRPr="007076F7">
        <w:rPr>
          <w:rFonts w:ascii="Times New Roman" w:eastAsia="TimesNewRoman" w:hAnsi="Times New Roman" w:cs="Times New Roman"/>
          <w:lang w:val="sr-Latn-ME"/>
        </w:rPr>
        <w:t>Pepticaid</w:t>
      </w:r>
      <w:proofErr w:type="spellEnd"/>
      <w:r w:rsidRPr="007076F7">
        <w:rPr>
          <w:rFonts w:ascii="Times New Roman" w:eastAsia="TimesNewRoman" w:hAnsi="Times New Roman" w:cs="Times New Roman"/>
          <w:lang w:val="sr-Latn-ME"/>
        </w:rPr>
        <w:t xml:space="preserve"> se ne preporučuju kod djece uzrasta mlađeg od 12 godina, </w:t>
      </w:r>
      <w:proofErr w:type="spellStart"/>
      <w:r w:rsidRPr="007076F7">
        <w:rPr>
          <w:rFonts w:ascii="Times New Roman" w:eastAsia="TimesNewRoman" w:hAnsi="Times New Roman" w:cs="Times New Roman"/>
          <w:lang w:val="sr-Latn-ME"/>
        </w:rPr>
        <w:t>usljed</w:t>
      </w:r>
      <w:proofErr w:type="spellEnd"/>
      <w:r w:rsidRPr="007076F7">
        <w:rPr>
          <w:rFonts w:ascii="Times New Roman" w:eastAsia="TimesNewRoman" w:hAnsi="Times New Roman" w:cs="Times New Roman"/>
          <w:lang w:val="sr-Latn-ME"/>
        </w:rPr>
        <w:t xml:space="preserve"> ograničenih podataka o bezbjednosti i efikasnosti lijeka (</w:t>
      </w:r>
      <w:r w:rsidR="003257C2" w:rsidRPr="007076F7">
        <w:rPr>
          <w:rFonts w:ascii="Times New Roman" w:eastAsia="TimesNewRoman" w:hAnsi="Times New Roman" w:cs="Times New Roman"/>
          <w:lang w:val="nl-BE"/>
        </w:rPr>
        <w:t xml:space="preserve">pogledati dio </w:t>
      </w:r>
      <w:r w:rsidRPr="007076F7">
        <w:rPr>
          <w:rFonts w:ascii="Times New Roman" w:eastAsia="TimesNewRoman" w:hAnsi="Times New Roman" w:cs="Times New Roman"/>
          <w:lang w:val="sr-Latn-ME"/>
        </w:rPr>
        <w:t>5.2).</w:t>
      </w:r>
    </w:p>
    <w:p w14:paraId="5542E595"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96" w14:textId="26AF7D9F"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u w:val="single"/>
          <w:lang w:val="sr-Latn-ME"/>
        </w:rPr>
      </w:pPr>
      <w:r w:rsidRPr="007076F7">
        <w:rPr>
          <w:rFonts w:ascii="Times New Roman" w:eastAsia="TimesNewRoman" w:hAnsi="Times New Roman" w:cs="Times New Roman"/>
          <w:u w:val="single"/>
          <w:lang w:val="sr-Latn-ME"/>
        </w:rPr>
        <w:t>Način primjene</w:t>
      </w:r>
    </w:p>
    <w:p w14:paraId="5542E597"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Oralna primjena.</w:t>
      </w:r>
    </w:p>
    <w:p w14:paraId="5542E598" w14:textId="195FF8A3" w:rsidR="002E7166" w:rsidRPr="007076F7" w:rsidRDefault="002E7166">
      <w:pPr>
        <w:tabs>
          <w:tab w:val="left" w:pos="284"/>
        </w:tabs>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Tablete ne treba lomiti ili žvakati, treba ih progutati cijele sa malo vode, 1 sat prije obroka.</w:t>
      </w:r>
    </w:p>
    <w:p w14:paraId="5542E599"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59A"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 xml:space="preserve">4.3. </w:t>
      </w:r>
      <w:proofErr w:type="spellStart"/>
      <w:r w:rsidRPr="007076F7">
        <w:rPr>
          <w:rFonts w:ascii="Times New Roman" w:eastAsia="Times New Roman" w:hAnsi="Times New Roman" w:cs="Times New Roman"/>
          <w:b/>
          <w:bCs/>
          <w:lang w:val="sr-Latn-ME"/>
        </w:rPr>
        <w:t>Kontraindikacije</w:t>
      </w:r>
      <w:proofErr w:type="spellEnd"/>
    </w:p>
    <w:p w14:paraId="5542E59B"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59C" w14:textId="11D2382B" w:rsidR="002E7166" w:rsidRPr="007076F7" w:rsidRDefault="002E7166">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Preosjetljivost na aktivnu supstancu, supstituisane </w:t>
      </w:r>
      <w:proofErr w:type="spellStart"/>
      <w:r w:rsidRPr="007076F7">
        <w:rPr>
          <w:rFonts w:ascii="Times New Roman" w:eastAsia="Times New Roman" w:hAnsi="Times New Roman" w:cs="Times New Roman"/>
          <w:lang w:val="sr-Latn-ME"/>
        </w:rPr>
        <w:t>benzimidazole</w:t>
      </w:r>
      <w:proofErr w:type="spellEnd"/>
      <w:r w:rsidRPr="007076F7">
        <w:rPr>
          <w:rFonts w:ascii="Times New Roman" w:eastAsia="Times New Roman" w:hAnsi="Times New Roman" w:cs="Times New Roman"/>
          <w:lang w:val="sr-Latn-ME"/>
        </w:rPr>
        <w:t xml:space="preserve"> ili na bilo koju od pomoćnih supstanci navedenih u </w:t>
      </w:r>
      <w:r w:rsidR="003257C2" w:rsidRPr="007076F7">
        <w:rPr>
          <w:rFonts w:ascii="Times New Roman" w:eastAsia="Times New Roman" w:hAnsi="Times New Roman" w:cs="Times New Roman"/>
          <w:lang w:val="sr-Latn-ME"/>
        </w:rPr>
        <w:t>dijelu</w:t>
      </w:r>
      <w:r w:rsidRPr="007076F7">
        <w:rPr>
          <w:rFonts w:ascii="Times New Roman" w:eastAsia="Times New Roman" w:hAnsi="Times New Roman" w:cs="Times New Roman"/>
          <w:lang w:val="sr-Latn-ME"/>
        </w:rPr>
        <w:t xml:space="preserve"> 6.1.</w:t>
      </w:r>
    </w:p>
    <w:p w14:paraId="5542E59D" w14:textId="77777777" w:rsidR="00DC1D8A" w:rsidRPr="007076F7" w:rsidRDefault="00DC1D8A">
      <w:pPr>
        <w:tabs>
          <w:tab w:val="left" w:pos="284"/>
        </w:tabs>
        <w:spacing w:after="0" w:line="240" w:lineRule="auto"/>
        <w:jc w:val="both"/>
        <w:rPr>
          <w:rFonts w:ascii="Times New Roman" w:eastAsia="Times New Roman" w:hAnsi="Times New Roman" w:cs="Times New Roman"/>
          <w:lang w:val="sr-Latn-ME"/>
        </w:rPr>
      </w:pPr>
    </w:p>
    <w:p w14:paraId="5542E59E"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4.4. Posebna upozorenja i mjere opreza pri upotrebi lijeka</w:t>
      </w:r>
    </w:p>
    <w:p w14:paraId="5542E59F" w14:textId="77777777" w:rsidR="002E7166" w:rsidRPr="007076F7" w:rsidRDefault="002E7166">
      <w:pPr>
        <w:tabs>
          <w:tab w:val="left" w:pos="284"/>
          <w:tab w:val="center" w:pos="4536"/>
          <w:tab w:val="right" w:pos="9072"/>
        </w:tabs>
        <w:spacing w:after="0" w:line="240" w:lineRule="auto"/>
        <w:jc w:val="both"/>
        <w:rPr>
          <w:rFonts w:ascii="Times New Roman" w:eastAsia="Calibri" w:hAnsi="Times New Roman" w:cs="Times New Roman"/>
          <w:i/>
          <w:highlight w:val="yellow"/>
          <w:lang w:val="sr-Latn-ME"/>
        </w:rPr>
      </w:pPr>
    </w:p>
    <w:p w14:paraId="5542E5A0"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t>Oštećenje funkcije jetre</w:t>
      </w:r>
    </w:p>
    <w:p w14:paraId="5542E5A1" w14:textId="04DC4858"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Kod pacijenata sa teškim </w:t>
      </w:r>
      <w:r w:rsidRPr="007076F7">
        <w:rPr>
          <w:rFonts w:ascii="Times New Roman" w:eastAsia="Times New Roman" w:hAnsi="Times New Roman" w:cs="Times New Roman"/>
          <w:lang w:val="sr-Latn-ME"/>
        </w:rPr>
        <w:t>oštećenjem funkcije</w:t>
      </w:r>
      <w:r w:rsidRPr="007076F7">
        <w:rPr>
          <w:rFonts w:ascii="Times New Roman" w:eastAsia="TimesNewRoman" w:hAnsi="Times New Roman" w:cs="Times New Roman"/>
          <w:lang w:val="sr-Latn-ME"/>
        </w:rPr>
        <w:t xml:space="preserve">  jetre, potrebno je redovno pratiti vrijednosti enzima jetre u toku terapije </w:t>
      </w:r>
      <w:proofErr w:type="spellStart"/>
      <w:r w:rsidRPr="007076F7">
        <w:rPr>
          <w:rFonts w:ascii="Times New Roman" w:eastAsia="TimesNewRoman" w:hAnsi="Times New Roman" w:cs="Times New Roman"/>
          <w:lang w:val="sr-Latn-ME"/>
        </w:rPr>
        <w:t>pantoprazolom</w:t>
      </w:r>
      <w:proofErr w:type="spellEnd"/>
      <w:r w:rsidRPr="007076F7">
        <w:rPr>
          <w:rFonts w:ascii="Times New Roman" w:eastAsia="TimesNewRoman" w:hAnsi="Times New Roman" w:cs="Times New Roman"/>
          <w:lang w:val="sr-Latn-ME"/>
        </w:rPr>
        <w:t>, posebno pri dugotrajnoj primjeni. U slučaju porasta nivoa enzima jetre, ovu terapiju treba prekinuti (</w:t>
      </w:r>
      <w:r w:rsidR="003257C2" w:rsidRPr="007076F7">
        <w:rPr>
          <w:rFonts w:ascii="Times New Roman" w:eastAsia="TimesNewRoman" w:hAnsi="Times New Roman" w:cs="Times New Roman"/>
          <w:lang w:val="nl-BE"/>
        </w:rPr>
        <w:t xml:space="preserve">pogledati dio </w:t>
      </w:r>
      <w:r w:rsidRPr="007076F7">
        <w:rPr>
          <w:rFonts w:ascii="Times New Roman" w:eastAsia="TimesNewRoman" w:hAnsi="Times New Roman" w:cs="Times New Roman"/>
          <w:lang w:val="sr-Latn-ME"/>
        </w:rPr>
        <w:t>4.2).</w:t>
      </w:r>
    </w:p>
    <w:p w14:paraId="5542E5A2"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A3"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t>Kombinovana terapija</w:t>
      </w:r>
    </w:p>
    <w:p w14:paraId="5542E5A4"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U slučaju kombinovane terapije, moraju se pregledati </w:t>
      </w:r>
      <w:r w:rsidRPr="007076F7">
        <w:rPr>
          <w:rFonts w:ascii="Times New Roman" w:eastAsia="TimesNewRoman" w:hAnsi="Times New Roman" w:cs="Times New Roman"/>
          <w:i/>
          <w:lang w:val="sr-Latn-ME"/>
        </w:rPr>
        <w:t>Sažeci karakteristika lijeka</w:t>
      </w:r>
      <w:r w:rsidRPr="007076F7">
        <w:rPr>
          <w:rFonts w:ascii="Times New Roman" w:eastAsia="TimesNewRoman" w:hAnsi="Times New Roman" w:cs="Times New Roman"/>
          <w:lang w:val="sr-Latn-ME"/>
        </w:rPr>
        <w:t xml:space="preserve"> za druge, istovremeno primjenjivane ljekove.</w:t>
      </w:r>
    </w:p>
    <w:p w14:paraId="5542E5A5"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p>
    <w:p w14:paraId="5542E5A6"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i/>
          <w:lang w:val="sr-Latn-ME" w:eastAsia="sr-Latn-CS"/>
        </w:rPr>
      </w:pPr>
      <w:proofErr w:type="spellStart"/>
      <w:r w:rsidRPr="007076F7">
        <w:rPr>
          <w:rFonts w:ascii="Times New Roman" w:eastAsia="Times New Roman" w:hAnsi="Times New Roman" w:cs="Times New Roman"/>
          <w:i/>
          <w:lang w:val="sr-Latn-ME" w:eastAsia="sr-Latn-CS"/>
        </w:rPr>
        <w:t>Gastrični</w:t>
      </w:r>
      <w:proofErr w:type="spellEnd"/>
      <w:r w:rsidRPr="007076F7">
        <w:rPr>
          <w:rFonts w:ascii="Times New Roman" w:eastAsia="Times New Roman" w:hAnsi="Times New Roman" w:cs="Times New Roman"/>
          <w:i/>
          <w:lang w:val="sr-Latn-ME" w:eastAsia="sr-Latn-CS"/>
        </w:rPr>
        <w:t xml:space="preserve"> </w:t>
      </w:r>
      <w:proofErr w:type="spellStart"/>
      <w:r w:rsidRPr="007076F7">
        <w:rPr>
          <w:rFonts w:ascii="Times New Roman" w:eastAsia="Times New Roman" w:hAnsi="Times New Roman" w:cs="Times New Roman"/>
          <w:i/>
          <w:lang w:val="sr-Latn-ME" w:eastAsia="sr-Latn-CS"/>
        </w:rPr>
        <w:t>malignitet</w:t>
      </w:r>
      <w:proofErr w:type="spellEnd"/>
    </w:p>
    <w:p w14:paraId="5542E5A7" w14:textId="7317DFD2"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 xml:space="preserve">Simptomatski odgovor na terapiju </w:t>
      </w:r>
      <w:proofErr w:type="spellStart"/>
      <w:r w:rsidRPr="007076F7">
        <w:rPr>
          <w:rFonts w:ascii="Times New Roman" w:eastAsia="Times New Roman" w:hAnsi="Times New Roman" w:cs="Times New Roman"/>
          <w:lang w:val="sr-Latn-ME" w:eastAsia="sr-Latn-CS"/>
        </w:rPr>
        <w:t>pantoprazolom</w:t>
      </w:r>
      <w:proofErr w:type="spellEnd"/>
      <w:r w:rsidRPr="007076F7">
        <w:rPr>
          <w:rFonts w:ascii="Times New Roman" w:eastAsia="Times New Roman" w:hAnsi="Times New Roman" w:cs="Times New Roman"/>
          <w:lang w:val="sr-Latn-ME" w:eastAsia="sr-Latn-CS"/>
        </w:rPr>
        <w:t xml:space="preserve"> može da maskira simptome </w:t>
      </w:r>
      <w:proofErr w:type="spellStart"/>
      <w:r w:rsidRPr="007076F7">
        <w:rPr>
          <w:rFonts w:ascii="Times New Roman" w:eastAsia="Times New Roman" w:hAnsi="Times New Roman" w:cs="Times New Roman"/>
          <w:lang w:val="sr-Latn-ME" w:eastAsia="sr-Latn-CS"/>
        </w:rPr>
        <w:t>gastričnog</w:t>
      </w:r>
      <w:proofErr w:type="spellEnd"/>
      <w:r w:rsidRPr="007076F7">
        <w:rPr>
          <w:rFonts w:ascii="Times New Roman" w:eastAsia="Times New Roman" w:hAnsi="Times New Roman" w:cs="Times New Roman"/>
          <w:lang w:val="sr-Latn-ME" w:eastAsia="sr-Latn-CS"/>
        </w:rPr>
        <w:t xml:space="preserve"> </w:t>
      </w:r>
      <w:proofErr w:type="spellStart"/>
      <w:r w:rsidRPr="007076F7">
        <w:rPr>
          <w:rFonts w:ascii="Times New Roman" w:eastAsia="Times New Roman" w:hAnsi="Times New Roman" w:cs="Times New Roman"/>
          <w:lang w:val="sr-Latn-ME" w:eastAsia="sr-Latn-CS"/>
        </w:rPr>
        <w:t>maligniteta</w:t>
      </w:r>
      <w:proofErr w:type="spellEnd"/>
      <w:r w:rsidRPr="007076F7">
        <w:rPr>
          <w:rFonts w:ascii="Times New Roman" w:eastAsia="Times New Roman" w:hAnsi="Times New Roman" w:cs="Times New Roman"/>
          <w:lang w:val="sr-Latn-ME" w:eastAsia="sr-Latn-CS"/>
        </w:rPr>
        <w:t xml:space="preserve"> i može da odloži postavljanje dijagnoze. U prisustvu bilo kojih simptoma upozorenja (npr. značajan, neželjeni gubitak tjelesne mase, ponavljano povraćanje, </w:t>
      </w:r>
      <w:proofErr w:type="spellStart"/>
      <w:r w:rsidRPr="007076F7">
        <w:rPr>
          <w:rFonts w:ascii="Times New Roman" w:eastAsia="Times New Roman" w:hAnsi="Times New Roman" w:cs="Times New Roman"/>
          <w:lang w:val="sr-Latn-ME" w:eastAsia="sr-Latn-CS"/>
        </w:rPr>
        <w:t>disfagija</w:t>
      </w:r>
      <w:proofErr w:type="spellEnd"/>
      <w:r w:rsidRPr="007076F7">
        <w:rPr>
          <w:rFonts w:ascii="Times New Roman" w:eastAsia="Times New Roman" w:hAnsi="Times New Roman" w:cs="Times New Roman"/>
          <w:lang w:val="sr-Latn-ME" w:eastAsia="sr-Latn-CS"/>
        </w:rPr>
        <w:t xml:space="preserve">, </w:t>
      </w:r>
      <w:proofErr w:type="spellStart"/>
      <w:r w:rsidRPr="007076F7">
        <w:rPr>
          <w:rFonts w:ascii="Times New Roman" w:eastAsia="Times New Roman" w:hAnsi="Times New Roman" w:cs="Times New Roman"/>
          <w:lang w:val="sr-Latn-ME" w:eastAsia="sr-Latn-CS"/>
        </w:rPr>
        <w:t>hematemeza</w:t>
      </w:r>
      <w:proofErr w:type="spellEnd"/>
      <w:r w:rsidRPr="007076F7">
        <w:rPr>
          <w:rFonts w:ascii="Times New Roman" w:eastAsia="Times New Roman" w:hAnsi="Times New Roman" w:cs="Times New Roman"/>
          <w:lang w:val="sr-Latn-ME" w:eastAsia="sr-Latn-CS"/>
        </w:rPr>
        <w:t xml:space="preserve">, anemija ili </w:t>
      </w:r>
      <w:proofErr w:type="spellStart"/>
      <w:r w:rsidRPr="007076F7">
        <w:rPr>
          <w:rFonts w:ascii="Times New Roman" w:eastAsia="Times New Roman" w:hAnsi="Times New Roman" w:cs="Times New Roman"/>
          <w:lang w:val="sr-Latn-ME" w:eastAsia="sr-Latn-CS"/>
        </w:rPr>
        <w:t>melena</w:t>
      </w:r>
      <w:proofErr w:type="spellEnd"/>
      <w:r w:rsidRPr="007076F7">
        <w:rPr>
          <w:rFonts w:ascii="Times New Roman" w:eastAsia="Times New Roman" w:hAnsi="Times New Roman" w:cs="Times New Roman"/>
          <w:lang w:val="sr-Latn-ME" w:eastAsia="sr-Latn-CS"/>
        </w:rPr>
        <w:t xml:space="preserve">) i u slučaju sumnje na </w:t>
      </w:r>
      <w:proofErr w:type="spellStart"/>
      <w:r w:rsidRPr="007076F7">
        <w:rPr>
          <w:rFonts w:ascii="Times New Roman" w:eastAsia="Times New Roman" w:hAnsi="Times New Roman" w:cs="Times New Roman"/>
          <w:lang w:val="sr-Latn-ME" w:eastAsia="sr-Latn-CS"/>
        </w:rPr>
        <w:t>gastrični</w:t>
      </w:r>
      <w:proofErr w:type="spellEnd"/>
      <w:r w:rsidRPr="007076F7">
        <w:rPr>
          <w:rFonts w:ascii="Times New Roman" w:eastAsia="Times New Roman" w:hAnsi="Times New Roman" w:cs="Times New Roman"/>
          <w:lang w:val="sr-Latn-ME" w:eastAsia="sr-Latn-CS"/>
        </w:rPr>
        <w:t xml:space="preserve"> </w:t>
      </w:r>
      <w:proofErr w:type="spellStart"/>
      <w:r w:rsidRPr="007076F7">
        <w:rPr>
          <w:rFonts w:ascii="Times New Roman" w:eastAsia="Times New Roman" w:hAnsi="Times New Roman" w:cs="Times New Roman"/>
          <w:lang w:val="sr-Latn-ME" w:eastAsia="sr-Latn-CS"/>
        </w:rPr>
        <w:t>ulkus</w:t>
      </w:r>
      <w:proofErr w:type="spellEnd"/>
      <w:r w:rsidRPr="007076F7">
        <w:rPr>
          <w:rFonts w:ascii="Times New Roman" w:eastAsia="Times New Roman" w:hAnsi="Times New Roman" w:cs="Times New Roman"/>
          <w:lang w:val="sr-Latn-ME" w:eastAsia="sr-Latn-CS"/>
        </w:rPr>
        <w:t xml:space="preserve"> ili njegovo prisustv</w:t>
      </w:r>
      <w:r w:rsidR="003257C2" w:rsidRPr="007076F7">
        <w:rPr>
          <w:rFonts w:ascii="Times New Roman" w:eastAsia="Times New Roman" w:hAnsi="Times New Roman" w:cs="Times New Roman"/>
          <w:lang w:val="sr-Latn-ME" w:eastAsia="sr-Latn-CS"/>
        </w:rPr>
        <w:t>o</w:t>
      </w:r>
      <w:r w:rsidRPr="007076F7">
        <w:rPr>
          <w:rFonts w:ascii="Times New Roman" w:eastAsia="Times New Roman" w:hAnsi="Times New Roman" w:cs="Times New Roman"/>
          <w:lang w:val="sr-Latn-ME" w:eastAsia="sr-Latn-CS"/>
        </w:rPr>
        <w:t xml:space="preserve">, potrebno je isključiti </w:t>
      </w:r>
      <w:proofErr w:type="spellStart"/>
      <w:r w:rsidRPr="007076F7">
        <w:rPr>
          <w:rFonts w:ascii="Times New Roman" w:eastAsia="Times New Roman" w:hAnsi="Times New Roman" w:cs="Times New Roman"/>
          <w:lang w:val="sr-Latn-ME" w:eastAsia="sr-Latn-CS"/>
        </w:rPr>
        <w:t>malignitet</w:t>
      </w:r>
      <w:proofErr w:type="spellEnd"/>
      <w:r w:rsidRPr="007076F7">
        <w:rPr>
          <w:rFonts w:ascii="Times New Roman" w:eastAsia="Times New Roman" w:hAnsi="Times New Roman" w:cs="Times New Roman"/>
          <w:lang w:val="sr-Latn-ME" w:eastAsia="sr-Latn-CS"/>
        </w:rPr>
        <w:t>.</w:t>
      </w:r>
    </w:p>
    <w:p w14:paraId="5542E5A8"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Ako i pored odgovarajuće terapije simptomi i dalje postoje, potrebno je izvršiti dodatna ispitivanja.</w:t>
      </w:r>
    </w:p>
    <w:p w14:paraId="5542E5A9"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AA"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i/>
          <w:lang w:val="sr-Latn-ME" w:eastAsia="sr-Latn-CS"/>
        </w:rPr>
      </w:pPr>
      <w:r w:rsidRPr="007076F7">
        <w:rPr>
          <w:rFonts w:ascii="Times New Roman" w:eastAsia="Times New Roman" w:hAnsi="Times New Roman" w:cs="Times New Roman"/>
          <w:i/>
          <w:lang w:val="sr-Latn-ME" w:eastAsia="sr-Latn-CS"/>
        </w:rPr>
        <w:t xml:space="preserve">Istovremena primjena sa </w:t>
      </w:r>
      <w:proofErr w:type="spellStart"/>
      <w:r w:rsidRPr="007076F7">
        <w:rPr>
          <w:rFonts w:ascii="Times New Roman" w:eastAsia="Times New Roman" w:hAnsi="Times New Roman" w:cs="Times New Roman"/>
          <w:i/>
          <w:lang w:val="sr-Latn-ME" w:eastAsia="sr-Latn-CS"/>
        </w:rPr>
        <w:t>inhibitorima</w:t>
      </w:r>
      <w:proofErr w:type="spellEnd"/>
      <w:r w:rsidRPr="007076F7">
        <w:rPr>
          <w:rFonts w:ascii="Times New Roman" w:eastAsia="Times New Roman" w:hAnsi="Times New Roman" w:cs="Times New Roman"/>
          <w:i/>
          <w:lang w:val="sr-Latn-ME" w:eastAsia="sr-Latn-CS"/>
        </w:rPr>
        <w:t xml:space="preserve"> HIV </w:t>
      </w:r>
      <w:proofErr w:type="spellStart"/>
      <w:r w:rsidRPr="007076F7">
        <w:rPr>
          <w:rFonts w:ascii="Times New Roman" w:eastAsia="Times New Roman" w:hAnsi="Times New Roman" w:cs="Times New Roman"/>
          <w:i/>
          <w:lang w:val="sr-Latn-ME" w:eastAsia="sr-Latn-CS"/>
        </w:rPr>
        <w:t>proteaze</w:t>
      </w:r>
      <w:proofErr w:type="spellEnd"/>
    </w:p>
    <w:p w14:paraId="5542E5AB" w14:textId="6ED22CA0"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 xml:space="preserve">Ne preporučuje se istovremena primjena inhibitora protonske pumpe sa </w:t>
      </w:r>
      <w:proofErr w:type="spellStart"/>
      <w:r w:rsidRPr="007076F7">
        <w:rPr>
          <w:rFonts w:ascii="Times New Roman" w:eastAsia="Times New Roman" w:hAnsi="Times New Roman" w:cs="Times New Roman"/>
          <w:lang w:val="sr-Latn-ME" w:eastAsia="sr-Latn-CS"/>
        </w:rPr>
        <w:t>inhibitorima</w:t>
      </w:r>
      <w:proofErr w:type="spellEnd"/>
      <w:r w:rsidRPr="007076F7">
        <w:rPr>
          <w:rFonts w:ascii="Times New Roman" w:eastAsia="Times New Roman" w:hAnsi="Times New Roman" w:cs="Times New Roman"/>
          <w:lang w:val="sr-Latn-ME" w:eastAsia="sr-Latn-CS"/>
        </w:rPr>
        <w:t xml:space="preserve"> HIV </w:t>
      </w:r>
      <w:proofErr w:type="spellStart"/>
      <w:r w:rsidRPr="007076F7">
        <w:rPr>
          <w:rFonts w:ascii="Times New Roman" w:eastAsia="Times New Roman" w:hAnsi="Times New Roman" w:cs="Times New Roman"/>
          <w:lang w:val="sr-Latn-ME" w:eastAsia="sr-Latn-CS"/>
        </w:rPr>
        <w:t>proteaze</w:t>
      </w:r>
      <w:proofErr w:type="spellEnd"/>
      <w:r w:rsidRPr="007076F7">
        <w:rPr>
          <w:rFonts w:ascii="Times New Roman" w:eastAsia="Times New Roman" w:hAnsi="Times New Roman" w:cs="Times New Roman"/>
          <w:lang w:val="sr-Latn-ME" w:eastAsia="sr-Latn-CS"/>
        </w:rPr>
        <w:t xml:space="preserve">, čija resorpcija zavisi od </w:t>
      </w:r>
      <w:proofErr w:type="spellStart"/>
      <w:r w:rsidRPr="007076F7">
        <w:rPr>
          <w:rFonts w:ascii="Times New Roman" w:eastAsia="Times New Roman" w:hAnsi="Times New Roman" w:cs="Times New Roman"/>
          <w:lang w:val="sr-Latn-ME" w:eastAsia="sr-Latn-CS"/>
        </w:rPr>
        <w:t>pH</w:t>
      </w:r>
      <w:proofErr w:type="spellEnd"/>
      <w:r w:rsidRPr="007076F7">
        <w:rPr>
          <w:rFonts w:ascii="Times New Roman" w:eastAsia="Times New Roman" w:hAnsi="Times New Roman" w:cs="Times New Roman"/>
          <w:lang w:val="sr-Latn-ME" w:eastAsia="sr-Latn-CS"/>
        </w:rPr>
        <w:t xml:space="preserve"> vrijednosti u želucu, kao što je </w:t>
      </w:r>
      <w:proofErr w:type="spellStart"/>
      <w:r w:rsidRPr="007076F7">
        <w:rPr>
          <w:rFonts w:ascii="Times New Roman" w:eastAsia="Times New Roman" w:hAnsi="Times New Roman" w:cs="Times New Roman"/>
          <w:lang w:val="sr-Latn-ME" w:eastAsia="sr-Latn-CS"/>
        </w:rPr>
        <w:t>atazanavir</w:t>
      </w:r>
      <w:proofErr w:type="spellEnd"/>
      <w:r w:rsidRPr="007076F7">
        <w:rPr>
          <w:rFonts w:ascii="Times New Roman" w:eastAsia="Times New Roman" w:hAnsi="Times New Roman" w:cs="Times New Roman"/>
          <w:lang w:val="sr-Latn-ME" w:eastAsia="sr-Latn-CS"/>
        </w:rPr>
        <w:t>, jer može doći do značajnog smanjenja bioraspoloživosti ovih ljekova (</w:t>
      </w:r>
      <w:r w:rsidR="003257C2" w:rsidRPr="007076F7">
        <w:rPr>
          <w:rFonts w:ascii="Times New Roman" w:eastAsia="Times New Roman" w:hAnsi="Times New Roman" w:cs="Times New Roman"/>
          <w:lang w:val="nl-BE" w:eastAsia="sr-Latn-CS"/>
        </w:rPr>
        <w:t xml:space="preserve">pogledati dio </w:t>
      </w:r>
      <w:r w:rsidRPr="007076F7">
        <w:rPr>
          <w:rFonts w:ascii="Times New Roman" w:eastAsia="Times New Roman" w:hAnsi="Times New Roman" w:cs="Times New Roman"/>
          <w:lang w:val="sr-Latn-ME" w:eastAsia="sr-Latn-CS"/>
        </w:rPr>
        <w:t>4.5).</w:t>
      </w:r>
    </w:p>
    <w:p w14:paraId="5542E5AC" w14:textId="456C7ED2" w:rsidR="00783B8D" w:rsidRDefault="00783B8D">
      <w:pPr>
        <w:rPr>
          <w:rFonts w:ascii="Times New Roman" w:eastAsia="TimesNewRoman" w:hAnsi="Times New Roman" w:cs="Times New Roman"/>
          <w:lang w:val="sr-Latn-ME"/>
        </w:rPr>
      </w:pPr>
      <w:r>
        <w:rPr>
          <w:rFonts w:ascii="Times New Roman" w:eastAsia="TimesNewRoman" w:hAnsi="Times New Roman" w:cs="Times New Roman"/>
          <w:lang w:val="sr-Latn-ME"/>
        </w:rPr>
        <w:br w:type="page"/>
      </w:r>
    </w:p>
    <w:p w14:paraId="5542E5AD"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lastRenderedPageBreak/>
        <w:t>Uticaj na resorpciju vitamina B12</w:t>
      </w:r>
    </w:p>
    <w:p w14:paraId="5542E5AE" w14:textId="48C190E1"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Kod pacijenata sa </w:t>
      </w:r>
      <w:proofErr w:type="spellStart"/>
      <w:r w:rsidRPr="007076F7">
        <w:rPr>
          <w:rFonts w:ascii="Times New Roman" w:eastAsia="TimesNewRoman" w:hAnsi="Times New Roman" w:cs="Times New Roman"/>
          <w:i/>
          <w:lang w:val="sr-Latn-ME"/>
        </w:rPr>
        <w:t>Zollinger</w:t>
      </w:r>
      <w:proofErr w:type="spellEnd"/>
      <w:r w:rsidRPr="007076F7">
        <w:rPr>
          <w:rFonts w:ascii="Times New Roman" w:eastAsia="TimesNewRoman" w:hAnsi="Times New Roman" w:cs="Times New Roman"/>
          <w:i/>
          <w:lang w:val="sr-Latn-ME"/>
        </w:rPr>
        <w:t>-</w:t>
      </w:r>
      <w:proofErr w:type="spellStart"/>
      <w:r w:rsidRPr="007076F7">
        <w:rPr>
          <w:rFonts w:ascii="Times New Roman" w:eastAsia="TimesNewRoman" w:hAnsi="Times New Roman" w:cs="Times New Roman"/>
          <w:i/>
          <w:lang w:val="sr-Latn-ME"/>
        </w:rPr>
        <w:t>Ellison</w:t>
      </w:r>
      <w:proofErr w:type="spellEnd"/>
      <w:r w:rsidRPr="007076F7">
        <w:rPr>
          <w:rFonts w:ascii="Times New Roman" w:eastAsia="TimesNewRoman" w:hAnsi="Times New Roman" w:cs="Times New Roman"/>
          <w:lang w:val="sr-Latn-ME"/>
        </w:rPr>
        <w:t xml:space="preserve">-ovim sindromom i drugim patološkim </w:t>
      </w:r>
      <w:proofErr w:type="spellStart"/>
      <w:r w:rsidRPr="007076F7">
        <w:rPr>
          <w:rFonts w:ascii="Times New Roman" w:eastAsia="TimesNewRoman" w:hAnsi="Times New Roman" w:cs="Times New Roman"/>
          <w:lang w:val="sr-Latn-ME"/>
        </w:rPr>
        <w:t>hipersekretornim</w:t>
      </w:r>
      <w:proofErr w:type="spellEnd"/>
      <w:r w:rsidRPr="007076F7">
        <w:rPr>
          <w:rFonts w:ascii="Times New Roman" w:eastAsia="TimesNewRoman" w:hAnsi="Times New Roman" w:cs="Times New Roman"/>
          <w:lang w:val="sr-Latn-ME"/>
        </w:rPr>
        <w:t xml:space="preserve"> stanjima koja zahtijevaju dugotrajnu terapiju, </w:t>
      </w:r>
      <w:proofErr w:type="spellStart"/>
      <w:r w:rsidRPr="007076F7">
        <w:rPr>
          <w:rFonts w:ascii="Times New Roman" w:eastAsia="TimesNewRoman" w:hAnsi="Times New Roman" w:cs="Times New Roman"/>
          <w:lang w:val="sr-Latn-ME"/>
        </w:rPr>
        <w:t>pantoprazol</w:t>
      </w:r>
      <w:proofErr w:type="spellEnd"/>
      <w:r w:rsidRPr="007076F7">
        <w:rPr>
          <w:rFonts w:ascii="Times New Roman" w:eastAsia="TimesNewRoman" w:hAnsi="Times New Roman" w:cs="Times New Roman"/>
          <w:lang w:val="sr-Latn-ME"/>
        </w:rPr>
        <w:t xml:space="preserve"> (kao i drugi ljekovi koji blokiraju sekreciju želudačne kiseline) može smanjiti resorpciju vitamina B12 (</w:t>
      </w:r>
      <w:proofErr w:type="spellStart"/>
      <w:r w:rsidRPr="007076F7">
        <w:rPr>
          <w:rFonts w:ascii="Times New Roman" w:eastAsia="TimesNewRoman" w:hAnsi="Times New Roman" w:cs="Times New Roman"/>
          <w:lang w:val="sr-Latn-ME"/>
        </w:rPr>
        <w:t>cijankobalamin</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usljed</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hipo</w:t>
      </w:r>
      <w:proofErr w:type="spellEnd"/>
      <w:r w:rsidRPr="007076F7">
        <w:rPr>
          <w:rFonts w:ascii="Times New Roman" w:eastAsia="TimesNewRoman" w:hAnsi="Times New Roman" w:cs="Times New Roman"/>
          <w:lang w:val="sr-Latn-ME"/>
        </w:rPr>
        <w:t xml:space="preserve">- ili </w:t>
      </w:r>
      <w:proofErr w:type="spellStart"/>
      <w:r w:rsidRPr="007076F7">
        <w:rPr>
          <w:rFonts w:ascii="Times New Roman" w:eastAsia="TimesNewRoman" w:hAnsi="Times New Roman" w:cs="Times New Roman"/>
          <w:lang w:val="sr-Latn-ME"/>
        </w:rPr>
        <w:t>ahlorhidrije</w:t>
      </w:r>
      <w:proofErr w:type="spellEnd"/>
      <w:r w:rsidRPr="007076F7">
        <w:rPr>
          <w:rFonts w:ascii="Times New Roman" w:eastAsia="TimesNewRoman" w:hAnsi="Times New Roman" w:cs="Times New Roman"/>
          <w:lang w:val="sr-Latn-ME"/>
        </w:rPr>
        <w:t xml:space="preserve">. Ovo treba imati u vidu kod pacijenata sa niskim rezervama ili faktorima rizika za smanjenu resorpciju vitamina B12, koji su na dugotrajnoj terapiji </w:t>
      </w:r>
      <w:proofErr w:type="spellStart"/>
      <w:r w:rsidRPr="007076F7">
        <w:rPr>
          <w:rFonts w:ascii="Times New Roman" w:eastAsia="TimesNewRoman" w:hAnsi="Times New Roman" w:cs="Times New Roman"/>
          <w:lang w:val="sr-Latn-ME"/>
        </w:rPr>
        <w:t>pantoprazolom</w:t>
      </w:r>
      <w:proofErr w:type="spellEnd"/>
      <w:r w:rsidRPr="007076F7">
        <w:rPr>
          <w:rFonts w:ascii="Times New Roman" w:eastAsia="TimesNewRoman" w:hAnsi="Times New Roman" w:cs="Times New Roman"/>
          <w:lang w:val="sr-Latn-ME"/>
        </w:rPr>
        <w:t xml:space="preserve"> ili kada se kod njih primijete posljedični klinički simptomi smanjene resorpcije vitamina B12.</w:t>
      </w:r>
    </w:p>
    <w:p w14:paraId="5542E5AF"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B0"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t>Dugotrajno liječenje</w:t>
      </w:r>
    </w:p>
    <w:p w14:paraId="5542E5B1"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Pacijenti na dugotrajnoj terapiji, posebno dužoj od jedne godine, treba da su pod redovnim nadzorom.</w:t>
      </w:r>
    </w:p>
    <w:p w14:paraId="5542E5B2"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B3"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t>Gastrointestinalne infekcije uzrokovane bakterijama</w:t>
      </w:r>
    </w:p>
    <w:p w14:paraId="5542E5B4"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Terapija </w:t>
      </w:r>
      <w:proofErr w:type="spellStart"/>
      <w:r w:rsidRPr="007076F7">
        <w:rPr>
          <w:rFonts w:ascii="Times New Roman" w:eastAsia="TimesNewRoman" w:hAnsi="Times New Roman" w:cs="Times New Roman"/>
          <w:lang w:val="sr-Latn-ME"/>
        </w:rPr>
        <w:t>pantoprazolom</w:t>
      </w:r>
      <w:proofErr w:type="spellEnd"/>
      <w:r w:rsidRPr="007076F7">
        <w:rPr>
          <w:rFonts w:ascii="Times New Roman" w:eastAsia="TimesNewRoman" w:hAnsi="Times New Roman" w:cs="Times New Roman"/>
          <w:lang w:val="sr-Latn-ME"/>
        </w:rPr>
        <w:t xml:space="preserve"> može da dovede do </w:t>
      </w:r>
      <w:r w:rsidRPr="007076F7">
        <w:rPr>
          <w:rFonts w:ascii="Times New Roman" w:eastAsia="Times New Roman" w:hAnsi="Times New Roman" w:cs="Times New Roman"/>
          <w:noProof/>
          <w:lang w:val="sr-Latn-ME"/>
        </w:rPr>
        <w:t xml:space="preserve">nešto povećanog </w:t>
      </w:r>
      <w:r w:rsidRPr="007076F7">
        <w:rPr>
          <w:rFonts w:ascii="Times New Roman" w:eastAsia="TimesNewRoman" w:hAnsi="Times New Roman" w:cs="Times New Roman"/>
          <w:lang w:val="sr-Latn-ME"/>
        </w:rPr>
        <w:t xml:space="preserve">rizika od nastanka gastrointestinalnih infekcija izazvanih bakterijama kao što su </w:t>
      </w:r>
      <w:proofErr w:type="spellStart"/>
      <w:r w:rsidRPr="007076F7">
        <w:rPr>
          <w:rFonts w:ascii="Times New Roman" w:eastAsia="Times New Roman" w:hAnsi="Times New Roman" w:cs="Times New Roman"/>
          <w:i/>
          <w:iCs/>
          <w:lang w:val="sr-Latn-ME"/>
        </w:rPr>
        <w:t>Salmonella</w:t>
      </w:r>
      <w:proofErr w:type="spellEnd"/>
      <w:r w:rsidRPr="007076F7">
        <w:rPr>
          <w:rFonts w:ascii="Times New Roman" w:eastAsia="Times New Roman" w:hAnsi="Times New Roman" w:cs="Times New Roman"/>
          <w:i/>
          <w:iCs/>
          <w:lang w:val="sr-Latn-ME"/>
        </w:rPr>
        <w:t>,</w:t>
      </w:r>
      <w:r w:rsidRPr="007076F7">
        <w:rPr>
          <w:rFonts w:ascii="Times New Roman" w:eastAsia="TimesNewRoman" w:hAnsi="Times New Roman" w:cs="Times New Roman"/>
          <w:lang w:val="sr-Latn-ME"/>
        </w:rPr>
        <w:t xml:space="preserve"> </w:t>
      </w:r>
      <w:proofErr w:type="spellStart"/>
      <w:r w:rsidRPr="007076F7">
        <w:rPr>
          <w:rFonts w:ascii="Times New Roman" w:eastAsia="Times New Roman" w:hAnsi="Times New Roman" w:cs="Times New Roman"/>
          <w:i/>
          <w:iCs/>
          <w:lang w:val="sr-Latn-ME"/>
        </w:rPr>
        <w:t>Campylobacter</w:t>
      </w:r>
      <w:proofErr w:type="spellEnd"/>
      <w:r w:rsidRPr="007076F7">
        <w:rPr>
          <w:rFonts w:ascii="Times New Roman" w:eastAsia="Times New Roman" w:hAnsi="Times New Roman" w:cs="Times New Roman"/>
          <w:iCs/>
          <w:lang w:val="sr-Latn-ME"/>
        </w:rPr>
        <w:t xml:space="preserve"> ili </w:t>
      </w:r>
      <w:r w:rsidRPr="007076F7">
        <w:rPr>
          <w:rFonts w:ascii="Times New Roman" w:eastAsia="Times New Roman" w:hAnsi="Times New Roman" w:cs="Times New Roman"/>
          <w:i/>
          <w:iCs/>
          <w:lang w:val="sr-Latn-ME"/>
        </w:rPr>
        <w:t xml:space="preserve">C. </w:t>
      </w:r>
      <w:proofErr w:type="spellStart"/>
      <w:r w:rsidRPr="007076F7">
        <w:rPr>
          <w:rFonts w:ascii="Times New Roman" w:eastAsia="Times New Roman" w:hAnsi="Times New Roman" w:cs="Times New Roman"/>
          <w:i/>
          <w:iCs/>
          <w:lang w:val="sr-Latn-ME"/>
        </w:rPr>
        <w:t>difficile</w:t>
      </w:r>
      <w:proofErr w:type="spellEnd"/>
      <w:r w:rsidRPr="007076F7">
        <w:rPr>
          <w:rFonts w:ascii="Times New Roman" w:eastAsia="TimesNewRoman" w:hAnsi="Times New Roman" w:cs="Times New Roman"/>
          <w:lang w:val="sr-Latn-ME"/>
        </w:rPr>
        <w:t>.</w:t>
      </w:r>
    </w:p>
    <w:p w14:paraId="5542E5B5"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B6" w14:textId="1006DA28"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proofErr w:type="spellStart"/>
      <w:r w:rsidRPr="007076F7">
        <w:rPr>
          <w:rFonts w:ascii="Times New Roman" w:eastAsia="Times New Roman" w:hAnsi="Times New Roman" w:cs="Times New Roman"/>
          <w:i/>
          <w:iCs/>
          <w:lang w:val="sr-Latn-ME"/>
        </w:rPr>
        <w:t>Hipomagnezemija</w:t>
      </w:r>
      <w:proofErr w:type="spellEnd"/>
    </w:p>
    <w:p w14:paraId="5542E5B7" w14:textId="1EB4F27B"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 New Roman" w:hAnsi="Times New Roman" w:cs="Times New Roman"/>
          <w:lang w:val="sr-Latn-ME"/>
        </w:rPr>
        <w:t xml:space="preserve">Kod pacijenata liječenih inhibitorima protonske pumpe kao što je </w:t>
      </w:r>
      <w:proofErr w:type="spellStart"/>
      <w:r w:rsidRPr="007076F7">
        <w:rPr>
          <w:rFonts w:ascii="Times New Roman" w:eastAsia="Times New Roman" w:hAnsi="Times New Roman" w:cs="Times New Roman"/>
          <w:lang w:val="sr-Latn-ME"/>
        </w:rPr>
        <w:t>pantoprazol</w:t>
      </w:r>
      <w:proofErr w:type="spellEnd"/>
      <w:r w:rsidRPr="007076F7">
        <w:rPr>
          <w:rFonts w:ascii="Times New Roman" w:eastAsia="Times New Roman" w:hAnsi="Times New Roman" w:cs="Times New Roman"/>
          <w:lang w:val="sr-Latn-ME"/>
        </w:rPr>
        <w:t xml:space="preserve">, u periodu od najmanje tri mjeseca, a u većini slučajeva i godinu dana, može se javiti težak oblik </w:t>
      </w:r>
      <w:proofErr w:type="spellStart"/>
      <w:r w:rsidRPr="007076F7">
        <w:rPr>
          <w:rFonts w:ascii="Times New Roman" w:eastAsia="Times New Roman" w:hAnsi="Times New Roman" w:cs="Times New Roman"/>
          <w:lang w:val="sr-Latn-ME"/>
        </w:rPr>
        <w:t>hipomagnezemije</w:t>
      </w:r>
      <w:proofErr w:type="spellEnd"/>
      <w:r w:rsidR="003257C2" w:rsidRPr="007076F7">
        <w:rPr>
          <w:rFonts w:ascii="Times New Roman" w:eastAsia="Times New Roman" w:hAnsi="Times New Roman" w:cs="Times New Roman"/>
          <w:lang w:val="sr-Latn-ME"/>
        </w:rPr>
        <w:t xml:space="preserve"> (rijetko)</w:t>
      </w:r>
      <w:r w:rsidRPr="007076F7">
        <w:rPr>
          <w:rFonts w:ascii="Times New Roman" w:eastAsia="Times New Roman" w:hAnsi="Times New Roman" w:cs="Times New Roman"/>
          <w:lang w:val="sr-Latn-ME"/>
        </w:rPr>
        <w:t xml:space="preserve">. Mogu se ispoljiti ozbiljni simptomi </w:t>
      </w:r>
      <w:proofErr w:type="spellStart"/>
      <w:r w:rsidRPr="007076F7">
        <w:rPr>
          <w:rFonts w:ascii="Times New Roman" w:eastAsia="Times New Roman" w:hAnsi="Times New Roman" w:cs="Times New Roman"/>
          <w:lang w:val="sr-Latn-ME"/>
        </w:rPr>
        <w:t>hipomagnezijemije</w:t>
      </w:r>
      <w:proofErr w:type="spellEnd"/>
      <w:r w:rsidRPr="007076F7">
        <w:rPr>
          <w:rFonts w:ascii="Times New Roman" w:eastAsia="Times New Roman" w:hAnsi="Times New Roman" w:cs="Times New Roman"/>
          <w:lang w:val="sr-Latn-ME"/>
        </w:rPr>
        <w:t xml:space="preserve">, </w:t>
      </w:r>
      <w:r w:rsidRPr="007076F7">
        <w:rPr>
          <w:rFonts w:ascii="Times New Roman" w:eastAsia="TimesNewRoman" w:hAnsi="Times New Roman" w:cs="Times New Roman"/>
          <w:lang w:val="sr-Latn-ME"/>
        </w:rPr>
        <w:t xml:space="preserve">kao što su umor, </w:t>
      </w:r>
      <w:r w:rsidR="003257C2" w:rsidRPr="007076F7">
        <w:rPr>
          <w:rFonts w:ascii="Times New Roman" w:eastAsia="TimesNewRoman" w:hAnsi="Times New Roman" w:cs="Times New Roman"/>
          <w:lang w:val="sr-Latn-ME"/>
        </w:rPr>
        <w:t>grčevi</w:t>
      </w:r>
      <w:r w:rsidRPr="007076F7">
        <w:rPr>
          <w:rFonts w:ascii="Times New Roman" w:eastAsia="TimesNewRoman" w:hAnsi="Times New Roman" w:cs="Times New Roman"/>
          <w:lang w:val="sr-Latn-ME"/>
        </w:rPr>
        <w:t xml:space="preserve">, delirijum, konvulzije, vrtoglavica i </w:t>
      </w:r>
      <w:proofErr w:type="spellStart"/>
      <w:r w:rsidRPr="007076F7">
        <w:rPr>
          <w:rFonts w:ascii="Times New Roman" w:eastAsia="TimesNewRoman" w:hAnsi="Times New Roman" w:cs="Times New Roman"/>
          <w:lang w:val="sr-Latn-ME"/>
        </w:rPr>
        <w:t>ventrikularne</w:t>
      </w:r>
      <w:proofErr w:type="spellEnd"/>
      <w:r w:rsidRPr="007076F7">
        <w:rPr>
          <w:rFonts w:ascii="Times New Roman" w:eastAsia="TimesNewRoman" w:hAnsi="Times New Roman" w:cs="Times New Roman"/>
          <w:lang w:val="sr-Latn-ME"/>
        </w:rPr>
        <w:t xml:space="preserve"> aritmije</w:t>
      </w:r>
      <w:r w:rsidRPr="007076F7">
        <w:rPr>
          <w:rFonts w:ascii="Times New Roman" w:eastAsia="Times New Roman" w:hAnsi="Times New Roman" w:cs="Times New Roman"/>
          <w:lang w:val="sr-Latn-ME"/>
        </w:rPr>
        <w:t xml:space="preserve">, ali u početku mogu biti prikriveni i zato se mogu lako previdjeti. </w:t>
      </w:r>
      <w:proofErr w:type="spellStart"/>
      <w:r w:rsidR="003257C2" w:rsidRPr="007076F7">
        <w:rPr>
          <w:rFonts w:ascii="Times New Roman" w:eastAsia="Times New Roman" w:hAnsi="Times New Roman" w:cs="Times New Roman"/>
          <w:lang w:val="sr-Latn-RS"/>
        </w:rPr>
        <w:t>Hipomagnezemija</w:t>
      </w:r>
      <w:proofErr w:type="spellEnd"/>
      <w:r w:rsidR="003257C2" w:rsidRPr="007076F7">
        <w:rPr>
          <w:rFonts w:ascii="Times New Roman" w:eastAsia="Times New Roman" w:hAnsi="Times New Roman" w:cs="Times New Roman"/>
          <w:lang w:val="sr-Latn-RS"/>
        </w:rPr>
        <w:t xml:space="preserve"> može dovesti do </w:t>
      </w:r>
      <w:proofErr w:type="spellStart"/>
      <w:r w:rsidR="003257C2" w:rsidRPr="007076F7">
        <w:rPr>
          <w:rFonts w:ascii="Times New Roman" w:eastAsia="Times New Roman" w:hAnsi="Times New Roman" w:cs="Times New Roman"/>
          <w:lang w:val="sr-Latn-RS"/>
        </w:rPr>
        <w:t>hipokalcemije</w:t>
      </w:r>
      <w:proofErr w:type="spellEnd"/>
      <w:r w:rsidR="003257C2" w:rsidRPr="007076F7">
        <w:rPr>
          <w:rFonts w:ascii="Times New Roman" w:eastAsia="Times New Roman" w:hAnsi="Times New Roman" w:cs="Times New Roman"/>
          <w:lang w:val="sr-Latn-RS"/>
        </w:rPr>
        <w:t xml:space="preserve"> i/ili </w:t>
      </w:r>
      <w:proofErr w:type="spellStart"/>
      <w:r w:rsidR="003257C2" w:rsidRPr="007076F7">
        <w:rPr>
          <w:rFonts w:ascii="Times New Roman" w:eastAsia="Times New Roman" w:hAnsi="Times New Roman" w:cs="Times New Roman"/>
          <w:lang w:val="sr-Latn-RS"/>
        </w:rPr>
        <w:t>hipokalemije</w:t>
      </w:r>
      <w:proofErr w:type="spellEnd"/>
      <w:r w:rsidR="003257C2" w:rsidRPr="007076F7">
        <w:rPr>
          <w:rFonts w:ascii="Times New Roman" w:eastAsia="Times New Roman" w:hAnsi="Times New Roman" w:cs="Times New Roman"/>
          <w:lang w:val="sr-Latn-RS"/>
        </w:rPr>
        <w:t xml:space="preserve"> (pogledati </w:t>
      </w:r>
      <w:proofErr w:type="spellStart"/>
      <w:r w:rsidR="003257C2" w:rsidRPr="007076F7">
        <w:rPr>
          <w:rFonts w:ascii="Times New Roman" w:eastAsia="Times New Roman" w:hAnsi="Times New Roman" w:cs="Times New Roman"/>
          <w:lang w:val="sr-Latn-RS"/>
        </w:rPr>
        <w:t>dio</w:t>
      </w:r>
      <w:proofErr w:type="spellEnd"/>
      <w:r w:rsidR="003257C2" w:rsidRPr="007076F7">
        <w:rPr>
          <w:rFonts w:ascii="Times New Roman" w:eastAsia="Times New Roman" w:hAnsi="Times New Roman" w:cs="Times New Roman"/>
          <w:lang w:val="sr-Latn-RS"/>
        </w:rPr>
        <w:t xml:space="preserve"> 4.8). </w:t>
      </w:r>
      <w:r w:rsidRPr="007076F7">
        <w:rPr>
          <w:rFonts w:ascii="Times New Roman" w:eastAsia="TimesNewRoman" w:hAnsi="Times New Roman" w:cs="Times New Roman"/>
          <w:lang w:val="sr-Latn-ME"/>
        </w:rPr>
        <w:t xml:space="preserve">Kod većine ovih pacijenata, </w:t>
      </w:r>
      <w:proofErr w:type="spellStart"/>
      <w:r w:rsidR="003257C2" w:rsidRPr="007076F7">
        <w:rPr>
          <w:rFonts w:ascii="Times New Roman" w:eastAsia="TimesNewRoman" w:hAnsi="Times New Roman" w:cs="Times New Roman"/>
          <w:lang w:val="sr-Latn-RS"/>
        </w:rPr>
        <w:t>hipomagnezemija</w:t>
      </w:r>
      <w:proofErr w:type="spellEnd"/>
      <w:r w:rsidR="003257C2" w:rsidRPr="007076F7">
        <w:rPr>
          <w:rFonts w:ascii="Times New Roman" w:eastAsia="TimesNewRoman" w:hAnsi="Times New Roman" w:cs="Times New Roman"/>
          <w:lang w:val="sr-Latn-RS"/>
        </w:rPr>
        <w:t xml:space="preserve"> (i </w:t>
      </w:r>
      <w:proofErr w:type="spellStart"/>
      <w:r w:rsidR="003257C2" w:rsidRPr="007076F7">
        <w:rPr>
          <w:rFonts w:ascii="Times New Roman" w:eastAsia="TimesNewRoman" w:hAnsi="Times New Roman" w:cs="Times New Roman"/>
          <w:lang w:val="sr-Latn-RS"/>
        </w:rPr>
        <w:t>hipomagnezemija</w:t>
      </w:r>
      <w:proofErr w:type="spellEnd"/>
      <w:r w:rsidR="003257C2" w:rsidRPr="007076F7">
        <w:rPr>
          <w:rFonts w:ascii="Times New Roman" w:eastAsia="TimesNewRoman" w:hAnsi="Times New Roman" w:cs="Times New Roman"/>
          <w:lang w:val="sr-Latn-RS"/>
        </w:rPr>
        <w:t xml:space="preserve"> povezana sa </w:t>
      </w:r>
      <w:proofErr w:type="spellStart"/>
      <w:r w:rsidR="003257C2" w:rsidRPr="007076F7">
        <w:rPr>
          <w:rFonts w:ascii="Times New Roman" w:eastAsia="TimesNewRoman" w:hAnsi="Times New Roman" w:cs="Times New Roman"/>
          <w:lang w:val="sr-Latn-RS"/>
        </w:rPr>
        <w:t>hipokalcemijom</w:t>
      </w:r>
      <w:proofErr w:type="spellEnd"/>
      <w:r w:rsidR="003257C2" w:rsidRPr="007076F7">
        <w:rPr>
          <w:rFonts w:ascii="Times New Roman" w:eastAsia="TimesNewRoman" w:hAnsi="Times New Roman" w:cs="Times New Roman"/>
          <w:lang w:val="sr-Latn-RS"/>
        </w:rPr>
        <w:t xml:space="preserve"> i/ili </w:t>
      </w:r>
      <w:proofErr w:type="spellStart"/>
      <w:r w:rsidR="003257C2" w:rsidRPr="007076F7">
        <w:rPr>
          <w:rFonts w:ascii="Times New Roman" w:eastAsia="TimesNewRoman" w:hAnsi="Times New Roman" w:cs="Times New Roman"/>
          <w:lang w:val="sr-Latn-RS"/>
        </w:rPr>
        <w:t>hipokalemijom</w:t>
      </w:r>
      <w:proofErr w:type="spellEnd"/>
      <w:r w:rsidR="003257C2" w:rsidRPr="007076F7">
        <w:rPr>
          <w:rFonts w:ascii="Times New Roman" w:eastAsia="TimesNewRoman" w:hAnsi="Times New Roman" w:cs="Times New Roman"/>
          <w:lang w:val="sr-Latn-RS"/>
        </w:rPr>
        <w:t xml:space="preserve">) </w:t>
      </w:r>
      <w:r w:rsidRPr="007076F7">
        <w:rPr>
          <w:rFonts w:ascii="Times New Roman" w:eastAsia="Times New Roman" w:hAnsi="Times New Roman" w:cs="Times New Roman"/>
          <w:lang w:val="sr-Latn-ME"/>
        </w:rPr>
        <w:t>se popravlja nakon nadoknade magnezijuma i prestanka terapije inhibitorom protonske pumpe</w:t>
      </w:r>
      <w:r w:rsidRPr="007076F7">
        <w:rPr>
          <w:rFonts w:ascii="Times New Roman" w:eastAsia="TimesNewRoman" w:hAnsi="Times New Roman" w:cs="Times New Roman"/>
          <w:lang w:val="sr-Latn-ME"/>
        </w:rPr>
        <w:t>.</w:t>
      </w:r>
    </w:p>
    <w:p w14:paraId="5542E5B8"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B9" w14:textId="1EC7171A"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Kod pacijenata koji su na produženoj terapiji ili koji uzimaju inhibitore protonske pumpe sa </w:t>
      </w:r>
      <w:proofErr w:type="spellStart"/>
      <w:r w:rsidRPr="007076F7">
        <w:rPr>
          <w:rFonts w:ascii="Times New Roman" w:eastAsia="TimesNewRoman" w:hAnsi="Times New Roman" w:cs="Times New Roman"/>
          <w:lang w:val="sr-Latn-ME"/>
        </w:rPr>
        <w:t>digoksinom</w:t>
      </w:r>
      <w:proofErr w:type="spellEnd"/>
      <w:r w:rsidRPr="007076F7">
        <w:rPr>
          <w:rFonts w:ascii="Times New Roman" w:eastAsia="TimesNewRoman" w:hAnsi="Times New Roman" w:cs="Times New Roman"/>
          <w:lang w:val="sr-Latn-ME"/>
        </w:rPr>
        <w:t xml:space="preserve"> ili drugim ljekovima koji mogu dovesti do </w:t>
      </w:r>
      <w:proofErr w:type="spellStart"/>
      <w:r w:rsidRPr="007076F7">
        <w:rPr>
          <w:rFonts w:ascii="Times New Roman" w:eastAsia="TimesNewRoman" w:hAnsi="Times New Roman" w:cs="Times New Roman"/>
          <w:lang w:val="sr-Latn-ME"/>
        </w:rPr>
        <w:t>hipomagnezemije</w:t>
      </w:r>
      <w:proofErr w:type="spellEnd"/>
      <w:r w:rsidRPr="007076F7">
        <w:rPr>
          <w:rFonts w:ascii="Times New Roman" w:eastAsia="TimesNewRoman" w:hAnsi="Times New Roman" w:cs="Times New Roman"/>
          <w:lang w:val="sr-Latn-ME"/>
        </w:rPr>
        <w:t xml:space="preserve"> (npr. </w:t>
      </w:r>
      <w:proofErr w:type="spellStart"/>
      <w:r w:rsidRPr="007076F7">
        <w:rPr>
          <w:rFonts w:ascii="Times New Roman" w:eastAsia="TimesNewRoman" w:hAnsi="Times New Roman" w:cs="Times New Roman"/>
          <w:lang w:val="sr-Latn-ME"/>
        </w:rPr>
        <w:t>diuretici</w:t>
      </w:r>
      <w:proofErr w:type="spellEnd"/>
      <w:r w:rsidRPr="007076F7">
        <w:rPr>
          <w:rFonts w:ascii="Times New Roman" w:eastAsia="TimesNewRoman" w:hAnsi="Times New Roman" w:cs="Times New Roman"/>
          <w:lang w:val="sr-Latn-ME"/>
        </w:rPr>
        <w:t xml:space="preserve">), zdravstveni radnici </w:t>
      </w:r>
      <w:r w:rsidR="003257C2" w:rsidRPr="007076F7">
        <w:rPr>
          <w:rFonts w:ascii="Times New Roman" w:eastAsia="TimesNewRoman" w:hAnsi="Times New Roman" w:cs="Times New Roman"/>
          <w:lang w:val="sr-Latn-ME"/>
        </w:rPr>
        <w:t xml:space="preserve">bi </w:t>
      </w:r>
      <w:r w:rsidRPr="007076F7">
        <w:rPr>
          <w:rFonts w:ascii="Times New Roman" w:eastAsia="TimesNewRoman" w:hAnsi="Times New Roman" w:cs="Times New Roman"/>
          <w:lang w:val="sr-Latn-ME"/>
        </w:rPr>
        <w:t>treba</w:t>
      </w:r>
      <w:r w:rsidR="003257C2" w:rsidRPr="007076F7">
        <w:rPr>
          <w:rFonts w:ascii="Times New Roman" w:eastAsia="TimesNewRoman" w:hAnsi="Times New Roman" w:cs="Times New Roman"/>
          <w:lang w:val="sr-Latn-ME"/>
        </w:rPr>
        <w:t>lo</w:t>
      </w:r>
      <w:r w:rsidRPr="007076F7">
        <w:rPr>
          <w:rFonts w:ascii="Times New Roman" w:eastAsia="TimesNewRoman" w:hAnsi="Times New Roman" w:cs="Times New Roman"/>
          <w:lang w:val="sr-Latn-ME"/>
        </w:rPr>
        <w:t xml:space="preserve"> da uzmu u obzir vrijednosti koncentracija magnezijuma prije započinjanja terapije inhibitorima protonske pumpe i periodično tokom terapije.</w:t>
      </w:r>
    </w:p>
    <w:p w14:paraId="523FF5F1" w14:textId="77777777" w:rsidR="003257C2" w:rsidRPr="007076F7" w:rsidRDefault="003257C2">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p>
    <w:p w14:paraId="5542E5BA" w14:textId="140656E3"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076F7">
        <w:rPr>
          <w:rFonts w:ascii="Times New Roman" w:eastAsia="Times New Roman" w:hAnsi="Times New Roman" w:cs="Times New Roman"/>
          <w:i/>
          <w:iCs/>
          <w:lang w:val="sr-Latn-ME"/>
        </w:rPr>
        <w:t>Frakture kostiju</w:t>
      </w:r>
    </w:p>
    <w:p w14:paraId="5542E5BB" w14:textId="56CDFFAF" w:rsidR="005702A9"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Inhibitori protonske pumpe, posebno kada se primjenjuju u visokim dozama i tokom dužeg vremenskog perioda (duže od 1 godine), mogu umjereno da povećaju rizik od nastajanja frakture kuka, </w:t>
      </w:r>
      <w:r w:rsidR="003257C2" w:rsidRPr="007076F7">
        <w:rPr>
          <w:rFonts w:ascii="Times New Roman" w:eastAsia="TimesNewRoman" w:hAnsi="Times New Roman" w:cs="Times New Roman"/>
          <w:lang w:val="sr-Latn-ME"/>
        </w:rPr>
        <w:t xml:space="preserve">ručnog </w:t>
      </w:r>
      <w:r w:rsidRPr="007076F7">
        <w:rPr>
          <w:rFonts w:ascii="Times New Roman" w:eastAsia="TimesNewRoman" w:hAnsi="Times New Roman" w:cs="Times New Roman"/>
          <w:lang w:val="sr-Latn-ME"/>
        </w:rPr>
        <w:t xml:space="preserve">zgloba i kičme, </w:t>
      </w:r>
      <w:proofErr w:type="spellStart"/>
      <w:r w:rsidRPr="007076F7">
        <w:rPr>
          <w:rFonts w:ascii="Times New Roman" w:eastAsia="TimesNewRoman" w:hAnsi="Times New Roman" w:cs="Times New Roman"/>
          <w:lang w:val="sr-Latn-ME"/>
        </w:rPr>
        <w:t>pretežno</w:t>
      </w:r>
      <w:proofErr w:type="spellEnd"/>
      <w:r w:rsidRPr="007076F7">
        <w:rPr>
          <w:rFonts w:ascii="Times New Roman" w:eastAsia="TimesNewRoman" w:hAnsi="Times New Roman" w:cs="Times New Roman"/>
          <w:lang w:val="sr-Latn-ME"/>
        </w:rPr>
        <w:t xml:space="preserve"> kod starijih, ili u prisustvu ostalih prepoznatih faktora rizika. </w:t>
      </w:r>
    </w:p>
    <w:p w14:paraId="5542E5BC"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Opservacione studije ukazuju da primjena inhibitora protonske pumpe može povećati ukupan rizik od nastanka fraktura za 10-40 %. </w:t>
      </w:r>
      <w:r w:rsidRPr="007076F7">
        <w:rPr>
          <w:rFonts w:ascii="Times New Roman" w:eastAsia="Times New Roman" w:hAnsi="Times New Roman" w:cs="Times New Roman"/>
          <w:lang w:val="sr-Latn-ME"/>
        </w:rPr>
        <w:t xml:space="preserve">Rizik može biti povećan i zbog drugih faktora rizika. </w:t>
      </w:r>
      <w:r w:rsidRPr="007076F7">
        <w:rPr>
          <w:rFonts w:ascii="Times New Roman" w:eastAsia="TimesNewRoman" w:hAnsi="Times New Roman" w:cs="Times New Roman"/>
          <w:lang w:val="sr-Latn-ME"/>
        </w:rPr>
        <w:t xml:space="preserve">Pacijenti koji su izloženi povećanom riziku od nastanka </w:t>
      </w:r>
      <w:proofErr w:type="spellStart"/>
      <w:r w:rsidRPr="007076F7">
        <w:rPr>
          <w:rFonts w:ascii="Times New Roman" w:eastAsia="TimesNewRoman" w:hAnsi="Times New Roman" w:cs="Times New Roman"/>
          <w:lang w:val="sr-Latn-ME"/>
        </w:rPr>
        <w:t>osteoporoze</w:t>
      </w:r>
      <w:proofErr w:type="spellEnd"/>
      <w:r w:rsidRPr="007076F7">
        <w:rPr>
          <w:rFonts w:ascii="Times New Roman" w:eastAsia="TimesNewRoman" w:hAnsi="Times New Roman" w:cs="Times New Roman"/>
          <w:lang w:val="sr-Latn-ME"/>
        </w:rPr>
        <w:t xml:space="preserve"> zahtijevaju posebnu </w:t>
      </w:r>
      <w:proofErr w:type="spellStart"/>
      <w:r w:rsidRPr="007076F7">
        <w:rPr>
          <w:rFonts w:ascii="Times New Roman" w:eastAsia="TimesNewRoman" w:hAnsi="Times New Roman" w:cs="Times New Roman"/>
          <w:lang w:val="sr-Latn-ME"/>
        </w:rPr>
        <w:t>njegu</w:t>
      </w:r>
      <w:proofErr w:type="spellEnd"/>
      <w:r w:rsidRPr="007076F7">
        <w:rPr>
          <w:rFonts w:ascii="Times New Roman" w:eastAsia="TimesNewRoman" w:hAnsi="Times New Roman" w:cs="Times New Roman"/>
          <w:lang w:val="sr-Latn-ME"/>
        </w:rPr>
        <w:t xml:space="preserve"> u skladu sa važećim kliničkim vodičima i uz obezbjeđenje odgovarajućeg unosa vitamina D i kalcijuma.</w:t>
      </w:r>
    </w:p>
    <w:p w14:paraId="5542E5BD" w14:textId="77777777" w:rsidR="002E7166" w:rsidRPr="007076F7" w:rsidRDefault="002E7166">
      <w:pPr>
        <w:tabs>
          <w:tab w:val="left" w:pos="284"/>
          <w:tab w:val="center" w:pos="4536"/>
          <w:tab w:val="right" w:pos="9072"/>
        </w:tabs>
        <w:spacing w:after="0" w:line="240" w:lineRule="auto"/>
        <w:jc w:val="both"/>
        <w:rPr>
          <w:rFonts w:ascii="Times New Roman" w:eastAsia="Calibri" w:hAnsi="Times New Roman" w:cs="Times New Roman"/>
          <w:i/>
          <w:highlight w:val="yellow"/>
          <w:lang w:val="sr-Latn-ME"/>
        </w:rPr>
      </w:pPr>
    </w:p>
    <w:p w14:paraId="5F82ACAC" w14:textId="77777777" w:rsidR="003257C2" w:rsidRPr="007076F7" w:rsidRDefault="003257C2">
      <w:pPr>
        <w:tabs>
          <w:tab w:val="left" w:pos="284"/>
          <w:tab w:val="center" w:pos="4536"/>
          <w:tab w:val="right" w:pos="9072"/>
        </w:tabs>
        <w:spacing w:after="0" w:line="240" w:lineRule="auto"/>
        <w:jc w:val="both"/>
        <w:rPr>
          <w:rFonts w:ascii="Times New Roman" w:eastAsia="Calibri" w:hAnsi="Times New Roman" w:cs="Times New Roman"/>
          <w:i/>
          <w:iCs/>
          <w:lang w:val="sr-Latn-RS"/>
        </w:rPr>
      </w:pPr>
      <w:r w:rsidRPr="007076F7">
        <w:rPr>
          <w:rFonts w:ascii="Times New Roman" w:eastAsia="Calibri" w:hAnsi="Times New Roman" w:cs="Times New Roman"/>
          <w:i/>
          <w:iCs/>
          <w:lang w:val="sr-Latn-RS"/>
        </w:rPr>
        <w:t>Ozbiljne kožne neželjene reakcije (</w:t>
      </w:r>
      <w:proofErr w:type="spellStart"/>
      <w:r w:rsidRPr="007076F7">
        <w:rPr>
          <w:rFonts w:ascii="Times New Roman" w:eastAsia="Calibri" w:hAnsi="Times New Roman" w:cs="Times New Roman"/>
          <w:i/>
          <w:iCs/>
          <w:lang w:val="sr-Latn-RS"/>
        </w:rPr>
        <w:t>eng</w:t>
      </w:r>
      <w:proofErr w:type="spellEnd"/>
      <w:r w:rsidRPr="007076F7">
        <w:rPr>
          <w:rFonts w:ascii="Times New Roman" w:eastAsia="Calibri" w:hAnsi="Times New Roman" w:cs="Times New Roman"/>
          <w:i/>
          <w:iCs/>
          <w:lang w:val="sr-Latn-RS"/>
        </w:rPr>
        <w:t xml:space="preserve">. </w:t>
      </w:r>
      <w:proofErr w:type="spellStart"/>
      <w:r w:rsidRPr="007076F7">
        <w:rPr>
          <w:rFonts w:ascii="Times New Roman" w:eastAsia="Calibri" w:hAnsi="Times New Roman" w:cs="Times New Roman"/>
          <w:i/>
          <w:iCs/>
          <w:lang w:val="sr-Latn-RS"/>
        </w:rPr>
        <w:t>SCARs</w:t>
      </w:r>
      <w:proofErr w:type="spellEnd"/>
      <w:r w:rsidRPr="007076F7">
        <w:rPr>
          <w:rFonts w:ascii="Times New Roman" w:eastAsia="Calibri" w:hAnsi="Times New Roman" w:cs="Times New Roman"/>
          <w:i/>
          <w:iCs/>
          <w:lang w:val="sr-Latn-RS"/>
        </w:rPr>
        <w:t>)</w:t>
      </w:r>
    </w:p>
    <w:p w14:paraId="33271B6D" w14:textId="77777777" w:rsidR="003257C2" w:rsidRPr="007076F7" w:rsidRDefault="003257C2">
      <w:pPr>
        <w:tabs>
          <w:tab w:val="left" w:pos="284"/>
          <w:tab w:val="center" w:pos="4536"/>
          <w:tab w:val="right" w:pos="9072"/>
        </w:tabs>
        <w:spacing w:after="0" w:line="240" w:lineRule="auto"/>
        <w:jc w:val="both"/>
        <w:rPr>
          <w:rFonts w:ascii="Times New Roman" w:eastAsia="Calibri" w:hAnsi="Times New Roman" w:cs="Times New Roman"/>
          <w:lang w:val="sr-Latn-RS"/>
        </w:rPr>
      </w:pPr>
      <w:r w:rsidRPr="007076F7">
        <w:rPr>
          <w:rFonts w:ascii="Times New Roman" w:eastAsia="Calibri" w:hAnsi="Times New Roman" w:cs="Times New Roman"/>
          <w:lang w:val="sr-Latn-RS"/>
        </w:rPr>
        <w:t xml:space="preserve">Ozbiljne kožne neželjene reakcije uključujući </w:t>
      </w:r>
      <w:proofErr w:type="spellStart"/>
      <w:r w:rsidRPr="007076F7">
        <w:rPr>
          <w:rFonts w:ascii="Times New Roman" w:eastAsia="Calibri" w:hAnsi="Times New Roman" w:cs="Times New Roman"/>
          <w:lang w:val="sr-Latn-RS"/>
        </w:rPr>
        <w:t>multiformni</w:t>
      </w:r>
      <w:proofErr w:type="spellEnd"/>
      <w:r w:rsidRPr="007076F7">
        <w:rPr>
          <w:rFonts w:ascii="Times New Roman" w:eastAsia="Calibri" w:hAnsi="Times New Roman" w:cs="Times New Roman"/>
          <w:lang w:val="sr-Latn-RS"/>
        </w:rPr>
        <w:t xml:space="preserve"> </w:t>
      </w:r>
      <w:proofErr w:type="spellStart"/>
      <w:r w:rsidRPr="007076F7">
        <w:rPr>
          <w:rFonts w:ascii="Times New Roman" w:eastAsia="Calibri" w:hAnsi="Times New Roman" w:cs="Times New Roman"/>
          <w:lang w:val="sr-Latn-RS"/>
        </w:rPr>
        <w:t>eritem</w:t>
      </w:r>
      <w:proofErr w:type="spellEnd"/>
      <w:r w:rsidRPr="007076F7">
        <w:rPr>
          <w:rFonts w:ascii="Times New Roman" w:eastAsia="Calibri" w:hAnsi="Times New Roman" w:cs="Times New Roman"/>
          <w:lang w:val="sr-Latn-RS"/>
        </w:rPr>
        <w:t xml:space="preserve">, </w:t>
      </w:r>
      <w:proofErr w:type="spellStart"/>
      <w:r w:rsidRPr="007076F7">
        <w:rPr>
          <w:rFonts w:ascii="Times New Roman" w:eastAsia="Calibri" w:hAnsi="Times New Roman" w:cs="Times New Roman"/>
          <w:lang w:val="sr-Latn-RS"/>
        </w:rPr>
        <w:t>Stevens</w:t>
      </w:r>
      <w:proofErr w:type="spellEnd"/>
      <w:r w:rsidRPr="007076F7">
        <w:rPr>
          <w:rFonts w:ascii="Times New Roman" w:eastAsia="Calibri" w:hAnsi="Times New Roman" w:cs="Times New Roman"/>
          <w:lang w:val="sr-Latn-RS"/>
        </w:rPr>
        <w:t xml:space="preserve">-Johnson-ov sindrom, toksičnu </w:t>
      </w:r>
      <w:proofErr w:type="spellStart"/>
      <w:r w:rsidRPr="007076F7">
        <w:rPr>
          <w:rFonts w:ascii="Times New Roman" w:eastAsia="Calibri" w:hAnsi="Times New Roman" w:cs="Times New Roman"/>
          <w:lang w:val="sr-Latn-RS"/>
        </w:rPr>
        <w:t>epidermalnu</w:t>
      </w:r>
      <w:proofErr w:type="spellEnd"/>
      <w:r w:rsidRPr="007076F7">
        <w:rPr>
          <w:rFonts w:ascii="Times New Roman" w:eastAsia="Calibri" w:hAnsi="Times New Roman" w:cs="Times New Roman"/>
          <w:lang w:val="sr-Latn-RS"/>
        </w:rPr>
        <w:t xml:space="preserve"> </w:t>
      </w:r>
      <w:proofErr w:type="spellStart"/>
      <w:r w:rsidRPr="007076F7">
        <w:rPr>
          <w:rFonts w:ascii="Times New Roman" w:eastAsia="Calibri" w:hAnsi="Times New Roman" w:cs="Times New Roman"/>
          <w:lang w:val="sr-Latn-RS"/>
        </w:rPr>
        <w:t>nekrolizu</w:t>
      </w:r>
      <w:proofErr w:type="spellEnd"/>
      <w:r w:rsidRPr="007076F7">
        <w:rPr>
          <w:rFonts w:ascii="Times New Roman" w:eastAsia="Calibri" w:hAnsi="Times New Roman" w:cs="Times New Roman"/>
          <w:lang w:val="sr-Latn-RS"/>
        </w:rPr>
        <w:t xml:space="preserve"> i reakciju na </w:t>
      </w:r>
      <w:proofErr w:type="spellStart"/>
      <w:r w:rsidRPr="007076F7">
        <w:rPr>
          <w:rFonts w:ascii="Times New Roman" w:eastAsia="Calibri" w:hAnsi="Times New Roman" w:cs="Times New Roman"/>
          <w:lang w:val="sr-Latn-RS"/>
        </w:rPr>
        <w:t>lijek</w:t>
      </w:r>
      <w:proofErr w:type="spellEnd"/>
      <w:r w:rsidRPr="007076F7">
        <w:rPr>
          <w:rFonts w:ascii="Times New Roman" w:eastAsia="Calibri" w:hAnsi="Times New Roman" w:cs="Times New Roman"/>
          <w:lang w:val="sr-Latn-RS"/>
        </w:rPr>
        <w:t xml:space="preserve"> sa </w:t>
      </w:r>
      <w:proofErr w:type="spellStart"/>
      <w:r w:rsidRPr="007076F7">
        <w:rPr>
          <w:rFonts w:ascii="Times New Roman" w:eastAsia="Calibri" w:hAnsi="Times New Roman" w:cs="Times New Roman"/>
          <w:lang w:val="sr-Latn-RS"/>
        </w:rPr>
        <w:t>eozinofilijom</w:t>
      </w:r>
      <w:proofErr w:type="spellEnd"/>
      <w:r w:rsidRPr="007076F7">
        <w:rPr>
          <w:rFonts w:ascii="Times New Roman" w:eastAsia="Calibri" w:hAnsi="Times New Roman" w:cs="Times New Roman"/>
          <w:lang w:val="sr-Latn-RS"/>
        </w:rPr>
        <w:t xml:space="preserve"> i sistemskim simptomima (</w:t>
      </w:r>
      <w:proofErr w:type="spellStart"/>
      <w:r w:rsidRPr="007076F7">
        <w:rPr>
          <w:rFonts w:ascii="Times New Roman" w:eastAsia="Calibri" w:hAnsi="Times New Roman" w:cs="Times New Roman"/>
          <w:lang w:val="sr-Latn-RS"/>
        </w:rPr>
        <w:t>eng.DRESS</w:t>
      </w:r>
      <w:proofErr w:type="spellEnd"/>
      <w:r w:rsidRPr="007076F7">
        <w:rPr>
          <w:rFonts w:ascii="Times New Roman" w:eastAsia="Calibri" w:hAnsi="Times New Roman" w:cs="Times New Roman"/>
          <w:lang w:val="sr-Latn-RS"/>
        </w:rPr>
        <w:t xml:space="preserve">) koje mogu biti životno </w:t>
      </w:r>
      <w:proofErr w:type="spellStart"/>
      <w:r w:rsidRPr="007076F7">
        <w:rPr>
          <w:rFonts w:ascii="Times New Roman" w:eastAsia="Calibri" w:hAnsi="Times New Roman" w:cs="Times New Roman"/>
          <w:lang w:val="sr-Latn-RS"/>
        </w:rPr>
        <w:t>ugrožavajuće</w:t>
      </w:r>
      <w:proofErr w:type="spellEnd"/>
      <w:r w:rsidRPr="007076F7">
        <w:rPr>
          <w:rFonts w:ascii="Times New Roman" w:eastAsia="Calibri" w:hAnsi="Times New Roman" w:cs="Times New Roman"/>
          <w:lang w:val="sr-Latn-RS"/>
        </w:rPr>
        <w:t xml:space="preserve"> ili fatalne, prijavljene su sa nepoznatom učestalošću a povezano sa uzimanjem </w:t>
      </w:r>
      <w:proofErr w:type="spellStart"/>
      <w:r w:rsidRPr="007076F7">
        <w:rPr>
          <w:rFonts w:ascii="Times New Roman" w:eastAsia="Calibri" w:hAnsi="Times New Roman" w:cs="Times New Roman"/>
          <w:lang w:val="sr-Latn-RS"/>
        </w:rPr>
        <w:t>pantoprazola</w:t>
      </w:r>
      <w:proofErr w:type="spellEnd"/>
      <w:r w:rsidRPr="007076F7">
        <w:rPr>
          <w:rFonts w:ascii="Times New Roman" w:eastAsia="Calibri" w:hAnsi="Times New Roman" w:cs="Times New Roman"/>
          <w:lang w:val="sr-Latn-RS"/>
        </w:rPr>
        <w:t xml:space="preserve"> (pogledati </w:t>
      </w:r>
      <w:proofErr w:type="spellStart"/>
      <w:r w:rsidRPr="007076F7">
        <w:rPr>
          <w:rFonts w:ascii="Times New Roman" w:eastAsia="Calibri" w:hAnsi="Times New Roman" w:cs="Times New Roman"/>
          <w:lang w:val="sr-Latn-RS"/>
        </w:rPr>
        <w:t>dio</w:t>
      </w:r>
      <w:proofErr w:type="spellEnd"/>
      <w:r w:rsidRPr="007076F7">
        <w:rPr>
          <w:rFonts w:ascii="Times New Roman" w:eastAsia="Calibri" w:hAnsi="Times New Roman" w:cs="Times New Roman"/>
          <w:lang w:val="sr-Latn-RS"/>
        </w:rPr>
        <w:t xml:space="preserve"> 4.8).</w:t>
      </w:r>
    </w:p>
    <w:p w14:paraId="7E53EF5F" w14:textId="77777777" w:rsidR="003257C2" w:rsidRPr="007076F7" w:rsidRDefault="003257C2">
      <w:pPr>
        <w:tabs>
          <w:tab w:val="left" w:pos="284"/>
          <w:tab w:val="center" w:pos="4536"/>
          <w:tab w:val="right" w:pos="9072"/>
        </w:tabs>
        <w:spacing w:after="0" w:line="240" w:lineRule="auto"/>
        <w:jc w:val="both"/>
        <w:rPr>
          <w:rFonts w:ascii="Times New Roman" w:eastAsia="Calibri" w:hAnsi="Times New Roman" w:cs="Times New Roman"/>
          <w:lang w:val="sr-Latn-RS"/>
        </w:rPr>
      </w:pPr>
      <w:r w:rsidRPr="007076F7">
        <w:rPr>
          <w:rFonts w:ascii="Times New Roman" w:eastAsia="Calibri" w:hAnsi="Times New Roman" w:cs="Times New Roman"/>
          <w:lang w:val="sr-Latn-RS"/>
        </w:rPr>
        <w:t xml:space="preserve">U trenutku propisivanja </w:t>
      </w:r>
      <w:proofErr w:type="spellStart"/>
      <w:r w:rsidRPr="007076F7">
        <w:rPr>
          <w:rFonts w:ascii="Times New Roman" w:eastAsia="Calibri" w:hAnsi="Times New Roman" w:cs="Times New Roman"/>
          <w:lang w:val="sr-Latn-RS"/>
        </w:rPr>
        <w:t>lijeka</w:t>
      </w:r>
      <w:proofErr w:type="spellEnd"/>
      <w:r w:rsidRPr="007076F7">
        <w:rPr>
          <w:rFonts w:ascii="Times New Roman" w:eastAsia="Calibri" w:hAnsi="Times New Roman" w:cs="Times New Roman"/>
          <w:lang w:val="sr-Latn-RS"/>
        </w:rPr>
        <w:t>, pacijente treba obavestiti o znacima i simptomima ovih reakcija i pažljivo ih pratiti.</w:t>
      </w:r>
    </w:p>
    <w:p w14:paraId="75131A5A" w14:textId="77777777" w:rsidR="003257C2" w:rsidRPr="007076F7" w:rsidRDefault="003257C2">
      <w:pPr>
        <w:tabs>
          <w:tab w:val="left" w:pos="284"/>
          <w:tab w:val="center" w:pos="4536"/>
          <w:tab w:val="right" w:pos="9072"/>
        </w:tabs>
        <w:spacing w:after="0" w:line="240" w:lineRule="auto"/>
        <w:jc w:val="both"/>
        <w:rPr>
          <w:rFonts w:ascii="Times New Roman" w:eastAsia="Calibri" w:hAnsi="Times New Roman" w:cs="Times New Roman"/>
          <w:lang w:val="sr-Latn-RS"/>
        </w:rPr>
      </w:pPr>
      <w:r w:rsidRPr="007076F7">
        <w:rPr>
          <w:rFonts w:ascii="Times New Roman" w:eastAsia="Calibri" w:hAnsi="Times New Roman" w:cs="Times New Roman"/>
          <w:lang w:val="sr-Latn-RS"/>
        </w:rPr>
        <w:t xml:space="preserve">Ukoliko se pojave znaci i simptomi koji mogu ukazivati na ove reakcije, odmah treba prekinuti terapiju </w:t>
      </w:r>
      <w:proofErr w:type="spellStart"/>
      <w:r w:rsidRPr="007076F7">
        <w:rPr>
          <w:rFonts w:ascii="Times New Roman" w:eastAsia="Calibri" w:hAnsi="Times New Roman" w:cs="Times New Roman"/>
          <w:lang w:val="sr-Latn-RS"/>
        </w:rPr>
        <w:t>pantoprazolom</w:t>
      </w:r>
      <w:proofErr w:type="spellEnd"/>
      <w:r w:rsidRPr="007076F7">
        <w:rPr>
          <w:rFonts w:ascii="Times New Roman" w:eastAsia="Calibri" w:hAnsi="Times New Roman" w:cs="Times New Roman"/>
          <w:lang w:val="sr-Latn-RS"/>
        </w:rPr>
        <w:t xml:space="preserve"> i razmotriti </w:t>
      </w:r>
      <w:proofErr w:type="spellStart"/>
      <w:r w:rsidRPr="007076F7">
        <w:rPr>
          <w:rFonts w:ascii="Times New Roman" w:eastAsia="Calibri" w:hAnsi="Times New Roman" w:cs="Times New Roman"/>
          <w:lang w:val="sr-Latn-RS"/>
        </w:rPr>
        <w:t>primjenu</w:t>
      </w:r>
      <w:proofErr w:type="spellEnd"/>
      <w:r w:rsidRPr="007076F7">
        <w:rPr>
          <w:rFonts w:ascii="Times New Roman" w:eastAsia="Calibri" w:hAnsi="Times New Roman" w:cs="Times New Roman"/>
          <w:lang w:val="sr-Latn-RS"/>
        </w:rPr>
        <w:t xml:space="preserve"> alternativne terapije.</w:t>
      </w:r>
    </w:p>
    <w:p w14:paraId="2B51D66D" w14:textId="77777777" w:rsidR="003257C2" w:rsidRPr="007076F7" w:rsidRDefault="003257C2">
      <w:pPr>
        <w:tabs>
          <w:tab w:val="left" w:pos="284"/>
          <w:tab w:val="center" w:pos="4536"/>
          <w:tab w:val="right" w:pos="9072"/>
        </w:tabs>
        <w:spacing w:after="0" w:line="240" w:lineRule="auto"/>
        <w:jc w:val="both"/>
        <w:rPr>
          <w:rFonts w:ascii="Times New Roman" w:eastAsia="Calibri" w:hAnsi="Times New Roman" w:cs="Times New Roman"/>
          <w:i/>
          <w:highlight w:val="yellow"/>
          <w:lang w:val="sr-Latn-RS"/>
        </w:rPr>
      </w:pPr>
    </w:p>
    <w:p w14:paraId="5542E5BE" w14:textId="77777777" w:rsidR="002E7166" w:rsidRPr="007076F7" w:rsidRDefault="002E7166">
      <w:pPr>
        <w:tabs>
          <w:tab w:val="center" w:pos="4536"/>
          <w:tab w:val="right" w:pos="9072"/>
        </w:tabs>
        <w:spacing w:after="0" w:line="240" w:lineRule="auto"/>
        <w:jc w:val="both"/>
        <w:rPr>
          <w:rFonts w:ascii="Times New Roman" w:eastAsia="Times New Roman" w:hAnsi="Times New Roman" w:cs="Times New Roman"/>
          <w:i/>
          <w:lang w:val="sr-Latn-ME"/>
        </w:rPr>
      </w:pPr>
      <w:proofErr w:type="spellStart"/>
      <w:r w:rsidRPr="007076F7">
        <w:rPr>
          <w:rFonts w:ascii="Times New Roman" w:eastAsia="Times New Roman" w:hAnsi="Times New Roman" w:cs="Times New Roman"/>
          <w:i/>
          <w:lang w:val="sr-Latn-ME"/>
        </w:rPr>
        <w:t>Subakutni</w:t>
      </w:r>
      <w:proofErr w:type="spellEnd"/>
      <w:r w:rsidRPr="007076F7">
        <w:rPr>
          <w:rFonts w:ascii="Times New Roman" w:eastAsia="Times New Roman" w:hAnsi="Times New Roman" w:cs="Times New Roman"/>
          <w:i/>
          <w:lang w:val="sr-Latn-ME"/>
        </w:rPr>
        <w:t xml:space="preserve"> </w:t>
      </w:r>
      <w:proofErr w:type="spellStart"/>
      <w:r w:rsidRPr="007076F7">
        <w:rPr>
          <w:rFonts w:ascii="Times New Roman" w:eastAsia="Times New Roman" w:hAnsi="Times New Roman" w:cs="Times New Roman"/>
          <w:i/>
          <w:lang w:val="sr-Latn-ME"/>
        </w:rPr>
        <w:t>kutani</w:t>
      </w:r>
      <w:proofErr w:type="spellEnd"/>
      <w:r w:rsidRPr="007076F7">
        <w:rPr>
          <w:rFonts w:ascii="Times New Roman" w:eastAsia="Times New Roman" w:hAnsi="Times New Roman" w:cs="Times New Roman"/>
          <w:i/>
          <w:lang w:val="sr-Latn-ME"/>
        </w:rPr>
        <w:t xml:space="preserve"> </w:t>
      </w:r>
      <w:proofErr w:type="spellStart"/>
      <w:r w:rsidRPr="007076F7">
        <w:rPr>
          <w:rFonts w:ascii="Times New Roman" w:eastAsia="Times New Roman" w:hAnsi="Times New Roman" w:cs="Times New Roman"/>
          <w:i/>
          <w:lang w:val="sr-Latn-ME"/>
        </w:rPr>
        <w:t>lupus</w:t>
      </w:r>
      <w:proofErr w:type="spellEnd"/>
      <w:r w:rsidRPr="007076F7">
        <w:rPr>
          <w:rFonts w:ascii="Times New Roman" w:eastAsia="Times New Roman" w:hAnsi="Times New Roman" w:cs="Times New Roman"/>
          <w:i/>
          <w:lang w:val="sr-Latn-ME"/>
        </w:rPr>
        <w:t xml:space="preserve"> </w:t>
      </w:r>
      <w:proofErr w:type="spellStart"/>
      <w:r w:rsidRPr="007076F7">
        <w:rPr>
          <w:rFonts w:ascii="Times New Roman" w:eastAsia="Times New Roman" w:hAnsi="Times New Roman" w:cs="Times New Roman"/>
          <w:i/>
          <w:lang w:val="sr-Latn-ME"/>
        </w:rPr>
        <w:t>erythematosus</w:t>
      </w:r>
      <w:proofErr w:type="spellEnd"/>
      <w:r w:rsidRPr="007076F7">
        <w:rPr>
          <w:rFonts w:ascii="Times New Roman" w:eastAsia="Times New Roman" w:hAnsi="Times New Roman" w:cs="Times New Roman"/>
          <w:i/>
          <w:lang w:val="sr-Latn-ME"/>
        </w:rPr>
        <w:t xml:space="preserve"> (SCLE)</w:t>
      </w:r>
    </w:p>
    <w:p w14:paraId="5542E5BF" w14:textId="44DFD79D" w:rsidR="002E7166" w:rsidRPr="007076F7" w:rsidRDefault="002E7166">
      <w:pPr>
        <w:tabs>
          <w:tab w:val="center" w:pos="4536"/>
          <w:tab w:val="right" w:pos="9072"/>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Primjena inhibitora protonske pumpe je povezana sa veoma rijetkim slučajevima SCLE. Ukoliko se pojave lezije, naročito na regijama kože izloženim sunčevim zracima i ukoliko pojavu ovih simptoma prati i </w:t>
      </w:r>
      <w:proofErr w:type="spellStart"/>
      <w:r w:rsidRPr="007076F7">
        <w:rPr>
          <w:rFonts w:ascii="Times New Roman" w:eastAsia="Times New Roman" w:hAnsi="Times New Roman" w:cs="Times New Roman"/>
          <w:lang w:val="sr-Latn-ME"/>
        </w:rPr>
        <w:t>artralgija</w:t>
      </w:r>
      <w:proofErr w:type="spellEnd"/>
      <w:r w:rsidRPr="007076F7">
        <w:rPr>
          <w:rFonts w:ascii="Times New Roman" w:eastAsia="Times New Roman" w:hAnsi="Times New Roman" w:cs="Times New Roman"/>
          <w:lang w:val="sr-Latn-ME"/>
        </w:rPr>
        <w:t xml:space="preserve">, pacijent treba odmah da potraži medicinsku pomoć, dok bi ljekar trebalo da razmotri prekid primjene lijeka </w:t>
      </w:r>
      <w:proofErr w:type="spellStart"/>
      <w:r w:rsidRPr="007076F7">
        <w:rPr>
          <w:rFonts w:ascii="Times New Roman" w:eastAsia="Times New Roman" w:hAnsi="Times New Roman" w:cs="Times New Roman"/>
          <w:lang w:val="sr-Latn-ME"/>
        </w:rPr>
        <w:t>Pepticaid</w:t>
      </w:r>
      <w:proofErr w:type="spellEnd"/>
      <w:r w:rsidRPr="007076F7">
        <w:rPr>
          <w:rFonts w:ascii="Times New Roman" w:eastAsia="Times New Roman" w:hAnsi="Times New Roman" w:cs="Times New Roman"/>
          <w:lang w:val="sr-Latn-ME"/>
        </w:rPr>
        <w:t>. SCLE nakon prethodne terapije inhibitorima protonske pumpe može povećati rizik od kasnijeg ispoljavanja SCLE prilikom primjene drugih inhibitora protonske pumpe.</w:t>
      </w:r>
    </w:p>
    <w:p w14:paraId="5542E5C0" w14:textId="1552627C" w:rsidR="006743F0" w:rsidRDefault="006743F0">
      <w:pPr>
        <w:rPr>
          <w:rFonts w:ascii="Times New Roman" w:eastAsia="Times New Roman" w:hAnsi="Times New Roman" w:cs="Times New Roman"/>
          <w:i/>
          <w:lang w:val="sr-Latn-ME"/>
        </w:rPr>
      </w:pPr>
      <w:r>
        <w:rPr>
          <w:rFonts w:ascii="Times New Roman" w:eastAsia="Times New Roman" w:hAnsi="Times New Roman" w:cs="Times New Roman"/>
          <w:i/>
          <w:lang w:val="sr-Latn-ME"/>
        </w:rPr>
        <w:br w:type="page"/>
      </w:r>
    </w:p>
    <w:p w14:paraId="5542E5C1" w14:textId="77777777" w:rsidR="002E7166" w:rsidRPr="007076F7" w:rsidRDefault="002E7166">
      <w:pPr>
        <w:tabs>
          <w:tab w:val="center" w:pos="4536"/>
          <w:tab w:val="right" w:pos="9072"/>
        </w:tabs>
        <w:spacing w:after="0" w:line="240" w:lineRule="auto"/>
        <w:jc w:val="both"/>
        <w:rPr>
          <w:rFonts w:ascii="Times New Roman" w:eastAsia="Times New Roman" w:hAnsi="Times New Roman" w:cs="Times New Roman"/>
          <w:i/>
          <w:lang w:val="sr-Latn-ME"/>
        </w:rPr>
      </w:pPr>
      <w:r w:rsidRPr="007076F7">
        <w:rPr>
          <w:rFonts w:ascii="Times New Roman" w:eastAsia="Times New Roman" w:hAnsi="Times New Roman" w:cs="Times New Roman"/>
          <w:i/>
          <w:lang w:val="sr-Latn-ME"/>
        </w:rPr>
        <w:lastRenderedPageBreak/>
        <w:t>Interferencija sa laboratorijskim testovima</w:t>
      </w:r>
    </w:p>
    <w:p w14:paraId="5542E5C2" w14:textId="37D6C21A" w:rsidR="002E7166" w:rsidRPr="007076F7" w:rsidRDefault="002E7166">
      <w:pPr>
        <w:tabs>
          <w:tab w:val="center" w:pos="4536"/>
          <w:tab w:val="right" w:pos="9072"/>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Povećana vrijednost </w:t>
      </w:r>
      <w:proofErr w:type="spellStart"/>
      <w:r w:rsidRPr="007076F7">
        <w:rPr>
          <w:rFonts w:ascii="Times New Roman" w:eastAsia="Times New Roman" w:hAnsi="Times New Roman" w:cs="Times New Roman"/>
          <w:lang w:val="sr-Latn-ME"/>
        </w:rPr>
        <w:t>hromogranina</w:t>
      </w:r>
      <w:proofErr w:type="spellEnd"/>
      <w:r w:rsidRPr="007076F7">
        <w:rPr>
          <w:rFonts w:ascii="Times New Roman" w:eastAsia="Times New Roman" w:hAnsi="Times New Roman" w:cs="Times New Roman"/>
          <w:lang w:val="sr-Latn-ME"/>
        </w:rPr>
        <w:t xml:space="preserve"> A (</w:t>
      </w:r>
      <w:proofErr w:type="spellStart"/>
      <w:r w:rsidRPr="007076F7">
        <w:rPr>
          <w:rFonts w:ascii="Times New Roman" w:eastAsia="Times New Roman" w:hAnsi="Times New Roman" w:cs="Times New Roman"/>
          <w:lang w:val="sr-Latn-ME"/>
        </w:rPr>
        <w:t>CgA</w:t>
      </w:r>
      <w:proofErr w:type="spellEnd"/>
      <w:r w:rsidRPr="007076F7">
        <w:rPr>
          <w:rFonts w:ascii="Times New Roman" w:eastAsia="Times New Roman" w:hAnsi="Times New Roman" w:cs="Times New Roman"/>
          <w:lang w:val="sr-Latn-ME"/>
        </w:rPr>
        <w:t xml:space="preserve">) može da utiče na ispitivanje prisustva </w:t>
      </w:r>
      <w:proofErr w:type="spellStart"/>
      <w:r w:rsidRPr="007076F7">
        <w:rPr>
          <w:rFonts w:ascii="Times New Roman" w:eastAsia="Times New Roman" w:hAnsi="Times New Roman" w:cs="Times New Roman"/>
          <w:lang w:val="sr-Latn-ME"/>
        </w:rPr>
        <w:t>neuroendokrinih</w:t>
      </w:r>
      <w:proofErr w:type="spellEnd"/>
      <w:r w:rsidRPr="007076F7">
        <w:rPr>
          <w:rFonts w:ascii="Times New Roman" w:eastAsia="Times New Roman" w:hAnsi="Times New Roman" w:cs="Times New Roman"/>
          <w:lang w:val="sr-Latn-ME"/>
        </w:rPr>
        <w:t xml:space="preserve"> </w:t>
      </w:r>
      <w:proofErr w:type="spellStart"/>
      <w:r w:rsidRPr="007076F7">
        <w:rPr>
          <w:rFonts w:ascii="Times New Roman" w:eastAsia="Times New Roman" w:hAnsi="Times New Roman" w:cs="Times New Roman"/>
          <w:lang w:val="sr-Latn-ME"/>
        </w:rPr>
        <w:t>karcinoma</w:t>
      </w:r>
      <w:proofErr w:type="spellEnd"/>
      <w:r w:rsidRPr="007076F7">
        <w:rPr>
          <w:rFonts w:ascii="Times New Roman" w:eastAsia="Times New Roman" w:hAnsi="Times New Roman" w:cs="Times New Roman"/>
          <w:lang w:val="sr-Latn-ME"/>
        </w:rPr>
        <w:t xml:space="preserve">. Da bi se ovo izbjeglo, terapiju lijekom </w:t>
      </w:r>
      <w:proofErr w:type="spellStart"/>
      <w:r w:rsidRPr="007076F7">
        <w:rPr>
          <w:rFonts w:ascii="Times New Roman" w:eastAsia="Times New Roman" w:hAnsi="Times New Roman" w:cs="Times New Roman"/>
          <w:lang w:val="sr-Latn-ME"/>
        </w:rPr>
        <w:t>Pepticaid</w:t>
      </w:r>
      <w:proofErr w:type="spellEnd"/>
      <w:r w:rsidRPr="007076F7">
        <w:rPr>
          <w:rFonts w:ascii="Times New Roman" w:eastAsia="Times New Roman" w:hAnsi="Times New Roman" w:cs="Times New Roman"/>
          <w:lang w:val="sr-Latn-ME"/>
        </w:rPr>
        <w:t xml:space="preserve"> treba obustaviti najmanje 5 dana prije određivanja vrijednosti </w:t>
      </w:r>
      <w:proofErr w:type="spellStart"/>
      <w:r w:rsidRPr="007076F7">
        <w:rPr>
          <w:rFonts w:ascii="Times New Roman" w:eastAsia="Times New Roman" w:hAnsi="Times New Roman" w:cs="Times New Roman"/>
          <w:lang w:val="sr-Latn-ME"/>
        </w:rPr>
        <w:t>CgA</w:t>
      </w:r>
      <w:proofErr w:type="spellEnd"/>
      <w:r w:rsidRPr="007076F7">
        <w:rPr>
          <w:rFonts w:ascii="Times New Roman" w:eastAsia="Times New Roman" w:hAnsi="Times New Roman" w:cs="Times New Roman"/>
          <w:lang w:val="sr-Latn-ME"/>
        </w:rPr>
        <w:t xml:space="preserve"> (</w:t>
      </w:r>
      <w:r w:rsidR="0092492D" w:rsidRPr="007076F7">
        <w:rPr>
          <w:rFonts w:ascii="Times New Roman" w:eastAsia="Times New Roman" w:hAnsi="Times New Roman" w:cs="Times New Roman"/>
          <w:lang w:val="sr-Latn-RS"/>
        </w:rPr>
        <w:t xml:space="preserve">pogledati </w:t>
      </w:r>
      <w:proofErr w:type="spellStart"/>
      <w:r w:rsidR="0092492D" w:rsidRPr="007076F7">
        <w:rPr>
          <w:rFonts w:ascii="Times New Roman" w:eastAsia="Times New Roman" w:hAnsi="Times New Roman" w:cs="Times New Roman"/>
          <w:lang w:val="sr-Latn-RS"/>
        </w:rPr>
        <w:t>dio</w:t>
      </w:r>
      <w:proofErr w:type="spellEnd"/>
      <w:r w:rsidR="0092492D" w:rsidRPr="007076F7">
        <w:rPr>
          <w:rFonts w:ascii="Times New Roman" w:eastAsia="Times New Roman" w:hAnsi="Times New Roman" w:cs="Times New Roman"/>
          <w:lang w:val="sr-Latn-RS"/>
        </w:rPr>
        <w:t xml:space="preserve"> </w:t>
      </w:r>
      <w:r w:rsidRPr="007076F7">
        <w:rPr>
          <w:rFonts w:ascii="Times New Roman" w:eastAsia="Times New Roman" w:hAnsi="Times New Roman" w:cs="Times New Roman"/>
          <w:lang w:val="sr-Latn-ME"/>
        </w:rPr>
        <w:t xml:space="preserve">5.1). Ako se nakon početnog određivanja koncentracije </w:t>
      </w:r>
      <w:proofErr w:type="spellStart"/>
      <w:r w:rsidRPr="007076F7">
        <w:rPr>
          <w:rFonts w:ascii="Times New Roman" w:eastAsia="Times New Roman" w:hAnsi="Times New Roman" w:cs="Times New Roman"/>
          <w:lang w:val="sr-Latn-ME"/>
        </w:rPr>
        <w:t>CgA</w:t>
      </w:r>
      <w:proofErr w:type="spellEnd"/>
      <w:r w:rsidRPr="007076F7">
        <w:rPr>
          <w:rFonts w:ascii="Times New Roman" w:eastAsia="Times New Roman" w:hAnsi="Times New Roman" w:cs="Times New Roman"/>
          <w:lang w:val="sr-Latn-ME"/>
        </w:rPr>
        <w:t xml:space="preserve"> i </w:t>
      </w:r>
      <w:proofErr w:type="spellStart"/>
      <w:r w:rsidRPr="007076F7">
        <w:rPr>
          <w:rFonts w:ascii="Times New Roman" w:eastAsia="Times New Roman" w:hAnsi="Times New Roman" w:cs="Times New Roman"/>
          <w:lang w:val="sr-Latn-ME"/>
        </w:rPr>
        <w:t>gastrina</w:t>
      </w:r>
      <w:proofErr w:type="spellEnd"/>
      <w:r w:rsidRPr="007076F7">
        <w:rPr>
          <w:rFonts w:ascii="Times New Roman" w:eastAsia="Times New Roman" w:hAnsi="Times New Roman" w:cs="Times New Roman"/>
          <w:lang w:val="sr-Latn-ME"/>
        </w:rPr>
        <w:t xml:space="preserve"> ne vrate na referentne vrijednosti, potrebno je ponoviti analizu 14 dana nakon prestanka primjene inhibitora protonske pumpe.</w:t>
      </w:r>
    </w:p>
    <w:p w14:paraId="5542E5C3" w14:textId="77777777" w:rsidR="002E7166" w:rsidRPr="007076F7" w:rsidRDefault="002E7166">
      <w:pPr>
        <w:tabs>
          <w:tab w:val="left" w:pos="284"/>
          <w:tab w:val="center" w:pos="4536"/>
          <w:tab w:val="right" w:pos="9072"/>
        </w:tabs>
        <w:spacing w:after="0" w:line="240" w:lineRule="auto"/>
        <w:jc w:val="both"/>
        <w:rPr>
          <w:rFonts w:ascii="Times New Roman" w:eastAsia="Times New Roman" w:hAnsi="Times New Roman" w:cs="Times New Roman"/>
          <w:i/>
          <w:lang w:val="sr-Latn-ME"/>
        </w:rPr>
      </w:pPr>
    </w:p>
    <w:p w14:paraId="5542E5C4" w14:textId="77777777" w:rsidR="002E7166" w:rsidRPr="007076F7" w:rsidRDefault="002E7166">
      <w:pPr>
        <w:tabs>
          <w:tab w:val="left" w:pos="284"/>
          <w:tab w:val="center" w:pos="4536"/>
          <w:tab w:val="right" w:pos="9072"/>
        </w:tabs>
        <w:spacing w:after="0" w:line="240" w:lineRule="auto"/>
        <w:jc w:val="both"/>
        <w:rPr>
          <w:rFonts w:ascii="Times New Roman" w:eastAsia="Calibri" w:hAnsi="Times New Roman" w:cs="Times New Roman"/>
          <w:i/>
          <w:lang w:val="sr-Latn-ME"/>
        </w:rPr>
      </w:pPr>
      <w:r w:rsidRPr="007076F7">
        <w:rPr>
          <w:rFonts w:ascii="Times New Roman" w:eastAsia="Times New Roman" w:hAnsi="Times New Roman" w:cs="Times New Roman"/>
          <w:i/>
          <w:lang w:val="sr-Latn-ME"/>
        </w:rPr>
        <w:t>Posebna upozorenja o pomoćnim supstancama</w:t>
      </w:r>
    </w:p>
    <w:p w14:paraId="5542E5C5" w14:textId="77777777" w:rsidR="002E7166" w:rsidRPr="007076F7" w:rsidRDefault="002E7166">
      <w:pPr>
        <w:tabs>
          <w:tab w:val="left" w:pos="284"/>
          <w:tab w:val="center" w:pos="4536"/>
          <w:tab w:val="right" w:pos="9072"/>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 xml:space="preserve">Lijek </w:t>
      </w:r>
      <w:proofErr w:type="spellStart"/>
      <w:r w:rsidRPr="007076F7">
        <w:rPr>
          <w:rFonts w:ascii="Times New Roman" w:eastAsia="Times New Roman" w:hAnsi="Times New Roman" w:cs="Times New Roman"/>
          <w:lang w:val="sr-Latn-ME"/>
        </w:rPr>
        <w:t>Pepticaid</w:t>
      </w:r>
      <w:proofErr w:type="spellEnd"/>
      <w:r w:rsidRPr="007076F7">
        <w:rPr>
          <w:rFonts w:ascii="Times New Roman" w:eastAsia="Times New Roman" w:hAnsi="Times New Roman" w:cs="Times New Roman"/>
          <w:lang w:val="sr-Latn-ME"/>
        </w:rPr>
        <w:t xml:space="preserve"> sadrži </w:t>
      </w:r>
      <w:proofErr w:type="spellStart"/>
      <w:r w:rsidRPr="007076F7">
        <w:rPr>
          <w:rFonts w:ascii="Times New Roman" w:eastAsia="Times New Roman" w:hAnsi="Times New Roman" w:cs="Times New Roman"/>
          <w:lang w:val="sr-Latn-ME"/>
        </w:rPr>
        <w:t>maltitol</w:t>
      </w:r>
      <w:proofErr w:type="spellEnd"/>
      <w:r w:rsidRPr="007076F7">
        <w:rPr>
          <w:rFonts w:ascii="Times New Roman" w:eastAsia="Times New Roman" w:hAnsi="Times New Roman" w:cs="Times New Roman"/>
          <w:lang w:val="sr-Latn-ME"/>
        </w:rPr>
        <w:t xml:space="preserve">. Pacijenti sa rijetkim </w:t>
      </w:r>
      <w:proofErr w:type="spellStart"/>
      <w:r w:rsidRPr="007076F7">
        <w:rPr>
          <w:rFonts w:ascii="Times New Roman" w:eastAsia="Times New Roman" w:hAnsi="Times New Roman" w:cs="Times New Roman"/>
          <w:lang w:val="sr-Latn-ME"/>
        </w:rPr>
        <w:t>nasljednim</w:t>
      </w:r>
      <w:proofErr w:type="spellEnd"/>
      <w:r w:rsidRPr="007076F7">
        <w:rPr>
          <w:rFonts w:ascii="Times New Roman" w:eastAsia="Times New Roman" w:hAnsi="Times New Roman" w:cs="Times New Roman"/>
          <w:lang w:val="sr-Latn-ME"/>
        </w:rPr>
        <w:t xml:space="preserve"> oboljenjem intolerancije na </w:t>
      </w:r>
      <w:proofErr w:type="spellStart"/>
      <w:r w:rsidRPr="007076F7">
        <w:rPr>
          <w:rFonts w:ascii="Times New Roman" w:eastAsia="Times New Roman" w:hAnsi="Times New Roman" w:cs="Times New Roman"/>
          <w:lang w:val="sr-Latn-ME"/>
        </w:rPr>
        <w:t>fruktozu</w:t>
      </w:r>
      <w:proofErr w:type="spellEnd"/>
      <w:r w:rsidRPr="007076F7">
        <w:rPr>
          <w:rFonts w:ascii="Times New Roman" w:eastAsia="Times New Roman" w:hAnsi="Times New Roman" w:cs="Times New Roman"/>
          <w:lang w:val="sr-Latn-ME"/>
        </w:rPr>
        <w:t xml:space="preserve"> ne smiju da koriste ovaj lijek.</w:t>
      </w:r>
    </w:p>
    <w:p w14:paraId="5542E5C6"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5C7"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4.5. Interakcije sa drugim ljekovima i druge vrste interakcija</w:t>
      </w:r>
    </w:p>
    <w:p w14:paraId="5542E5C8" w14:textId="77777777" w:rsidR="002E7166" w:rsidRPr="007076F7" w:rsidRDefault="002E7166">
      <w:pPr>
        <w:tabs>
          <w:tab w:val="left" w:pos="284"/>
        </w:tabs>
        <w:spacing w:after="0" w:line="240" w:lineRule="auto"/>
        <w:jc w:val="both"/>
        <w:rPr>
          <w:rFonts w:ascii="Times New Roman" w:eastAsia="Times New Roman" w:hAnsi="Times New Roman" w:cs="Times New Roman"/>
          <w:i/>
          <w:lang w:val="sr-Latn-ME"/>
        </w:rPr>
      </w:pPr>
    </w:p>
    <w:p w14:paraId="5542E5C9"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i/>
          <w:iCs/>
          <w:lang w:val="sr-Latn-ME" w:eastAsia="sr-Latn-CS"/>
        </w:rPr>
      </w:pPr>
      <w:r w:rsidRPr="007076F7">
        <w:rPr>
          <w:rFonts w:ascii="Times New Roman" w:eastAsia="Times New Roman" w:hAnsi="Times New Roman" w:cs="Times New Roman"/>
          <w:i/>
          <w:iCs/>
          <w:lang w:val="sr-Latn-ME" w:eastAsia="sr-Latn-CS"/>
        </w:rPr>
        <w:t xml:space="preserve">Ljekovi sa </w:t>
      </w:r>
      <w:proofErr w:type="spellStart"/>
      <w:r w:rsidRPr="007076F7">
        <w:rPr>
          <w:rFonts w:ascii="Times New Roman" w:eastAsia="Times New Roman" w:hAnsi="Times New Roman" w:cs="Times New Roman"/>
          <w:i/>
          <w:iCs/>
          <w:lang w:val="sr-Latn-ME" w:eastAsia="sr-Latn-CS"/>
        </w:rPr>
        <w:t>pH</w:t>
      </w:r>
      <w:proofErr w:type="spellEnd"/>
      <w:r w:rsidRPr="007076F7">
        <w:rPr>
          <w:rFonts w:ascii="Times New Roman" w:eastAsia="Times New Roman" w:hAnsi="Times New Roman" w:cs="Times New Roman"/>
          <w:i/>
          <w:iCs/>
          <w:lang w:val="sr-Latn-ME" w:eastAsia="sr-Latn-CS"/>
        </w:rPr>
        <w:t xml:space="preserve"> zavisnom resorpcionom </w:t>
      </w:r>
      <w:proofErr w:type="spellStart"/>
      <w:r w:rsidRPr="007076F7">
        <w:rPr>
          <w:rFonts w:ascii="Times New Roman" w:eastAsia="Times New Roman" w:hAnsi="Times New Roman" w:cs="Times New Roman"/>
          <w:i/>
          <w:iCs/>
          <w:lang w:val="sr-Latn-ME" w:eastAsia="sr-Latn-CS"/>
        </w:rPr>
        <w:t>farmakokinetikom</w:t>
      </w:r>
      <w:proofErr w:type="spellEnd"/>
    </w:p>
    <w:p w14:paraId="5542E5CA" w14:textId="731F1C39"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iCs/>
          <w:lang w:val="sr-Latn-ME" w:eastAsia="sr-Latn-CS"/>
        </w:rPr>
      </w:pPr>
      <w:proofErr w:type="spellStart"/>
      <w:r w:rsidRPr="007076F7">
        <w:rPr>
          <w:rFonts w:ascii="Times New Roman" w:eastAsia="Times New Roman" w:hAnsi="Times New Roman" w:cs="Times New Roman"/>
          <w:iCs/>
          <w:lang w:val="sr-Latn-ME" w:eastAsia="sr-Latn-CS"/>
        </w:rPr>
        <w:t>Usljed</w:t>
      </w:r>
      <w:proofErr w:type="spellEnd"/>
      <w:r w:rsidRPr="007076F7">
        <w:rPr>
          <w:rFonts w:ascii="Times New Roman" w:eastAsia="Times New Roman" w:hAnsi="Times New Roman" w:cs="Times New Roman"/>
          <w:iCs/>
          <w:lang w:val="sr-Latn-ME" w:eastAsia="sr-Latn-CS"/>
        </w:rPr>
        <w:t xml:space="preserve"> izražene i dugotrajne inhibicije sekrecije želudačne kiseline, </w:t>
      </w:r>
      <w:proofErr w:type="spellStart"/>
      <w:r w:rsidRPr="007076F7">
        <w:rPr>
          <w:rFonts w:ascii="Times New Roman" w:eastAsia="Times New Roman" w:hAnsi="Times New Roman" w:cs="Times New Roman"/>
          <w:iCs/>
          <w:lang w:val="sr-Latn-ME" w:eastAsia="sr-Latn-CS"/>
        </w:rPr>
        <w:t>pantoprazol</w:t>
      </w:r>
      <w:proofErr w:type="spellEnd"/>
      <w:r w:rsidRPr="007076F7">
        <w:rPr>
          <w:rFonts w:ascii="Times New Roman" w:eastAsia="Times New Roman" w:hAnsi="Times New Roman" w:cs="Times New Roman"/>
          <w:iCs/>
          <w:lang w:val="sr-Latn-ME" w:eastAsia="sr-Latn-CS"/>
        </w:rPr>
        <w:t xml:space="preserve"> može da </w:t>
      </w:r>
      <w:proofErr w:type="spellStart"/>
      <w:r w:rsidRPr="007076F7">
        <w:rPr>
          <w:rFonts w:ascii="Times New Roman" w:eastAsia="Times New Roman" w:hAnsi="Times New Roman" w:cs="Times New Roman"/>
          <w:iCs/>
          <w:lang w:val="sr-Latn-ME" w:eastAsia="sr-Latn-CS"/>
        </w:rPr>
        <w:t>interferira</w:t>
      </w:r>
      <w:proofErr w:type="spellEnd"/>
      <w:r w:rsidRPr="007076F7">
        <w:rPr>
          <w:rFonts w:ascii="Times New Roman" w:eastAsia="Times New Roman" w:hAnsi="Times New Roman" w:cs="Times New Roman"/>
          <w:iCs/>
          <w:lang w:val="sr-Latn-ME" w:eastAsia="sr-Latn-CS"/>
        </w:rPr>
        <w:t xml:space="preserve"> sa resorpcijom ljekova čija oralna </w:t>
      </w:r>
      <w:proofErr w:type="spellStart"/>
      <w:r w:rsidR="009278F2" w:rsidRPr="007076F7">
        <w:rPr>
          <w:rFonts w:ascii="Times New Roman" w:eastAsia="Times New Roman" w:hAnsi="Times New Roman" w:cs="Times New Roman"/>
          <w:iCs/>
          <w:lang w:val="sr-Latn-ME" w:eastAsia="sr-Latn-CS"/>
        </w:rPr>
        <w:t>bio</w:t>
      </w:r>
      <w:r w:rsidRPr="007076F7">
        <w:rPr>
          <w:rFonts w:ascii="Times New Roman" w:eastAsia="Times New Roman" w:hAnsi="Times New Roman" w:cs="Times New Roman"/>
          <w:iCs/>
          <w:lang w:val="sr-Latn-ME" w:eastAsia="sr-Latn-CS"/>
        </w:rPr>
        <w:t>raspoloživost</w:t>
      </w:r>
      <w:proofErr w:type="spellEnd"/>
      <w:r w:rsidRPr="007076F7">
        <w:rPr>
          <w:rFonts w:ascii="Times New Roman" w:eastAsia="Times New Roman" w:hAnsi="Times New Roman" w:cs="Times New Roman"/>
          <w:iCs/>
          <w:lang w:val="sr-Latn-ME" w:eastAsia="sr-Latn-CS"/>
        </w:rPr>
        <w:t xml:space="preserve"> zavisi od </w:t>
      </w:r>
      <w:proofErr w:type="spellStart"/>
      <w:r w:rsidRPr="007076F7">
        <w:rPr>
          <w:rFonts w:ascii="Times New Roman" w:eastAsia="Times New Roman" w:hAnsi="Times New Roman" w:cs="Times New Roman"/>
          <w:iCs/>
          <w:lang w:val="sr-Latn-ME" w:eastAsia="sr-Latn-CS"/>
        </w:rPr>
        <w:t>pH</w:t>
      </w:r>
      <w:proofErr w:type="spellEnd"/>
      <w:r w:rsidRPr="007076F7">
        <w:rPr>
          <w:rFonts w:ascii="Times New Roman" w:eastAsia="Times New Roman" w:hAnsi="Times New Roman" w:cs="Times New Roman"/>
          <w:iCs/>
          <w:lang w:val="sr-Latn-ME" w:eastAsia="sr-Latn-CS"/>
        </w:rPr>
        <w:t xml:space="preserve"> vrijednosti želudačnog sadržaja, npr. neki </w:t>
      </w:r>
      <w:proofErr w:type="spellStart"/>
      <w:r w:rsidRPr="007076F7">
        <w:rPr>
          <w:rFonts w:ascii="Times New Roman" w:eastAsia="Times New Roman" w:hAnsi="Times New Roman" w:cs="Times New Roman"/>
          <w:iCs/>
          <w:lang w:val="sr-Latn-ME" w:eastAsia="sr-Latn-CS"/>
        </w:rPr>
        <w:t>azolni</w:t>
      </w:r>
      <w:proofErr w:type="spellEnd"/>
      <w:r w:rsidRPr="007076F7">
        <w:rPr>
          <w:rFonts w:ascii="Times New Roman" w:eastAsia="Times New Roman" w:hAnsi="Times New Roman" w:cs="Times New Roman"/>
          <w:iCs/>
          <w:lang w:val="sr-Latn-ME" w:eastAsia="sr-Latn-CS"/>
        </w:rPr>
        <w:t xml:space="preserve"> </w:t>
      </w:r>
      <w:proofErr w:type="spellStart"/>
      <w:r w:rsidRPr="007076F7">
        <w:rPr>
          <w:rFonts w:ascii="Times New Roman" w:eastAsia="Times New Roman" w:hAnsi="Times New Roman" w:cs="Times New Roman"/>
          <w:iCs/>
          <w:lang w:val="sr-Latn-ME" w:eastAsia="sr-Latn-CS"/>
        </w:rPr>
        <w:t>antimikotici</w:t>
      </w:r>
      <w:proofErr w:type="spellEnd"/>
      <w:r w:rsidRPr="007076F7">
        <w:rPr>
          <w:rFonts w:ascii="Times New Roman" w:eastAsia="Times New Roman" w:hAnsi="Times New Roman" w:cs="Times New Roman"/>
          <w:iCs/>
          <w:lang w:val="sr-Latn-ME" w:eastAsia="sr-Latn-CS"/>
        </w:rPr>
        <w:t xml:space="preserve"> kao što su </w:t>
      </w:r>
      <w:proofErr w:type="spellStart"/>
      <w:r w:rsidRPr="007076F7">
        <w:rPr>
          <w:rFonts w:ascii="Times New Roman" w:eastAsia="Times New Roman" w:hAnsi="Times New Roman" w:cs="Times New Roman"/>
          <w:iCs/>
          <w:lang w:val="sr-Latn-ME" w:eastAsia="sr-Latn-CS"/>
        </w:rPr>
        <w:t>ketokonazol</w:t>
      </w:r>
      <w:proofErr w:type="spellEnd"/>
      <w:r w:rsidRPr="007076F7">
        <w:rPr>
          <w:rFonts w:ascii="Times New Roman" w:eastAsia="Times New Roman" w:hAnsi="Times New Roman" w:cs="Times New Roman"/>
          <w:iCs/>
          <w:lang w:val="sr-Latn-ME" w:eastAsia="sr-Latn-CS"/>
        </w:rPr>
        <w:t xml:space="preserve">, </w:t>
      </w:r>
      <w:proofErr w:type="spellStart"/>
      <w:r w:rsidRPr="007076F7">
        <w:rPr>
          <w:rFonts w:ascii="Times New Roman" w:eastAsia="Times New Roman" w:hAnsi="Times New Roman" w:cs="Times New Roman"/>
          <w:iCs/>
          <w:lang w:val="sr-Latn-ME" w:eastAsia="sr-Latn-CS"/>
        </w:rPr>
        <w:t>itrakonazol</w:t>
      </w:r>
      <w:proofErr w:type="spellEnd"/>
      <w:r w:rsidRPr="007076F7">
        <w:rPr>
          <w:rFonts w:ascii="Times New Roman" w:eastAsia="Times New Roman" w:hAnsi="Times New Roman" w:cs="Times New Roman"/>
          <w:iCs/>
          <w:lang w:val="sr-Latn-ME" w:eastAsia="sr-Latn-CS"/>
        </w:rPr>
        <w:t xml:space="preserve">, </w:t>
      </w:r>
      <w:proofErr w:type="spellStart"/>
      <w:r w:rsidRPr="007076F7">
        <w:rPr>
          <w:rFonts w:ascii="Times New Roman" w:eastAsia="Times New Roman" w:hAnsi="Times New Roman" w:cs="Times New Roman"/>
          <w:iCs/>
          <w:lang w:val="sr-Latn-ME" w:eastAsia="sr-Latn-CS"/>
        </w:rPr>
        <w:t>posakonazol</w:t>
      </w:r>
      <w:proofErr w:type="spellEnd"/>
      <w:r w:rsidRPr="007076F7">
        <w:rPr>
          <w:rFonts w:ascii="Times New Roman" w:eastAsia="Times New Roman" w:hAnsi="Times New Roman" w:cs="Times New Roman"/>
          <w:iCs/>
          <w:lang w:val="sr-Latn-ME" w:eastAsia="sr-Latn-CS"/>
        </w:rPr>
        <w:t xml:space="preserve">, i drugi ljekovi, kao što je </w:t>
      </w:r>
      <w:proofErr w:type="spellStart"/>
      <w:r w:rsidRPr="007076F7">
        <w:rPr>
          <w:rFonts w:ascii="Times New Roman" w:eastAsia="Times New Roman" w:hAnsi="Times New Roman" w:cs="Times New Roman"/>
          <w:iCs/>
          <w:lang w:val="sr-Latn-ME" w:eastAsia="sr-Latn-CS"/>
        </w:rPr>
        <w:t>erlotinib</w:t>
      </w:r>
      <w:proofErr w:type="spellEnd"/>
      <w:r w:rsidRPr="007076F7">
        <w:rPr>
          <w:rFonts w:ascii="Times New Roman" w:eastAsia="Times New Roman" w:hAnsi="Times New Roman" w:cs="Times New Roman"/>
          <w:iCs/>
          <w:lang w:val="sr-Latn-ME" w:eastAsia="sr-Latn-CS"/>
        </w:rPr>
        <w:t>.</w:t>
      </w:r>
    </w:p>
    <w:p w14:paraId="5542E5CB"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i/>
          <w:iCs/>
          <w:lang w:val="sr-Latn-ME" w:eastAsia="sr-Latn-CS"/>
        </w:rPr>
      </w:pPr>
    </w:p>
    <w:p w14:paraId="5542E5CC"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i/>
          <w:lang w:val="sr-Latn-ME" w:eastAsia="sr-Latn-CS"/>
        </w:rPr>
      </w:pPr>
      <w:proofErr w:type="spellStart"/>
      <w:r w:rsidRPr="007076F7">
        <w:rPr>
          <w:rFonts w:ascii="Times New Roman" w:eastAsia="Times New Roman" w:hAnsi="Times New Roman" w:cs="Times New Roman"/>
          <w:i/>
          <w:lang w:val="sr-Latn-ME" w:eastAsia="sr-Latn-CS"/>
        </w:rPr>
        <w:t>Inhibitori</w:t>
      </w:r>
      <w:proofErr w:type="spellEnd"/>
      <w:r w:rsidRPr="007076F7">
        <w:rPr>
          <w:rFonts w:ascii="Times New Roman" w:eastAsia="Times New Roman" w:hAnsi="Times New Roman" w:cs="Times New Roman"/>
          <w:i/>
          <w:lang w:val="sr-Latn-ME" w:eastAsia="sr-Latn-CS"/>
        </w:rPr>
        <w:t xml:space="preserve"> HIV </w:t>
      </w:r>
      <w:proofErr w:type="spellStart"/>
      <w:r w:rsidRPr="007076F7">
        <w:rPr>
          <w:rFonts w:ascii="Times New Roman" w:eastAsia="Times New Roman" w:hAnsi="Times New Roman" w:cs="Times New Roman"/>
          <w:i/>
          <w:lang w:val="sr-Latn-ME" w:eastAsia="sr-Latn-CS"/>
        </w:rPr>
        <w:t>proteaze</w:t>
      </w:r>
      <w:proofErr w:type="spellEnd"/>
    </w:p>
    <w:p w14:paraId="5542E5CD" w14:textId="44E13E01"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 xml:space="preserve">Ne preporučuje se istovremena primjena </w:t>
      </w:r>
      <w:proofErr w:type="spellStart"/>
      <w:r w:rsidRPr="007076F7">
        <w:rPr>
          <w:rFonts w:ascii="Times New Roman" w:eastAsia="Times New Roman" w:hAnsi="Times New Roman" w:cs="Times New Roman"/>
          <w:lang w:val="sr-Latn-ME" w:eastAsia="sr-Latn-CS"/>
        </w:rPr>
        <w:t>pantoprazola</w:t>
      </w:r>
      <w:proofErr w:type="spellEnd"/>
      <w:r w:rsidRPr="007076F7">
        <w:rPr>
          <w:rFonts w:ascii="Times New Roman" w:eastAsia="Times New Roman" w:hAnsi="Times New Roman" w:cs="Times New Roman"/>
          <w:lang w:val="sr-Latn-ME" w:eastAsia="sr-Latn-CS"/>
        </w:rPr>
        <w:t xml:space="preserve"> sa </w:t>
      </w:r>
      <w:proofErr w:type="spellStart"/>
      <w:r w:rsidRPr="007076F7">
        <w:rPr>
          <w:rFonts w:ascii="Times New Roman" w:eastAsia="Times New Roman" w:hAnsi="Times New Roman" w:cs="Times New Roman"/>
          <w:lang w:val="sr-Latn-ME" w:eastAsia="sr-Latn-CS"/>
        </w:rPr>
        <w:t>inhibitorima</w:t>
      </w:r>
      <w:proofErr w:type="spellEnd"/>
      <w:r w:rsidRPr="007076F7">
        <w:rPr>
          <w:rFonts w:ascii="Times New Roman" w:eastAsia="Times New Roman" w:hAnsi="Times New Roman" w:cs="Times New Roman"/>
          <w:lang w:val="sr-Latn-ME" w:eastAsia="sr-Latn-CS"/>
        </w:rPr>
        <w:t xml:space="preserve"> HIV </w:t>
      </w:r>
      <w:proofErr w:type="spellStart"/>
      <w:r w:rsidRPr="007076F7">
        <w:rPr>
          <w:rFonts w:ascii="Times New Roman" w:eastAsia="Times New Roman" w:hAnsi="Times New Roman" w:cs="Times New Roman"/>
          <w:lang w:val="sr-Latn-ME" w:eastAsia="sr-Latn-CS"/>
        </w:rPr>
        <w:t>proteaze</w:t>
      </w:r>
      <w:proofErr w:type="spellEnd"/>
      <w:r w:rsidRPr="007076F7">
        <w:rPr>
          <w:rFonts w:ascii="Times New Roman" w:eastAsia="Times New Roman" w:hAnsi="Times New Roman" w:cs="Times New Roman"/>
          <w:lang w:val="sr-Latn-ME" w:eastAsia="sr-Latn-CS"/>
        </w:rPr>
        <w:t xml:space="preserve">, čija resorpcija zavisi od </w:t>
      </w:r>
      <w:proofErr w:type="spellStart"/>
      <w:r w:rsidRPr="007076F7">
        <w:rPr>
          <w:rFonts w:ascii="Times New Roman" w:eastAsia="Times New Roman" w:hAnsi="Times New Roman" w:cs="Times New Roman"/>
          <w:lang w:val="sr-Latn-ME" w:eastAsia="sr-Latn-CS"/>
        </w:rPr>
        <w:t>pH</w:t>
      </w:r>
      <w:proofErr w:type="spellEnd"/>
      <w:r w:rsidRPr="007076F7">
        <w:rPr>
          <w:rFonts w:ascii="Times New Roman" w:eastAsia="Times New Roman" w:hAnsi="Times New Roman" w:cs="Times New Roman"/>
          <w:lang w:val="sr-Latn-ME" w:eastAsia="sr-Latn-CS"/>
        </w:rPr>
        <w:t xml:space="preserve"> vrijednosti u želucu, kao što je </w:t>
      </w:r>
      <w:proofErr w:type="spellStart"/>
      <w:r w:rsidRPr="007076F7">
        <w:rPr>
          <w:rFonts w:ascii="Times New Roman" w:eastAsia="Times New Roman" w:hAnsi="Times New Roman" w:cs="Times New Roman"/>
          <w:lang w:val="sr-Latn-ME" w:eastAsia="sr-Latn-CS"/>
        </w:rPr>
        <w:t>atazanavir</w:t>
      </w:r>
      <w:proofErr w:type="spellEnd"/>
      <w:r w:rsidRPr="007076F7">
        <w:rPr>
          <w:rFonts w:ascii="Times New Roman" w:eastAsia="Times New Roman" w:hAnsi="Times New Roman" w:cs="Times New Roman"/>
          <w:lang w:val="sr-Latn-ME" w:eastAsia="sr-Latn-CS"/>
        </w:rPr>
        <w:t>, jer može doći do značajnog smanjenja bioraspoloživosti ovih ljekova (</w:t>
      </w:r>
      <w:r w:rsidR="009278F2" w:rsidRPr="007076F7">
        <w:rPr>
          <w:rFonts w:ascii="Times New Roman" w:eastAsia="Times New Roman" w:hAnsi="Times New Roman" w:cs="Times New Roman"/>
          <w:lang w:val="pl-PL" w:eastAsia="sr-Latn-CS"/>
        </w:rPr>
        <w:t>pogledati</w:t>
      </w:r>
      <w:r w:rsidR="009278F2" w:rsidRPr="007076F7">
        <w:rPr>
          <w:rFonts w:ascii="Times New Roman" w:eastAsia="Times New Roman" w:hAnsi="Times New Roman" w:cs="Times New Roman"/>
          <w:lang w:val="sr-Latn-ME" w:eastAsia="sr-Latn-CS"/>
        </w:rPr>
        <w:t xml:space="preserve"> </w:t>
      </w:r>
      <w:r w:rsidR="009278F2" w:rsidRPr="007076F7">
        <w:rPr>
          <w:rFonts w:ascii="Times New Roman" w:eastAsia="Times New Roman" w:hAnsi="Times New Roman" w:cs="Times New Roman"/>
          <w:lang w:val="pl-PL" w:eastAsia="sr-Latn-CS"/>
        </w:rPr>
        <w:t>dio</w:t>
      </w:r>
      <w:r w:rsidR="009278F2" w:rsidRPr="007076F7">
        <w:rPr>
          <w:rFonts w:ascii="Times New Roman" w:eastAsia="Times New Roman" w:hAnsi="Times New Roman" w:cs="Times New Roman"/>
          <w:lang w:val="sr-Latn-ME" w:eastAsia="sr-Latn-CS"/>
        </w:rPr>
        <w:t xml:space="preserve"> </w:t>
      </w:r>
      <w:r w:rsidRPr="007076F7">
        <w:rPr>
          <w:rFonts w:ascii="Times New Roman" w:eastAsia="Times New Roman" w:hAnsi="Times New Roman" w:cs="Times New Roman"/>
          <w:lang w:val="sr-Latn-ME" w:eastAsia="sr-Latn-CS"/>
        </w:rPr>
        <w:t>4.4).</w:t>
      </w:r>
    </w:p>
    <w:p w14:paraId="5542E5CE"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 xml:space="preserve">Ako se procijeni da je istovremena primjena inhibitora protonske pumpe i </w:t>
      </w:r>
      <w:proofErr w:type="spellStart"/>
      <w:r w:rsidRPr="007076F7">
        <w:rPr>
          <w:rFonts w:ascii="Times New Roman" w:eastAsia="Times New Roman" w:hAnsi="Times New Roman" w:cs="Times New Roman"/>
          <w:lang w:val="sr-Latn-ME" w:eastAsia="sr-Latn-CS"/>
        </w:rPr>
        <w:t>inhibitora</w:t>
      </w:r>
      <w:proofErr w:type="spellEnd"/>
      <w:r w:rsidRPr="007076F7">
        <w:rPr>
          <w:rFonts w:ascii="Times New Roman" w:eastAsia="Times New Roman" w:hAnsi="Times New Roman" w:cs="Times New Roman"/>
          <w:lang w:val="sr-Latn-ME" w:eastAsia="sr-Latn-CS"/>
        </w:rPr>
        <w:t xml:space="preserve"> HIV </w:t>
      </w:r>
      <w:proofErr w:type="spellStart"/>
      <w:r w:rsidRPr="007076F7">
        <w:rPr>
          <w:rFonts w:ascii="Times New Roman" w:eastAsia="Times New Roman" w:hAnsi="Times New Roman" w:cs="Times New Roman"/>
          <w:lang w:val="sr-Latn-ME" w:eastAsia="sr-Latn-CS"/>
        </w:rPr>
        <w:t>proteaze</w:t>
      </w:r>
      <w:proofErr w:type="spellEnd"/>
      <w:r w:rsidRPr="007076F7">
        <w:rPr>
          <w:rFonts w:ascii="Times New Roman" w:eastAsia="Times New Roman" w:hAnsi="Times New Roman" w:cs="Times New Roman"/>
          <w:lang w:val="sr-Latn-ME" w:eastAsia="sr-Latn-CS"/>
        </w:rPr>
        <w:t xml:space="preserve"> neizbježna, preporučuje se pažljivo kliničko praćenje (npr. virusnog opterećenja, engl. </w:t>
      </w:r>
      <w:r w:rsidRPr="007076F7">
        <w:rPr>
          <w:rFonts w:ascii="Times New Roman" w:eastAsia="Times New Roman" w:hAnsi="Times New Roman" w:cs="Times New Roman"/>
          <w:i/>
          <w:lang w:val="sr-Latn-ME" w:eastAsia="sr-Latn-CS"/>
        </w:rPr>
        <w:t xml:space="preserve">virus </w:t>
      </w:r>
      <w:proofErr w:type="spellStart"/>
      <w:r w:rsidRPr="007076F7">
        <w:rPr>
          <w:rFonts w:ascii="Times New Roman" w:eastAsia="Times New Roman" w:hAnsi="Times New Roman" w:cs="Times New Roman"/>
          <w:i/>
          <w:lang w:val="sr-Latn-ME" w:eastAsia="sr-Latn-CS"/>
        </w:rPr>
        <w:t>load</w:t>
      </w:r>
      <w:proofErr w:type="spellEnd"/>
      <w:r w:rsidRPr="007076F7">
        <w:rPr>
          <w:rFonts w:ascii="Times New Roman" w:eastAsia="Times New Roman" w:hAnsi="Times New Roman" w:cs="Times New Roman"/>
          <w:lang w:val="sr-Latn-ME" w:eastAsia="sr-Latn-CS"/>
        </w:rPr>
        <w:t xml:space="preserve">). Dozu </w:t>
      </w:r>
      <w:proofErr w:type="spellStart"/>
      <w:r w:rsidRPr="007076F7">
        <w:rPr>
          <w:rFonts w:ascii="Times New Roman" w:eastAsia="Times New Roman" w:hAnsi="Times New Roman" w:cs="Times New Roman"/>
          <w:lang w:val="sr-Latn-ME" w:eastAsia="sr-Latn-CS"/>
        </w:rPr>
        <w:t>pantoprazola</w:t>
      </w:r>
      <w:proofErr w:type="spellEnd"/>
      <w:r w:rsidRPr="007076F7">
        <w:rPr>
          <w:rFonts w:ascii="Times New Roman" w:eastAsia="Times New Roman" w:hAnsi="Times New Roman" w:cs="Times New Roman"/>
          <w:lang w:val="sr-Latn-ME" w:eastAsia="sr-Latn-CS"/>
        </w:rPr>
        <w:t xml:space="preserve"> od 20 mg dnevno ne treba prekoračiti. Možda će biti potrebno prilagođavanje doze </w:t>
      </w:r>
      <w:proofErr w:type="spellStart"/>
      <w:r w:rsidRPr="007076F7">
        <w:rPr>
          <w:rFonts w:ascii="Times New Roman" w:eastAsia="Times New Roman" w:hAnsi="Times New Roman" w:cs="Times New Roman"/>
          <w:lang w:val="sr-Latn-ME" w:eastAsia="sr-Latn-CS"/>
        </w:rPr>
        <w:t>inhibitora</w:t>
      </w:r>
      <w:proofErr w:type="spellEnd"/>
      <w:r w:rsidRPr="007076F7">
        <w:rPr>
          <w:rFonts w:ascii="Times New Roman" w:eastAsia="Times New Roman" w:hAnsi="Times New Roman" w:cs="Times New Roman"/>
          <w:lang w:val="sr-Latn-ME" w:eastAsia="sr-Latn-CS"/>
        </w:rPr>
        <w:t xml:space="preserve"> HIV </w:t>
      </w:r>
      <w:proofErr w:type="spellStart"/>
      <w:r w:rsidRPr="007076F7">
        <w:rPr>
          <w:rFonts w:ascii="Times New Roman" w:eastAsia="Times New Roman" w:hAnsi="Times New Roman" w:cs="Times New Roman"/>
          <w:lang w:val="sr-Latn-ME" w:eastAsia="sr-Latn-CS"/>
        </w:rPr>
        <w:t>proteaze</w:t>
      </w:r>
      <w:proofErr w:type="spellEnd"/>
      <w:r w:rsidRPr="007076F7">
        <w:rPr>
          <w:rFonts w:ascii="Times New Roman" w:eastAsia="Times New Roman" w:hAnsi="Times New Roman" w:cs="Times New Roman"/>
          <w:lang w:val="sr-Latn-ME" w:eastAsia="sr-Latn-CS"/>
        </w:rPr>
        <w:t>.</w:t>
      </w:r>
    </w:p>
    <w:p w14:paraId="5542E5CF"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p>
    <w:p w14:paraId="5542E5D0"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i/>
          <w:lang w:val="sr-Latn-ME" w:eastAsia="sr-Latn-CS"/>
        </w:rPr>
      </w:pPr>
      <w:proofErr w:type="spellStart"/>
      <w:r w:rsidRPr="007076F7">
        <w:rPr>
          <w:rFonts w:ascii="Times New Roman" w:eastAsia="Times New Roman" w:hAnsi="Times New Roman" w:cs="Times New Roman"/>
          <w:i/>
          <w:lang w:val="sr-Latn-ME" w:eastAsia="sr-Latn-CS"/>
        </w:rPr>
        <w:t>Kumarinski</w:t>
      </w:r>
      <w:proofErr w:type="spellEnd"/>
      <w:r w:rsidRPr="007076F7">
        <w:rPr>
          <w:rFonts w:ascii="Times New Roman" w:eastAsia="Times New Roman" w:hAnsi="Times New Roman" w:cs="Times New Roman"/>
          <w:i/>
          <w:lang w:val="sr-Latn-ME" w:eastAsia="sr-Latn-CS"/>
        </w:rPr>
        <w:t xml:space="preserve"> </w:t>
      </w:r>
      <w:proofErr w:type="spellStart"/>
      <w:r w:rsidRPr="007076F7">
        <w:rPr>
          <w:rFonts w:ascii="Times New Roman" w:eastAsia="Times New Roman" w:hAnsi="Times New Roman" w:cs="Times New Roman"/>
          <w:i/>
          <w:lang w:val="sr-Latn-ME" w:eastAsia="sr-Latn-CS"/>
        </w:rPr>
        <w:t>antikoagulansi</w:t>
      </w:r>
      <w:proofErr w:type="spellEnd"/>
      <w:r w:rsidRPr="007076F7">
        <w:rPr>
          <w:rFonts w:ascii="Times New Roman" w:eastAsia="Times New Roman" w:hAnsi="Times New Roman" w:cs="Times New Roman"/>
          <w:i/>
          <w:lang w:val="sr-Latn-ME" w:eastAsia="sr-Latn-CS"/>
        </w:rPr>
        <w:t xml:space="preserve"> (</w:t>
      </w:r>
      <w:proofErr w:type="spellStart"/>
      <w:r w:rsidRPr="007076F7">
        <w:rPr>
          <w:rFonts w:ascii="Times New Roman" w:eastAsia="Times New Roman" w:hAnsi="Times New Roman" w:cs="Times New Roman"/>
          <w:i/>
          <w:lang w:val="sr-Latn-ME" w:eastAsia="sr-Latn-CS"/>
        </w:rPr>
        <w:t>fenprokumon</w:t>
      </w:r>
      <w:proofErr w:type="spellEnd"/>
      <w:r w:rsidRPr="007076F7">
        <w:rPr>
          <w:rFonts w:ascii="Times New Roman" w:eastAsia="Times New Roman" w:hAnsi="Times New Roman" w:cs="Times New Roman"/>
          <w:i/>
          <w:lang w:val="sr-Latn-ME" w:eastAsia="sr-Latn-CS"/>
        </w:rPr>
        <w:t xml:space="preserve"> ili </w:t>
      </w:r>
      <w:proofErr w:type="spellStart"/>
      <w:r w:rsidRPr="007076F7">
        <w:rPr>
          <w:rFonts w:ascii="Times New Roman" w:eastAsia="Times New Roman" w:hAnsi="Times New Roman" w:cs="Times New Roman"/>
          <w:i/>
          <w:lang w:val="sr-Latn-ME" w:eastAsia="sr-Latn-CS"/>
        </w:rPr>
        <w:t>varfarin</w:t>
      </w:r>
      <w:proofErr w:type="spellEnd"/>
      <w:r w:rsidRPr="007076F7">
        <w:rPr>
          <w:rFonts w:ascii="Times New Roman" w:eastAsia="Times New Roman" w:hAnsi="Times New Roman" w:cs="Times New Roman"/>
          <w:i/>
          <w:lang w:val="sr-Latn-ME" w:eastAsia="sr-Latn-CS"/>
        </w:rPr>
        <w:t>)</w:t>
      </w:r>
    </w:p>
    <w:p w14:paraId="5542E5D1" w14:textId="77777777" w:rsidR="0096073D"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 xml:space="preserve">Istovremena primjena </w:t>
      </w:r>
      <w:proofErr w:type="spellStart"/>
      <w:r w:rsidRPr="007076F7">
        <w:rPr>
          <w:rFonts w:ascii="Times New Roman" w:eastAsia="Times New Roman" w:hAnsi="Times New Roman" w:cs="Times New Roman"/>
          <w:lang w:val="sr-Latn-ME" w:eastAsia="sr-Latn-CS"/>
        </w:rPr>
        <w:t>pantoprazola</w:t>
      </w:r>
      <w:proofErr w:type="spellEnd"/>
      <w:r w:rsidRPr="007076F7">
        <w:rPr>
          <w:rFonts w:ascii="Times New Roman" w:eastAsia="Times New Roman" w:hAnsi="Times New Roman" w:cs="Times New Roman"/>
          <w:lang w:val="sr-Latn-ME" w:eastAsia="sr-Latn-CS"/>
        </w:rPr>
        <w:t xml:space="preserve"> sa </w:t>
      </w:r>
      <w:proofErr w:type="spellStart"/>
      <w:r w:rsidRPr="007076F7">
        <w:rPr>
          <w:rFonts w:ascii="Times New Roman" w:eastAsia="Times New Roman" w:hAnsi="Times New Roman" w:cs="Times New Roman"/>
          <w:lang w:val="sr-Latn-ME" w:eastAsia="sr-Latn-CS"/>
        </w:rPr>
        <w:t>varfarinom</w:t>
      </w:r>
      <w:proofErr w:type="spellEnd"/>
      <w:r w:rsidRPr="007076F7">
        <w:rPr>
          <w:rFonts w:ascii="Times New Roman" w:eastAsia="Times New Roman" w:hAnsi="Times New Roman" w:cs="Times New Roman"/>
          <w:lang w:val="sr-Latn-ME" w:eastAsia="sr-Latn-CS"/>
        </w:rPr>
        <w:t xml:space="preserve"> ili </w:t>
      </w:r>
      <w:proofErr w:type="spellStart"/>
      <w:r w:rsidRPr="007076F7">
        <w:rPr>
          <w:rFonts w:ascii="Times New Roman" w:eastAsia="Times New Roman" w:hAnsi="Times New Roman" w:cs="Times New Roman"/>
          <w:lang w:val="sr-Latn-ME" w:eastAsia="sr-Latn-CS"/>
        </w:rPr>
        <w:t>fenprokumonom</w:t>
      </w:r>
      <w:proofErr w:type="spellEnd"/>
      <w:r w:rsidRPr="007076F7">
        <w:rPr>
          <w:rFonts w:ascii="Times New Roman" w:eastAsia="Times New Roman" w:hAnsi="Times New Roman" w:cs="Times New Roman"/>
          <w:lang w:val="sr-Latn-ME" w:eastAsia="sr-Latn-CS"/>
        </w:rPr>
        <w:t xml:space="preserve"> nije uticala na </w:t>
      </w:r>
      <w:proofErr w:type="spellStart"/>
      <w:r w:rsidRPr="007076F7">
        <w:rPr>
          <w:rFonts w:ascii="Times New Roman" w:eastAsia="Times New Roman" w:hAnsi="Times New Roman" w:cs="Times New Roman"/>
          <w:lang w:val="sr-Latn-ME" w:eastAsia="sr-Latn-CS"/>
        </w:rPr>
        <w:t>farmakokinetiku</w:t>
      </w:r>
      <w:proofErr w:type="spellEnd"/>
      <w:r w:rsidRPr="007076F7">
        <w:rPr>
          <w:rFonts w:ascii="Times New Roman" w:eastAsia="Times New Roman" w:hAnsi="Times New Roman" w:cs="Times New Roman"/>
          <w:lang w:val="sr-Latn-ME" w:eastAsia="sr-Latn-CS"/>
        </w:rPr>
        <w:t xml:space="preserve"> </w:t>
      </w:r>
      <w:proofErr w:type="spellStart"/>
      <w:r w:rsidRPr="007076F7">
        <w:rPr>
          <w:rFonts w:ascii="Times New Roman" w:eastAsia="Times New Roman" w:hAnsi="Times New Roman" w:cs="Times New Roman"/>
          <w:lang w:val="sr-Latn-ME" w:eastAsia="sr-Latn-CS"/>
        </w:rPr>
        <w:t>varfarina</w:t>
      </w:r>
      <w:proofErr w:type="spellEnd"/>
      <w:r w:rsidRPr="007076F7">
        <w:rPr>
          <w:rFonts w:ascii="Times New Roman" w:eastAsia="Times New Roman" w:hAnsi="Times New Roman" w:cs="Times New Roman"/>
          <w:lang w:val="sr-Latn-ME" w:eastAsia="sr-Latn-CS"/>
        </w:rPr>
        <w:t xml:space="preserve">, </w:t>
      </w:r>
      <w:proofErr w:type="spellStart"/>
      <w:r w:rsidRPr="007076F7">
        <w:rPr>
          <w:rFonts w:ascii="Times New Roman" w:eastAsia="Times New Roman" w:hAnsi="Times New Roman" w:cs="Times New Roman"/>
          <w:lang w:val="sr-Latn-ME" w:eastAsia="sr-Latn-CS"/>
        </w:rPr>
        <w:t>fenprokumona</w:t>
      </w:r>
      <w:proofErr w:type="spellEnd"/>
      <w:r w:rsidRPr="007076F7">
        <w:rPr>
          <w:rFonts w:ascii="Times New Roman" w:eastAsia="Times New Roman" w:hAnsi="Times New Roman" w:cs="Times New Roman"/>
          <w:lang w:val="sr-Latn-ME" w:eastAsia="sr-Latn-CS"/>
        </w:rPr>
        <w:t xml:space="preserve"> ili INR. Međutim, prijavljeni su slučajevi povećanog INR-a i </w:t>
      </w:r>
      <w:proofErr w:type="spellStart"/>
      <w:r w:rsidRPr="007076F7">
        <w:rPr>
          <w:rFonts w:ascii="Times New Roman" w:eastAsia="Times New Roman" w:hAnsi="Times New Roman" w:cs="Times New Roman"/>
          <w:lang w:val="sr-Latn-ME" w:eastAsia="sr-Latn-CS"/>
        </w:rPr>
        <w:t>protrombinskog</w:t>
      </w:r>
      <w:proofErr w:type="spellEnd"/>
      <w:r w:rsidRPr="007076F7">
        <w:rPr>
          <w:rFonts w:ascii="Times New Roman" w:eastAsia="Times New Roman" w:hAnsi="Times New Roman" w:cs="Times New Roman"/>
          <w:lang w:val="sr-Latn-ME" w:eastAsia="sr-Latn-CS"/>
        </w:rPr>
        <w:t xml:space="preserve"> </w:t>
      </w:r>
      <w:proofErr w:type="spellStart"/>
      <w:r w:rsidRPr="007076F7">
        <w:rPr>
          <w:rFonts w:ascii="Times New Roman" w:eastAsia="Times New Roman" w:hAnsi="Times New Roman" w:cs="Times New Roman"/>
          <w:lang w:val="sr-Latn-ME" w:eastAsia="sr-Latn-CS"/>
        </w:rPr>
        <w:t>vremena</w:t>
      </w:r>
      <w:proofErr w:type="spellEnd"/>
      <w:r w:rsidRPr="007076F7">
        <w:rPr>
          <w:rFonts w:ascii="Times New Roman" w:eastAsia="Times New Roman" w:hAnsi="Times New Roman" w:cs="Times New Roman"/>
          <w:lang w:val="sr-Latn-ME" w:eastAsia="sr-Latn-CS"/>
        </w:rPr>
        <w:t xml:space="preserve"> kod pacijenata koji su istovremeno koristili inhibitor protonske pumpe i </w:t>
      </w:r>
      <w:proofErr w:type="spellStart"/>
      <w:r w:rsidRPr="007076F7">
        <w:rPr>
          <w:rFonts w:ascii="Times New Roman" w:eastAsia="Times New Roman" w:hAnsi="Times New Roman" w:cs="Times New Roman"/>
          <w:lang w:val="sr-Latn-ME" w:eastAsia="sr-Latn-CS"/>
        </w:rPr>
        <w:t>varfarin</w:t>
      </w:r>
      <w:proofErr w:type="spellEnd"/>
      <w:r w:rsidRPr="007076F7">
        <w:rPr>
          <w:rFonts w:ascii="Times New Roman" w:eastAsia="Times New Roman" w:hAnsi="Times New Roman" w:cs="Times New Roman"/>
          <w:lang w:val="sr-Latn-ME" w:eastAsia="sr-Latn-CS"/>
        </w:rPr>
        <w:t xml:space="preserve"> ili </w:t>
      </w:r>
      <w:proofErr w:type="spellStart"/>
      <w:r w:rsidRPr="007076F7">
        <w:rPr>
          <w:rFonts w:ascii="Times New Roman" w:eastAsia="Times New Roman" w:hAnsi="Times New Roman" w:cs="Times New Roman"/>
          <w:lang w:val="sr-Latn-ME" w:eastAsia="sr-Latn-CS"/>
        </w:rPr>
        <w:t>fenprokumon</w:t>
      </w:r>
      <w:proofErr w:type="spellEnd"/>
      <w:r w:rsidRPr="007076F7">
        <w:rPr>
          <w:rFonts w:ascii="Times New Roman" w:eastAsia="Times New Roman" w:hAnsi="Times New Roman" w:cs="Times New Roman"/>
          <w:lang w:val="sr-Latn-ME" w:eastAsia="sr-Latn-CS"/>
        </w:rPr>
        <w:t xml:space="preserve">. </w:t>
      </w:r>
    </w:p>
    <w:p w14:paraId="5542E5D2" w14:textId="77777777" w:rsidR="0096073D" w:rsidRPr="007076F7" w:rsidRDefault="0096073D">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p>
    <w:p w14:paraId="5542E5D3"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 xml:space="preserve">Povećanje INR-a i </w:t>
      </w:r>
      <w:proofErr w:type="spellStart"/>
      <w:r w:rsidRPr="007076F7">
        <w:rPr>
          <w:rFonts w:ascii="Times New Roman" w:eastAsia="Times New Roman" w:hAnsi="Times New Roman" w:cs="Times New Roman"/>
          <w:lang w:val="sr-Latn-ME" w:eastAsia="sr-Latn-CS"/>
        </w:rPr>
        <w:t>protrombinskog</w:t>
      </w:r>
      <w:proofErr w:type="spellEnd"/>
      <w:r w:rsidRPr="007076F7">
        <w:rPr>
          <w:rFonts w:ascii="Times New Roman" w:eastAsia="Times New Roman" w:hAnsi="Times New Roman" w:cs="Times New Roman"/>
          <w:lang w:val="sr-Latn-ME" w:eastAsia="sr-Latn-CS"/>
        </w:rPr>
        <w:t xml:space="preserve"> </w:t>
      </w:r>
      <w:proofErr w:type="spellStart"/>
      <w:r w:rsidRPr="007076F7">
        <w:rPr>
          <w:rFonts w:ascii="Times New Roman" w:eastAsia="Times New Roman" w:hAnsi="Times New Roman" w:cs="Times New Roman"/>
          <w:lang w:val="sr-Latn-ME" w:eastAsia="sr-Latn-CS"/>
        </w:rPr>
        <w:t>vremena</w:t>
      </w:r>
      <w:proofErr w:type="spellEnd"/>
      <w:r w:rsidRPr="007076F7">
        <w:rPr>
          <w:rFonts w:ascii="Times New Roman" w:eastAsia="Times New Roman" w:hAnsi="Times New Roman" w:cs="Times New Roman"/>
          <w:lang w:val="sr-Latn-ME" w:eastAsia="sr-Latn-CS"/>
        </w:rPr>
        <w:t xml:space="preserve"> može dovesti do abnormalnog krvarenja, čak i smrti. Zbog toga se kod pacijenata koji su na terapiji </w:t>
      </w:r>
      <w:proofErr w:type="spellStart"/>
      <w:r w:rsidRPr="007076F7">
        <w:rPr>
          <w:rFonts w:ascii="Times New Roman" w:eastAsia="Times New Roman" w:hAnsi="Times New Roman" w:cs="Times New Roman"/>
          <w:lang w:val="sr-Latn-ME" w:eastAsia="sr-Latn-CS"/>
        </w:rPr>
        <w:t>pantoprazolom</w:t>
      </w:r>
      <w:proofErr w:type="spellEnd"/>
      <w:r w:rsidRPr="007076F7">
        <w:rPr>
          <w:rFonts w:ascii="Times New Roman" w:eastAsia="Times New Roman" w:hAnsi="Times New Roman" w:cs="Times New Roman"/>
          <w:lang w:val="sr-Latn-ME" w:eastAsia="sr-Latn-CS"/>
        </w:rPr>
        <w:t xml:space="preserve"> i </w:t>
      </w:r>
      <w:proofErr w:type="spellStart"/>
      <w:r w:rsidRPr="007076F7">
        <w:rPr>
          <w:rFonts w:ascii="Times New Roman" w:eastAsia="Times New Roman" w:hAnsi="Times New Roman" w:cs="Times New Roman"/>
          <w:lang w:val="sr-Latn-ME" w:eastAsia="sr-Latn-CS"/>
        </w:rPr>
        <w:t>varfarinom</w:t>
      </w:r>
      <w:proofErr w:type="spellEnd"/>
      <w:r w:rsidRPr="007076F7">
        <w:rPr>
          <w:rFonts w:ascii="Times New Roman" w:eastAsia="Times New Roman" w:hAnsi="Times New Roman" w:cs="Times New Roman"/>
          <w:lang w:val="sr-Latn-ME" w:eastAsia="sr-Latn-CS"/>
        </w:rPr>
        <w:t xml:space="preserve"> ili </w:t>
      </w:r>
      <w:proofErr w:type="spellStart"/>
      <w:r w:rsidRPr="007076F7">
        <w:rPr>
          <w:rFonts w:ascii="Times New Roman" w:eastAsia="Times New Roman" w:hAnsi="Times New Roman" w:cs="Times New Roman"/>
          <w:lang w:val="sr-Latn-ME" w:eastAsia="sr-Latn-CS"/>
        </w:rPr>
        <w:t>fenprokumonom</w:t>
      </w:r>
      <w:proofErr w:type="spellEnd"/>
      <w:r w:rsidRPr="007076F7">
        <w:rPr>
          <w:rFonts w:ascii="Times New Roman" w:eastAsia="Times New Roman" w:hAnsi="Times New Roman" w:cs="Times New Roman"/>
          <w:lang w:val="sr-Latn-ME" w:eastAsia="sr-Latn-CS"/>
        </w:rPr>
        <w:t xml:space="preserve"> preporučuje praćenje povećanja INR-a i </w:t>
      </w:r>
      <w:proofErr w:type="spellStart"/>
      <w:r w:rsidRPr="007076F7">
        <w:rPr>
          <w:rFonts w:ascii="Times New Roman" w:eastAsia="Times New Roman" w:hAnsi="Times New Roman" w:cs="Times New Roman"/>
          <w:lang w:val="sr-Latn-ME" w:eastAsia="sr-Latn-CS"/>
        </w:rPr>
        <w:t>protrombinskog</w:t>
      </w:r>
      <w:proofErr w:type="spellEnd"/>
      <w:r w:rsidRPr="007076F7">
        <w:rPr>
          <w:rFonts w:ascii="Times New Roman" w:eastAsia="Times New Roman" w:hAnsi="Times New Roman" w:cs="Times New Roman"/>
          <w:lang w:val="sr-Latn-ME" w:eastAsia="sr-Latn-CS"/>
        </w:rPr>
        <w:t xml:space="preserve"> </w:t>
      </w:r>
      <w:proofErr w:type="spellStart"/>
      <w:r w:rsidRPr="007076F7">
        <w:rPr>
          <w:rFonts w:ascii="Times New Roman" w:eastAsia="Times New Roman" w:hAnsi="Times New Roman" w:cs="Times New Roman"/>
          <w:lang w:val="sr-Latn-ME" w:eastAsia="sr-Latn-CS"/>
        </w:rPr>
        <w:t>vremena</w:t>
      </w:r>
      <w:proofErr w:type="spellEnd"/>
      <w:r w:rsidRPr="007076F7">
        <w:rPr>
          <w:rFonts w:ascii="Times New Roman" w:eastAsia="Times New Roman" w:hAnsi="Times New Roman" w:cs="Times New Roman"/>
          <w:lang w:val="sr-Latn-ME" w:eastAsia="sr-Latn-CS"/>
        </w:rPr>
        <w:t>.</w:t>
      </w:r>
    </w:p>
    <w:p w14:paraId="5542E5D4"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p>
    <w:p w14:paraId="5542E5D5"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i/>
          <w:lang w:val="sr-Latn-ME" w:eastAsia="sr-Latn-CS"/>
        </w:rPr>
      </w:pPr>
      <w:proofErr w:type="spellStart"/>
      <w:r w:rsidRPr="007076F7">
        <w:rPr>
          <w:rFonts w:ascii="Times New Roman" w:eastAsia="Times New Roman" w:hAnsi="Times New Roman" w:cs="Times New Roman"/>
          <w:i/>
          <w:lang w:val="sr-Latn-ME" w:eastAsia="sr-Latn-CS"/>
        </w:rPr>
        <w:t>Metotreksat</w:t>
      </w:r>
      <w:proofErr w:type="spellEnd"/>
    </w:p>
    <w:p w14:paraId="5542E5D6"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 xml:space="preserve">Prijavljeno je da istovremena primjena visokih doza </w:t>
      </w:r>
      <w:proofErr w:type="spellStart"/>
      <w:r w:rsidRPr="007076F7">
        <w:rPr>
          <w:rFonts w:ascii="Times New Roman" w:eastAsia="Times New Roman" w:hAnsi="Times New Roman" w:cs="Times New Roman"/>
          <w:lang w:val="sr-Latn-ME" w:eastAsia="sr-Latn-CS"/>
        </w:rPr>
        <w:t>metotreksata</w:t>
      </w:r>
      <w:proofErr w:type="spellEnd"/>
      <w:r w:rsidRPr="007076F7">
        <w:rPr>
          <w:rFonts w:ascii="Times New Roman" w:eastAsia="Times New Roman" w:hAnsi="Times New Roman" w:cs="Times New Roman"/>
          <w:lang w:val="sr-Latn-ME" w:eastAsia="sr-Latn-CS"/>
        </w:rPr>
        <w:t xml:space="preserve"> (npr. 300 mg) i inhibitora protonske pumpe dovodi do povećanja nivoa </w:t>
      </w:r>
      <w:proofErr w:type="spellStart"/>
      <w:r w:rsidRPr="007076F7">
        <w:rPr>
          <w:rFonts w:ascii="Times New Roman" w:eastAsia="Times New Roman" w:hAnsi="Times New Roman" w:cs="Times New Roman"/>
          <w:lang w:val="sr-Latn-ME" w:eastAsia="sr-Latn-CS"/>
        </w:rPr>
        <w:t>metotreksata</w:t>
      </w:r>
      <w:proofErr w:type="spellEnd"/>
      <w:r w:rsidRPr="007076F7">
        <w:rPr>
          <w:rFonts w:ascii="Times New Roman" w:eastAsia="Times New Roman" w:hAnsi="Times New Roman" w:cs="Times New Roman"/>
          <w:lang w:val="sr-Latn-ME" w:eastAsia="sr-Latn-CS"/>
        </w:rPr>
        <w:t xml:space="preserve"> kod pojedinih pacijenata. Zbog toga je kod terapija koje zahtijevaju primjenu visokih doza </w:t>
      </w:r>
      <w:proofErr w:type="spellStart"/>
      <w:r w:rsidRPr="007076F7">
        <w:rPr>
          <w:rFonts w:ascii="Times New Roman" w:eastAsia="Times New Roman" w:hAnsi="Times New Roman" w:cs="Times New Roman"/>
          <w:lang w:val="sr-Latn-ME" w:eastAsia="sr-Latn-CS"/>
        </w:rPr>
        <w:t>metotreksata</w:t>
      </w:r>
      <w:proofErr w:type="spellEnd"/>
      <w:r w:rsidRPr="007076F7">
        <w:rPr>
          <w:rFonts w:ascii="Times New Roman" w:eastAsia="Times New Roman" w:hAnsi="Times New Roman" w:cs="Times New Roman"/>
          <w:lang w:val="sr-Latn-ME" w:eastAsia="sr-Latn-CS"/>
        </w:rPr>
        <w:t xml:space="preserve">, npr. kod terapije </w:t>
      </w:r>
      <w:proofErr w:type="spellStart"/>
      <w:r w:rsidRPr="007076F7">
        <w:rPr>
          <w:rFonts w:ascii="Times New Roman" w:eastAsia="Times New Roman" w:hAnsi="Times New Roman" w:cs="Times New Roman"/>
          <w:lang w:val="sr-Latn-ME" w:eastAsia="sr-Latn-CS"/>
        </w:rPr>
        <w:t>karcinoma</w:t>
      </w:r>
      <w:proofErr w:type="spellEnd"/>
      <w:r w:rsidRPr="007076F7">
        <w:rPr>
          <w:rFonts w:ascii="Times New Roman" w:eastAsia="Times New Roman" w:hAnsi="Times New Roman" w:cs="Times New Roman"/>
          <w:lang w:val="sr-Latn-ME" w:eastAsia="sr-Latn-CS"/>
        </w:rPr>
        <w:t xml:space="preserve"> i psorijaze, potrebno razmotriti privremeni prekid terapije </w:t>
      </w:r>
      <w:proofErr w:type="spellStart"/>
      <w:r w:rsidRPr="007076F7">
        <w:rPr>
          <w:rFonts w:ascii="Times New Roman" w:eastAsia="Times New Roman" w:hAnsi="Times New Roman" w:cs="Times New Roman"/>
          <w:lang w:val="sr-Latn-ME" w:eastAsia="sr-Latn-CS"/>
        </w:rPr>
        <w:t>pantoprazolom</w:t>
      </w:r>
      <w:proofErr w:type="spellEnd"/>
      <w:r w:rsidRPr="007076F7">
        <w:rPr>
          <w:rFonts w:ascii="Times New Roman" w:eastAsia="Times New Roman" w:hAnsi="Times New Roman" w:cs="Times New Roman"/>
          <w:lang w:val="sr-Latn-ME" w:eastAsia="sr-Latn-CS"/>
        </w:rPr>
        <w:t>.</w:t>
      </w:r>
    </w:p>
    <w:p w14:paraId="5542E5D7" w14:textId="77777777" w:rsidR="002E7166" w:rsidRPr="007076F7" w:rsidRDefault="002E7166">
      <w:pPr>
        <w:widowControl w:val="0"/>
        <w:autoSpaceDE w:val="0"/>
        <w:autoSpaceDN w:val="0"/>
        <w:adjustRightInd w:val="0"/>
        <w:snapToGrid w:val="0"/>
        <w:spacing w:after="0" w:line="240" w:lineRule="auto"/>
        <w:jc w:val="both"/>
        <w:rPr>
          <w:rFonts w:ascii="Times New Roman" w:eastAsia="Times New Roman" w:hAnsi="Times New Roman" w:cs="Times New Roman"/>
          <w:lang w:val="sr-Latn-ME" w:eastAsia="sr-Latn-CS"/>
        </w:rPr>
      </w:pPr>
    </w:p>
    <w:p w14:paraId="5542E5D8" w14:textId="77777777" w:rsidR="002E7166" w:rsidRPr="007076F7" w:rsidRDefault="002E7166">
      <w:pPr>
        <w:tabs>
          <w:tab w:val="left" w:pos="284"/>
        </w:tabs>
        <w:spacing w:after="0" w:line="240" w:lineRule="auto"/>
        <w:jc w:val="both"/>
        <w:rPr>
          <w:rFonts w:ascii="Times New Roman" w:eastAsia="Times New Roman" w:hAnsi="Times New Roman" w:cs="Times New Roman"/>
          <w:i/>
          <w:lang w:val="sr-Latn-ME" w:eastAsia="sl-SI"/>
        </w:rPr>
      </w:pPr>
      <w:r w:rsidRPr="007076F7">
        <w:rPr>
          <w:rFonts w:ascii="Times New Roman" w:eastAsia="Times New Roman" w:hAnsi="Times New Roman" w:cs="Times New Roman"/>
          <w:i/>
          <w:lang w:val="sr-Latn-ME" w:eastAsia="sl-SI"/>
        </w:rPr>
        <w:t>Ostale studije interakcija</w:t>
      </w:r>
    </w:p>
    <w:p w14:paraId="5542E5D9"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proofErr w:type="spellStart"/>
      <w:r w:rsidRPr="007076F7">
        <w:rPr>
          <w:rFonts w:ascii="Times New Roman" w:eastAsia="Times New Roman" w:hAnsi="Times New Roman" w:cs="Times New Roman"/>
          <w:lang w:val="sr-Latn-ME" w:eastAsia="sl-SI"/>
        </w:rPr>
        <w:t>Pantoprazol</w:t>
      </w:r>
      <w:proofErr w:type="spellEnd"/>
      <w:r w:rsidRPr="007076F7">
        <w:rPr>
          <w:rFonts w:ascii="Times New Roman" w:eastAsia="Times New Roman" w:hAnsi="Times New Roman" w:cs="Times New Roman"/>
          <w:lang w:val="sr-Latn-ME" w:eastAsia="sl-SI"/>
        </w:rPr>
        <w:t xml:space="preserve"> se intenzivno </w:t>
      </w:r>
      <w:proofErr w:type="spellStart"/>
      <w:r w:rsidRPr="007076F7">
        <w:rPr>
          <w:rFonts w:ascii="Times New Roman" w:eastAsia="Times New Roman" w:hAnsi="Times New Roman" w:cs="Times New Roman"/>
          <w:lang w:val="sr-Latn-ME" w:eastAsia="sl-SI"/>
        </w:rPr>
        <w:t>metaboliše</w:t>
      </w:r>
      <w:proofErr w:type="spellEnd"/>
      <w:r w:rsidRPr="007076F7">
        <w:rPr>
          <w:rFonts w:ascii="Times New Roman" w:eastAsia="Times New Roman" w:hAnsi="Times New Roman" w:cs="Times New Roman"/>
          <w:lang w:val="sr-Latn-ME" w:eastAsia="sl-SI"/>
        </w:rPr>
        <w:t xml:space="preserve"> u jetri putem sistema enzima </w:t>
      </w:r>
      <w:proofErr w:type="spellStart"/>
      <w:r w:rsidRPr="007076F7">
        <w:rPr>
          <w:rFonts w:ascii="Times New Roman" w:eastAsia="Times New Roman" w:hAnsi="Times New Roman" w:cs="Times New Roman"/>
          <w:lang w:val="sr-Latn-ME" w:eastAsia="sl-SI"/>
        </w:rPr>
        <w:t>citohroma</w:t>
      </w:r>
      <w:proofErr w:type="spellEnd"/>
      <w:r w:rsidRPr="007076F7">
        <w:rPr>
          <w:rFonts w:ascii="Times New Roman" w:eastAsia="Times New Roman" w:hAnsi="Times New Roman" w:cs="Times New Roman"/>
          <w:lang w:val="sr-Latn-ME" w:eastAsia="sl-SI"/>
        </w:rPr>
        <w:t xml:space="preserve"> P450. Glavni </w:t>
      </w:r>
      <w:proofErr w:type="spellStart"/>
      <w:r w:rsidRPr="007076F7">
        <w:rPr>
          <w:rFonts w:ascii="Times New Roman" w:eastAsia="Times New Roman" w:hAnsi="Times New Roman" w:cs="Times New Roman"/>
          <w:lang w:val="sr-Latn-ME" w:eastAsia="sl-SI"/>
        </w:rPr>
        <w:t>metabolički</w:t>
      </w:r>
      <w:proofErr w:type="spellEnd"/>
      <w:r w:rsidRPr="007076F7">
        <w:rPr>
          <w:rFonts w:ascii="Times New Roman" w:eastAsia="Times New Roman" w:hAnsi="Times New Roman" w:cs="Times New Roman"/>
          <w:lang w:val="sr-Latn-ME" w:eastAsia="sl-SI"/>
        </w:rPr>
        <w:t xml:space="preserve"> put je </w:t>
      </w:r>
      <w:proofErr w:type="spellStart"/>
      <w:r w:rsidRPr="007076F7">
        <w:rPr>
          <w:rFonts w:ascii="Times New Roman" w:eastAsia="Times New Roman" w:hAnsi="Times New Roman" w:cs="Times New Roman"/>
          <w:lang w:val="sr-Latn-ME" w:eastAsia="sl-SI"/>
        </w:rPr>
        <w:t>demetilacija</w:t>
      </w:r>
      <w:proofErr w:type="spellEnd"/>
      <w:r w:rsidRPr="007076F7">
        <w:rPr>
          <w:rFonts w:ascii="Times New Roman" w:eastAsia="Times New Roman" w:hAnsi="Times New Roman" w:cs="Times New Roman"/>
          <w:lang w:val="sr-Latn-ME" w:eastAsia="sl-SI"/>
        </w:rPr>
        <w:t xml:space="preserve"> putem CYP2C19 i ostalih metaboličkih puteva, uključujući i oksidaciju putem CYP3A4.</w:t>
      </w:r>
    </w:p>
    <w:p w14:paraId="5542E5DA"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p>
    <w:p w14:paraId="5542E5DB"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r w:rsidRPr="007076F7">
        <w:rPr>
          <w:rFonts w:ascii="Times New Roman" w:eastAsia="Times New Roman" w:hAnsi="Times New Roman" w:cs="Times New Roman"/>
          <w:lang w:val="sr-Latn-ME" w:eastAsia="sl-SI"/>
        </w:rPr>
        <w:t xml:space="preserve">Studije interakcije sa ljekovima koji se takođe </w:t>
      </w:r>
      <w:proofErr w:type="spellStart"/>
      <w:r w:rsidRPr="007076F7">
        <w:rPr>
          <w:rFonts w:ascii="Times New Roman" w:eastAsia="Times New Roman" w:hAnsi="Times New Roman" w:cs="Times New Roman"/>
          <w:lang w:val="sr-Latn-ME" w:eastAsia="sl-SI"/>
        </w:rPr>
        <w:t>metabolišu</w:t>
      </w:r>
      <w:proofErr w:type="spellEnd"/>
      <w:r w:rsidRPr="007076F7">
        <w:rPr>
          <w:rFonts w:ascii="Times New Roman" w:eastAsia="Times New Roman" w:hAnsi="Times New Roman" w:cs="Times New Roman"/>
          <w:lang w:val="sr-Latn-ME" w:eastAsia="sl-SI"/>
        </w:rPr>
        <w:t xml:space="preserve"> ovim putevima, kao što su </w:t>
      </w:r>
      <w:proofErr w:type="spellStart"/>
      <w:r w:rsidRPr="007076F7">
        <w:rPr>
          <w:rFonts w:ascii="Times New Roman" w:eastAsia="Times New Roman" w:hAnsi="Times New Roman" w:cs="Times New Roman"/>
          <w:lang w:val="sr-Latn-ME" w:eastAsia="sl-SI"/>
        </w:rPr>
        <w:t>karbamazepin</w:t>
      </w:r>
      <w:proofErr w:type="spellEnd"/>
      <w:r w:rsidRPr="007076F7">
        <w:rPr>
          <w:rFonts w:ascii="Times New Roman" w:eastAsia="Times New Roman" w:hAnsi="Times New Roman" w:cs="Times New Roman"/>
          <w:lang w:val="sr-Latn-ME" w:eastAsia="sl-SI"/>
        </w:rPr>
        <w:t xml:space="preserve">, </w:t>
      </w:r>
      <w:proofErr w:type="spellStart"/>
      <w:r w:rsidRPr="007076F7">
        <w:rPr>
          <w:rFonts w:ascii="Times New Roman" w:eastAsia="Times New Roman" w:hAnsi="Times New Roman" w:cs="Times New Roman"/>
          <w:lang w:val="sr-Latn-ME" w:eastAsia="sl-SI"/>
        </w:rPr>
        <w:t>diazepam</w:t>
      </w:r>
      <w:proofErr w:type="spellEnd"/>
      <w:r w:rsidRPr="007076F7">
        <w:rPr>
          <w:rFonts w:ascii="Times New Roman" w:eastAsia="Times New Roman" w:hAnsi="Times New Roman" w:cs="Times New Roman"/>
          <w:lang w:val="sr-Latn-ME" w:eastAsia="sl-SI"/>
        </w:rPr>
        <w:t xml:space="preserve">, </w:t>
      </w:r>
      <w:proofErr w:type="spellStart"/>
      <w:r w:rsidRPr="007076F7">
        <w:rPr>
          <w:rFonts w:ascii="Times New Roman" w:eastAsia="Times New Roman" w:hAnsi="Times New Roman" w:cs="Times New Roman"/>
          <w:lang w:val="sr-Latn-ME" w:eastAsia="sl-SI"/>
        </w:rPr>
        <w:t>glibenklamid</w:t>
      </w:r>
      <w:proofErr w:type="spellEnd"/>
      <w:r w:rsidRPr="007076F7">
        <w:rPr>
          <w:rFonts w:ascii="Times New Roman" w:eastAsia="Times New Roman" w:hAnsi="Times New Roman" w:cs="Times New Roman"/>
          <w:lang w:val="sr-Latn-ME" w:eastAsia="sl-SI"/>
        </w:rPr>
        <w:t xml:space="preserve">, </w:t>
      </w:r>
      <w:proofErr w:type="spellStart"/>
      <w:r w:rsidRPr="007076F7">
        <w:rPr>
          <w:rFonts w:ascii="Times New Roman" w:eastAsia="Times New Roman" w:hAnsi="Times New Roman" w:cs="Times New Roman"/>
          <w:lang w:val="sr-Latn-ME" w:eastAsia="sl-SI"/>
        </w:rPr>
        <w:t>nifedipin</w:t>
      </w:r>
      <w:proofErr w:type="spellEnd"/>
      <w:r w:rsidRPr="007076F7">
        <w:rPr>
          <w:rFonts w:ascii="Times New Roman" w:eastAsia="Times New Roman" w:hAnsi="Times New Roman" w:cs="Times New Roman"/>
          <w:lang w:val="sr-Latn-ME" w:eastAsia="sl-SI"/>
        </w:rPr>
        <w:t xml:space="preserve"> i oralni </w:t>
      </w:r>
      <w:proofErr w:type="spellStart"/>
      <w:r w:rsidRPr="007076F7">
        <w:rPr>
          <w:rFonts w:ascii="Times New Roman" w:eastAsia="Times New Roman" w:hAnsi="Times New Roman" w:cs="Times New Roman"/>
          <w:lang w:val="sr-Latn-ME" w:eastAsia="sl-SI"/>
        </w:rPr>
        <w:t>kontraceptivi</w:t>
      </w:r>
      <w:proofErr w:type="spellEnd"/>
      <w:r w:rsidRPr="007076F7">
        <w:rPr>
          <w:rFonts w:ascii="Times New Roman" w:eastAsia="Times New Roman" w:hAnsi="Times New Roman" w:cs="Times New Roman"/>
          <w:lang w:val="sr-Latn-ME" w:eastAsia="sl-SI"/>
        </w:rPr>
        <w:t xml:space="preserve"> koji sadrže </w:t>
      </w:r>
      <w:proofErr w:type="spellStart"/>
      <w:r w:rsidRPr="007076F7">
        <w:rPr>
          <w:rFonts w:ascii="Times New Roman" w:eastAsia="Times New Roman" w:hAnsi="Times New Roman" w:cs="Times New Roman"/>
          <w:lang w:val="sr-Latn-ME" w:eastAsia="sl-SI"/>
        </w:rPr>
        <w:t>levonogestrel</w:t>
      </w:r>
      <w:proofErr w:type="spellEnd"/>
      <w:r w:rsidRPr="007076F7">
        <w:rPr>
          <w:rFonts w:ascii="Times New Roman" w:eastAsia="Times New Roman" w:hAnsi="Times New Roman" w:cs="Times New Roman"/>
          <w:lang w:val="sr-Latn-ME" w:eastAsia="sl-SI"/>
        </w:rPr>
        <w:t xml:space="preserve"> i </w:t>
      </w:r>
      <w:proofErr w:type="spellStart"/>
      <w:r w:rsidRPr="007076F7">
        <w:rPr>
          <w:rFonts w:ascii="Times New Roman" w:eastAsia="Times New Roman" w:hAnsi="Times New Roman" w:cs="Times New Roman"/>
          <w:lang w:val="sr-Latn-ME" w:eastAsia="sl-SI"/>
        </w:rPr>
        <w:t>etinilestradiol</w:t>
      </w:r>
      <w:proofErr w:type="spellEnd"/>
      <w:r w:rsidRPr="007076F7">
        <w:rPr>
          <w:rFonts w:ascii="Times New Roman" w:eastAsia="Times New Roman" w:hAnsi="Times New Roman" w:cs="Times New Roman"/>
          <w:lang w:val="sr-Latn-ME" w:eastAsia="sl-SI"/>
        </w:rPr>
        <w:t>, nisu pokazale klinički značajne interakcije.</w:t>
      </w:r>
    </w:p>
    <w:p w14:paraId="5542E5DC"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p>
    <w:p w14:paraId="5542E5DD"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r w:rsidRPr="007076F7">
        <w:rPr>
          <w:rFonts w:ascii="Times New Roman" w:eastAsia="Times New Roman" w:hAnsi="Times New Roman" w:cs="Times New Roman"/>
          <w:lang w:val="sr-Latn-ME" w:eastAsia="sl-SI"/>
        </w:rPr>
        <w:t xml:space="preserve">Ne mogu se isključiti interakcije </w:t>
      </w:r>
      <w:proofErr w:type="spellStart"/>
      <w:r w:rsidRPr="007076F7">
        <w:rPr>
          <w:rFonts w:ascii="Times New Roman" w:eastAsia="Times New Roman" w:hAnsi="Times New Roman" w:cs="Times New Roman"/>
          <w:lang w:val="sr-Latn-ME" w:eastAsia="sl-SI"/>
        </w:rPr>
        <w:t>pantoprazola</w:t>
      </w:r>
      <w:proofErr w:type="spellEnd"/>
      <w:r w:rsidRPr="007076F7">
        <w:rPr>
          <w:rFonts w:ascii="Times New Roman" w:eastAsia="Times New Roman" w:hAnsi="Times New Roman" w:cs="Times New Roman"/>
          <w:lang w:val="sr-Latn-ME" w:eastAsia="sl-SI"/>
        </w:rPr>
        <w:t xml:space="preserve"> i drugih ljekova ili jedinjenja, koji se </w:t>
      </w:r>
      <w:proofErr w:type="spellStart"/>
      <w:r w:rsidRPr="007076F7">
        <w:rPr>
          <w:rFonts w:ascii="Times New Roman" w:eastAsia="Times New Roman" w:hAnsi="Times New Roman" w:cs="Times New Roman"/>
          <w:lang w:val="sr-Latn-ME" w:eastAsia="sl-SI"/>
        </w:rPr>
        <w:t>metabolišu</w:t>
      </w:r>
      <w:proofErr w:type="spellEnd"/>
      <w:r w:rsidRPr="007076F7">
        <w:rPr>
          <w:rFonts w:ascii="Times New Roman" w:eastAsia="Times New Roman" w:hAnsi="Times New Roman" w:cs="Times New Roman"/>
          <w:lang w:val="sr-Latn-ME" w:eastAsia="sl-SI"/>
        </w:rPr>
        <w:t xml:space="preserve"> putem ovog </w:t>
      </w:r>
      <w:proofErr w:type="spellStart"/>
      <w:r w:rsidRPr="007076F7">
        <w:rPr>
          <w:rFonts w:ascii="Times New Roman" w:eastAsia="Times New Roman" w:hAnsi="Times New Roman" w:cs="Times New Roman"/>
          <w:lang w:val="sr-Latn-ME" w:eastAsia="sl-SI"/>
        </w:rPr>
        <w:t>enzimskog</w:t>
      </w:r>
      <w:proofErr w:type="spellEnd"/>
      <w:r w:rsidRPr="007076F7">
        <w:rPr>
          <w:rFonts w:ascii="Times New Roman" w:eastAsia="Times New Roman" w:hAnsi="Times New Roman" w:cs="Times New Roman"/>
          <w:lang w:val="sr-Latn-ME" w:eastAsia="sl-SI"/>
        </w:rPr>
        <w:t xml:space="preserve"> sistema.</w:t>
      </w:r>
    </w:p>
    <w:p w14:paraId="5542E5DE"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p>
    <w:p w14:paraId="5542E5DF"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r w:rsidRPr="007076F7">
        <w:rPr>
          <w:rFonts w:ascii="Times New Roman" w:eastAsia="Times New Roman" w:hAnsi="Times New Roman" w:cs="Times New Roman"/>
          <w:lang w:val="sr-Latn-ME" w:eastAsia="sl-SI"/>
        </w:rPr>
        <w:lastRenderedPageBreak/>
        <w:t xml:space="preserve">Rezultati opsežnih studija interakcija pokazali su da </w:t>
      </w:r>
      <w:proofErr w:type="spellStart"/>
      <w:r w:rsidRPr="007076F7">
        <w:rPr>
          <w:rFonts w:ascii="Times New Roman" w:eastAsia="Times New Roman" w:hAnsi="Times New Roman" w:cs="Times New Roman"/>
          <w:lang w:val="sr-Latn-ME" w:eastAsia="sl-SI"/>
        </w:rPr>
        <w:t>pantoprazol</w:t>
      </w:r>
      <w:proofErr w:type="spellEnd"/>
      <w:r w:rsidRPr="007076F7">
        <w:rPr>
          <w:rFonts w:ascii="Times New Roman" w:eastAsia="Times New Roman" w:hAnsi="Times New Roman" w:cs="Times New Roman"/>
          <w:lang w:val="sr-Latn-ME" w:eastAsia="sl-SI"/>
        </w:rPr>
        <w:t xml:space="preserve"> ne utiče na metabolizam aktivnih supstanci koje se </w:t>
      </w:r>
      <w:proofErr w:type="spellStart"/>
      <w:r w:rsidRPr="007076F7">
        <w:rPr>
          <w:rFonts w:ascii="Times New Roman" w:eastAsia="Times New Roman" w:hAnsi="Times New Roman" w:cs="Times New Roman"/>
          <w:lang w:val="sr-Latn-ME" w:eastAsia="sl-SI"/>
        </w:rPr>
        <w:t>metabolišu</w:t>
      </w:r>
      <w:proofErr w:type="spellEnd"/>
      <w:r w:rsidRPr="007076F7">
        <w:rPr>
          <w:rFonts w:ascii="Times New Roman" w:eastAsia="Times New Roman" w:hAnsi="Times New Roman" w:cs="Times New Roman"/>
          <w:lang w:val="sr-Latn-ME" w:eastAsia="sl-SI"/>
        </w:rPr>
        <w:t xml:space="preserve"> putem CYP1A2 (kao što su kofein, teofilin), CYP2C9 (kao što su </w:t>
      </w:r>
      <w:proofErr w:type="spellStart"/>
      <w:r w:rsidRPr="007076F7">
        <w:rPr>
          <w:rFonts w:ascii="Times New Roman" w:eastAsia="Times New Roman" w:hAnsi="Times New Roman" w:cs="Times New Roman"/>
          <w:lang w:val="sr-Latn-ME" w:eastAsia="sl-SI"/>
        </w:rPr>
        <w:t>piroksikam</w:t>
      </w:r>
      <w:proofErr w:type="spellEnd"/>
      <w:r w:rsidRPr="007076F7">
        <w:rPr>
          <w:rFonts w:ascii="Times New Roman" w:eastAsia="Times New Roman" w:hAnsi="Times New Roman" w:cs="Times New Roman"/>
          <w:lang w:val="sr-Latn-ME" w:eastAsia="sl-SI"/>
        </w:rPr>
        <w:t xml:space="preserve">, </w:t>
      </w:r>
      <w:proofErr w:type="spellStart"/>
      <w:r w:rsidRPr="007076F7">
        <w:rPr>
          <w:rFonts w:ascii="Times New Roman" w:eastAsia="Times New Roman" w:hAnsi="Times New Roman" w:cs="Times New Roman"/>
          <w:lang w:val="sr-Latn-ME" w:eastAsia="sl-SI"/>
        </w:rPr>
        <w:t>diklofenak</w:t>
      </w:r>
      <w:proofErr w:type="spellEnd"/>
      <w:r w:rsidRPr="007076F7">
        <w:rPr>
          <w:rFonts w:ascii="Times New Roman" w:eastAsia="Times New Roman" w:hAnsi="Times New Roman" w:cs="Times New Roman"/>
          <w:lang w:val="sr-Latn-ME" w:eastAsia="sl-SI"/>
        </w:rPr>
        <w:t xml:space="preserve">, </w:t>
      </w:r>
      <w:proofErr w:type="spellStart"/>
      <w:r w:rsidRPr="007076F7">
        <w:rPr>
          <w:rFonts w:ascii="Times New Roman" w:eastAsia="Times New Roman" w:hAnsi="Times New Roman" w:cs="Times New Roman"/>
          <w:lang w:val="sr-Latn-ME" w:eastAsia="sl-SI"/>
        </w:rPr>
        <w:t>naproksen</w:t>
      </w:r>
      <w:proofErr w:type="spellEnd"/>
      <w:r w:rsidRPr="007076F7">
        <w:rPr>
          <w:rFonts w:ascii="Times New Roman" w:eastAsia="Times New Roman" w:hAnsi="Times New Roman" w:cs="Times New Roman"/>
          <w:lang w:val="sr-Latn-ME" w:eastAsia="sl-SI"/>
        </w:rPr>
        <w:t xml:space="preserve">), CYP2D6 (kao što je </w:t>
      </w:r>
      <w:proofErr w:type="spellStart"/>
      <w:r w:rsidRPr="007076F7">
        <w:rPr>
          <w:rFonts w:ascii="Times New Roman" w:eastAsia="Times New Roman" w:hAnsi="Times New Roman" w:cs="Times New Roman"/>
          <w:lang w:val="sr-Latn-ME" w:eastAsia="sl-SI"/>
        </w:rPr>
        <w:t>metoprolol</w:t>
      </w:r>
      <w:proofErr w:type="spellEnd"/>
      <w:r w:rsidRPr="007076F7">
        <w:rPr>
          <w:rFonts w:ascii="Times New Roman" w:eastAsia="Times New Roman" w:hAnsi="Times New Roman" w:cs="Times New Roman"/>
          <w:lang w:val="sr-Latn-ME" w:eastAsia="sl-SI"/>
        </w:rPr>
        <w:t xml:space="preserve">), CYP2E1 (kao što je etanol) i ne remeti resorpciju </w:t>
      </w:r>
      <w:proofErr w:type="spellStart"/>
      <w:r w:rsidRPr="007076F7">
        <w:rPr>
          <w:rFonts w:ascii="Times New Roman" w:eastAsia="Times New Roman" w:hAnsi="Times New Roman" w:cs="Times New Roman"/>
          <w:lang w:val="sr-Latn-ME" w:eastAsia="sl-SI"/>
        </w:rPr>
        <w:t>digoksina</w:t>
      </w:r>
      <w:proofErr w:type="spellEnd"/>
      <w:r w:rsidRPr="007076F7">
        <w:rPr>
          <w:rFonts w:ascii="Times New Roman" w:eastAsia="Times New Roman" w:hAnsi="Times New Roman" w:cs="Times New Roman"/>
          <w:lang w:val="sr-Latn-ME" w:eastAsia="sl-SI"/>
        </w:rPr>
        <w:t xml:space="preserve"> povezanu sa p-</w:t>
      </w:r>
      <w:proofErr w:type="spellStart"/>
      <w:r w:rsidRPr="007076F7">
        <w:rPr>
          <w:rFonts w:ascii="Times New Roman" w:eastAsia="Times New Roman" w:hAnsi="Times New Roman" w:cs="Times New Roman"/>
          <w:lang w:val="sr-Latn-ME" w:eastAsia="sl-SI"/>
        </w:rPr>
        <w:t>glikoproteinom</w:t>
      </w:r>
      <w:proofErr w:type="spellEnd"/>
      <w:r w:rsidRPr="007076F7">
        <w:rPr>
          <w:rFonts w:ascii="Times New Roman" w:eastAsia="Times New Roman" w:hAnsi="Times New Roman" w:cs="Times New Roman"/>
          <w:lang w:val="sr-Latn-ME" w:eastAsia="sl-SI"/>
        </w:rPr>
        <w:t>.</w:t>
      </w:r>
    </w:p>
    <w:p w14:paraId="5542E5E0"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p>
    <w:p w14:paraId="5542E5E1"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r w:rsidRPr="007076F7">
        <w:rPr>
          <w:rFonts w:ascii="Times New Roman" w:eastAsia="Times New Roman" w:hAnsi="Times New Roman" w:cs="Times New Roman"/>
          <w:lang w:val="sr-Latn-ME" w:eastAsia="sl-SI"/>
        </w:rPr>
        <w:t>Nema interakcija tokom istovremene upotrebe sa antacidima.</w:t>
      </w:r>
    </w:p>
    <w:p w14:paraId="5542E5E2"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p>
    <w:p w14:paraId="5542E5E3"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r w:rsidRPr="007076F7">
        <w:rPr>
          <w:rFonts w:ascii="Times New Roman" w:eastAsia="Times New Roman" w:hAnsi="Times New Roman" w:cs="Times New Roman"/>
          <w:lang w:val="sr-Latn-ME" w:eastAsia="sl-SI"/>
        </w:rPr>
        <w:t xml:space="preserve">Takođe su sprovedene studije u kojima je istovremeno primjenjivan </w:t>
      </w:r>
      <w:proofErr w:type="spellStart"/>
      <w:r w:rsidRPr="007076F7">
        <w:rPr>
          <w:rFonts w:ascii="Times New Roman" w:eastAsia="Times New Roman" w:hAnsi="Times New Roman" w:cs="Times New Roman"/>
          <w:lang w:val="sr-Latn-ME" w:eastAsia="sl-SI"/>
        </w:rPr>
        <w:t>pantoprazol</w:t>
      </w:r>
      <w:proofErr w:type="spellEnd"/>
      <w:r w:rsidRPr="007076F7">
        <w:rPr>
          <w:rFonts w:ascii="Times New Roman" w:eastAsia="Times New Roman" w:hAnsi="Times New Roman" w:cs="Times New Roman"/>
          <w:lang w:val="sr-Latn-ME" w:eastAsia="sl-SI"/>
        </w:rPr>
        <w:t xml:space="preserve"> sa odgovarajućim antibioticima (</w:t>
      </w:r>
      <w:proofErr w:type="spellStart"/>
      <w:r w:rsidRPr="007076F7">
        <w:rPr>
          <w:rFonts w:ascii="Times New Roman" w:eastAsia="Times New Roman" w:hAnsi="Times New Roman" w:cs="Times New Roman"/>
          <w:lang w:val="sr-Latn-ME" w:eastAsia="sl-SI"/>
        </w:rPr>
        <w:t>klaritromicin</w:t>
      </w:r>
      <w:proofErr w:type="spellEnd"/>
      <w:r w:rsidRPr="007076F7">
        <w:rPr>
          <w:rFonts w:ascii="Times New Roman" w:eastAsia="Times New Roman" w:hAnsi="Times New Roman" w:cs="Times New Roman"/>
          <w:lang w:val="sr-Latn-ME" w:eastAsia="sl-SI"/>
        </w:rPr>
        <w:t xml:space="preserve">, </w:t>
      </w:r>
      <w:proofErr w:type="spellStart"/>
      <w:r w:rsidRPr="007076F7">
        <w:rPr>
          <w:rFonts w:ascii="Times New Roman" w:eastAsia="Times New Roman" w:hAnsi="Times New Roman" w:cs="Times New Roman"/>
          <w:lang w:val="sr-Latn-ME" w:eastAsia="sl-SI"/>
        </w:rPr>
        <w:t>metronidazol</w:t>
      </w:r>
      <w:proofErr w:type="spellEnd"/>
      <w:r w:rsidRPr="007076F7">
        <w:rPr>
          <w:rFonts w:ascii="Times New Roman" w:eastAsia="Times New Roman" w:hAnsi="Times New Roman" w:cs="Times New Roman"/>
          <w:lang w:val="sr-Latn-ME" w:eastAsia="sl-SI"/>
        </w:rPr>
        <w:t xml:space="preserve">, </w:t>
      </w:r>
      <w:proofErr w:type="spellStart"/>
      <w:r w:rsidRPr="007076F7">
        <w:rPr>
          <w:rFonts w:ascii="Times New Roman" w:eastAsia="Times New Roman" w:hAnsi="Times New Roman" w:cs="Times New Roman"/>
          <w:lang w:val="sr-Latn-ME" w:eastAsia="sl-SI"/>
        </w:rPr>
        <w:t>amoksicilin</w:t>
      </w:r>
      <w:proofErr w:type="spellEnd"/>
      <w:r w:rsidRPr="007076F7">
        <w:rPr>
          <w:rFonts w:ascii="Times New Roman" w:eastAsia="Times New Roman" w:hAnsi="Times New Roman" w:cs="Times New Roman"/>
          <w:lang w:val="sr-Latn-ME" w:eastAsia="sl-SI"/>
        </w:rPr>
        <w:t>). Nisu utvrđene klinički značajne interakcije.</w:t>
      </w:r>
    </w:p>
    <w:p w14:paraId="5542E5E4"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p>
    <w:p w14:paraId="5542E5E5" w14:textId="77777777" w:rsidR="002E7166" w:rsidRPr="00AE0627" w:rsidRDefault="002E7166">
      <w:pPr>
        <w:tabs>
          <w:tab w:val="left" w:pos="284"/>
        </w:tabs>
        <w:spacing w:after="0" w:line="240" w:lineRule="auto"/>
        <w:jc w:val="both"/>
        <w:rPr>
          <w:rFonts w:ascii="Times New Roman" w:eastAsia="Times New Roman" w:hAnsi="Times New Roman" w:cs="Times New Roman"/>
          <w:i/>
          <w:lang w:val="sr-Latn-ME" w:eastAsia="sl-SI"/>
        </w:rPr>
      </w:pPr>
      <w:r w:rsidRPr="00AE0627">
        <w:rPr>
          <w:rFonts w:ascii="Times New Roman" w:eastAsia="Times New Roman" w:hAnsi="Times New Roman" w:cs="Times New Roman"/>
          <w:i/>
          <w:lang w:val="sr-Latn-ME" w:eastAsia="sl-SI"/>
        </w:rPr>
        <w:t>Ljekovi koji inhibiraju/indukuju CYP2C19:</w:t>
      </w:r>
    </w:p>
    <w:p w14:paraId="5542E5E6"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r w:rsidRPr="007076F7">
        <w:rPr>
          <w:rFonts w:ascii="Times New Roman" w:eastAsia="Times New Roman" w:hAnsi="Times New Roman" w:cs="Times New Roman"/>
          <w:lang w:val="sr-Latn-ME" w:eastAsia="sl-SI"/>
        </w:rPr>
        <w:t xml:space="preserve">CYP2C19 inhibitori, kao što je </w:t>
      </w:r>
      <w:proofErr w:type="spellStart"/>
      <w:r w:rsidRPr="007076F7">
        <w:rPr>
          <w:rFonts w:ascii="Times New Roman" w:eastAsia="Times New Roman" w:hAnsi="Times New Roman" w:cs="Times New Roman"/>
          <w:lang w:val="sr-Latn-ME" w:eastAsia="sl-SI"/>
        </w:rPr>
        <w:t>fluvoksamin</w:t>
      </w:r>
      <w:proofErr w:type="spellEnd"/>
      <w:r w:rsidRPr="007076F7">
        <w:rPr>
          <w:rFonts w:ascii="Times New Roman" w:eastAsia="Times New Roman" w:hAnsi="Times New Roman" w:cs="Times New Roman"/>
          <w:lang w:val="sr-Latn-ME" w:eastAsia="sl-SI"/>
        </w:rPr>
        <w:t xml:space="preserve">, mogu da povećaju sistemsku izloženost </w:t>
      </w:r>
      <w:proofErr w:type="spellStart"/>
      <w:r w:rsidRPr="007076F7">
        <w:rPr>
          <w:rFonts w:ascii="Times New Roman" w:eastAsia="Times New Roman" w:hAnsi="Times New Roman" w:cs="Times New Roman"/>
          <w:lang w:val="sr-Latn-ME" w:eastAsia="sl-SI"/>
        </w:rPr>
        <w:t>pantoprazolu</w:t>
      </w:r>
      <w:proofErr w:type="spellEnd"/>
      <w:r w:rsidRPr="007076F7">
        <w:rPr>
          <w:rFonts w:ascii="Times New Roman" w:eastAsia="Times New Roman" w:hAnsi="Times New Roman" w:cs="Times New Roman"/>
          <w:lang w:val="sr-Latn-ME" w:eastAsia="sl-SI"/>
        </w:rPr>
        <w:t xml:space="preserve">. Potrebno je razmotriti smanjenje doze lijeka kod pacijenata na dugotrajnoj terapiji visokim dozama </w:t>
      </w:r>
      <w:proofErr w:type="spellStart"/>
      <w:r w:rsidRPr="007076F7">
        <w:rPr>
          <w:rFonts w:ascii="Times New Roman" w:eastAsia="Times New Roman" w:hAnsi="Times New Roman" w:cs="Times New Roman"/>
          <w:lang w:val="sr-Latn-ME" w:eastAsia="sl-SI"/>
        </w:rPr>
        <w:t>pantoprazola</w:t>
      </w:r>
      <w:proofErr w:type="spellEnd"/>
      <w:r w:rsidRPr="007076F7">
        <w:rPr>
          <w:rFonts w:ascii="Times New Roman" w:eastAsia="Times New Roman" w:hAnsi="Times New Roman" w:cs="Times New Roman"/>
          <w:lang w:val="sr-Latn-ME" w:eastAsia="sl-SI"/>
        </w:rPr>
        <w:t xml:space="preserve"> ili kod pacijenata sa oštećenom funkcijom jetre.</w:t>
      </w:r>
    </w:p>
    <w:p w14:paraId="5542E5E7"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p>
    <w:p w14:paraId="5542E5E8"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eastAsia="sl-SI"/>
        </w:rPr>
      </w:pPr>
      <w:r w:rsidRPr="007076F7">
        <w:rPr>
          <w:rFonts w:ascii="Times New Roman" w:eastAsia="Times New Roman" w:hAnsi="Times New Roman" w:cs="Times New Roman"/>
          <w:lang w:val="sr-Latn-ME" w:eastAsia="sl-SI"/>
        </w:rPr>
        <w:t xml:space="preserve">CYP2C19 i CYP3A4 induktori, kao što su </w:t>
      </w:r>
      <w:proofErr w:type="spellStart"/>
      <w:r w:rsidRPr="007076F7">
        <w:rPr>
          <w:rFonts w:ascii="Times New Roman" w:eastAsia="Times New Roman" w:hAnsi="Times New Roman" w:cs="Times New Roman"/>
          <w:lang w:val="sr-Latn-ME" w:eastAsia="sl-SI"/>
        </w:rPr>
        <w:t>rifampicin</w:t>
      </w:r>
      <w:proofErr w:type="spellEnd"/>
      <w:r w:rsidRPr="007076F7">
        <w:rPr>
          <w:rFonts w:ascii="Times New Roman" w:eastAsia="Times New Roman" w:hAnsi="Times New Roman" w:cs="Times New Roman"/>
          <w:lang w:val="sr-Latn-ME" w:eastAsia="sl-SI"/>
        </w:rPr>
        <w:t xml:space="preserve"> i kantarion (</w:t>
      </w:r>
      <w:proofErr w:type="spellStart"/>
      <w:r w:rsidRPr="007076F7">
        <w:rPr>
          <w:rFonts w:ascii="Times New Roman" w:eastAsia="Times New Roman" w:hAnsi="Times New Roman" w:cs="Times New Roman"/>
          <w:i/>
          <w:lang w:val="sr-Latn-ME" w:eastAsia="sl-SI"/>
        </w:rPr>
        <w:t>Hypericum</w:t>
      </w:r>
      <w:proofErr w:type="spellEnd"/>
      <w:r w:rsidRPr="007076F7">
        <w:rPr>
          <w:rFonts w:ascii="Times New Roman" w:eastAsia="Times New Roman" w:hAnsi="Times New Roman" w:cs="Times New Roman"/>
          <w:i/>
          <w:lang w:val="sr-Latn-ME" w:eastAsia="sl-SI"/>
        </w:rPr>
        <w:t xml:space="preserve"> </w:t>
      </w:r>
      <w:proofErr w:type="spellStart"/>
      <w:r w:rsidRPr="007076F7">
        <w:rPr>
          <w:rFonts w:ascii="Times New Roman" w:eastAsia="Times New Roman" w:hAnsi="Times New Roman" w:cs="Times New Roman"/>
          <w:i/>
          <w:lang w:val="sr-Latn-ME" w:eastAsia="sl-SI"/>
        </w:rPr>
        <w:t>perforatum</w:t>
      </w:r>
      <w:proofErr w:type="spellEnd"/>
      <w:r w:rsidRPr="007076F7">
        <w:rPr>
          <w:rFonts w:ascii="Times New Roman" w:eastAsia="Times New Roman" w:hAnsi="Times New Roman" w:cs="Times New Roman"/>
          <w:lang w:val="sr-Latn-ME" w:eastAsia="sl-SI"/>
        </w:rPr>
        <w:t xml:space="preserve">) mogu da smanje koncentraciju inhibitora protonske pumpe u plazmi, koji se </w:t>
      </w:r>
      <w:proofErr w:type="spellStart"/>
      <w:r w:rsidRPr="007076F7">
        <w:rPr>
          <w:rFonts w:ascii="Times New Roman" w:eastAsia="Times New Roman" w:hAnsi="Times New Roman" w:cs="Times New Roman"/>
          <w:lang w:val="sr-Latn-ME" w:eastAsia="sl-SI"/>
        </w:rPr>
        <w:t>metabolišu</w:t>
      </w:r>
      <w:proofErr w:type="spellEnd"/>
      <w:r w:rsidRPr="007076F7">
        <w:rPr>
          <w:rFonts w:ascii="Times New Roman" w:eastAsia="Times New Roman" w:hAnsi="Times New Roman" w:cs="Times New Roman"/>
          <w:lang w:val="sr-Latn-ME" w:eastAsia="sl-SI"/>
        </w:rPr>
        <w:t xml:space="preserve"> posredstvom ovih enzima.</w:t>
      </w:r>
    </w:p>
    <w:p w14:paraId="5542E5E9" w14:textId="77777777" w:rsidR="00DC1D8A" w:rsidRPr="007076F7" w:rsidRDefault="00DC1D8A">
      <w:pPr>
        <w:tabs>
          <w:tab w:val="left" w:pos="284"/>
        </w:tabs>
        <w:spacing w:after="0" w:line="240" w:lineRule="auto"/>
        <w:jc w:val="both"/>
        <w:rPr>
          <w:rFonts w:ascii="Times New Roman" w:eastAsia="Times New Roman" w:hAnsi="Times New Roman" w:cs="Times New Roman"/>
          <w:lang w:val="sr-Latn-ME" w:eastAsia="sl-SI"/>
        </w:rPr>
      </w:pPr>
    </w:p>
    <w:p w14:paraId="5C699CCE" w14:textId="77777777" w:rsidR="009278F2" w:rsidRPr="007076F7" w:rsidRDefault="009278F2">
      <w:pPr>
        <w:tabs>
          <w:tab w:val="left" w:pos="284"/>
        </w:tabs>
        <w:spacing w:after="0" w:line="240" w:lineRule="auto"/>
        <w:jc w:val="both"/>
        <w:rPr>
          <w:rFonts w:ascii="Times New Roman" w:eastAsia="Times New Roman" w:hAnsi="Times New Roman" w:cs="Times New Roman"/>
          <w:i/>
          <w:iCs/>
          <w:lang w:val="sl-SI"/>
        </w:rPr>
      </w:pPr>
      <w:r w:rsidRPr="007076F7">
        <w:rPr>
          <w:rFonts w:ascii="Times New Roman" w:eastAsia="Times New Roman" w:hAnsi="Times New Roman" w:cs="Times New Roman"/>
          <w:i/>
          <w:iCs/>
          <w:lang w:val="sl-SI"/>
        </w:rPr>
        <w:t>Interakcije između ljekova i laboratorijskih testova</w:t>
      </w:r>
    </w:p>
    <w:p w14:paraId="56BCAAEB" w14:textId="40D54DD4" w:rsidR="009278F2" w:rsidRPr="007076F7" w:rsidRDefault="009278F2">
      <w:pPr>
        <w:tabs>
          <w:tab w:val="left" w:pos="284"/>
        </w:tabs>
        <w:spacing w:after="0" w:line="240" w:lineRule="auto"/>
        <w:jc w:val="both"/>
        <w:rPr>
          <w:rFonts w:ascii="Times New Roman" w:eastAsia="Times New Roman" w:hAnsi="Times New Roman" w:cs="Times New Roman"/>
          <w:lang w:val="sl-SI"/>
        </w:rPr>
      </w:pPr>
      <w:r w:rsidRPr="007076F7">
        <w:rPr>
          <w:rFonts w:ascii="Times New Roman" w:eastAsia="Times New Roman" w:hAnsi="Times New Roman" w:cs="Times New Roman"/>
          <w:lang w:val="sl-SI"/>
        </w:rPr>
        <w:t>Prijavljeni su slučajevi lažno pozitivnih rezultata nekih skrining testova urina na tetrahidrokanabinol (THC) kod pacijenata koji su bili na terapiji pantoprazolom. Potrebno je razmotriti alternativni metod za potvrdu pozitivnih rezultata.</w:t>
      </w:r>
    </w:p>
    <w:p w14:paraId="4C6185C3" w14:textId="77777777" w:rsidR="009278F2" w:rsidRPr="007076F7" w:rsidRDefault="009278F2">
      <w:pPr>
        <w:tabs>
          <w:tab w:val="left" w:pos="284"/>
        </w:tabs>
        <w:spacing w:after="0" w:line="240" w:lineRule="auto"/>
        <w:jc w:val="both"/>
        <w:rPr>
          <w:rFonts w:ascii="Times New Roman" w:eastAsia="Times New Roman" w:hAnsi="Times New Roman" w:cs="Times New Roman"/>
          <w:b/>
          <w:bCs/>
          <w:lang w:val="sr-Latn-ME"/>
        </w:rPr>
      </w:pPr>
    </w:p>
    <w:p w14:paraId="5542E5EA" w14:textId="414D451F"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4.6. Plodnost, trudnoća i dojenje</w:t>
      </w:r>
    </w:p>
    <w:p w14:paraId="5542E5EB" w14:textId="77777777" w:rsidR="002E7166" w:rsidRPr="007076F7" w:rsidRDefault="002E7166">
      <w:pPr>
        <w:tabs>
          <w:tab w:val="left" w:pos="284"/>
          <w:tab w:val="center" w:pos="4536"/>
          <w:tab w:val="right" w:pos="9072"/>
        </w:tabs>
        <w:spacing w:after="0" w:line="240" w:lineRule="auto"/>
        <w:jc w:val="both"/>
        <w:rPr>
          <w:rFonts w:ascii="Times New Roman" w:eastAsia="Times New Roman" w:hAnsi="Times New Roman" w:cs="Times New Roman"/>
          <w:i/>
          <w:highlight w:val="yellow"/>
          <w:lang w:val="sr-Latn-ME"/>
        </w:rPr>
      </w:pPr>
    </w:p>
    <w:p w14:paraId="5542E5EC"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r w:rsidRPr="007076F7">
        <w:rPr>
          <w:rFonts w:ascii="Times New Roman" w:eastAsia="Times New Roman" w:hAnsi="Times New Roman" w:cs="Times New Roman"/>
          <w:i/>
          <w:iCs/>
          <w:u w:val="single"/>
          <w:lang w:val="sr-Latn-ME"/>
        </w:rPr>
        <w:t>Trudnoća</w:t>
      </w:r>
    </w:p>
    <w:p w14:paraId="5542E5ED" w14:textId="77777777" w:rsidR="002E7166" w:rsidRPr="007076F7" w:rsidRDefault="002E7166">
      <w:pPr>
        <w:tabs>
          <w:tab w:val="center" w:pos="4536"/>
          <w:tab w:val="right" w:pos="9072"/>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Ograničen broj podataka kod trudnica (između 300-1000 ishoda trudnoće) ukazuje da </w:t>
      </w:r>
      <w:proofErr w:type="spellStart"/>
      <w:r w:rsidRPr="007076F7">
        <w:rPr>
          <w:rFonts w:ascii="Times New Roman" w:eastAsia="Times New Roman" w:hAnsi="Times New Roman" w:cs="Times New Roman"/>
          <w:lang w:val="sr-Latn-ME"/>
        </w:rPr>
        <w:t>pantoprazol</w:t>
      </w:r>
      <w:proofErr w:type="spellEnd"/>
      <w:r w:rsidRPr="007076F7">
        <w:rPr>
          <w:rFonts w:ascii="Times New Roman" w:eastAsia="Times New Roman" w:hAnsi="Times New Roman" w:cs="Times New Roman"/>
          <w:lang w:val="sr-Latn-ME"/>
        </w:rPr>
        <w:t xml:space="preserve"> nema </w:t>
      </w:r>
      <w:proofErr w:type="spellStart"/>
      <w:r w:rsidRPr="007076F7">
        <w:rPr>
          <w:rFonts w:ascii="Times New Roman" w:eastAsia="Times New Roman" w:hAnsi="Times New Roman" w:cs="Times New Roman"/>
          <w:lang w:val="sr-Latn-ME"/>
        </w:rPr>
        <w:t>malformativnu</w:t>
      </w:r>
      <w:proofErr w:type="spellEnd"/>
      <w:r w:rsidRPr="007076F7">
        <w:rPr>
          <w:rFonts w:ascii="Times New Roman" w:eastAsia="Times New Roman" w:hAnsi="Times New Roman" w:cs="Times New Roman"/>
          <w:lang w:val="sr-Latn-ME"/>
        </w:rPr>
        <w:t xml:space="preserve"> ili </w:t>
      </w:r>
      <w:proofErr w:type="spellStart"/>
      <w:r w:rsidRPr="007076F7">
        <w:rPr>
          <w:rFonts w:ascii="Times New Roman" w:eastAsia="Times New Roman" w:hAnsi="Times New Roman" w:cs="Times New Roman"/>
          <w:lang w:val="sr-Latn-ME"/>
        </w:rPr>
        <w:t>feto</w:t>
      </w:r>
      <w:proofErr w:type="spellEnd"/>
      <w:r w:rsidRPr="007076F7">
        <w:rPr>
          <w:rFonts w:ascii="Times New Roman" w:eastAsia="Times New Roman" w:hAnsi="Times New Roman" w:cs="Times New Roman"/>
          <w:lang w:val="sr-Latn-ME"/>
        </w:rPr>
        <w:t>/</w:t>
      </w:r>
      <w:proofErr w:type="spellStart"/>
      <w:r w:rsidRPr="007076F7">
        <w:rPr>
          <w:rFonts w:ascii="Times New Roman" w:eastAsia="Times New Roman" w:hAnsi="Times New Roman" w:cs="Times New Roman"/>
          <w:lang w:val="sr-Latn-ME"/>
        </w:rPr>
        <w:t>neonatalnu</w:t>
      </w:r>
      <w:proofErr w:type="spellEnd"/>
      <w:r w:rsidRPr="007076F7">
        <w:rPr>
          <w:rFonts w:ascii="Times New Roman" w:eastAsia="Times New Roman" w:hAnsi="Times New Roman" w:cs="Times New Roman"/>
          <w:lang w:val="sr-Latn-ME"/>
        </w:rPr>
        <w:t xml:space="preserve"> toksičnost.</w:t>
      </w:r>
    </w:p>
    <w:p w14:paraId="5542E5EE" w14:textId="10148F0C" w:rsidR="002E7166" w:rsidRPr="007076F7" w:rsidRDefault="002E7166">
      <w:pPr>
        <w:tabs>
          <w:tab w:val="center" w:pos="4536"/>
          <w:tab w:val="right" w:pos="9072"/>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Ispitivanja na životinjama su pokazala reproduktivnu toksičnost (</w:t>
      </w:r>
      <w:r w:rsidR="00DF56B9" w:rsidRPr="007076F7">
        <w:rPr>
          <w:rFonts w:ascii="Times New Roman" w:eastAsia="Times New Roman" w:hAnsi="Times New Roman" w:cs="Times New Roman"/>
          <w:lang w:val="sl-SI"/>
        </w:rPr>
        <w:t xml:space="preserve">pogledati dio </w:t>
      </w:r>
      <w:r w:rsidRPr="007076F7">
        <w:rPr>
          <w:rFonts w:ascii="Times New Roman" w:eastAsia="Times New Roman" w:hAnsi="Times New Roman" w:cs="Times New Roman"/>
          <w:lang w:val="sr-Latn-ME"/>
        </w:rPr>
        <w:t>5.3).</w:t>
      </w:r>
    </w:p>
    <w:p w14:paraId="5542E5EF" w14:textId="77777777" w:rsidR="002E7166" w:rsidRPr="007076F7" w:rsidRDefault="002E7166">
      <w:pPr>
        <w:tabs>
          <w:tab w:val="center" w:pos="4536"/>
          <w:tab w:val="right" w:pos="9072"/>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Kao mjera opreza, poželjno je izbjegavati primjenu lijeka </w:t>
      </w:r>
      <w:proofErr w:type="spellStart"/>
      <w:r w:rsidRPr="007076F7">
        <w:rPr>
          <w:rFonts w:ascii="Times New Roman" w:eastAsia="Times New Roman" w:hAnsi="Times New Roman" w:cs="Times New Roman"/>
          <w:lang w:val="sr-Latn-ME"/>
        </w:rPr>
        <w:t>Pepticaid</w:t>
      </w:r>
      <w:proofErr w:type="spellEnd"/>
      <w:r w:rsidRPr="007076F7">
        <w:rPr>
          <w:rFonts w:ascii="Times New Roman" w:eastAsia="Times New Roman" w:hAnsi="Times New Roman" w:cs="Times New Roman"/>
          <w:lang w:val="sr-Latn-ME"/>
        </w:rPr>
        <w:t xml:space="preserve"> tokom trudnoće.</w:t>
      </w:r>
    </w:p>
    <w:p w14:paraId="5542E5F0"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5F1"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r w:rsidRPr="007076F7">
        <w:rPr>
          <w:rFonts w:ascii="Times New Roman" w:eastAsia="Times New Roman" w:hAnsi="Times New Roman" w:cs="Times New Roman"/>
          <w:i/>
          <w:iCs/>
          <w:u w:val="single"/>
          <w:lang w:val="sr-Latn-ME"/>
        </w:rPr>
        <w:t>Dojenje</w:t>
      </w:r>
    </w:p>
    <w:p w14:paraId="5542E5F2" w14:textId="16471ECE" w:rsidR="002E7166" w:rsidRPr="007076F7" w:rsidRDefault="002E7166">
      <w:pPr>
        <w:tabs>
          <w:tab w:val="center" w:pos="4536"/>
          <w:tab w:val="right" w:pos="9072"/>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Studije na životinjama su pokazale da se </w:t>
      </w:r>
      <w:proofErr w:type="spellStart"/>
      <w:r w:rsidRPr="007076F7">
        <w:rPr>
          <w:rFonts w:ascii="Times New Roman" w:eastAsia="Times New Roman" w:hAnsi="Times New Roman" w:cs="Times New Roman"/>
          <w:lang w:val="sr-Latn-ME"/>
        </w:rPr>
        <w:t>pantoprazol</w:t>
      </w:r>
      <w:proofErr w:type="spellEnd"/>
      <w:r w:rsidRPr="007076F7">
        <w:rPr>
          <w:rFonts w:ascii="Times New Roman" w:eastAsia="Times New Roman" w:hAnsi="Times New Roman" w:cs="Times New Roman"/>
          <w:lang w:val="sr-Latn-ME"/>
        </w:rPr>
        <w:t xml:space="preserve"> izlučuje putem mlijeka. Nema dovoljno podataka o izlučivanju </w:t>
      </w:r>
      <w:proofErr w:type="spellStart"/>
      <w:r w:rsidRPr="007076F7">
        <w:rPr>
          <w:rFonts w:ascii="Times New Roman" w:eastAsia="Times New Roman" w:hAnsi="Times New Roman" w:cs="Times New Roman"/>
          <w:lang w:val="sr-Latn-ME"/>
        </w:rPr>
        <w:t>pantoprazola</w:t>
      </w:r>
      <w:proofErr w:type="spellEnd"/>
      <w:r w:rsidRPr="007076F7">
        <w:rPr>
          <w:rFonts w:ascii="Times New Roman" w:eastAsia="Times New Roman" w:hAnsi="Times New Roman" w:cs="Times New Roman"/>
          <w:lang w:val="sr-Latn-ME"/>
        </w:rPr>
        <w:t xml:space="preserve"> u humano mlijeko, ali </w:t>
      </w:r>
      <w:r w:rsidR="00DF56B9" w:rsidRPr="007076F7">
        <w:rPr>
          <w:rFonts w:ascii="Times New Roman" w:eastAsia="Times New Roman" w:hAnsi="Times New Roman" w:cs="Times New Roman"/>
          <w:lang w:val="sr-Latn-RS"/>
        </w:rPr>
        <w:t xml:space="preserve">postoji izveštaj i o ekskreciji u </w:t>
      </w:r>
      <w:proofErr w:type="spellStart"/>
      <w:r w:rsidR="00DF56B9" w:rsidRPr="007076F7">
        <w:rPr>
          <w:rFonts w:ascii="Times New Roman" w:eastAsia="Times New Roman" w:hAnsi="Times New Roman" w:cs="Times New Roman"/>
          <w:lang w:val="sr-Latn-RS"/>
        </w:rPr>
        <w:t>mlijeko</w:t>
      </w:r>
      <w:proofErr w:type="spellEnd"/>
      <w:r w:rsidR="00DF56B9" w:rsidRPr="007076F7">
        <w:rPr>
          <w:rFonts w:ascii="Times New Roman" w:eastAsia="Times New Roman" w:hAnsi="Times New Roman" w:cs="Times New Roman"/>
          <w:lang w:val="sr-Latn-RS"/>
        </w:rPr>
        <w:t xml:space="preserve"> kod žena. </w:t>
      </w:r>
      <w:r w:rsidRPr="007076F7">
        <w:rPr>
          <w:rFonts w:ascii="Times New Roman" w:eastAsia="Times New Roman" w:hAnsi="Times New Roman" w:cs="Times New Roman"/>
          <w:lang w:val="sr-Latn-ME"/>
        </w:rPr>
        <w:t xml:space="preserve">Rizik po novorođenče/odojče se ne može isključiti. Zbog toga odluku o prekidu dojenja ili prekidu/uzdržavanju od terapije </w:t>
      </w:r>
      <w:proofErr w:type="spellStart"/>
      <w:r w:rsidRPr="007076F7">
        <w:rPr>
          <w:rFonts w:ascii="Times New Roman" w:eastAsia="Times New Roman" w:hAnsi="Times New Roman" w:cs="Times New Roman"/>
          <w:lang w:val="sr-Latn-ME"/>
        </w:rPr>
        <w:t>pantoprazolom</w:t>
      </w:r>
      <w:proofErr w:type="spellEnd"/>
      <w:r w:rsidRPr="007076F7">
        <w:rPr>
          <w:rFonts w:ascii="Times New Roman" w:eastAsia="Times New Roman" w:hAnsi="Times New Roman" w:cs="Times New Roman"/>
          <w:lang w:val="sr-Latn-ME"/>
        </w:rPr>
        <w:t xml:space="preserve"> treba donijeti uzimajući u obzir korist dojenja za dijete i korist primjene terapije </w:t>
      </w:r>
      <w:r w:rsidR="00DF56B9" w:rsidRPr="007076F7">
        <w:rPr>
          <w:rFonts w:ascii="Times New Roman" w:eastAsia="Times New Roman" w:hAnsi="Times New Roman" w:cs="Times New Roman"/>
          <w:lang w:val="sr-Latn-ME"/>
        </w:rPr>
        <w:t>kod majke.</w:t>
      </w:r>
    </w:p>
    <w:p w14:paraId="5542E5F3"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5F4" w14:textId="77777777" w:rsidR="002E7166" w:rsidRPr="007076F7" w:rsidRDefault="002E7166">
      <w:pPr>
        <w:tabs>
          <w:tab w:val="left" w:pos="284"/>
        </w:tabs>
        <w:spacing w:after="0" w:line="240" w:lineRule="auto"/>
        <w:jc w:val="both"/>
        <w:rPr>
          <w:rFonts w:ascii="Times New Roman" w:eastAsia="Times New Roman" w:hAnsi="Times New Roman" w:cs="Times New Roman"/>
          <w:i/>
          <w:u w:val="single"/>
          <w:lang w:val="sr-Latn-ME"/>
        </w:rPr>
      </w:pPr>
      <w:r w:rsidRPr="007076F7">
        <w:rPr>
          <w:rFonts w:ascii="Times New Roman" w:eastAsia="Times New Roman" w:hAnsi="Times New Roman" w:cs="Times New Roman"/>
          <w:i/>
          <w:u w:val="single"/>
          <w:lang w:val="sr-Latn-ME"/>
        </w:rPr>
        <w:t>Plodnost</w:t>
      </w:r>
    </w:p>
    <w:p w14:paraId="5542E5F5" w14:textId="0BABA400" w:rsidR="002E7166" w:rsidRPr="007076F7" w:rsidRDefault="002E7166">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Ispitivanja na životinjama nisu pokazala da primjena </w:t>
      </w:r>
      <w:proofErr w:type="spellStart"/>
      <w:r w:rsidRPr="007076F7">
        <w:rPr>
          <w:rFonts w:ascii="Times New Roman" w:eastAsia="Times New Roman" w:hAnsi="Times New Roman" w:cs="Times New Roman"/>
          <w:lang w:val="sr-Latn-ME"/>
        </w:rPr>
        <w:t>pantoprazola</w:t>
      </w:r>
      <w:proofErr w:type="spellEnd"/>
      <w:r w:rsidRPr="007076F7">
        <w:rPr>
          <w:rFonts w:ascii="Times New Roman" w:eastAsia="Times New Roman" w:hAnsi="Times New Roman" w:cs="Times New Roman"/>
          <w:lang w:val="sr-Latn-ME"/>
        </w:rPr>
        <w:t xml:space="preserve"> ima uticaja na</w:t>
      </w:r>
      <w:r w:rsidR="00DF56B9" w:rsidRPr="007076F7">
        <w:rPr>
          <w:rFonts w:ascii="Times New Roman" w:eastAsia="Times New Roman" w:hAnsi="Times New Roman" w:cs="Times New Roman"/>
          <w:lang w:val="sr-Latn-ME"/>
        </w:rPr>
        <w:t xml:space="preserve"> </w:t>
      </w:r>
      <w:r w:rsidRPr="007076F7">
        <w:rPr>
          <w:rFonts w:ascii="Times New Roman" w:eastAsia="Times New Roman" w:hAnsi="Times New Roman" w:cs="Times New Roman"/>
          <w:lang w:val="sr-Latn-ME"/>
        </w:rPr>
        <w:t>plodnost (</w:t>
      </w:r>
      <w:r w:rsidR="00DF56B9" w:rsidRPr="007076F7">
        <w:rPr>
          <w:rFonts w:ascii="Times New Roman" w:eastAsia="Times New Roman" w:hAnsi="Times New Roman" w:cs="Times New Roman"/>
          <w:lang w:val="nl-BE"/>
        </w:rPr>
        <w:t>pogledati dio</w:t>
      </w:r>
      <w:r w:rsidR="00DF56B9" w:rsidRPr="007076F7" w:rsidDel="00DF56B9">
        <w:rPr>
          <w:rFonts w:ascii="Times New Roman" w:eastAsia="Times New Roman" w:hAnsi="Times New Roman" w:cs="Times New Roman"/>
          <w:lang w:val="sr-Latn-ME"/>
        </w:rPr>
        <w:t xml:space="preserve"> </w:t>
      </w:r>
      <w:r w:rsidRPr="007076F7">
        <w:rPr>
          <w:rFonts w:ascii="Times New Roman" w:eastAsia="Times New Roman" w:hAnsi="Times New Roman" w:cs="Times New Roman"/>
          <w:lang w:val="sr-Latn-ME"/>
        </w:rPr>
        <w:t>5.3).</w:t>
      </w:r>
    </w:p>
    <w:p w14:paraId="5542E5F6"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5F7" w14:textId="52BF45C0" w:rsidR="002E7166" w:rsidRPr="007076F7" w:rsidRDefault="002E7166">
      <w:pPr>
        <w:tabs>
          <w:tab w:val="left" w:pos="284"/>
        </w:tabs>
        <w:spacing w:after="0" w:line="240" w:lineRule="auto"/>
        <w:jc w:val="both"/>
        <w:rPr>
          <w:rFonts w:ascii="Times New Roman" w:eastAsia="Times New Roman" w:hAnsi="Times New Roman" w:cs="Times New Roman"/>
          <w:b/>
          <w:bCs/>
          <w:spacing w:val="-8"/>
          <w:lang w:val="sr-Latn-ME"/>
        </w:rPr>
      </w:pPr>
      <w:r w:rsidRPr="007076F7">
        <w:rPr>
          <w:rFonts w:ascii="Times New Roman" w:eastAsia="Times New Roman" w:hAnsi="Times New Roman" w:cs="Times New Roman"/>
          <w:b/>
          <w:bCs/>
          <w:spacing w:val="-8"/>
          <w:lang w:val="sr-Latn-ME"/>
        </w:rPr>
        <w:t>4.7. Uticaj na sposobnost upravljanja vozilima i rukovanj</w:t>
      </w:r>
      <w:r w:rsidR="00DF56B9" w:rsidRPr="007076F7">
        <w:rPr>
          <w:rFonts w:ascii="Times New Roman" w:eastAsia="Times New Roman" w:hAnsi="Times New Roman" w:cs="Times New Roman"/>
          <w:b/>
          <w:bCs/>
          <w:spacing w:val="-8"/>
          <w:lang w:val="sr-Latn-ME"/>
        </w:rPr>
        <w:t>e</w:t>
      </w:r>
      <w:r w:rsidRPr="007076F7">
        <w:rPr>
          <w:rFonts w:ascii="Times New Roman" w:eastAsia="Times New Roman" w:hAnsi="Times New Roman" w:cs="Times New Roman"/>
          <w:b/>
          <w:bCs/>
          <w:spacing w:val="-8"/>
          <w:lang w:val="sr-Latn-ME"/>
        </w:rPr>
        <w:t xml:space="preserve"> mašinama</w:t>
      </w:r>
    </w:p>
    <w:p w14:paraId="5542E5F8" w14:textId="77777777" w:rsidR="002E7166" w:rsidRPr="007076F7" w:rsidRDefault="002E7166">
      <w:pPr>
        <w:widowControl w:val="0"/>
        <w:spacing w:after="0" w:line="240" w:lineRule="auto"/>
        <w:jc w:val="both"/>
        <w:rPr>
          <w:rFonts w:ascii="Times New Roman" w:eastAsia="Times New Roman" w:hAnsi="Times New Roman" w:cs="Times New Roman"/>
          <w:lang w:val="sr-Latn-ME"/>
        </w:rPr>
      </w:pPr>
    </w:p>
    <w:p w14:paraId="5542E5F9" w14:textId="77777777" w:rsidR="002E7166" w:rsidRPr="007076F7" w:rsidRDefault="002E7166">
      <w:pPr>
        <w:widowControl w:val="0"/>
        <w:spacing w:after="0" w:line="240" w:lineRule="auto"/>
        <w:jc w:val="both"/>
        <w:rPr>
          <w:rFonts w:ascii="Times New Roman" w:eastAsia="Times New Roman" w:hAnsi="Times New Roman" w:cs="Times New Roman"/>
          <w:lang w:val="sr-Latn-ME"/>
        </w:rPr>
      </w:pPr>
      <w:proofErr w:type="spellStart"/>
      <w:r w:rsidRPr="007076F7">
        <w:rPr>
          <w:rFonts w:ascii="Times New Roman" w:eastAsia="Times New Roman" w:hAnsi="Times New Roman" w:cs="Times New Roman"/>
          <w:lang w:val="sr-Latn-ME"/>
        </w:rPr>
        <w:t>Pantoprazol</w:t>
      </w:r>
      <w:proofErr w:type="spellEnd"/>
      <w:r w:rsidRPr="007076F7">
        <w:rPr>
          <w:rFonts w:ascii="Times New Roman" w:eastAsia="Times New Roman" w:hAnsi="Times New Roman" w:cs="Times New Roman"/>
          <w:lang w:val="sr-Latn-ME"/>
        </w:rPr>
        <w:t xml:space="preserve"> nema ili ima zanemarljiv uticaj na sposobnost upravljanja vozilima i rukovanja mašinama.</w:t>
      </w:r>
    </w:p>
    <w:p w14:paraId="5542E5FA" w14:textId="0EE3C7F8" w:rsidR="002E7166" w:rsidRPr="007076F7" w:rsidRDefault="002E7166">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Mogu se javiti neželjena dejstva lijeka poput vrtoglavice i poremećaja vida (</w:t>
      </w:r>
      <w:r w:rsidR="00DF56B9" w:rsidRPr="007076F7">
        <w:rPr>
          <w:rFonts w:ascii="Times New Roman" w:eastAsia="Times New Roman" w:hAnsi="Times New Roman" w:cs="Times New Roman"/>
          <w:lang w:val="nl-BE"/>
        </w:rPr>
        <w:t>pogledati dio</w:t>
      </w:r>
      <w:r w:rsidR="00DF56B9" w:rsidRPr="007076F7" w:rsidDel="00DF56B9">
        <w:rPr>
          <w:rFonts w:ascii="Times New Roman" w:eastAsia="Times New Roman" w:hAnsi="Times New Roman" w:cs="Times New Roman"/>
          <w:lang w:val="sr-Latn-ME"/>
        </w:rPr>
        <w:t xml:space="preserve"> </w:t>
      </w:r>
      <w:r w:rsidRPr="007076F7">
        <w:rPr>
          <w:rFonts w:ascii="Times New Roman" w:eastAsia="Times New Roman" w:hAnsi="Times New Roman" w:cs="Times New Roman"/>
          <w:lang w:val="sr-Latn-ME"/>
        </w:rPr>
        <w:t>4.8). U slučaju pojave ovih neželjenih dejstava, pacijenti ne smiju da upravljaju motornim vozilom niti da rukuju mašinama.</w:t>
      </w:r>
    </w:p>
    <w:p w14:paraId="5542E5FB"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5FC"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4.8. Neželjena dejstva</w:t>
      </w:r>
    </w:p>
    <w:p w14:paraId="5542E5FD"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noProof/>
          <w:u w:val="single"/>
          <w:lang w:val="sr-Latn-ME"/>
        </w:rPr>
      </w:pPr>
    </w:p>
    <w:p w14:paraId="5542E5FE" w14:textId="280C65D0" w:rsidR="002E7166" w:rsidRPr="007076F7" w:rsidRDefault="002E7166" w:rsidP="007076F7">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Kod približno 5% pacijenata mogu se očekivati neželjene reakcije</w:t>
      </w:r>
    </w:p>
    <w:p w14:paraId="5542E5FF" w14:textId="77777777" w:rsidR="002E7166" w:rsidRPr="007076F7" w:rsidRDefault="002E7166" w:rsidP="00AE0627">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00" w14:textId="77777777" w:rsidR="002E7166" w:rsidRPr="007076F7" w:rsidRDefault="002E7166" w:rsidP="00AE0627">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U tabeli u nastavku, neželjene reakcije na </w:t>
      </w:r>
      <w:proofErr w:type="spellStart"/>
      <w:r w:rsidRPr="007076F7">
        <w:rPr>
          <w:rFonts w:ascii="Times New Roman" w:eastAsia="TimesNewRoman" w:hAnsi="Times New Roman" w:cs="Times New Roman"/>
          <w:lang w:val="sr-Latn-ME"/>
        </w:rPr>
        <w:t>pantoprazol</w:t>
      </w:r>
      <w:proofErr w:type="spellEnd"/>
      <w:r w:rsidRPr="007076F7">
        <w:rPr>
          <w:rFonts w:ascii="Times New Roman" w:eastAsia="TimesNewRoman" w:hAnsi="Times New Roman" w:cs="Times New Roman"/>
          <w:lang w:val="sr-Latn-ME"/>
        </w:rPr>
        <w:t xml:space="preserve"> prikazane su prema sljedećoj klasifikaciji učestalosti:</w:t>
      </w:r>
    </w:p>
    <w:p w14:paraId="5542E601" w14:textId="77777777" w:rsidR="002E7166" w:rsidRPr="007076F7" w:rsidRDefault="002E7166" w:rsidP="00AE0627">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02" w14:textId="77777777" w:rsidR="002E7166" w:rsidRPr="007076F7" w:rsidRDefault="002E7166" w:rsidP="007076F7">
      <w:pPr>
        <w:widowControl w:val="0"/>
        <w:numPr>
          <w:ilvl w:val="0"/>
          <w:numId w:val="3"/>
        </w:numPr>
        <w:tabs>
          <w:tab w:val="left" w:pos="284"/>
          <w:tab w:val="left" w:pos="708"/>
        </w:tabs>
        <w:spacing w:after="0" w:line="240" w:lineRule="auto"/>
        <w:ind w:left="0" w:firstLine="0"/>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veoma često (≥ 1/10),</w:t>
      </w:r>
    </w:p>
    <w:p w14:paraId="5542E603" w14:textId="77777777" w:rsidR="002E7166" w:rsidRPr="007076F7" w:rsidRDefault="002E7166" w:rsidP="00AE0627">
      <w:pPr>
        <w:widowControl w:val="0"/>
        <w:numPr>
          <w:ilvl w:val="0"/>
          <w:numId w:val="3"/>
        </w:numPr>
        <w:tabs>
          <w:tab w:val="left" w:pos="284"/>
          <w:tab w:val="left" w:pos="708"/>
        </w:tabs>
        <w:spacing w:after="0" w:line="240" w:lineRule="auto"/>
        <w:ind w:left="0" w:firstLine="0"/>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često (≥ 1/100 do &lt; 1/10),</w:t>
      </w:r>
    </w:p>
    <w:p w14:paraId="5542E604" w14:textId="77777777" w:rsidR="002E7166" w:rsidRPr="007076F7" w:rsidRDefault="002E7166" w:rsidP="00AE0627">
      <w:pPr>
        <w:widowControl w:val="0"/>
        <w:numPr>
          <w:ilvl w:val="0"/>
          <w:numId w:val="3"/>
        </w:numPr>
        <w:tabs>
          <w:tab w:val="left" w:pos="284"/>
          <w:tab w:val="left" w:pos="708"/>
        </w:tabs>
        <w:spacing w:after="0" w:line="240" w:lineRule="auto"/>
        <w:ind w:left="0" w:firstLine="0"/>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povremeno (≥ 1/1000 do &lt; 1/100),</w:t>
      </w:r>
    </w:p>
    <w:p w14:paraId="5542E605" w14:textId="77777777" w:rsidR="002E7166" w:rsidRPr="007076F7" w:rsidRDefault="002E7166" w:rsidP="00AE0627">
      <w:pPr>
        <w:widowControl w:val="0"/>
        <w:numPr>
          <w:ilvl w:val="0"/>
          <w:numId w:val="3"/>
        </w:numPr>
        <w:tabs>
          <w:tab w:val="left" w:pos="284"/>
          <w:tab w:val="left" w:pos="708"/>
        </w:tabs>
        <w:spacing w:after="0" w:line="240" w:lineRule="auto"/>
        <w:ind w:left="0" w:firstLine="0"/>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rijetko (≥ 1/10000 do &lt; 1/1000),</w:t>
      </w:r>
    </w:p>
    <w:p w14:paraId="5542E606" w14:textId="77777777" w:rsidR="002E7166" w:rsidRPr="007076F7" w:rsidRDefault="002E7166" w:rsidP="00AE0627">
      <w:pPr>
        <w:numPr>
          <w:ilvl w:val="0"/>
          <w:numId w:val="3"/>
        </w:numPr>
        <w:tabs>
          <w:tab w:val="left" w:pos="284"/>
          <w:tab w:val="left" w:pos="708"/>
          <w:tab w:val="center" w:pos="4536"/>
          <w:tab w:val="right" w:pos="9072"/>
        </w:tabs>
        <w:spacing w:after="0" w:line="240" w:lineRule="auto"/>
        <w:ind w:left="0" w:firstLine="0"/>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veoma rijetko (&lt; 1/10000),</w:t>
      </w:r>
    </w:p>
    <w:p w14:paraId="5542E607" w14:textId="5A5F6DA3" w:rsidR="002E7166" w:rsidRPr="007076F7" w:rsidRDefault="002E7166" w:rsidP="00AE0627">
      <w:pPr>
        <w:numPr>
          <w:ilvl w:val="0"/>
          <w:numId w:val="3"/>
        </w:numPr>
        <w:tabs>
          <w:tab w:val="left" w:pos="284"/>
          <w:tab w:val="left" w:pos="708"/>
          <w:tab w:val="center" w:pos="4536"/>
          <w:tab w:val="right" w:pos="9072"/>
        </w:tabs>
        <w:spacing w:after="0" w:line="240" w:lineRule="auto"/>
        <w:ind w:left="0" w:firstLine="0"/>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nepoznato (učestalost se ne može procijeniti na osnovu dostupnih podataka).</w:t>
      </w:r>
    </w:p>
    <w:p w14:paraId="5542E608" w14:textId="77777777" w:rsidR="002E7166" w:rsidRPr="007076F7" w:rsidRDefault="002E7166" w:rsidP="00AE0627">
      <w:pPr>
        <w:tabs>
          <w:tab w:val="left" w:pos="708"/>
          <w:tab w:val="center" w:pos="4536"/>
          <w:tab w:val="right" w:pos="9072"/>
        </w:tabs>
        <w:spacing w:after="0" w:line="240" w:lineRule="auto"/>
        <w:jc w:val="both"/>
        <w:rPr>
          <w:rFonts w:ascii="Times New Roman" w:eastAsia="Times New Roman" w:hAnsi="Times New Roman" w:cs="Times New Roman"/>
          <w:lang w:val="sr-Latn-ME"/>
        </w:rPr>
      </w:pPr>
    </w:p>
    <w:p w14:paraId="5542E609" w14:textId="77777777" w:rsidR="002E7166" w:rsidRPr="007076F7" w:rsidRDefault="002E7166" w:rsidP="007076F7">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U </w:t>
      </w:r>
      <w:proofErr w:type="spellStart"/>
      <w:r w:rsidRPr="007076F7">
        <w:rPr>
          <w:rFonts w:ascii="Times New Roman" w:eastAsia="TimesNewRoman" w:hAnsi="Times New Roman" w:cs="Times New Roman"/>
          <w:lang w:val="sr-Latn-ME"/>
        </w:rPr>
        <w:t>postmarketinškom</w:t>
      </w:r>
      <w:proofErr w:type="spellEnd"/>
      <w:r w:rsidRPr="007076F7">
        <w:rPr>
          <w:rFonts w:ascii="Times New Roman" w:eastAsia="TimesNewRoman" w:hAnsi="Times New Roman" w:cs="Times New Roman"/>
          <w:lang w:val="sr-Latn-ME"/>
        </w:rPr>
        <w:t xml:space="preserve"> praćenju nije moguće za sva prijavljena neželjena dejstva </w:t>
      </w:r>
      <w:proofErr w:type="spellStart"/>
      <w:r w:rsidRPr="007076F7">
        <w:rPr>
          <w:rFonts w:ascii="Times New Roman" w:eastAsia="TimesNewRoman" w:hAnsi="Times New Roman" w:cs="Times New Roman"/>
          <w:lang w:val="sr-Latn-ME"/>
        </w:rPr>
        <w:t>primjeniti</w:t>
      </w:r>
      <w:proofErr w:type="spellEnd"/>
      <w:r w:rsidRPr="007076F7">
        <w:rPr>
          <w:rFonts w:ascii="Times New Roman" w:eastAsia="TimesNewRoman" w:hAnsi="Times New Roman" w:cs="Times New Roman"/>
          <w:lang w:val="sr-Latn-ME"/>
        </w:rPr>
        <w:t xml:space="preserve"> definisanu učestalost, te su ona svrstana u kolonu </w:t>
      </w:r>
      <w:r w:rsidRPr="007076F7">
        <w:rPr>
          <w:rFonts w:ascii="Times New Roman" w:eastAsia="TimesNewRoman" w:hAnsi="Times New Roman" w:cs="Times New Roman"/>
          <w:iCs/>
          <w:lang w:val="sr-Latn-ME"/>
        </w:rPr>
        <w:t>Nepoznato</w:t>
      </w:r>
      <w:r w:rsidRPr="007076F7">
        <w:rPr>
          <w:rFonts w:ascii="Times New Roman" w:eastAsia="TimesNewRoman" w:hAnsi="Times New Roman" w:cs="Times New Roman"/>
          <w:lang w:val="sr-Latn-ME"/>
        </w:rPr>
        <w:t>.</w:t>
      </w:r>
    </w:p>
    <w:p w14:paraId="5542E60A"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0B"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Unutar svake grupe po učestalosti, neželjene reakcije su prikazane prema </w:t>
      </w:r>
      <w:proofErr w:type="spellStart"/>
      <w:r w:rsidRPr="007076F7">
        <w:rPr>
          <w:rFonts w:ascii="Times New Roman" w:eastAsia="TimesNewRoman" w:hAnsi="Times New Roman" w:cs="Times New Roman"/>
          <w:lang w:val="sr-Latn-ME"/>
        </w:rPr>
        <w:t>opadajućoj</w:t>
      </w:r>
      <w:proofErr w:type="spellEnd"/>
      <w:r w:rsidRPr="007076F7">
        <w:rPr>
          <w:rFonts w:ascii="Times New Roman" w:eastAsia="TimesNewRoman" w:hAnsi="Times New Roman" w:cs="Times New Roman"/>
          <w:lang w:val="sr-Latn-ME"/>
        </w:rPr>
        <w:t xml:space="preserve"> ozbiljnosti.</w:t>
      </w:r>
    </w:p>
    <w:p w14:paraId="5542E60C" w14:textId="77777777" w:rsidR="002E7166" w:rsidRPr="007076F7" w:rsidRDefault="002E7166" w:rsidP="00AE0627">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0D" w14:textId="77777777" w:rsidR="002E7166" w:rsidRPr="007076F7" w:rsidRDefault="002E7166" w:rsidP="00AE0627">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Tabela 1: Neželjene reakcije na </w:t>
      </w:r>
      <w:proofErr w:type="spellStart"/>
      <w:r w:rsidRPr="007076F7">
        <w:rPr>
          <w:rFonts w:ascii="Times New Roman" w:eastAsia="TimesNewRoman" w:hAnsi="Times New Roman" w:cs="Times New Roman"/>
          <w:lang w:val="sr-Latn-ME"/>
        </w:rPr>
        <w:t>pantoprazol</w:t>
      </w:r>
      <w:proofErr w:type="spellEnd"/>
      <w:r w:rsidRPr="007076F7">
        <w:rPr>
          <w:rFonts w:ascii="Times New Roman" w:eastAsia="TimesNewRoman" w:hAnsi="Times New Roman" w:cs="Times New Roman"/>
          <w:lang w:val="sr-Latn-ME"/>
        </w:rPr>
        <w:t xml:space="preserve"> u kliničkim studijama i </w:t>
      </w:r>
      <w:proofErr w:type="spellStart"/>
      <w:r w:rsidRPr="007076F7">
        <w:rPr>
          <w:rFonts w:ascii="Times New Roman" w:eastAsia="TimesNewRoman" w:hAnsi="Times New Roman" w:cs="Times New Roman"/>
          <w:lang w:val="sr-Latn-ME"/>
        </w:rPr>
        <w:t>postmarketinškom</w:t>
      </w:r>
      <w:proofErr w:type="spellEnd"/>
      <w:r w:rsidRPr="007076F7">
        <w:rPr>
          <w:rFonts w:ascii="Times New Roman" w:eastAsia="TimesNewRoman" w:hAnsi="Times New Roman" w:cs="Times New Roman"/>
          <w:lang w:val="sr-Latn-ME"/>
        </w:rPr>
        <w:t xml:space="preserve"> praćenju</w:t>
      </w:r>
    </w:p>
    <w:p w14:paraId="5542E617" w14:textId="77777777" w:rsidR="005702A9" w:rsidRPr="007076F7" w:rsidRDefault="005702A9" w:rsidP="00AE0627">
      <w:pPr>
        <w:tabs>
          <w:tab w:val="left" w:pos="284"/>
        </w:tabs>
        <w:spacing w:after="0" w:line="240" w:lineRule="auto"/>
        <w:jc w:val="both"/>
        <w:rPr>
          <w:rFonts w:ascii="Times New Roman" w:eastAsia="TimesNewRoman" w:hAnsi="Times New Roman" w:cs="Times New Roman"/>
          <w:lang w:val="sr-Latn-ME"/>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185"/>
        <w:gridCol w:w="1650"/>
        <w:gridCol w:w="1843"/>
        <w:gridCol w:w="1559"/>
        <w:gridCol w:w="1701"/>
      </w:tblGrid>
      <w:tr w:rsidR="00DC1D8A" w:rsidRPr="007076F7" w14:paraId="5542E627" w14:textId="77777777" w:rsidTr="00AE0627">
        <w:trPr>
          <w:trHeight w:val="780"/>
          <w:jc w:val="center"/>
        </w:trPr>
        <w:tc>
          <w:tcPr>
            <w:tcW w:w="1413" w:type="dxa"/>
            <w:tcBorders>
              <w:top w:val="single" w:sz="4" w:space="0" w:color="000000"/>
              <w:left w:val="single" w:sz="4" w:space="0" w:color="000000"/>
              <w:bottom w:val="single" w:sz="4" w:space="0" w:color="000000"/>
              <w:right w:val="single" w:sz="4" w:space="0" w:color="000000"/>
              <w:tl2br w:val="single" w:sz="4" w:space="0" w:color="auto"/>
            </w:tcBorders>
          </w:tcPr>
          <w:p w14:paraId="5542E618"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b/>
                <w:lang w:val="sr-Latn-ME"/>
              </w:rPr>
            </w:pPr>
            <w:r w:rsidRPr="007076F7">
              <w:rPr>
                <w:rFonts w:ascii="Times New Roman" w:eastAsia="Times New Roman" w:hAnsi="Times New Roman" w:cs="Times New Roman"/>
                <w:b/>
                <w:lang w:val="sr-Latn-ME"/>
              </w:rPr>
              <w:t>Učestalost</w:t>
            </w:r>
          </w:p>
          <w:p w14:paraId="5542E619" w14:textId="77777777" w:rsidR="002E7166" w:rsidRPr="007076F7" w:rsidRDefault="002E7166" w:rsidP="007076F7">
            <w:pPr>
              <w:tabs>
                <w:tab w:val="left" w:pos="284"/>
                <w:tab w:val="left" w:pos="540"/>
              </w:tabs>
              <w:spacing w:after="0" w:line="240" w:lineRule="auto"/>
              <w:jc w:val="both"/>
              <w:rPr>
                <w:rFonts w:ascii="Times New Roman" w:eastAsia="Times New Roman" w:hAnsi="Times New Roman" w:cs="Times New Roman"/>
                <w:b/>
                <w:lang w:val="sr-Latn-ME"/>
              </w:rPr>
            </w:pPr>
          </w:p>
          <w:p w14:paraId="5542E61A"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b/>
                <w:lang w:val="sr-Latn-ME"/>
              </w:rPr>
            </w:pPr>
          </w:p>
          <w:p w14:paraId="5542E61B" w14:textId="77777777" w:rsidR="002E7166" w:rsidRPr="007076F7" w:rsidRDefault="002E7166" w:rsidP="007076F7">
            <w:pPr>
              <w:tabs>
                <w:tab w:val="left" w:pos="284"/>
                <w:tab w:val="left" w:pos="540"/>
              </w:tabs>
              <w:spacing w:after="0" w:line="240" w:lineRule="auto"/>
              <w:jc w:val="both"/>
              <w:rPr>
                <w:rFonts w:ascii="Times New Roman" w:eastAsia="Times New Roman" w:hAnsi="Times New Roman" w:cs="Times New Roman"/>
                <w:b/>
                <w:lang w:val="sr-Latn-ME"/>
              </w:rPr>
            </w:pPr>
          </w:p>
          <w:p w14:paraId="5542E61C" w14:textId="77777777" w:rsidR="002E7166" w:rsidRPr="007076F7" w:rsidRDefault="002E7166">
            <w:pPr>
              <w:tabs>
                <w:tab w:val="left" w:pos="284"/>
                <w:tab w:val="left" w:pos="540"/>
              </w:tabs>
              <w:spacing w:after="0" w:line="240" w:lineRule="auto"/>
              <w:jc w:val="both"/>
              <w:rPr>
                <w:rFonts w:ascii="Times New Roman" w:eastAsia="Times New Roman" w:hAnsi="Times New Roman" w:cs="Times New Roman"/>
                <w:b/>
                <w:lang w:val="sr-Latn-ME"/>
              </w:rPr>
            </w:pPr>
          </w:p>
          <w:p w14:paraId="5542E61D" w14:textId="77777777" w:rsidR="002E7166" w:rsidRPr="007076F7" w:rsidRDefault="002E7166">
            <w:pPr>
              <w:tabs>
                <w:tab w:val="left" w:pos="284"/>
                <w:tab w:val="left" w:pos="540"/>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Klasa</w:t>
            </w:r>
          </w:p>
          <w:p w14:paraId="5542E61E" w14:textId="77777777" w:rsidR="002E7166" w:rsidRPr="007076F7" w:rsidRDefault="002E7166">
            <w:pPr>
              <w:tabs>
                <w:tab w:val="left" w:pos="284"/>
                <w:tab w:val="left" w:pos="540"/>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Sistema organa</w:t>
            </w:r>
          </w:p>
        </w:tc>
        <w:tc>
          <w:tcPr>
            <w:tcW w:w="1185" w:type="dxa"/>
            <w:tcBorders>
              <w:top w:val="single" w:sz="4" w:space="0" w:color="000000"/>
              <w:left w:val="single" w:sz="4" w:space="0" w:color="000000"/>
              <w:bottom w:val="single" w:sz="4" w:space="0" w:color="000000"/>
              <w:right w:val="single" w:sz="4" w:space="0" w:color="000000"/>
            </w:tcBorders>
            <w:hideMark/>
          </w:tcPr>
          <w:p w14:paraId="5542E61F" w14:textId="77777777" w:rsidR="002E7166" w:rsidRPr="007076F7" w:rsidRDefault="002E7166">
            <w:pPr>
              <w:tabs>
                <w:tab w:val="left" w:pos="284"/>
                <w:tab w:val="left" w:pos="540"/>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Često</w:t>
            </w:r>
          </w:p>
        </w:tc>
        <w:tc>
          <w:tcPr>
            <w:tcW w:w="1650" w:type="dxa"/>
            <w:tcBorders>
              <w:top w:val="single" w:sz="4" w:space="0" w:color="000000"/>
              <w:left w:val="single" w:sz="4" w:space="0" w:color="000000"/>
              <w:bottom w:val="single" w:sz="4" w:space="0" w:color="000000"/>
              <w:right w:val="single" w:sz="4" w:space="0" w:color="000000"/>
            </w:tcBorders>
          </w:tcPr>
          <w:p w14:paraId="5542E620" w14:textId="77777777" w:rsidR="002E7166" w:rsidRPr="007076F7" w:rsidRDefault="002E7166">
            <w:pPr>
              <w:tabs>
                <w:tab w:val="left" w:pos="284"/>
                <w:tab w:val="left" w:pos="540"/>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Povremeno</w:t>
            </w:r>
          </w:p>
          <w:p w14:paraId="5542E621" w14:textId="77777777" w:rsidR="002E7166" w:rsidRPr="007076F7" w:rsidRDefault="002E7166">
            <w:pPr>
              <w:tabs>
                <w:tab w:val="left" w:pos="284"/>
                <w:tab w:val="left" w:pos="540"/>
              </w:tabs>
              <w:spacing w:after="0" w:line="240" w:lineRule="auto"/>
              <w:jc w:val="both"/>
              <w:rPr>
                <w:rFonts w:ascii="Times New Roman" w:eastAsia="Calibri" w:hAnsi="Times New Roman" w:cs="Times New Roman"/>
                <w:b/>
                <w:lang w:val="sr-Latn-ME"/>
              </w:rPr>
            </w:pPr>
          </w:p>
        </w:tc>
        <w:tc>
          <w:tcPr>
            <w:tcW w:w="1843" w:type="dxa"/>
            <w:tcBorders>
              <w:top w:val="single" w:sz="4" w:space="0" w:color="000000"/>
              <w:left w:val="single" w:sz="4" w:space="0" w:color="000000"/>
              <w:bottom w:val="single" w:sz="4" w:space="0" w:color="000000"/>
              <w:right w:val="single" w:sz="4" w:space="0" w:color="000000"/>
            </w:tcBorders>
          </w:tcPr>
          <w:p w14:paraId="5542E622" w14:textId="77777777" w:rsidR="002E7166" w:rsidRPr="007076F7" w:rsidRDefault="002E7166">
            <w:pPr>
              <w:tabs>
                <w:tab w:val="left" w:pos="284"/>
                <w:tab w:val="left" w:pos="540"/>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Rijetko</w:t>
            </w:r>
          </w:p>
          <w:p w14:paraId="5542E623" w14:textId="77777777" w:rsidR="002E7166" w:rsidRPr="007076F7" w:rsidRDefault="002E7166">
            <w:pPr>
              <w:tabs>
                <w:tab w:val="left" w:pos="284"/>
                <w:tab w:val="left" w:pos="540"/>
              </w:tabs>
              <w:spacing w:after="0" w:line="240" w:lineRule="auto"/>
              <w:jc w:val="both"/>
              <w:rPr>
                <w:rFonts w:ascii="Times New Roman" w:eastAsia="Calibri" w:hAnsi="Times New Roman" w:cs="Times New Roman"/>
                <w:b/>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5542E624" w14:textId="77777777" w:rsidR="002E7166" w:rsidRPr="007076F7" w:rsidRDefault="002E7166">
            <w:pPr>
              <w:tabs>
                <w:tab w:val="left" w:pos="284"/>
                <w:tab w:val="left" w:pos="540"/>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Veoma rijetko</w:t>
            </w:r>
          </w:p>
          <w:p w14:paraId="5542E625" w14:textId="77777777" w:rsidR="002E7166" w:rsidRPr="007076F7" w:rsidRDefault="002E7166">
            <w:pPr>
              <w:tabs>
                <w:tab w:val="left" w:pos="284"/>
                <w:tab w:val="left" w:pos="540"/>
              </w:tabs>
              <w:spacing w:after="0" w:line="240" w:lineRule="auto"/>
              <w:jc w:val="both"/>
              <w:rPr>
                <w:rFonts w:ascii="Times New Roman" w:eastAsia="Calibri" w:hAnsi="Times New Roman" w:cs="Times New Roman"/>
                <w:b/>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5542E626" w14:textId="77777777" w:rsidR="002E7166" w:rsidRPr="007076F7" w:rsidRDefault="002E7166">
            <w:pPr>
              <w:tabs>
                <w:tab w:val="left" w:pos="284"/>
                <w:tab w:val="left" w:pos="540"/>
              </w:tabs>
              <w:spacing w:after="0" w:line="240" w:lineRule="auto"/>
              <w:jc w:val="both"/>
              <w:rPr>
                <w:rFonts w:ascii="Times New Roman" w:eastAsia="Calibri" w:hAnsi="Times New Roman" w:cs="Times New Roman"/>
                <w:b/>
                <w:lang w:val="sr-Latn-ME"/>
              </w:rPr>
            </w:pPr>
            <w:r w:rsidRPr="007076F7">
              <w:rPr>
                <w:rFonts w:ascii="Times New Roman" w:eastAsia="Times New Roman" w:hAnsi="Times New Roman" w:cs="Times New Roman"/>
                <w:b/>
                <w:lang w:val="sr-Latn-ME"/>
              </w:rPr>
              <w:t xml:space="preserve">Nepoznato </w:t>
            </w:r>
          </w:p>
        </w:tc>
      </w:tr>
      <w:tr w:rsidR="00DC1D8A" w:rsidRPr="007076F7" w14:paraId="5542E62E"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28"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Poremećaji krvi i limfnog sistema</w:t>
            </w:r>
          </w:p>
        </w:tc>
        <w:tc>
          <w:tcPr>
            <w:tcW w:w="1185" w:type="dxa"/>
            <w:tcBorders>
              <w:top w:val="single" w:sz="4" w:space="0" w:color="000000"/>
              <w:left w:val="single" w:sz="4" w:space="0" w:color="000000"/>
              <w:bottom w:val="single" w:sz="4" w:space="0" w:color="000000"/>
              <w:right w:val="single" w:sz="4" w:space="0" w:color="000000"/>
            </w:tcBorders>
          </w:tcPr>
          <w:p w14:paraId="5542E629"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tcPr>
          <w:p w14:paraId="5542E62A"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843" w:type="dxa"/>
            <w:tcBorders>
              <w:top w:val="single" w:sz="4" w:space="0" w:color="000000"/>
              <w:left w:val="single" w:sz="4" w:space="0" w:color="000000"/>
              <w:bottom w:val="single" w:sz="4" w:space="0" w:color="000000"/>
              <w:right w:val="single" w:sz="4" w:space="0" w:color="000000"/>
            </w:tcBorders>
            <w:hideMark/>
          </w:tcPr>
          <w:p w14:paraId="5542E62B"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roofErr w:type="spellStart"/>
            <w:r w:rsidRPr="007076F7">
              <w:rPr>
                <w:rFonts w:ascii="Times New Roman" w:eastAsia="Calibri" w:hAnsi="Times New Roman" w:cs="Times New Roman"/>
                <w:lang w:val="sr-Latn-ME"/>
              </w:rPr>
              <w:t>Agranulocitoza</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5542E62C"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roofErr w:type="spellStart"/>
            <w:r w:rsidRPr="007076F7">
              <w:rPr>
                <w:rFonts w:ascii="Times New Roman" w:eastAsia="Times New Roman" w:hAnsi="Times New Roman" w:cs="Times New Roman"/>
                <w:lang w:val="sr-Latn-ME"/>
              </w:rPr>
              <w:t>Trombocitopenija</w:t>
            </w:r>
            <w:proofErr w:type="spellEnd"/>
            <w:r w:rsidRPr="007076F7">
              <w:rPr>
                <w:rFonts w:ascii="Times New Roman" w:eastAsia="Times New Roman" w:hAnsi="Times New Roman" w:cs="Times New Roman"/>
                <w:lang w:val="sr-Latn-ME"/>
              </w:rPr>
              <w:t xml:space="preserve">; </w:t>
            </w:r>
            <w:proofErr w:type="spellStart"/>
            <w:r w:rsidRPr="007076F7">
              <w:rPr>
                <w:rFonts w:ascii="Times New Roman" w:eastAsia="Times New Roman" w:hAnsi="Times New Roman" w:cs="Times New Roman"/>
                <w:lang w:val="sr-Latn-ME"/>
              </w:rPr>
              <w:t>leukopenija</w:t>
            </w:r>
            <w:proofErr w:type="spellEnd"/>
            <w:r w:rsidRPr="007076F7">
              <w:rPr>
                <w:rFonts w:ascii="Times New Roman" w:eastAsia="Times New Roman" w:hAnsi="Times New Roman" w:cs="Times New Roman"/>
                <w:lang w:val="sr-Latn-ME"/>
              </w:rPr>
              <w:t xml:space="preserve">; </w:t>
            </w:r>
            <w:proofErr w:type="spellStart"/>
            <w:r w:rsidRPr="007076F7">
              <w:rPr>
                <w:rFonts w:ascii="Times New Roman" w:eastAsia="Times New Roman" w:hAnsi="Times New Roman" w:cs="Times New Roman"/>
                <w:lang w:val="sr-Latn-ME"/>
              </w:rPr>
              <w:t>pancitopenija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542E62D"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r>
      <w:tr w:rsidR="00DC1D8A" w:rsidRPr="00333B76" w14:paraId="5542E636"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2F" w14:textId="77777777" w:rsidR="002E7166" w:rsidRPr="007076F7" w:rsidRDefault="002E7166" w:rsidP="007076F7">
            <w:pPr>
              <w:tabs>
                <w:tab w:val="left" w:pos="284"/>
              </w:tabs>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Poremećaji</w:t>
            </w:r>
          </w:p>
          <w:p w14:paraId="5542E630" w14:textId="77777777" w:rsidR="002E7166" w:rsidRPr="007076F7" w:rsidRDefault="002E7166">
            <w:pPr>
              <w:tabs>
                <w:tab w:val="left" w:pos="284"/>
              </w:tabs>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imunog sistema</w:t>
            </w:r>
          </w:p>
        </w:tc>
        <w:tc>
          <w:tcPr>
            <w:tcW w:w="1185" w:type="dxa"/>
            <w:tcBorders>
              <w:top w:val="single" w:sz="4" w:space="0" w:color="000000"/>
              <w:left w:val="single" w:sz="4" w:space="0" w:color="000000"/>
              <w:bottom w:val="single" w:sz="4" w:space="0" w:color="000000"/>
              <w:right w:val="single" w:sz="4" w:space="0" w:color="000000"/>
            </w:tcBorders>
          </w:tcPr>
          <w:p w14:paraId="5542E631"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tcPr>
          <w:p w14:paraId="5542E632"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843" w:type="dxa"/>
            <w:tcBorders>
              <w:top w:val="single" w:sz="4" w:space="0" w:color="000000"/>
              <w:left w:val="single" w:sz="4" w:space="0" w:color="000000"/>
              <w:bottom w:val="single" w:sz="4" w:space="0" w:color="000000"/>
              <w:right w:val="single" w:sz="4" w:space="0" w:color="000000"/>
            </w:tcBorders>
            <w:hideMark/>
          </w:tcPr>
          <w:p w14:paraId="5542E633"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 xml:space="preserve">Preosjetljivost (uključujući </w:t>
            </w:r>
            <w:proofErr w:type="spellStart"/>
            <w:r w:rsidRPr="007076F7">
              <w:rPr>
                <w:rFonts w:ascii="Times New Roman" w:eastAsia="Times New Roman" w:hAnsi="Times New Roman" w:cs="Times New Roman"/>
                <w:lang w:val="sr-Latn-ME"/>
              </w:rPr>
              <w:t>anafilaktičke</w:t>
            </w:r>
            <w:proofErr w:type="spellEnd"/>
            <w:r w:rsidRPr="007076F7">
              <w:rPr>
                <w:rFonts w:ascii="Times New Roman" w:eastAsia="Times New Roman" w:hAnsi="Times New Roman" w:cs="Times New Roman"/>
                <w:lang w:val="sr-Latn-ME"/>
              </w:rPr>
              <w:t xml:space="preserve"> reakcije i </w:t>
            </w:r>
            <w:proofErr w:type="spellStart"/>
            <w:r w:rsidRPr="007076F7">
              <w:rPr>
                <w:rFonts w:ascii="Times New Roman" w:eastAsia="Times New Roman" w:hAnsi="Times New Roman" w:cs="Times New Roman"/>
                <w:lang w:val="sr-Latn-ME"/>
              </w:rPr>
              <w:t>anafilaktički</w:t>
            </w:r>
            <w:proofErr w:type="spellEnd"/>
            <w:r w:rsidRPr="007076F7">
              <w:rPr>
                <w:rFonts w:ascii="Times New Roman" w:eastAsia="Times New Roman" w:hAnsi="Times New Roman" w:cs="Times New Roman"/>
                <w:lang w:val="sr-Latn-ME"/>
              </w:rPr>
              <w:t xml:space="preserve"> šok)</w:t>
            </w:r>
          </w:p>
        </w:tc>
        <w:tc>
          <w:tcPr>
            <w:tcW w:w="1559" w:type="dxa"/>
            <w:tcBorders>
              <w:top w:val="single" w:sz="4" w:space="0" w:color="000000"/>
              <w:left w:val="single" w:sz="4" w:space="0" w:color="000000"/>
              <w:bottom w:val="single" w:sz="4" w:space="0" w:color="000000"/>
              <w:right w:val="single" w:sz="4" w:space="0" w:color="000000"/>
            </w:tcBorders>
          </w:tcPr>
          <w:p w14:paraId="5542E634"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5542E635"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r>
      <w:tr w:rsidR="00DC1D8A" w:rsidRPr="007076F7" w14:paraId="5542E63E"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37"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Poremećaji metabolizma i ishrane</w:t>
            </w:r>
          </w:p>
        </w:tc>
        <w:tc>
          <w:tcPr>
            <w:tcW w:w="1185" w:type="dxa"/>
            <w:tcBorders>
              <w:top w:val="single" w:sz="4" w:space="0" w:color="000000"/>
              <w:left w:val="single" w:sz="4" w:space="0" w:color="000000"/>
              <w:bottom w:val="single" w:sz="4" w:space="0" w:color="000000"/>
              <w:right w:val="single" w:sz="4" w:space="0" w:color="000000"/>
            </w:tcBorders>
          </w:tcPr>
          <w:p w14:paraId="5542E638"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tcPr>
          <w:p w14:paraId="5542E639"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843" w:type="dxa"/>
            <w:tcBorders>
              <w:top w:val="single" w:sz="4" w:space="0" w:color="000000"/>
              <w:left w:val="single" w:sz="4" w:space="0" w:color="000000"/>
              <w:bottom w:val="single" w:sz="4" w:space="0" w:color="000000"/>
              <w:right w:val="single" w:sz="4" w:space="0" w:color="000000"/>
            </w:tcBorders>
            <w:hideMark/>
          </w:tcPr>
          <w:p w14:paraId="5542E63A"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roofErr w:type="spellStart"/>
            <w:r w:rsidRPr="007076F7">
              <w:rPr>
                <w:rFonts w:ascii="Times New Roman" w:eastAsia="Times New Roman" w:hAnsi="Times New Roman" w:cs="Times New Roman"/>
                <w:lang w:val="sr-Latn-ME"/>
              </w:rPr>
              <w:t>Hiperlipidemija</w:t>
            </w:r>
            <w:proofErr w:type="spellEnd"/>
            <w:r w:rsidRPr="007076F7">
              <w:rPr>
                <w:rFonts w:ascii="Times New Roman" w:eastAsia="Times New Roman" w:hAnsi="Times New Roman" w:cs="Times New Roman"/>
                <w:lang w:val="sr-Latn-ME"/>
              </w:rPr>
              <w:t xml:space="preserve"> i porast nivoa lipida (triglicerida, holesterola); promjene u tjelesnoj masi</w:t>
            </w:r>
          </w:p>
        </w:tc>
        <w:tc>
          <w:tcPr>
            <w:tcW w:w="1559" w:type="dxa"/>
            <w:tcBorders>
              <w:top w:val="single" w:sz="4" w:space="0" w:color="000000"/>
              <w:left w:val="single" w:sz="4" w:space="0" w:color="000000"/>
              <w:bottom w:val="single" w:sz="4" w:space="0" w:color="000000"/>
              <w:right w:val="single" w:sz="4" w:space="0" w:color="000000"/>
            </w:tcBorders>
          </w:tcPr>
          <w:p w14:paraId="5542E63B"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5542E63C" w14:textId="7618DF9B" w:rsidR="002E7166" w:rsidRPr="007076F7" w:rsidRDefault="002E7166" w:rsidP="007076F7">
            <w:pPr>
              <w:tabs>
                <w:tab w:val="left" w:pos="284"/>
              </w:tabs>
              <w:spacing w:after="0" w:line="240" w:lineRule="auto"/>
              <w:jc w:val="both"/>
              <w:rPr>
                <w:rFonts w:ascii="Times New Roman" w:eastAsia="Times New Roman" w:hAnsi="Times New Roman" w:cs="Times New Roman"/>
                <w:noProof/>
                <w:lang w:val="sr-Latn-ME"/>
              </w:rPr>
            </w:pPr>
            <w:proofErr w:type="spellStart"/>
            <w:r w:rsidRPr="007076F7">
              <w:rPr>
                <w:rFonts w:ascii="Times New Roman" w:eastAsia="Times New Roman" w:hAnsi="Times New Roman" w:cs="Times New Roman"/>
                <w:lang w:val="sr-Latn-ME"/>
              </w:rPr>
              <w:t>Hiponatrijemija</w:t>
            </w:r>
            <w:proofErr w:type="spellEnd"/>
            <w:r w:rsidRPr="007076F7">
              <w:rPr>
                <w:rFonts w:ascii="Times New Roman" w:eastAsia="Times New Roman" w:hAnsi="Times New Roman" w:cs="Times New Roman"/>
                <w:lang w:val="sr-Latn-ME"/>
              </w:rPr>
              <w:t xml:space="preserve">; </w:t>
            </w:r>
            <w:proofErr w:type="spellStart"/>
            <w:r w:rsidRPr="007076F7">
              <w:rPr>
                <w:rFonts w:ascii="Times New Roman" w:eastAsia="Times New Roman" w:hAnsi="Times New Roman" w:cs="Times New Roman"/>
                <w:lang w:val="sr-Latn-ME"/>
              </w:rPr>
              <w:t>Hipomagnezemija</w:t>
            </w:r>
            <w:proofErr w:type="spellEnd"/>
            <w:r w:rsidRPr="007076F7">
              <w:rPr>
                <w:rFonts w:ascii="Times New Roman" w:eastAsia="Times New Roman" w:hAnsi="Times New Roman" w:cs="Times New Roman"/>
                <w:lang w:val="sr-Latn-ME"/>
              </w:rPr>
              <w:t xml:space="preserve"> (</w:t>
            </w:r>
            <w:r w:rsidR="00DF56B9" w:rsidRPr="007076F7">
              <w:rPr>
                <w:rFonts w:ascii="Times New Roman" w:eastAsia="Times New Roman" w:hAnsi="Times New Roman" w:cs="Times New Roman"/>
                <w:i/>
                <w:lang w:val="nl-BE"/>
              </w:rPr>
              <w:t>pogledati dio</w:t>
            </w:r>
            <w:r w:rsidR="00DF56B9" w:rsidRPr="007076F7" w:rsidDel="00DF56B9">
              <w:rPr>
                <w:rFonts w:ascii="Times New Roman" w:eastAsia="Times New Roman" w:hAnsi="Times New Roman" w:cs="Times New Roman"/>
                <w:i/>
                <w:lang w:val="sr-Latn-ME"/>
              </w:rPr>
              <w:t xml:space="preserve"> </w:t>
            </w:r>
            <w:r w:rsidRPr="007076F7">
              <w:rPr>
                <w:rFonts w:ascii="Times New Roman" w:eastAsia="Times New Roman" w:hAnsi="Times New Roman" w:cs="Times New Roman"/>
                <w:i/>
                <w:lang w:val="sr-Latn-ME"/>
              </w:rPr>
              <w:t xml:space="preserve">4.4); </w:t>
            </w:r>
            <w:r w:rsidRPr="007076F7">
              <w:rPr>
                <w:rFonts w:ascii="Times New Roman" w:eastAsia="Times New Roman" w:hAnsi="Times New Roman" w:cs="Times New Roman"/>
                <w:noProof/>
                <w:lang w:val="sr-Latn-ME"/>
              </w:rPr>
              <w:t>Hipokalcijemija</w:t>
            </w:r>
            <w:r w:rsidRPr="007076F7">
              <w:rPr>
                <w:rFonts w:ascii="Times New Roman" w:eastAsia="Times New Roman" w:hAnsi="Times New Roman" w:cs="Times New Roman"/>
                <w:noProof/>
                <w:vertAlign w:val="superscript"/>
                <w:lang w:val="sr-Latn-ME"/>
              </w:rPr>
              <w:t>(1)</w:t>
            </w:r>
          </w:p>
          <w:p w14:paraId="5542E63D" w14:textId="63ED6581" w:rsidR="002E7166" w:rsidRPr="007076F7" w:rsidRDefault="002E7166">
            <w:pPr>
              <w:widowControl w:val="0"/>
              <w:tabs>
                <w:tab w:val="left" w:pos="284"/>
                <w:tab w:val="left" w:pos="540"/>
              </w:tabs>
              <w:spacing w:after="0" w:line="240" w:lineRule="auto"/>
              <w:jc w:val="both"/>
              <w:rPr>
                <w:rFonts w:ascii="Times New Roman" w:eastAsia="Times New Roman" w:hAnsi="Times New Roman" w:cs="Times New Roman"/>
                <w:lang w:val="sr-Latn-ME"/>
              </w:rPr>
            </w:pPr>
            <w:proofErr w:type="spellStart"/>
            <w:r w:rsidRPr="007076F7">
              <w:rPr>
                <w:rFonts w:ascii="Times New Roman" w:eastAsia="Times New Roman" w:hAnsi="Times New Roman" w:cs="Times New Roman"/>
                <w:lang w:val="sr-Latn-ME"/>
              </w:rPr>
              <w:t>Hipokalemija</w:t>
            </w:r>
            <w:proofErr w:type="spellEnd"/>
            <w:r w:rsidR="00880E23" w:rsidRPr="007076F7">
              <w:rPr>
                <w:rFonts w:ascii="Times New Roman" w:eastAsia="Times New Roman" w:hAnsi="Times New Roman" w:cs="Times New Roman"/>
                <w:vertAlign w:val="superscript"/>
                <w:lang w:val="sr-Latn-RS"/>
              </w:rPr>
              <w:t>(1)</w:t>
            </w:r>
          </w:p>
        </w:tc>
      </w:tr>
      <w:tr w:rsidR="00DC1D8A" w:rsidRPr="00333B76" w14:paraId="5542E645"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3F"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Psihijatrijski poremećaji</w:t>
            </w:r>
          </w:p>
        </w:tc>
        <w:tc>
          <w:tcPr>
            <w:tcW w:w="1185" w:type="dxa"/>
            <w:tcBorders>
              <w:top w:val="single" w:sz="4" w:space="0" w:color="000000"/>
              <w:left w:val="single" w:sz="4" w:space="0" w:color="000000"/>
              <w:bottom w:val="single" w:sz="4" w:space="0" w:color="000000"/>
              <w:right w:val="single" w:sz="4" w:space="0" w:color="000000"/>
            </w:tcBorders>
          </w:tcPr>
          <w:p w14:paraId="5542E640"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hideMark/>
          </w:tcPr>
          <w:p w14:paraId="5542E641"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Poremećaji spavanja</w:t>
            </w:r>
          </w:p>
        </w:tc>
        <w:tc>
          <w:tcPr>
            <w:tcW w:w="1843" w:type="dxa"/>
            <w:tcBorders>
              <w:top w:val="single" w:sz="4" w:space="0" w:color="000000"/>
              <w:left w:val="single" w:sz="4" w:space="0" w:color="000000"/>
              <w:bottom w:val="single" w:sz="4" w:space="0" w:color="000000"/>
              <w:right w:val="single" w:sz="4" w:space="0" w:color="000000"/>
            </w:tcBorders>
            <w:hideMark/>
          </w:tcPr>
          <w:p w14:paraId="5542E642"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Depresija (uz sva pogoršanja)</w:t>
            </w:r>
          </w:p>
        </w:tc>
        <w:tc>
          <w:tcPr>
            <w:tcW w:w="1559" w:type="dxa"/>
            <w:tcBorders>
              <w:top w:val="single" w:sz="4" w:space="0" w:color="000000"/>
              <w:left w:val="single" w:sz="4" w:space="0" w:color="000000"/>
              <w:bottom w:val="single" w:sz="4" w:space="0" w:color="000000"/>
              <w:right w:val="single" w:sz="4" w:space="0" w:color="000000"/>
            </w:tcBorders>
            <w:hideMark/>
          </w:tcPr>
          <w:p w14:paraId="5542E643" w14:textId="77777777" w:rsidR="002E7166" w:rsidRPr="007076F7" w:rsidRDefault="002E7166" w:rsidP="00AE0627">
            <w:pPr>
              <w:tabs>
                <w:tab w:val="left" w:pos="284"/>
              </w:tabs>
              <w:spacing w:after="0" w:line="240" w:lineRule="auto"/>
              <w:jc w:val="both"/>
              <w:rPr>
                <w:rFonts w:ascii="Times New Roman" w:eastAsia="Calibri" w:hAnsi="Times New Roman" w:cs="Times New Roman"/>
                <w:lang w:val="sr-Latn-ME"/>
              </w:rPr>
            </w:pPr>
            <w:proofErr w:type="spellStart"/>
            <w:r w:rsidRPr="007076F7">
              <w:rPr>
                <w:rFonts w:ascii="Times New Roman" w:eastAsia="Times New Roman" w:hAnsi="Times New Roman" w:cs="Times New Roman"/>
                <w:lang w:val="sr-Latn-ME"/>
              </w:rPr>
              <w:t>Dezorjentacija</w:t>
            </w:r>
            <w:proofErr w:type="spellEnd"/>
            <w:r w:rsidRPr="007076F7">
              <w:rPr>
                <w:rFonts w:ascii="Times New Roman" w:eastAsia="Times New Roman" w:hAnsi="Times New Roman" w:cs="Times New Roman"/>
                <w:lang w:val="sr-Latn-ME"/>
              </w:rPr>
              <w:t xml:space="preserve"> (sa svim pogoršanjima)</w:t>
            </w:r>
          </w:p>
        </w:tc>
        <w:tc>
          <w:tcPr>
            <w:tcW w:w="1701" w:type="dxa"/>
            <w:tcBorders>
              <w:top w:val="single" w:sz="4" w:space="0" w:color="000000"/>
              <w:left w:val="single" w:sz="4" w:space="0" w:color="000000"/>
              <w:bottom w:val="single" w:sz="4" w:space="0" w:color="000000"/>
              <w:right w:val="single" w:sz="4" w:space="0" w:color="000000"/>
            </w:tcBorders>
            <w:hideMark/>
          </w:tcPr>
          <w:p w14:paraId="5542E644"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Halucinacija, konfuzija (posebno kod predisponiranih pacijenata, kao i pogoršanje već postojeće konfuzije)</w:t>
            </w:r>
          </w:p>
        </w:tc>
      </w:tr>
      <w:tr w:rsidR="00DC1D8A" w:rsidRPr="007076F7" w14:paraId="5542E64C"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46"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Poremećaji nervnog sistema</w:t>
            </w:r>
          </w:p>
        </w:tc>
        <w:tc>
          <w:tcPr>
            <w:tcW w:w="1185" w:type="dxa"/>
            <w:tcBorders>
              <w:top w:val="single" w:sz="4" w:space="0" w:color="000000"/>
              <w:left w:val="single" w:sz="4" w:space="0" w:color="000000"/>
              <w:bottom w:val="single" w:sz="4" w:space="0" w:color="000000"/>
              <w:right w:val="single" w:sz="4" w:space="0" w:color="000000"/>
            </w:tcBorders>
          </w:tcPr>
          <w:p w14:paraId="5542E647"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hideMark/>
          </w:tcPr>
          <w:p w14:paraId="5542E648"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Glavobolja; vrtoglavica</w:t>
            </w:r>
          </w:p>
        </w:tc>
        <w:tc>
          <w:tcPr>
            <w:tcW w:w="1843" w:type="dxa"/>
            <w:tcBorders>
              <w:top w:val="single" w:sz="4" w:space="0" w:color="000000"/>
              <w:left w:val="single" w:sz="4" w:space="0" w:color="000000"/>
              <w:bottom w:val="single" w:sz="4" w:space="0" w:color="000000"/>
              <w:right w:val="single" w:sz="4" w:space="0" w:color="000000"/>
            </w:tcBorders>
            <w:hideMark/>
          </w:tcPr>
          <w:p w14:paraId="5542E649"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Poremećaj ukusa</w:t>
            </w:r>
          </w:p>
        </w:tc>
        <w:tc>
          <w:tcPr>
            <w:tcW w:w="1559" w:type="dxa"/>
            <w:tcBorders>
              <w:top w:val="single" w:sz="4" w:space="0" w:color="000000"/>
              <w:left w:val="single" w:sz="4" w:space="0" w:color="000000"/>
              <w:bottom w:val="single" w:sz="4" w:space="0" w:color="000000"/>
              <w:right w:val="single" w:sz="4" w:space="0" w:color="000000"/>
            </w:tcBorders>
          </w:tcPr>
          <w:p w14:paraId="5542E64A"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5542E64B"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roofErr w:type="spellStart"/>
            <w:r w:rsidRPr="007076F7">
              <w:rPr>
                <w:rFonts w:ascii="Times New Roman" w:eastAsia="Times New Roman" w:hAnsi="Times New Roman" w:cs="Times New Roman"/>
                <w:lang w:val="sr-Latn-ME"/>
              </w:rPr>
              <w:t>Parestezije</w:t>
            </w:r>
            <w:proofErr w:type="spellEnd"/>
          </w:p>
        </w:tc>
      </w:tr>
      <w:tr w:rsidR="00DC1D8A" w:rsidRPr="007076F7" w14:paraId="5542E653"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4D" w14:textId="2DCF74BA"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 xml:space="preserve">Poremećaji </w:t>
            </w:r>
            <w:r w:rsidR="00880E23" w:rsidRPr="007076F7">
              <w:rPr>
                <w:rFonts w:ascii="Times New Roman" w:eastAsia="Times New Roman" w:hAnsi="Times New Roman" w:cs="Times New Roman"/>
                <w:lang w:val="sr-Latn-ME"/>
              </w:rPr>
              <w:t xml:space="preserve">na nivou </w:t>
            </w:r>
            <w:r w:rsidRPr="007076F7">
              <w:rPr>
                <w:rFonts w:ascii="Times New Roman" w:eastAsia="Times New Roman" w:hAnsi="Times New Roman" w:cs="Times New Roman"/>
                <w:lang w:val="sr-Latn-ME"/>
              </w:rPr>
              <w:t>oka</w:t>
            </w:r>
          </w:p>
        </w:tc>
        <w:tc>
          <w:tcPr>
            <w:tcW w:w="1185" w:type="dxa"/>
            <w:tcBorders>
              <w:top w:val="single" w:sz="4" w:space="0" w:color="000000"/>
              <w:left w:val="single" w:sz="4" w:space="0" w:color="000000"/>
              <w:bottom w:val="single" w:sz="4" w:space="0" w:color="000000"/>
              <w:right w:val="single" w:sz="4" w:space="0" w:color="000000"/>
            </w:tcBorders>
          </w:tcPr>
          <w:p w14:paraId="5542E64E"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tcPr>
          <w:p w14:paraId="5542E64F"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843" w:type="dxa"/>
            <w:tcBorders>
              <w:top w:val="single" w:sz="4" w:space="0" w:color="000000"/>
              <w:left w:val="single" w:sz="4" w:space="0" w:color="000000"/>
              <w:bottom w:val="single" w:sz="4" w:space="0" w:color="000000"/>
              <w:right w:val="single" w:sz="4" w:space="0" w:color="000000"/>
            </w:tcBorders>
            <w:hideMark/>
          </w:tcPr>
          <w:p w14:paraId="5542E650"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Poremećaji vida / zamućen vid</w:t>
            </w:r>
          </w:p>
        </w:tc>
        <w:tc>
          <w:tcPr>
            <w:tcW w:w="1559" w:type="dxa"/>
            <w:tcBorders>
              <w:top w:val="single" w:sz="4" w:space="0" w:color="000000"/>
              <w:left w:val="single" w:sz="4" w:space="0" w:color="000000"/>
              <w:bottom w:val="single" w:sz="4" w:space="0" w:color="000000"/>
              <w:right w:val="single" w:sz="4" w:space="0" w:color="000000"/>
            </w:tcBorders>
          </w:tcPr>
          <w:p w14:paraId="5542E651"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5542E652"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r>
      <w:tr w:rsidR="00DC1D8A" w:rsidRPr="007076F7" w14:paraId="5542E65B"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54"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Gastrointestinalni poremećaji</w:t>
            </w:r>
          </w:p>
        </w:tc>
        <w:tc>
          <w:tcPr>
            <w:tcW w:w="1185" w:type="dxa"/>
            <w:tcBorders>
              <w:top w:val="single" w:sz="4" w:space="0" w:color="000000"/>
              <w:left w:val="single" w:sz="4" w:space="0" w:color="000000"/>
              <w:bottom w:val="single" w:sz="4" w:space="0" w:color="000000"/>
              <w:right w:val="single" w:sz="4" w:space="0" w:color="000000"/>
            </w:tcBorders>
            <w:hideMark/>
          </w:tcPr>
          <w:p w14:paraId="5542E655"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Polipi </w:t>
            </w:r>
            <w:proofErr w:type="spellStart"/>
            <w:r w:rsidRPr="007076F7">
              <w:rPr>
                <w:rFonts w:ascii="Times New Roman" w:eastAsia="Times New Roman" w:hAnsi="Times New Roman" w:cs="Times New Roman"/>
                <w:lang w:val="sr-Latn-ME"/>
              </w:rPr>
              <w:t>fundusnih</w:t>
            </w:r>
            <w:proofErr w:type="spellEnd"/>
            <w:r w:rsidRPr="007076F7">
              <w:rPr>
                <w:rFonts w:ascii="Times New Roman" w:eastAsia="Times New Roman" w:hAnsi="Times New Roman" w:cs="Times New Roman"/>
                <w:lang w:val="sr-Latn-ME"/>
              </w:rPr>
              <w:t xml:space="preserve"> žlijezda</w:t>
            </w:r>
          </w:p>
          <w:p w14:paraId="5542E656"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(benigni)</w:t>
            </w:r>
          </w:p>
        </w:tc>
        <w:tc>
          <w:tcPr>
            <w:tcW w:w="1650" w:type="dxa"/>
            <w:tcBorders>
              <w:top w:val="single" w:sz="4" w:space="0" w:color="000000"/>
              <w:left w:val="single" w:sz="4" w:space="0" w:color="000000"/>
              <w:bottom w:val="single" w:sz="4" w:space="0" w:color="000000"/>
              <w:right w:val="single" w:sz="4" w:space="0" w:color="000000"/>
            </w:tcBorders>
            <w:hideMark/>
          </w:tcPr>
          <w:p w14:paraId="5542E657"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Dijareja;</w:t>
            </w:r>
            <w:r w:rsidRPr="007076F7">
              <w:rPr>
                <w:rFonts w:ascii="Times New Roman" w:eastAsia="Calibri" w:hAnsi="Times New Roman" w:cs="Times New Roman"/>
                <w:lang w:val="sr-Latn-ME"/>
              </w:rPr>
              <w:t xml:space="preserve"> </w:t>
            </w:r>
            <w:r w:rsidRPr="007076F7">
              <w:rPr>
                <w:rFonts w:ascii="Times New Roman" w:eastAsia="Times New Roman" w:hAnsi="Times New Roman" w:cs="Times New Roman"/>
                <w:lang w:val="sr-Latn-ME"/>
              </w:rPr>
              <w:t>m</w:t>
            </w:r>
            <w:r w:rsidR="00DC1D8A" w:rsidRPr="007076F7">
              <w:rPr>
                <w:rFonts w:ascii="Times New Roman" w:eastAsia="Times New Roman" w:hAnsi="Times New Roman" w:cs="Times New Roman"/>
                <w:lang w:val="sr-Latn-ME"/>
              </w:rPr>
              <w:t xml:space="preserve">učnina/povraćanje; nadimanje i </w:t>
            </w:r>
            <w:r w:rsidRPr="007076F7">
              <w:rPr>
                <w:rFonts w:ascii="Times New Roman" w:eastAsia="Times New Roman" w:hAnsi="Times New Roman" w:cs="Times New Roman"/>
                <w:lang w:val="sr-Latn-ME"/>
              </w:rPr>
              <w:t xml:space="preserve">gasovi; </w:t>
            </w:r>
            <w:r w:rsidRPr="007076F7">
              <w:rPr>
                <w:rFonts w:ascii="Times New Roman" w:eastAsia="Times New Roman" w:hAnsi="Times New Roman" w:cs="Times New Roman"/>
                <w:lang w:val="sr-Latn-ME"/>
              </w:rPr>
              <w:lastRenderedPageBreak/>
              <w:t>konstipacija;</w:t>
            </w:r>
            <w:r w:rsidRPr="007076F7">
              <w:rPr>
                <w:rFonts w:ascii="Times New Roman" w:eastAsia="Calibri" w:hAnsi="Times New Roman" w:cs="Times New Roman"/>
                <w:lang w:val="sr-Latn-ME"/>
              </w:rPr>
              <w:t xml:space="preserve"> </w:t>
            </w:r>
            <w:r w:rsidRPr="007076F7">
              <w:rPr>
                <w:rFonts w:ascii="Times New Roman" w:eastAsia="Times New Roman" w:hAnsi="Times New Roman" w:cs="Times New Roman"/>
                <w:lang w:val="sr-Latn-ME"/>
              </w:rPr>
              <w:t>suva usta;</w:t>
            </w:r>
            <w:r w:rsidRPr="007076F7">
              <w:rPr>
                <w:rFonts w:ascii="Times New Roman" w:eastAsia="Calibri" w:hAnsi="Times New Roman" w:cs="Times New Roman"/>
                <w:lang w:val="sr-Latn-ME"/>
              </w:rPr>
              <w:t xml:space="preserve"> </w:t>
            </w:r>
            <w:r w:rsidR="00DC1D8A" w:rsidRPr="007076F7">
              <w:rPr>
                <w:rFonts w:ascii="Times New Roman" w:eastAsia="Times New Roman" w:hAnsi="Times New Roman" w:cs="Times New Roman"/>
                <w:lang w:val="sr-Latn-ME"/>
              </w:rPr>
              <w:t xml:space="preserve">bol </w:t>
            </w:r>
            <w:r w:rsidRPr="007076F7">
              <w:rPr>
                <w:rFonts w:ascii="Times New Roman" w:eastAsia="Times New Roman" w:hAnsi="Times New Roman" w:cs="Times New Roman"/>
                <w:lang w:val="sr-Latn-ME"/>
              </w:rPr>
              <w:t>i nelagodnost u abdomenu</w:t>
            </w:r>
          </w:p>
        </w:tc>
        <w:tc>
          <w:tcPr>
            <w:tcW w:w="1843" w:type="dxa"/>
            <w:tcBorders>
              <w:top w:val="single" w:sz="4" w:space="0" w:color="000000"/>
              <w:left w:val="single" w:sz="4" w:space="0" w:color="000000"/>
              <w:bottom w:val="single" w:sz="4" w:space="0" w:color="000000"/>
              <w:right w:val="single" w:sz="4" w:space="0" w:color="000000"/>
            </w:tcBorders>
          </w:tcPr>
          <w:p w14:paraId="5542E658"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5542E659"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5542E65A"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Mikroskopski kolitis</w:t>
            </w:r>
          </w:p>
        </w:tc>
      </w:tr>
      <w:tr w:rsidR="00DC1D8A" w:rsidRPr="00333B76" w14:paraId="5542E662"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5C"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roofErr w:type="spellStart"/>
            <w:r w:rsidRPr="007076F7">
              <w:rPr>
                <w:rFonts w:ascii="Times New Roman" w:eastAsia="Times New Roman" w:hAnsi="Times New Roman" w:cs="Times New Roman"/>
                <w:lang w:val="sr-Latn-ME"/>
              </w:rPr>
              <w:t>Hepatobilijarni</w:t>
            </w:r>
            <w:proofErr w:type="spellEnd"/>
            <w:r w:rsidRPr="007076F7">
              <w:rPr>
                <w:rFonts w:ascii="Times New Roman" w:eastAsia="Times New Roman" w:hAnsi="Times New Roman" w:cs="Times New Roman"/>
                <w:lang w:val="sr-Latn-ME"/>
              </w:rPr>
              <w:t xml:space="preserve"> poremećaji</w:t>
            </w:r>
          </w:p>
        </w:tc>
        <w:tc>
          <w:tcPr>
            <w:tcW w:w="1185" w:type="dxa"/>
            <w:tcBorders>
              <w:top w:val="single" w:sz="4" w:space="0" w:color="000000"/>
              <w:left w:val="single" w:sz="4" w:space="0" w:color="000000"/>
              <w:bottom w:val="single" w:sz="4" w:space="0" w:color="000000"/>
              <w:right w:val="single" w:sz="4" w:space="0" w:color="000000"/>
            </w:tcBorders>
          </w:tcPr>
          <w:p w14:paraId="5542E65D"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hideMark/>
          </w:tcPr>
          <w:p w14:paraId="5542E65E"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Porast vrijednosti enzima jetre (</w:t>
            </w:r>
            <w:proofErr w:type="spellStart"/>
            <w:r w:rsidRPr="007076F7">
              <w:rPr>
                <w:rFonts w:ascii="Times New Roman" w:eastAsia="Times New Roman" w:hAnsi="Times New Roman" w:cs="Times New Roman"/>
                <w:lang w:val="sr-Latn-ME"/>
              </w:rPr>
              <w:t>transaminaze</w:t>
            </w:r>
            <w:proofErr w:type="spellEnd"/>
            <w:r w:rsidRPr="007076F7">
              <w:rPr>
                <w:rFonts w:ascii="Times New Roman" w:eastAsia="Times New Roman" w:hAnsi="Times New Roman" w:cs="Times New Roman"/>
                <w:lang w:val="sr-Latn-ME"/>
              </w:rPr>
              <w:t>,</w:t>
            </w:r>
            <w:r w:rsidRPr="007076F7">
              <w:rPr>
                <w:rFonts w:ascii="Times New Roman" w:eastAsia="Calibri" w:hAnsi="Times New Roman" w:cs="Times New Roman"/>
                <w:lang w:val="sr-Latn-ME"/>
              </w:rPr>
              <w:t xml:space="preserve"> </w:t>
            </w:r>
            <w:r w:rsidRPr="007076F7">
              <w:rPr>
                <w:rFonts w:ascii="Times New Roman" w:eastAsia="Times New Roman" w:hAnsi="Times New Roman" w:cs="Times New Roman"/>
                <w:lang w:val="sr-Latn-ME"/>
              </w:rPr>
              <w:t>γ-GT)</w:t>
            </w:r>
          </w:p>
        </w:tc>
        <w:tc>
          <w:tcPr>
            <w:tcW w:w="1843" w:type="dxa"/>
            <w:tcBorders>
              <w:top w:val="single" w:sz="4" w:space="0" w:color="000000"/>
              <w:left w:val="single" w:sz="4" w:space="0" w:color="000000"/>
              <w:bottom w:val="single" w:sz="4" w:space="0" w:color="000000"/>
              <w:right w:val="single" w:sz="4" w:space="0" w:color="000000"/>
            </w:tcBorders>
            <w:hideMark/>
          </w:tcPr>
          <w:p w14:paraId="5542E65F"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 xml:space="preserve">Porast </w:t>
            </w:r>
            <w:proofErr w:type="spellStart"/>
            <w:r w:rsidRPr="007076F7">
              <w:rPr>
                <w:rFonts w:ascii="Times New Roman" w:eastAsia="Times New Roman" w:hAnsi="Times New Roman" w:cs="Times New Roman"/>
                <w:lang w:val="sr-Latn-ME"/>
              </w:rPr>
              <w:t>bilirubina</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542E660"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5542E661"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roofErr w:type="spellStart"/>
            <w:r w:rsidRPr="007076F7">
              <w:rPr>
                <w:rFonts w:ascii="Times New Roman" w:eastAsia="Times New Roman" w:hAnsi="Times New Roman" w:cs="Times New Roman"/>
                <w:lang w:val="sr-Latn-ME"/>
              </w:rPr>
              <w:t>Hepatocelularna</w:t>
            </w:r>
            <w:proofErr w:type="spellEnd"/>
            <w:r w:rsidRPr="007076F7">
              <w:rPr>
                <w:rFonts w:ascii="Times New Roman" w:eastAsia="Times New Roman" w:hAnsi="Times New Roman" w:cs="Times New Roman"/>
                <w:lang w:val="sr-Latn-ME"/>
              </w:rPr>
              <w:t xml:space="preserve"> oštećenja; žutica; </w:t>
            </w:r>
            <w:proofErr w:type="spellStart"/>
            <w:r w:rsidRPr="007076F7">
              <w:rPr>
                <w:rFonts w:ascii="Times New Roman" w:eastAsia="Times New Roman" w:hAnsi="Times New Roman" w:cs="Times New Roman"/>
                <w:lang w:val="sr-Latn-ME"/>
              </w:rPr>
              <w:t>hepatocelularna</w:t>
            </w:r>
            <w:proofErr w:type="spellEnd"/>
            <w:r w:rsidRPr="007076F7">
              <w:rPr>
                <w:rFonts w:ascii="Times New Roman" w:eastAsia="Times New Roman" w:hAnsi="Times New Roman" w:cs="Times New Roman"/>
                <w:lang w:val="sr-Latn-ME"/>
              </w:rPr>
              <w:t xml:space="preserve"> insuficijencija</w:t>
            </w:r>
          </w:p>
        </w:tc>
      </w:tr>
      <w:tr w:rsidR="00DC1D8A" w:rsidRPr="007076F7" w14:paraId="5542E66A"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63" w14:textId="77777777" w:rsidR="002E7166" w:rsidRPr="007076F7" w:rsidRDefault="00DC1D8A"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 xml:space="preserve">Poremećaji </w:t>
            </w:r>
            <w:r w:rsidR="002E7166" w:rsidRPr="007076F7">
              <w:rPr>
                <w:rFonts w:ascii="Times New Roman" w:eastAsia="Times New Roman" w:hAnsi="Times New Roman" w:cs="Times New Roman"/>
                <w:lang w:val="sr-Latn-ME"/>
              </w:rPr>
              <w:t>kože i potkožnog tkiva</w:t>
            </w:r>
          </w:p>
        </w:tc>
        <w:tc>
          <w:tcPr>
            <w:tcW w:w="1185" w:type="dxa"/>
            <w:tcBorders>
              <w:top w:val="single" w:sz="4" w:space="0" w:color="000000"/>
              <w:left w:val="single" w:sz="4" w:space="0" w:color="000000"/>
              <w:bottom w:val="single" w:sz="4" w:space="0" w:color="000000"/>
              <w:right w:val="single" w:sz="4" w:space="0" w:color="000000"/>
            </w:tcBorders>
          </w:tcPr>
          <w:p w14:paraId="5542E664"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hideMark/>
          </w:tcPr>
          <w:p w14:paraId="5542E665" w14:textId="33472755" w:rsidR="00785FD0" w:rsidRPr="007076F7" w:rsidRDefault="00880E23" w:rsidP="00AE0627">
            <w:pPr>
              <w:tabs>
                <w:tab w:val="left" w:pos="284"/>
                <w:tab w:val="left" w:pos="540"/>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Osip</w:t>
            </w:r>
            <w:r w:rsidR="002E7166" w:rsidRPr="007076F7">
              <w:rPr>
                <w:rFonts w:ascii="Times New Roman" w:eastAsia="Times New Roman" w:hAnsi="Times New Roman" w:cs="Times New Roman"/>
                <w:lang w:val="sr-Latn-ME"/>
              </w:rPr>
              <w:t>/</w:t>
            </w:r>
            <w:proofErr w:type="spellStart"/>
            <w:r w:rsidR="002E7166" w:rsidRPr="007076F7">
              <w:rPr>
                <w:rFonts w:ascii="Times New Roman" w:eastAsia="Times New Roman" w:hAnsi="Times New Roman" w:cs="Times New Roman"/>
                <w:lang w:val="sr-Latn-ME"/>
              </w:rPr>
              <w:t>egzantem</w:t>
            </w:r>
            <w:proofErr w:type="spellEnd"/>
            <w:r w:rsidR="002E7166" w:rsidRPr="007076F7">
              <w:rPr>
                <w:rFonts w:ascii="Times New Roman" w:eastAsia="Times New Roman" w:hAnsi="Times New Roman" w:cs="Times New Roman"/>
                <w:lang w:val="sr-Latn-ME"/>
              </w:rPr>
              <w:t>/</w:t>
            </w:r>
          </w:p>
          <w:p w14:paraId="5542E666"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 xml:space="preserve">erupcija po koži, </w:t>
            </w:r>
            <w:proofErr w:type="spellStart"/>
            <w:r w:rsidRPr="007076F7">
              <w:rPr>
                <w:rFonts w:ascii="Times New Roman" w:eastAsia="Times New Roman" w:hAnsi="Times New Roman" w:cs="Times New Roman"/>
                <w:lang w:val="sr-Latn-ME"/>
              </w:rPr>
              <w:t>pruritus</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5542E667"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 xml:space="preserve">Urtikarija; </w:t>
            </w:r>
            <w:proofErr w:type="spellStart"/>
            <w:r w:rsidRPr="007076F7">
              <w:rPr>
                <w:rFonts w:ascii="Times New Roman" w:eastAsia="Times New Roman" w:hAnsi="Times New Roman" w:cs="Times New Roman"/>
                <w:lang w:val="sr-Latn-ME"/>
              </w:rPr>
              <w:t>angioedem</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542E668"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58E2C36B" w14:textId="4BBCC29E" w:rsidR="00880E23"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l-SI"/>
              </w:rPr>
            </w:pPr>
            <w:proofErr w:type="spellStart"/>
            <w:r w:rsidRPr="007076F7">
              <w:rPr>
                <w:rFonts w:ascii="Times New Roman" w:eastAsia="Times New Roman" w:hAnsi="Times New Roman" w:cs="Times New Roman"/>
                <w:i/>
                <w:lang w:val="sr-Latn-ME"/>
              </w:rPr>
              <w:t>Stevens</w:t>
            </w:r>
            <w:proofErr w:type="spellEnd"/>
            <w:r w:rsidRPr="007076F7">
              <w:rPr>
                <w:rFonts w:ascii="Times New Roman" w:eastAsia="Times New Roman" w:hAnsi="Times New Roman" w:cs="Times New Roman"/>
                <w:i/>
                <w:lang w:val="sr-Latn-ME"/>
              </w:rPr>
              <w:t>-Johnson</w:t>
            </w:r>
            <w:r w:rsidRPr="007076F7">
              <w:rPr>
                <w:rFonts w:ascii="Times New Roman" w:eastAsia="Times New Roman" w:hAnsi="Times New Roman" w:cs="Times New Roman"/>
                <w:lang w:val="sr-Latn-ME"/>
              </w:rPr>
              <w:t>-ov sindrom;</w:t>
            </w:r>
            <w:r w:rsidRPr="007076F7">
              <w:rPr>
                <w:rFonts w:ascii="Times New Roman" w:eastAsia="Calibri" w:hAnsi="Times New Roman" w:cs="Times New Roman"/>
                <w:lang w:val="sr-Latn-ME"/>
              </w:rPr>
              <w:t xml:space="preserve"> </w:t>
            </w:r>
            <w:proofErr w:type="spellStart"/>
            <w:r w:rsidRPr="007076F7">
              <w:rPr>
                <w:rFonts w:ascii="Times New Roman" w:eastAsia="Times New Roman" w:hAnsi="Times New Roman" w:cs="Times New Roman"/>
                <w:i/>
                <w:lang w:val="sr-Latn-ME"/>
              </w:rPr>
              <w:t>Lyell</w:t>
            </w:r>
            <w:proofErr w:type="spellEnd"/>
            <w:r w:rsidRPr="007076F7">
              <w:rPr>
                <w:rFonts w:ascii="Times New Roman" w:eastAsia="Times New Roman" w:hAnsi="Times New Roman" w:cs="Times New Roman"/>
                <w:lang w:val="sr-Latn-ME"/>
              </w:rPr>
              <w:t xml:space="preserve"> –ov sindrom; </w:t>
            </w:r>
            <w:proofErr w:type="spellStart"/>
            <w:r w:rsidRPr="007076F7">
              <w:rPr>
                <w:rFonts w:ascii="Times New Roman" w:eastAsia="Times New Roman" w:hAnsi="Times New Roman" w:cs="Times New Roman"/>
                <w:lang w:val="sr-Latn-ME"/>
              </w:rPr>
              <w:t>erythem</w:t>
            </w:r>
            <w:r w:rsidR="00785FD0" w:rsidRPr="007076F7">
              <w:rPr>
                <w:rFonts w:ascii="Times New Roman" w:eastAsia="Times New Roman" w:hAnsi="Times New Roman" w:cs="Times New Roman"/>
                <w:lang w:val="sr-Latn-ME"/>
              </w:rPr>
              <w:t>a</w:t>
            </w:r>
            <w:proofErr w:type="spellEnd"/>
            <w:r w:rsidR="00785FD0" w:rsidRPr="007076F7">
              <w:rPr>
                <w:rFonts w:ascii="Times New Roman" w:eastAsia="Times New Roman" w:hAnsi="Times New Roman" w:cs="Times New Roman"/>
                <w:lang w:val="sr-Latn-ME"/>
              </w:rPr>
              <w:t xml:space="preserve"> </w:t>
            </w:r>
            <w:proofErr w:type="spellStart"/>
            <w:r w:rsidR="00785FD0" w:rsidRPr="007076F7">
              <w:rPr>
                <w:rFonts w:ascii="Times New Roman" w:eastAsia="Times New Roman" w:hAnsi="Times New Roman" w:cs="Times New Roman"/>
                <w:lang w:val="sr-Latn-ME"/>
              </w:rPr>
              <w:t>multiforme</w:t>
            </w:r>
            <w:proofErr w:type="spellEnd"/>
            <w:r w:rsidR="00785FD0" w:rsidRPr="007076F7">
              <w:rPr>
                <w:rFonts w:ascii="Times New Roman" w:eastAsia="Times New Roman" w:hAnsi="Times New Roman" w:cs="Times New Roman"/>
                <w:lang w:val="sr-Latn-ME"/>
              </w:rPr>
              <w:t xml:space="preserve">: </w:t>
            </w:r>
            <w:proofErr w:type="spellStart"/>
            <w:r w:rsidR="00785FD0" w:rsidRPr="007076F7">
              <w:rPr>
                <w:rFonts w:ascii="Times New Roman" w:eastAsia="Times New Roman" w:hAnsi="Times New Roman" w:cs="Times New Roman"/>
                <w:lang w:val="sr-Latn-ME"/>
              </w:rPr>
              <w:t>Fotosenzitivnost</w:t>
            </w:r>
            <w:r w:rsidRPr="007076F7">
              <w:rPr>
                <w:rFonts w:ascii="Times New Roman" w:eastAsia="Times New Roman" w:hAnsi="Times New Roman" w:cs="Times New Roman"/>
                <w:lang w:val="sr-Latn-ME"/>
              </w:rPr>
              <w:t>Subakutni</w:t>
            </w:r>
            <w:proofErr w:type="spellEnd"/>
            <w:r w:rsidRPr="007076F7">
              <w:rPr>
                <w:rFonts w:ascii="Times New Roman" w:eastAsia="Times New Roman" w:hAnsi="Times New Roman" w:cs="Times New Roman"/>
                <w:lang w:val="sr-Latn-ME"/>
              </w:rPr>
              <w:t xml:space="preserve"> kožni </w:t>
            </w:r>
            <w:proofErr w:type="spellStart"/>
            <w:r w:rsidRPr="007076F7">
              <w:rPr>
                <w:rFonts w:ascii="Times New Roman" w:eastAsia="Times New Roman" w:hAnsi="Times New Roman" w:cs="Times New Roman"/>
                <w:lang w:val="sr-Latn-ME"/>
              </w:rPr>
              <w:t>lupus</w:t>
            </w:r>
            <w:proofErr w:type="spellEnd"/>
            <w:r w:rsidRPr="007076F7">
              <w:rPr>
                <w:rFonts w:ascii="Times New Roman" w:eastAsia="Times New Roman" w:hAnsi="Times New Roman" w:cs="Times New Roman"/>
                <w:lang w:val="sr-Latn-ME"/>
              </w:rPr>
              <w:t xml:space="preserve"> </w:t>
            </w:r>
            <w:proofErr w:type="spellStart"/>
            <w:r w:rsidRPr="007076F7">
              <w:rPr>
                <w:rFonts w:ascii="Times New Roman" w:eastAsia="Times New Roman" w:hAnsi="Times New Roman" w:cs="Times New Roman"/>
                <w:lang w:val="sr-Latn-ME"/>
              </w:rPr>
              <w:t>eritematozus</w:t>
            </w:r>
            <w:proofErr w:type="spellEnd"/>
            <w:r w:rsidRPr="007076F7">
              <w:rPr>
                <w:rFonts w:ascii="Times New Roman" w:eastAsia="Times New Roman" w:hAnsi="Times New Roman" w:cs="Times New Roman"/>
                <w:lang w:val="sr-Latn-ME"/>
              </w:rPr>
              <w:t xml:space="preserve"> (</w:t>
            </w:r>
            <w:proofErr w:type="spellStart"/>
            <w:r w:rsidR="00880E23" w:rsidRPr="007076F7">
              <w:rPr>
                <w:rFonts w:ascii="Times New Roman" w:eastAsia="Times New Roman" w:hAnsi="Times New Roman" w:cs="Times New Roman"/>
              </w:rPr>
              <w:t>pogledati</w:t>
            </w:r>
            <w:proofErr w:type="spellEnd"/>
            <w:r w:rsidR="00880E23" w:rsidRPr="007076F7">
              <w:rPr>
                <w:rFonts w:ascii="Times New Roman" w:eastAsia="Times New Roman" w:hAnsi="Times New Roman" w:cs="Times New Roman"/>
                <w:lang w:val="sr-Latn-ME"/>
              </w:rPr>
              <w:t xml:space="preserve"> </w:t>
            </w:r>
            <w:proofErr w:type="spellStart"/>
            <w:r w:rsidR="00880E23" w:rsidRPr="007076F7">
              <w:rPr>
                <w:rFonts w:ascii="Times New Roman" w:eastAsia="Times New Roman" w:hAnsi="Times New Roman" w:cs="Times New Roman"/>
              </w:rPr>
              <w:t>dio</w:t>
            </w:r>
            <w:proofErr w:type="spellEnd"/>
            <w:r w:rsidR="00880E23" w:rsidRPr="007076F7">
              <w:rPr>
                <w:rFonts w:ascii="Times New Roman" w:eastAsia="Times New Roman" w:hAnsi="Times New Roman" w:cs="Times New Roman"/>
                <w:lang w:val="sr-Latn-ME"/>
              </w:rPr>
              <w:t xml:space="preserve"> </w:t>
            </w:r>
            <w:r w:rsidRPr="007076F7">
              <w:rPr>
                <w:rFonts w:ascii="Times New Roman" w:eastAsia="Times New Roman" w:hAnsi="Times New Roman" w:cs="Times New Roman"/>
                <w:lang w:val="sr-Latn-ME"/>
              </w:rPr>
              <w:t>4.4)</w:t>
            </w:r>
            <w:r w:rsidR="00880E23" w:rsidRPr="007076F7">
              <w:rPr>
                <w:rFonts w:ascii="Times New Roman" w:eastAsia="Times New Roman" w:hAnsi="Times New Roman" w:cs="Times New Roman"/>
                <w:lang w:val="sr-Latn-ME"/>
              </w:rPr>
              <w:t xml:space="preserve">; </w:t>
            </w:r>
            <w:r w:rsidR="00880E23" w:rsidRPr="007076F7">
              <w:rPr>
                <w:rFonts w:ascii="Times New Roman" w:eastAsia="Times New Roman" w:hAnsi="Times New Roman" w:cs="Times New Roman"/>
                <w:lang w:val="sl-SI"/>
              </w:rPr>
              <w:t>Reakcija na lijek praćena eozinofilijom i sistemskim simptomima (eng. drug reaction with</w:t>
            </w:r>
          </w:p>
          <w:p w14:paraId="0E6FD058" w14:textId="77777777" w:rsidR="00880E23" w:rsidRPr="007076F7" w:rsidRDefault="00880E23" w:rsidP="00AE0627">
            <w:pPr>
              <w:tabs>
                <w:tab w:val="left" w:pos="284"/>
                <w:tab w:val="left" w:pos="540"/>
              </w:tabs>
              <w:spacing w:after="0" w:line="240" w:lineRule="auto"/>
              <w:jc w:val="both"/>
              <w:rPr>
                <w:rFonts w:ascii="Times New Roman" w:eastAsia="Times New Roman" w:hAnsi="Times New Roman" w:cs="Times New Roman"/>
                <w:lang w:val="sl-SI"/>
              </w:rPr>
            </w:pPr>
            <w:r w:rsidRPr="007076F7">
              <w:rPr>
                <w:rFonts w:ascii="Times New Roman" w:eastAsia="Times New Roman" w:hAnsi="Times New Roman" w:cs="Times New Roman"/>
                <w:lang w:val="sl-SI"/>
              </w:rPr>
              <w:t>eosinophilia and</w:t>
            </w:r>
          </w:p>
          <w:p w14:paraId="729865BB" w14:textId="77777777" w:rsidR="00880E23" w:rsidRPr="007076F7" w:rsidRDefault="00880E23" w:rsidP="00AE0627">
            <w:pPr>
              <w:tabs>
                <w:tab w:val="left" w:pos="284"/>
                <w:tab w:val="left" w:pos="540"/>
              </w:tabs>
              <w:spacing w:after="0" w:line="240" w:lineRule="auto"/>
              <w:jc w:val="both"/>
              <w:rPr>
                <w:rFonts w:ascii="Times New Roman" w:eastAsia="Times New Roman" w:hAnsi="Times New Roman" w:cs="Times New Roman"/>
                <w:lang w:val="sl-SI"/>
              </w:rPr>
            </w:pPr>
            <w:r w:rsidRPr="007076F7">
              <w:rPr>
                <w:rFonts w:ascii="Times New Roman" w:eastAsia="Times New Roman" w:hAnsi="Times New Roman" w:cs="Times New Roman"/>
                <w:lang w:val="sl-SI"/>
              </w:rPr>
              <w:t xml:space="preserve">systemic symptoms -DRESS); </w:t>
            </w:r>
          </w:p>
          <w:p w14:paraId="5542E669" w14:textId="5B83A5C0"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l-SI"/>
              </w:rPr>
            </w:pPr>
          </w:p>
        </w:tc>
      </w:tr>
      <w:tr w:rsidR="00DC1D8A" w:rsidRPr="007076F7" w14:paraId="5542E671"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6B"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 xml:space="preserve">Poremećaji mišićno-koštanog sistema i </w:t>
            </w:r>
            <w:r w:rsidR="00DC1D8A" w:rsidRPr="007076F7">
              <w:rPr>
                <w:rFonts w:ascii="Times New Roman" w:eastAsia="Times New Roman" w:hAnsi="Times New Roman" w:cs="Times New Roman"/>
                <w:lang w:val="sr-Latn-ME"/>
              </w:rPr>
              <w:t xml:space="preserve">vezivnog </w:t>
            </w:r>
            <w:r w:rsidRPr="007076F7">
              <w:rPr>
                <w:rFonts w:ascii="Times New Roman" w:eastAsia="Times New Roman" w:hAnsi="Times New Roman" w:cs="Times New Roman"/>
                <w:lang w:val="sr-Latn-ME"/>
              </w:rPr>
              <w:t>tkiva</w:t>
            </w:r>
          </w:p>
        </w:tc>
        <w:tc>
          <w:tcPr>
            <w:tcW w:w="1185" w:type="dxa"/>
            <w:tcBorders>
              <w:top w:val="single" w:sz="4" w:space="0" w:color="000000"/>
              <w:left w:val="single" w:sz="4" w:space="0" w:color="000000"/>
              <w:bottom w:val="single" w:sz="4" w:space="0" w:color="000000"/>
              <w:right w:val="single" w:sz="4" w:space="0" w:color="000000"/>
            </w:tcBorders>
          </w:tcPr>
          <w:p w14:paraId="5542E66C"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hideMark/>
          </w:tcPr>
          <w:p w14:paraId="5542E66D" w14:textId="2382FFF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Fraktura kuka, ručnog zgloba ili kičme (</w:t>
            </w:r>
            <w:r w:rsidR="00880E23" w:rsidRPr="007076F7">
              <w:rPr>
                <w:rFonts w:ascii="Times New Roman" w:eastAsia="Times New Roman" w:hAnsi="Times New Roman" w:cs="Times New Roman"/>
                <w:i/>
                <w:lang w:val="sr-Latn-ME"/>
              </w:rPr>
              <w:t xml:space="preserve">pogledati dio </w:t>
            </w:r>
            <w:r w:rsidRPr="007076F7">
              <w:rPr>
                <w:rFonts w:ascii="Times New Roman" w:eastAsia="Times New Roman" w:hAnsi="Times New Roman" w:cs="Times New Roman"/>
                <w:i/>
                <w:lang w:val="sr-Latn-ME"/>
              </w:rPr>
              <w:t>4.4</w:t>
            </w:r>
            <w:r w:rsidRPr="007076F7">
              <w:rPr>
                <w:rFonts w:ascii="Times New Roman" w:eastAsia="Times New Roman" w:hAnsi="Times New Roman" w:cs="Times New Roman"/>
                <w:lang w:val="sr-Latn-ME"/>
              </w:rPr>
              <w:t>)</w:t>
            </w:r>
          </w:p>
        </w:tc>
        <w:tc>
          <w:tcPr>
            <w:tcW w:w="1843" w:type="dxa"/>
            <w:tcBorders>
              <w:top w:val="single" w:sz="4" w:space="0" w:color="000000"/>
              <w:left w:val="single" w:sz="4" w:space="0" w:color="000000"/>
              <w:bottom w:val="single" w:sz="4" w:space="0" w:color="000000"/>
              <w:right w:val="single" w:sz="4" w:space="0" w:color="000000"/>
            </w:tcBorders>
            <w:hideMark/>
          </w:tcPr>
          <w:p w14:paraId="5542E66E"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roofErr w:type="spellStart"/>
            <w:r w:rsidRPr="007076F7">
              <w:rPr>
                <w:rFonts w:ascii="Times New Roman" w:eastAsia="Times New Roman" w:hAnsi="Times New Roman" w:cs="Times New Roman"/>
                <w:lang w:val="sr-Latn-ME"/>
              </w:rPr>
              <w:t>Artralgija</w:t>
            </w:r>
            <w:proofErr w:type="spellEnd"/>
            <w:r w:rsidRPr="007076F7">
              <w:rPr>
                <w:rFonts w:ascii="Times New Roman" w:eastAsia="Times New Roman" w:hAnsi="Times New Roman" w:cs="Times New Roman"/>
                <w:lang w:val="sr-Latn-ME"/>
              </w:rPr>
              <w:t>;</w:t>
            </w:r>
            <w:r w:rsidRPr="007076F7">
              <w:rPr>
                <w:rFonts w:ascii="Times New Roman" w:eastAsia="Calibri" w:hAnsi="Times New Roman" w:cs="Times New Roman"/>
                <w:lang w:val="sr-Latn-ME"/>
              </w:rPr>
              <w:t xml:space="preserve"> </w:t>
            </w:r>
            <w:proofErr w:type="spellStart"/>
            <w:r w:rsidRPr="007076F7">
              <w:rPr>
                <w:rFonts w:ascii="Times New Roman" w:eastAsia="Times New Roman" w:hAnsi="Times New Roman" w:cs="Times New Roman"/>
                <w:lang w:val="sr-Latn-ME"/>
              </w:rPr>
              <w:t>mijalgija</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542E66F"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5542E670"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Mišićni </w:t>
            </w:r>
            <w:r w:rsidRPr="007076F7">
              <w:rPr>
                <w:rFonts w:ascii="Times New Roman" w:eastAsia="Times New Roman" w:hAnsi="Times New Roman" w:cs="Times New Roman"/>
                <w:lang w:val="sr-Latn-ME"/>
              </w:rPr>
              <w:t>spazam</w:t>
            </w:r>
            <w:r w:rsidRPr="007076F7">
              <w:rPr>
                <w:rFonts w:ascii="Times New Roman" w:eastAsia="Times New Roman" w:hAnsi="Times New Roman" w:cs="Times New Roman"/>
                <w:vertAlign w:val="superscript"/>
                <w:lang w:val="sr-Latn-ME"/>
              </w:rPr>
              <w:t>(2)</w:t>
            </w:r>
          </w:p>
        </w:tc>
      </w:tr>
      <w:tr w:rsidR="00DC1D8A" w:rsidRPr="00333B76" w14:paraId="5542E678"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72"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 xml:space="preserve">Poremećaji bubrega i </w:t>
            </w:r>
            <w:proofErr w:type="spellStart"/>
            <w:r w:rsidRPr="007076F7">
              <w:rPr>
                <w:rFonts w:ascii="Times New Roman" w:eastAsia="Times New Roman" w:hAnsi="Times New Roman" w:cs="Times New Roman"/>
                <w:lang w:val="sr-Latn-ME"/>
              </w:rPr>
              <w:t>urinarnog</w:t>
            </w:r>
            <w:proofErr w:type="spellEnd"/>
            <w:r w:rsidRPr="007076F7">
              <w:rPr>
                <w:rFonts w:ascii="Times New Roman" w:eastAsia="Times New Roman" w:hAnsi="Times New Roman" w:cs="Times New Roman"/>
                <w:lang w:val="sr-Latn-ME"/>
              </w:rPr>
              <w:t xml:space="preserve"> sistema</w:t>
            </w:r>
          </w:p>
        </w:tc>
        <w:tc>
          <w:tcPr>
            <w:tcW w:w="1185" w:type="dxa"/>
            <w:tcBorders>
              <w:top w:val="single" w:sz="4" w:space="0" w:color="000000"/>
              <w:left w:val="single" w:sz="4" w:space="0" w:color="000000"/>
              <w:bottom w:val="single" w:sz="4" w:space="0" w:color="000000"/>
              <w:right w:val="single" w:sz="4" w:space="0" w:color="000000"/>
            </w:tcBorders>
          </w:tcPr>
          <w:p w14:paraId="5542E673"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tcPr>
          <w:p w14:paraId="5542E674"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843" w:type="dxa"/>
            <w:tcBorders>
              <w:top w:val="single" w:sz="4" w:space="0" w:color="000000"/>
              <w:left w:val="single" w:sz="4" w:space="0" w:color="000000"/>
              <w:bottom w:val="single" w:sz="4" w:space="0" w:color="000000"/>
              <w:right w:val="single" w:sz="4" w:space="0" w:color="000000"/>
            </w:tcBorders>
          </w:tcPr>
          <w:p w14:paraId="5542E675"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559" w:type="dxa"/>
            <w:tcBorders>
              <w:top w:val="single" w:sz="4" w:space="0" w:color="000000"/>
              <w:left w:val="single" w:sz="4" w:space="0" w:color="000000"/>
              <w:bottom w:val="single" w:sz="4" w:space="0" w:color="000000"/>
              <w:right w:val="single" w:sz="4" w:space="0" w:color="000000"/>
            </w:tcBorders>
          </w:tcPr>
          <w:p w14:paraId="5542E676"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hideMark/>
          </w:tcPr>
          <w:p w14:paraId="5542E677" w14:textId="73A27507" w:rsidR="002E7166" w:rsidRPr="007076F7" w:rsidRDefault="00880E23" w:rsidP="00AE0627">
            <w:pPr>
              <w:widowControl w:val="0"/>
              <w:tabs>
                <w:tab w:val="left" w:pos="284"/>
                <w:tab w:val="left" w:pos="540"/>
              </w:tabs>
              <w:spacing w:after="0" w:line="240" w:lineRule="auto"/>
              <w:jc w:val="both"/>
              <w:rPr>
                <w:rFonts w:ascii="Times New Roman" w:eastAsia="Calibri" w:hAnsi="Times New Roman" w:cs="Times New Roman"/>
                <w:lang w:val="sr-Latn-ME"/>
              </w:rPr>
            </w:pPr>
            <w:proofErr w:type="spellStart"/>
            <w:r w:rsidRPr="007076F7">
              <w:rPr>
                <w:rFonts w:ascii="Times New Roman" w:eastAsia="Times New Roman" w:hAnsi="Times New Roman" w:cs="Times New Roman"/>
                <w:lang w:val="sr-Latn-ME"/>
              </w:rPr>
              <w:t>Tubuloi</w:t>
            </w:r>
            <w:r w:rsidR="002E7166" w:rsidRPr="007076F7">
              <w:rPr>
                <w:rFonts w:ascii="Times New Roman" w:eastAsia="Times New Roman" w:hAnsi="Times New Roman" w:cs="Times New Roman"/>
                <w:lang w:val="sr-Latn-ME"/>
              </w:rPr>
              <w:t>ntersticijalni</w:t>
            </w:r>
            <w:proofErr w:type="spellEnd"/>
            <w:r w:rsidR="002E7166" w:rsidRPr="007076F7">
              <w:rPr>
                <w:rFonts w:ascii="Times New Roman" w:eastAsia="Times New Roman" w:hAnsi="Times New Roman" w:cs="Times New Roman"/>
                <w:lang w:val="sr-Latn-ME"/>
              </w:rPr>
              <w:t xml:space="preserve"> nefritis </w:t>
            </w:r>
            <w:r w:rsidR="002E7166" w:rsidRPr="007076F7">
              <w:rPr>
                <w:rFonts w:ascii="Times New Roman" w:eastAsia="Calibri" w:hAnsi="Times New Roman" w:cs="Times New Roman"/>
                <w:lang w:val="sr-Latn-ME"/>
              </w:rPr>
              <w:t>(sa mogućom progresijom ka bubrežnoj insuficijenciji)</w:t>
            </w:r>
          </w:p>
        </w:tc>
      </w:tr>
      <w:tr w:rsidR="00DC1D8A" w:rsidRPr="007076F7" w14:paraId="5542E67F"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79"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Poremećaji reproduktivnog sistema i dojki</w:t>
            </w:r>
          </w:p>
        </w:tc>
        <w:tc>
          <w:tcPr>
            <w:tcW w:w="1185" w:type="dxa"/>
            <w:tcBorders>
              <w:top w:val="single" w:sz="4" w:space="0" w:color="000000"/>
              <w:left w:val="single" w:sz="4" w:space="0" w:color="000000"/>
              <w:bottom w:val="single" w:sz="4" w:space="0" w:color="000000"/>
              <w:right w:val="single" w:sz="4" w:space="0" w:color="000000"/>
            </w:tcBorders>
          </w:tcPr>
          <w:p w14:paraId="5542E67A"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tcPr>
          <w:p w14:paraId="5542E67B"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843" w:type="dxa"/>
            <w:tcBorders>
              <w:top w:val="single" w:sz="4" w:space="0" w:color="000000"/>
              <w:left w:val="single" w:sz="4" w:space="0" w:color="000000"/>
              <w:bottom w:val="single" w:sz="4" w:space="0" w:color="000000"/>
              <w:right w:val="single" w:sz="4" w:space="0" w:color="000000"/>
            </w:tcBorders>
            <w:hideMark/>
          </w:tcPr>
          <w:p w14:paraId="5542E67C"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roofErr w:type="spellStart"/>
            <w:r w:rsidRPr="007076F7">
              <w:rPr>
                <w:rFonts w:ascii="Times New Roman" w:eastAsia="Times New Roman" w:hAnsi="Times New Roman" w:cs="Times New Roman"/>
                <w:lang w:val="sr-Latn-ME"/>
              </w:rPr>
              <w:t>Ginekomastija</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542E67D"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5542E67E"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r>
      <w:tr w:rsidR="00DC1D8A" w:rsidRPr="00333B76" w14:paraId="5542E686" w14:textId="77777777" w:rsidTr="00AE0627">
        <w:trPr>
          <w:jc w:val="center"/>
        </w:trPr>
        <w:tc>
          <w:tcPr>
            <w:tcW w:w="1413" w:type="dxa"/>
            <w:tcBorders>
              <w:top w:val="single" w:sz="4" w:space="0" w:color="000000"/>
              <w:left w:val="single" w:sz="4" w:space="0" w:color="000000"/>
              <w:bottom w:val="single" w:sz="4" w:space="0" w:color="000000"/>
              <w:right w:val="single" w:sz="4" w:space="0" w:color="000000"/>
            </w:tcBorders>
            <w:hideMark/>
          </w:tcPr>
          <w:p w14:paraId="5542E680"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Opšti poremećaji i reakcije na mjestu primjene lijeka</w:t>
            </w:r>
          </w:p>
        </w:tc>
        <w:tc>
          <w:tcPr>
            <w:tcW w:w="1185" w:type="dxa"/>
            <w:tcBorders>
              <w:top w:val="single" w:sz="4" w:space="0" w:color="000000"/>
              <w:left w:val="single" w:sz="4" w:space="0" w:color="000000"/>
              <w:bottom w:val="single" w:sz="4" w:space="0" w:color="000000"/>
              <w:right w:val="single" w:sz="4" w:space="0" w:color="000000"/>
            </w:tcBorders>
          </w:tcPr>
          <w:p w14:paraId="5542E681" w14:textId="77777777" w:rsidR="002E7166" w:rsidRPr="007076F7" w:rsidRDefault="002E7166" w:rsidP="00AE0627">
            <w:pPr>
              <w:tabs>
                <w:tab w:val="left" w:pos="284"/>
                <w:tab w:val="left" w:pos="540"/>
              </w:tabs>
              <w:spacing w:after="0" w:line="240" w:lineRule="auto"/>
              <w:jc w:val="both"/>
              <w:rPr>
                <w:rFonts w:ascii="Times New Roman" w:eastAsia="Times New Roman" w:hAnsi="Times New Roman" w:cs="Times New Roman"/>
                <w:lang w:val="sr-Latn-ME"/>
              </w:rPr>
            </w:pPr>
          </w:p>
        </w:tc>
        <w:tc>
          <w:tcPr>
            <w:tcW w:w="1650" w:type="dxa"/>
            <w:tcBorders>
              <w:top w:val="single" w:sz="4" w:space="0" w:color="000000"/>
              <w:left w:val="single" w:sz="4" w:space="0" w:color="000000"/>
              <w:bottom w:val="single" w:sz="4" w:space="0" w:color="000000"/>
              <w:right w:val="single" w:sz="4" w:space="0" w:color="000000"/>
            </w:tcBorders>
            <w:hideMark/>
          </w:tcPr>
          <w:p w14:paraId="5542E682"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Astenija, zamor i osjećaj slabosti</w:t>
            </w:r>
          </w:p>
        </w:tc>
        <w:tc>
          <w:tcPr>
            <w:tcW w:w="1843" w:type="dxa"/>
            <w:tcBorders>
              <w:top w:val="single" w:sz="4" w:space="0" w:color="000000"/>
              <w:left w:val="single" w:sz="4" w:space="0" w:color="000000"/>
              <w:bottom w:val="single" w:sz="4" w:space="0" w:color="000000"/>
              <w:right w:val="single" w:sz="4" w:space="0" w:color="000000"/>
            </w:tcBorders>
            <w:hideMark/>
          </w:tcPr>
          <w:p w14:paraId="5542E683"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r w:rsidRPr="007076F7">
              <w:rPr>
                <w:rFonts w:ascii="Times New Roman" w:eastAsia="Times New Roman" w:hAnsi="Times New Roman" w:cs="Times New Roman"/>
                <w:lang w:val="sr-Latn-ME"/>
              </w:rPr>
              <w:t>Porast tjelesne temperature;</w:t>
            </w:r>
            <w:r w:rsidRPr="007076F7">
              <w:rPr>
                <w:rFonts w:ascii="Times New Roman" w:eastAsia="Calibri" w:hAnsi="Times New Roman" w:cs="Times New Roman"/>
                <w:lang w:val="sr-Latn-ME"/>
              </w:rPr>
              <w:t xml:space="preserve"> </w:t>
            </w:r>
            <w:r w:rsidRPr="007076F7">
              <w:rPr>
                <w:rFonts w:ascii="Times New Roman" w:eastAsia="Times New Roman" w:hAnsi="Times New Roman" w:cs="Times New Roman"/>
                <w:lang w:val="sr-Latn-ME"/>
              </w:rPr>
              <w:t xml:space="preserve">periferni </w:t>
            </w:r>
            <w:proofErr w:type="spellStart"/>
            <w:r w:rsidRPr="007076F7">
              <w:rPr>
                <w:rFonts w:ascii="Times New Roman" w:eastAsia="Times New Roman" w:hAnsi="Times New Roman" w:cs="Times New Roman"/>
                <w:lang w:val="sr-Latn-ME"/>
              </w:rPr>
              <w:t>edem</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542E684"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c>
          <w:tcPr>
            <w:tcW w:w="1701" w:type="dxa"/>
            <w:tcBorders>
              <w:top w:val="single" w:sz="4" w:space="0" w:color="000000"/>
              <w:left w:val="single" w:sz="4" w:space="0" w:color="000000"/>
              <w:bottom w:val="single" w:sz="4" w:space="0" w:color="000000"/>
              <w:right w:val="single" w:sz="4" w:space="0" w:color="000000"/>
            </w:tcBorders>
          </w:tcPr>
          <w:p w14:paraId="5542E685" w14:textId="77777777" w:rsidR="002E7166" w:rsidRPr="007076F7" w:rsidRDefault="002E7166" w:rsidP="00AE0627">
            <w:pPr>
              <w:tabs>
                <w:tab w:val="left" w:pos="284"/>
                <w:tab w:val="left" w:pos="540"/>
              </w:tabs>
              <w:spacing w:after="0" w:line="240" w:lineRule="auto"/>
              <w:jc w:val="both"/>
              <w:rPr>
                <w:rFonts w:ascii="Times New Roman" w:eastAsia="Calibri" w:hAnsi="Times New Roman" w:cs="Times New Roman"/>
                <w:lang w:val="sr-Latn-ME"/>
              </w:rPr>
            </w:pPr>
          </w:p>
        </w:tc>
      </w:tr>
    </w:tbl>
    <w:p w14:paraId="17DC54B5" w14:textId="3A7086A1" w:rsidR="00880E23" w:rsidRPr="007076F7" w:rsidRDefault="002E7166" w:rsidP="00AE0627">
      <w:pPr>
        <w:tabs>
          <w:tab w:val="left" w:pos="284"/>
        </w:tabs>
        <w:spacing w:after="0" w:line="240" w:lineRule="auto"/>
        <w:jc w:val="both"/>
        <w:rPr>
          <w:rFonts w:ascii="Times New Roman" w:eastAsia="Times New Roman" w:hAnsi="Times New Roman" w:cs="Times New Roman"/>
          <w:noProof/>
          <w:u w:val="single"/>
          <w:lang w:val="sr-Latn-RS"/>
        </w:rPr>
      </w:pPr>
      <w:r w:rsidRPr="007076F7">
        <w:rPr>
          <w:rFonts w:ascii="Times New Roman" w:eastAsia="Times New Roman" w:hAnsi="Times New Roman" w:cs="Times New Roman"/>
          <w:noProof/>
          <w:u w:val="single"/>
          <w:vertAlign w:val="superscript"/>
          <w:lang w:val="sr-Latn-ME"/>
        </w:rPr>
        <w:t>1</w:t>
      </w:r>
      <w:r w:rsidRPr="007076F7">
        <w:rPr>
          <w:rFonts w:ascii="Times New Roman" w:eastAsia="Times New Roman" w:hAnsi="Times New Roman" w:cs="Times New Roman"/>
          <w:noProof/>
          <w:u w:val="single"/>
          <w:lang w:val="sr-Latn-ME"/>
        </w:rPr>
        <w:t xml:space="preserve"> Hipokalcemija </w:t>
      </w:r>
      <w:r w:rsidR="00880E23" w:rsidRPr="007076F7">
        <w:rPr>
          <w:rFonts w:ascii="Times New Roman" w:eastAsia="Times New Roman" w:hAnsi="Times New Roman" w:cs="Times New Roman"/>
          <w:noProof/>
          <w:u w:val="single"/>
          <w:lang w:val="sr-Latn-RS"/>
        </w:rPr>
        <w:t>i/ili hipokalemija može biti povezana sa pojavom hipomagnezemije (pogledati dio 4.4)</w:t>
      </w:r>
    </w:p>
    <w:p w14:paraId="5542E687" w14:textId="09E99659" w:rsidR="002E7166" w:rsidRPr="007076F7" w:rsidRDefault="002E7166" w:rsidP="00AE0627">
      <w:pPr>
        <w:tabs>
          <w:tab w:val="left" w:pos="284"/>
        </w:tabs>
        <w:spacing w:after="0" w:line="240" w:lineRule="auto"/>
        <w:jc w:val="both"/>
        <w:rPr>
          <w:rFonts w:ascii="Times New Roman" w:eastAsia="Times New Roman" w:hAnsi="Times New Roman" w:cs="Times New Roman"/>
          <w:noProof/>
          <w:u w:val="single"/>
          <w:lang w:val="sr-Latn-ME"/>
        </w:rPr>
      </w:pPr>
    </w:p>
    <w:p w14:paraId="5542E688"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noProof/>
          <w:u w:val="single"/>
          <w:lang w:val="sr-Latn-ME"/>
        </w:rPr>
      </w:pPr>
      <w:r w:rsidRPr="007076F7">
        <w:rPr>
          <w:rFonts w:ascii="Times New Roman" w:eastAsia="Times New Roman" w:hAnsi="Times New Roman" w:cs="Times New Roman"/>
          <w:noProof/>
          <w:u w:val="single"/>
          <w:vertAlign w:val="superscript"/>
          <w:lang w:val="sr-Latn-ME"/>
        </w:rPr>
        <w:lastRenderedPageBreak/>
        <w:t>2</w:t>
      </w:r>
      <w:r w:rsidRPr="007076F7">
        <w:rPr>
          <w:rFonts w:ascii="Times New Roman" w:eastAsia="Times New Roman" w:hAnsi="Times New Roman" w:cs="Times New Roman"/>
          <w:noProof/>
          <w:u w:val="single"/>
          <w:lang w:val="sr-Latn-ME"/>
        </w:rPr>
        <w:t xml:space="preserve"> Mišićni spazam je posljedica elektrolitnog disbalansa</w:t>
      </w:r>
    </w:p>
    <w:p w14:paraId="5542E689"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noProof/>
          <w:u w:val="single"/>
          <w:lang w:val="sr-Latn-ME"/>
        </w:rPr>
      </w:pPr>
    </w:p>
    <w:p w14:paraId="5542E68A" w14:textId="77777777" w:rsidR="002E7166" w:rsidRPr="007076F7" w:rsidRDefault="002E7166" w:rsidP="00AE0627">
      <w:pPr>
        <w:spacing w:after="0" w:line="240" w:lineRule="auto"/>
        <w:jc w:val="both"/>
        <w:rPr>
          <w:rFonts w:ascii="Times New Roman" w:eastAsia="Calibri" w:hAnsi="Times New Roman" w:cs="Times New Roman"/>
          <w:u w:val="single"/>
          <w:lang w:val="sr-Latn-ME"/>
        </w:rPr>
      </w:pPr>
      <w:r w:rsidRPr="007076F7">
        <w:rPr>
          <w:rFonts w:ascii="Times New Roman" w:eastAsia="Calibri" w:hAnsi="Times New Roman" w:cs="Times New Roman"/>
          <w:u w:val="single"/>
          <w:lang w:val="sr-Latn-ME"/>
        </w:rPr>
        <w:t>Prijavljivanje sumnji na neželjena dejstva</w:t>
      </w:r>
    </w:p>
    <w:p w14:paraId="52442F42" w14:textId="7F83C139" w:rsidR="00880E23" w:rsidRPr="007076F7" w:rsidRDefault="002E7166" w:rsidP="007076F7">
      <w:pPr>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880E23" w:rsidRPr="007076F7">
        <w:rPr>
          <w:rFonts w:ascii="Times New Roman" w:eastAsia="Calibri" w:hAnsi="Times New Roman" w:cs="Times New Roman"/>
          <w:lang w:val="sr-Latn-RS"/>
        </w:rPr>
        <w:t xml:space="preserve">Institutu za </w:t>
      </w:r>
      <w:proofErr w:type="spellStart"/>
      <w:r w:rsidR="00880E23" w:rsidRPr="007076F7">
        <w:rPr>
          <w:rFonts w:ascii="Times New Roman" w:eastAsia="Calibri" w:hAnsi="Times New Roman" w:cs="Times New Roman"/>
          <w:lang w:val="sr-Latn-RS"/>
        </w:rPr>
        <w:t>ljekove</w:t>
      </w:r>
      <w:proofErr w:type="spellEnd"/>
      <w:r w:rsidR="00880E23" w:rsidRPr="007076F7">
        <w:rPr>
          <w:rFonts w:ascii="Times New Roman" w:eastAsia="Calibri" w:hAnsi="Times New Roman" w:cs="Times New Roman"/>
          <w:lang w:val="sr-Latn-RS"/>
        </w:rPr>
        <w:t xml:space="preserve"> i medicinska sredstva (CInMED):</w:t>
      </w:r>
    </w:p>
    <w:p w14:paraId="5542E68C" w14:textId="045ACAD5" w:rsidR="002E7166" w:rsidRPr="007076F7" w:rsidRDefault="00880E23">
      <w:pPr>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Institut</w:t>
      </w:r>
      <w:r w:rsidR="002E7166" w:rsidRPr="007076F7">
        <w:rPr>
          <w:rFonts w:ascii="Times New Roman" w:eastAsia="Calibri" w:hAnsi="Times New Roman" w:cs="Times New Roman"/>
          <w:lang w:val="sr-Latn-ME"/>
        </w:rPr>
        <w:t xml:space="preserve"> za ljekove i medicinska sredstva </w:t>
      </w:r>
    </w:p>
    <w:p w14:paraId="5542E68D" w14:textId="77777777" w:rsidR="002E7166" w:rsidRPr="007076F7" w:rsidRDefault="002E7166">
      <w:pPr>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Odjeljenje za </w:t>
      </w:r>
      <w:proofErr w:type="spellStart"/>
      <w:r w:rsidRPr="007076F7">
        <w:rPr>
          <w:rFonts w:ascii="Times New Roman" w:eastAsia="Calibri" w:hAnsi="Times New Roman" w:cs="Times New Roman"/>
          <w:lang w:val="sr-Latn-ME"/>
        </w:rPr>
        <w:t>farmakovigilancu</w:t>
      </w:r>
      <w:proofErr w:type="spellEnd"/>
    </w:p>
    <w:p w14:paraId="5542E68E" w14:textId="77777777" w:rsidR="002E7166" w:rsidRPr="007076F7" w:rsidRDefault="002E7166">
      <w:pPr>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Bulevar Ivana Crnojevića 64a, 81000 Podgorica</w:t>
      </w:r>
    </w:p>
    <w:p w14:paraId="5542E68F" w14:textId="77777777" w:rsidR="002E7166" w:rsidRPr="007076F7" w:rsidRDefault="002E7166" w:rsidP="00AE0627">
      <w:pPr>
        <w:spacing w:after="0" w:line="240" w:lineRule="auto"/>
        <w:jc w:val="both"/>
        <w:rPr>
          <w:rFonts w:ascii="Times New Roman" w:eastAsia="Calibri" w:hAnsi="Times New Roman" w:cs="Times New Roman"/>
          <w:lang w:val="sr-Latn-ME"/>
        </w:rPr>
      </w:pPr>
    </w:p>
    <w:p w14:paraId="5542E690" w14:textId="77777777" w:rsidR="002E7166" w:rsidRPr="007076F7" w:rsidRDefault="002E7166" w:rsidP="007076F7">
      <w:pPr>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tel: +382 (0) 20 310 280</w:t>
      </w:r>
    </w:p>
    <w:p w14:paraId="5542E691" w14:textId="77777777" w:rsidR="00F6558F" w:rsidRPr="007076F7" w:rsidRDefault="002E7166" w:rsidP="007076F7">
      <w:pPr>
        <w:spacing w:after="0" w:line="240" w:lineRule="auto"/>
        <w:jc w:val="both"/>
        <w:rPr>
          <w:rFonts w:ascii="Times New Roman" w:eastAsia="Calibri" w:hAnsi="Times New Roman" w:cs="Times New Roman"/>
          <w:lang w:val="sr-Latn-ME"/>
        </w:rPr>
      </w:pPr>
      <w:proofErr w:type="spellStart"/>
      <w:r w:rsidRPr="007076F7">
        <w:rPr>
          <w:rFonts w:ascii="Times New Roman" w:eastAsia="Calibri" w:hAnsi="Times New Roman" w:cs="Times New Roman"/>
          <w:lang w:val="sr-Latn-ME"/>
        </w:rPr>
        <w:t>fax</w:t>
      </w:r>
      <w:proofErr w:type="spellEnd"/>
      <w:r w:rsidRPr="007076F7">
        <w:rPr>
          <w:rFonts w:ascii="Times New Roman" w:eastAsia="Calibri" w:hAnsi="Times New Roman" w:cs="Times New Roman"/>
          <w:lang w:val="sr-Latn-ME"/>
        </w:rPr>
        <w:t>: +382 (0) 20 310 581</w:t>
      </w:r>
    </w:p>
    <w:p w14:paraId="348A3EA4" w14:textId="77777777" w:rsidR="00880E23" w:rsidRPr="00A06B15" w:rsidRDefault="008F1FA7" w:rsidP="007076F7">
      <w:pPr>
        <w:spacing w:after="0" w:line="240" w:lineRule="auto"/>
        <w:jc w:val="both"/>
        <w:rPr>
          <w:rFonts w:ascii="Times New Roman" w:eastAsia="Calibri" w:hAnsi="Times New Roman" w:cs="Times New Roman"/>
          <w:u w:val="single"/>
          <w:lang w:val="sr-Latn-ME"/>
        </w:rPr>
      </w:pPr>
      <w:hyperlink r:id="rId8" w:history="1">
        <w:r w:rsidR="00880E23" w:rsidRPr="00A06B15">
          <w:rPr>
            <w:rFonts w:ascii="Times New Roman" w:eastAsia="Calibri" w:hAnsi="Times New Roman" w:cs="Times New Roman"/>
            <w:u w:val="single"/>
            <w:lang w:val="sr-Latn-ME"/>
          </w:rPr>
          <w:t>www.cinmed.me</w:t>
        </w:r>
      </w:hyperlink>
    </w:p>
    <w:p w14:paraId="3691D79F" w14:textId="77777777" w:rsidR="00880E23" w:rsidRPr="00A06B15" w:rsidRDefault="008F1FA7">
      <w:pPr>
        <w:spacing w:after="0" w:line="240" w:lineRule="auto"/>
        <w:jc w:val="both"/>
        <w:rPr>
          <w:rFonts w:ascii="Times New Roman" w:eastAsia="Calibri" w:hAnsi="Times New Roman" w:cs="Times New Roman"/>
          <w:u w:val="single"/>
          <w:lang w:val="sr-Latn-ME"/>
        </w:rPr>
      </w:pPr>
      <w:hyperlink r:id="rId9" w:history="1">
        <w:r w:rsidR="00880E23" w:rsidRPr="00A06B15">
          <w:rPr>
            <w:rFonts w:ascii="Times New Roman" w:eastAsia="Calibri" w:hAnsi="Times New Roman" w:cs="Times New Roman"/>
            <w:u w:val="single"/>
            <w:lang w:val="sr-Latn-ME"/>
          </w:rPr>
          <w:t>nezeljenadejstva@cinmed.me</w:t>
        </w:r>
      </w:hyperlink>
    </w:p>
    <w:p w14:paraId="1409B187" w14:textId="77777777" w:rsidR="00880E23" w:rsidRPr="007076F7" w:rsidRDefault="00880E23">
      <w:pPr>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putem IS zdravstvene zaštite</w:t>
      </w:r>
    </w:p>
    <w:p w14:paraId="52EC3573" w14:textId="77777777" w:rsidR="00880E23" w:rsidRPr="007076F7" w:rsidRDefault="00880E23">
      <w:pPr>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QR kod za </w:t>
      </w:r>
      <w:proofErr w:type="spellStart"/>
      <w:r w:rsidRPr="007076F7">
        <w:rPr>
          <w:rFonts w:ascii="Times New Roman" w:eastAsia="Calibri" w:hAnsi="Times New Roman" w:cs="Times New Roman"/>
          <w:lang w:val="sr-Latn-ME"/>
        </w:rPr>
        <w:t>online</w:t>
      </w:r>
      <w:proofErr w:type="spellEnd"/>
      <w:r w:rsidRPr="007076F7">
        <w:rPr>
          <w:rFonts w:ascii="Times New Roman" w:eastAsia="Calibri" w:hAnsi="Times New Roman" w:cs="Times New Roman"/>
          <w:lang w:val="sr-Latn-ME"/>
        </w:rPr>
        <w:t xml:space="preserve"> prijavu sumnje na neželjeno dejstvo lijeka:</w:t>
      </w:r>
    </w:p>
    <w:p w14:paraId="4ACB5977" w14:textId="77777777" w:rsidR="00880E23" w:rsidRPr="00AE0627" w:rsidRDefault="00880E23">
      <w:pPr>
        <w:spacing w:after="0" w:line="240" w:lineRule="auto"/>
        <w:jc w:val="both"/>
        <w:rPr>
          <w:rFonts w:ascii="Times New Roman" w:hAnsi="Times New Roman" w:cs="Times New Roman"/>
          <w:lang w:val="sr-Latn-RS"/>
        </w:rPr>
      </w:pPr>
    </w:p>
    <w:p w14:paraId="7633F827" w14:textId="5B9292E4" w:rsidR="00880E23" w:rsidRPr="00AE0627" w:rsidRDefault="00A06B15">
      <w:pPr>
        <w:spacing w:after="0" w:line="240" w:lineRule="auto"/>
        <w:jc w:val="both"/>
        <w:rPr>
          <w:rFonts w:ascii="Times New Roman" w:hAnsi="Times New Roman" w:cs="Times New Roman"/>
          <w:lang w:val="sr-Latn-RS"/>
        </w:rPr>
      </w:pPr>
      <w:r w:rsidRPr="007F661E">
        <w:rPr>
          <w:b/>
          <w:bCs/>
          <w:noProof/>
        </w:rPr>
        <w:drawing>
          <wp:inline distT="0" distB="0" distL="0" distR="0" wp14:anchorId="211A1197" wp14:editId="0021A2C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42C3ECC6" w14:textId="77777777" w:rsidR="00880E23" w:rsidRPr="00AE0627" w:rsidRDefault="00880E23">
      <w:pPr>
        <w:spacing w:after="0" w:line="240" w:lineRule="auto"/>
        <w:jc w:val="both"/>
        <w:rPr>
          <w:rFonts w:ascii="Times New Roman" w:hAnsi="Times New Roman" w:cs="Times New Roman"/>
          <w:b/>
          <w:bCs/>
        </w:rPr>
      </w:pPr>
    </w:p>
    <w:p w14:paraId="5542E697"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4.9. Predoziranje</w:t>
      </w:r>
    </w:p>
    <w:p w14:paraId="5542E698"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69A"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Nisu poznati simptomi </w:t>
      </w:r>
      <w:proofErr w:type="spellStart"/>
      <w:r w:rsidRPr="007076F7">
        <w:rPr>
          <w:rFonts w:ascii="Times New Roman" w:eastAsia="TimesNewRoman" w:hAnsi="Times New Roman" w:cs="Times New Roman"/>
          <w:lang w:val="sr-Latn-ME"/>
        </w:rPr>
        <w:t>predoziranja</w:t>
      </w:r>
      <w:proofErr w:type="spellEnd"/>
      <w:r w:rsidRPr="007076F7">
        <w:rPr>
          <w:rFonts w:ascii="Times New Roman" w:eastAsia="TimesNewRoman" w:hAnsi="Times New Roman" w:cs="Times New Roman"/>
          <w:lang w:val="sr-Latn-ME"/>
        </w:rPr>
        <w:t xml:space="preserve"> kod </w:t>
      </w:r>
      <w:proofErr w:type="spellStart"/>
      <w:r w:rsidRPr="007076F7">
        <w:rPr>
          <w:rFonts w:ascii="Times New Roman" w:eastAsia="TimesNewRoman" w:hAnsi="Times New Roman" w:cs="Times New Roman"/>
          <w:lang w:val="sr-Latn-ME"/>
        </w:rPr>
        <w:t>ljudi</w:t>
      </w:r>
      <w:proofErr w:type="spellEnd"/>
      <w:r w:rsidRPr="007076F7">
        <w:rPr>
          <w:rFonts w:ascii="Times New Roman" w:eastAsia="TimesNewRoman" w:hAnsi="Times New Roman" w:cs="Times New Roman"/>
          <w:lang w:val="sr-Latn-ME"/>
        </w:rPr>
        <w:t>.</w:t>
      </w:r>
    </w:p>
    <w:p w14:paraId="5542E69B"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9C"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Sistemska izloženost dozi do 240 mg koja je primijenjena </w:t>
      </w:r>
      <w:proofErr w:type="spellStart"/>
      <w:r w:rsidRPr="007076F7">
        <w:rPr>
          <w:rFonts w:ascii="Times New Roman" w:eastAsia="TimesNewRoman" w:hAnsi="Times New Roman" w:cs="Times New Roman"/>
          <w:lang w:val="sr-Latn-ME"/>
        </w:rPr>
        <w:t>intravenskim</w:t>
      </w:r>
      <w:proofErr w:type="spellEnd"/>
      <w:r w:rsidRPr="007076F7">
        <w:rPr>
          <w:rFonts w:ascii="Times New Roman" w:eastAsia="TimesNewRoman" w:hAnsi="Times New Roman" w:cs="Times New Roman"/>
          <w:lang w:val="sr-Latn-ME"/>
        </w:rPr>
        <w:t xml:space="preserve"> putem tokom 2 minuta je dobro tolerisana.</w:t>
      </w:r>
    </w:p>
    <w:p w14:paraId="5542E69E"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S obzirom na to da se </w:t>
      </w:r>
      <w:proofErr w:type="spellStart"/>
      <w:r w:rsidRPr="007076F7">
        <w:rPr>
          <w:rFonts w:ascii="Times New Roman" w:eastAsia="TimesNewRoman" w:hAnsi="Times New Roman" w:cs="Times New Roman"/>
          <w:lang w:val="sr-Latn-ME"/>
        </w:rPr>
        <w:t>pantoprazol</w:t>
      </w:r>
      <w:proofErr w:type="spellEnd"/>
      <w:r w:rsidRPr="007076F7">
        <w:rPr>
          <w:rFonts w:ascii="Times New Roman" w:eastAsia="TimesNewRoman" w:hAnsi="Times New Roman" w:cs="Times New Roman"/>
          <w:lang w:val="sr-Latn-ME"/>
        </w:rPr>
        <w:t xml:space="preserve"> u velikom procentu vezuje za proteine plazme, ne </w:t>
      </w:r>
      <w:proofErr w:type="spellStart"/>
      <w:r w:rsidRPr="007076F7">
        <w:rPr>
          <w:rFonts w:ascii="Times New Roman" w:eastAsia="TimesNewRoman" w:hAnsi="Times New Roman" w:cs="Times New Roman"/>
          <w:lang w:val="sr-Latn-ME"/>
        </w:rPr>
        <w:t>dijalizira</w:t>
      </w:r>
      <w:proofErr w:type="spellEnd"/>
      <w:r w:rsidRPr="007076F7">
        <w:rPr>
          <w:rFonts w:ascii="Times New Roman" w:eastAsia="TimesNewRoman" w:hAnsi="Times New Roman" w:cs="Times New Roman"/>
          <w:lang w:val="sr-Latn-ME"/>
        </w:rPr>
        <w:t xml:space="preserve"> se lako.</w:t>
      </w:r>
    </w:p>
    <w:p w14:paraId="5542E6A0" w14:textId="21F96D98"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CS"/>
        </w:rPr>
      </w:pPr>
      <w:r w:rsidRPr="007076F7">
        <w:rPr>
          <w:rFonts w:ascii="Times New Roman" w:eastAsia="TimesNewRoman" w:hAnsi="Times New Roman" w:cs="Times New Roman"/>
          <w:lang w:val="sr-Latn-ME"/>
        </w:rPr>
        <w:t xml:space="preserve">U slučaju </w:t>
      </w:r>
      <w:proofErr w:type="spellStart"/>
      <w:r w:rsidRPr="007076F7">
        <w:rPr>
          <w:rFonts w:ascii="Times New Roman" w:eastAsia="TimesNewRoman" w:hAnsi="Times New Roman" w:cs="Times New Roman"/>
          <w:lang w:val="sr-Latn-ME"/>
        </w:rPr>
        <w:t>predoziranja</w:t>
      </w:r>
      <w:proofErr w:type="spellEnd"/>
      <w:r w:rsidRPr="007076F7">
        <w:rPr>
          <w:rFonts w:ascii="Times New Roman" w:eastAsia="TimesNewRoman" w:hAnsi="Times New Roman" w:cs="Times New Roman"/>
          <w:lang w:val="sr-Latn-ME"/>
        </w:rPr>
        <w:t xml:space="preserve"> sa kliničkim znacima </w:t>
      </w:r>
      <w:proofErr w:type="spellStart"/>
      <w:r w:rsidRPr="007076F7">
        <w:rPr>
          <w:rFonts w:ascii="Times New Roman" w:eastAsia="TimesNewRoman" w:hAnsi="Times New Roman" w:cs="Times New Roman"/>
          <w:lang w:val="sr-Latn-ME"/>
        </w:rPr>
        <w:t>intoksikacije</w:t>
      </w:r>
      <w:proofErr w:type="spellEnd"/>
      <w:r w:rsidRPr="007076F7">
        <w:rPr>
          <w:rFonts w:ascii="Times New Roman" w:eastAsia="TimesNewRoman" w:hAnsi="Times New Roman" w:cs="Times New Roman"/>
          <w:lang w:val="sr-Latn-ME"/>
        </w:rPr>
        <w:t xml:space="preserve">, osim </w:t>
      </w:r>
      <w:proofErr w:type="spellStart"/>
      <w:r w:rsidRPr="007076F7">
        <w:rPr>
          <w:rFonts w:ascii="Times New Roman" w:eastAsia="TimesNewRoman" w:hAnsi="Times New Roman" w:cs="Times New Roman"/>
          <w:lang w:val="sr-Latn-ME"/>
        </w:rPr>
        <w:t>simptomatske</w:t>
      </w:r>
      <w:proofErr w:type="spellEnd"/>
      <w:r w:rsidRPr="007076F7">
        <w:rPr>
          <w:rFonts w:ascii="Times New Roman" w:eastAsia="TimesNewRoman" w:hAnsi="Times New Roman" w:cs="Times New Roman"/>
          <w:lang w:val="sr-Latn-ME"/>
        </w:rPr>
        <w:t xml:space="preserve"> i potporne terapije, ne mogu se dati druge specifične preporuke</w:t>
      </w:r>
      <w:r w:rsidR="00560316" w:rsidRPr="007076F7">
        <w:rPr>
          <w:rFonts w:ascii="Times New Roman" w:eastAsia="TimesNewRoman" w:hAnsi="Times New Roman" w:cs="Times New Roman"/>
          <w:lang w:val="sr-Latn-ME"/>
        </w:rPr>
        <w:t xml:space="preserve"> </w:t>
      </w:r>
      <w:proofErr w:type="spellStart"/>
      <w:r w:rsidR="00560316" w:rsidRPr="007076F7">
        <w:rPr>
          <w:rFonts w:ascii="Times New Roman" w:eastAsia="TimesNewRoman" w:hAnsi="Times New Roman" w:cs="Times New Roman"/>
        </w:rPr>
        <w:t>kod</w:t>
      </w:r>
      <w:proofErr w:type="spellEnd"/>
      <w:r w:rsidR="00560316" w:rsidRPr="007076F7">
        <w:rPr>
          <w:rFonts w:ascii="Times New Roman" w:eastAsia="TimesNewRoman" w:hAnsi="Times New Roman" w:cs="Times New Roman"/>
          <w:lang w:val="sr-Latn-CS"/>
        </w:rPr>
        <w:t xml:space="preserve"> </w:t>
      </w:r>
      <w:proofErr w:type="spellStart"/>
      <w:r w:rsidR="00560316" w:rsidRPr="007076F7">
        <w:rPr>
          <w:rFonts w:ascii="Times New Roman" w:eastAsia="TimesNewRoman" w:hAnsi="Times New Roman" w:cs="Times New Roman"/>
        </w:rPr>
        <w:t>predoziranja</w:t>
      </w:r>
      <w:proofErr w:type="spellEnd"/>
      <w:r w:rsidR="00560316" w:rsidRPr="007076F7">
        <w:rPr>
          <w:rFonts w:ascii="Times New Roman" w:eastAsia="TimesNewRoman" w:hAnsi="Times New Roman" w:cs="Times New Roman"/>
          <w:lang w:val="sr-Latn-CS"/>
        </w:rPr>
        <w:t xml:space="preserve"> </w:t>
      </w:r>
      <w:proofErr w:type="spellStart"/>
      <w:r w:rsidR="00560316" w:rsidRPr="007076F7">
        <w:rPr>
          <w:rFonts w:ascii="Times New Roman" w:eastAsia="TimesNewRoman" w:hAnsi="Times New Roman" w:cs="Times New Roman"/>
        </w:rPr>
        <w:t>pantoprazolom</w:t>
      </w:r>
      <w:proofErr w:type="spellEnd"/>
      <w:r w:rsidR="00560316" w:rsidRPr="007076F7">
        <w:rPr>
          <w:rFonts w:ascii="Times New Roman" w:eastAsia="TimesNewRoman" w:hAnsi="Times New Roman" w:cs="Times New Roman"/>
          <w:lang w:val="sr-Latn-CS"/>
        </w:rPr>
        <w:t>.</w:t>
      </w:r>
    </w:p>
    <w:p w14:paraId="5542E6A1" w14:textId="77777777" w:rsidR="002828B6" w:rsidRPr="007076F7" w:rsidRDefault="002828B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A2" w14:textId="77777777" w:rsidR="00B66416" w:rsidRPr="007076F7" w:rsidRDefault="00B66416">
      <w:pPr>
        <w:tabs>
          <w:tab w:val="left" w:pos="284"/>
        </w:tabs>
        <w:spacing w:after="0" w:line="240" w:lineRule="auto"/>
        <w:jc w:val="both"/>
        <w:rPr>
          <w:rFonts w:ascii="Times New Roman" w:eastAsia="Times New Roman" w:hAnsi="Times New Roman" w:cs="Times New Roman"/>
          <w:lang w:val="sr-Latn-ME"/>
        </w:rPr>
      </w:pPr>
    </w:p>
    <w:p w14:paraId="5542E6A3" w14:textId="77777777" w:rsidR="002E7166" w:rsidRPr="007076F7" w:rsidRDefault="002E7166">
      <w:pPr>
        <w:tabs>
          <w:tab w:val="left" w:pos="284"/>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5. FARMAKOLOŠKI PODACI</w:t>
      </w:r>
    </w:p>
    <w:p w14:paraId="5542E6A4"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p>
    <w:p w14:paraId="5542E6A5"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 xml:space="preserve">5.1. </w:t>
      </w:r>
      <w:proofErr w:type="spellStart"/>
      <w:r w:rsidRPr="007076F7">
        <w:rPr>
          <w:rFonts w:ascii="Times New Roman" w:eastAsia="Times New Roman" w:hAnsi="Times New Roman" w:cs="Times New Roman"/>
          <w:b/>
          <w:bCs/>
          <w:lang w:val="sr-Latn-ME"/>
        </w:rPr>
        <w:t>Farmakodinamski</w:t>
      </w:r>
      <w:proofErr w:type="spellEnd"/>
      <w:r w:rsidRPr="007076F7">
        <w:rPr>
          <w:rFonts w:ascii="Times New Roman" w:eastAsia="Times New Roman" w:hAnsi="Times New Roman" w:cs="Times New Roman"/>
          <w:b/>
          <w:bCs/>
          <w:lang w:val="sr-Latn-ME"/>
        </w:rPr>
        <w:t xml:space="preserve"> podaci</w:t>
      </w:r>
    </w:p>
    <w:p w14:paraId="5542E6A6"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p>
    <w:p w14:paraId="5542E6A7" w14:textId="77777777" w:rsidR="002E7166" w:rsidRPr="007076F7" w:rsidRDefault="00B66416">
      <w:pPr>
        <w:tabs>
          <w:tab w:val="left" w:pos="284"/>
        </w:tabs>
        <w:spacing w:after="0" w:line="240" w:lineRule="auto"/>
        <w:jc w:val="both"/>
        <w:rPr>
          <w:rFonts w:ascii="Times New Roman" w:eastAsia="Times New Roman" w:hAnsi="Times New Roman" w:cs="Times New Roman"/>
          <w:b/>
          <w:bCs/>
          <w:lang w:val="sr-Latn-ME"/>
        </w:rPr>
      </w:pPr>
      <w:proofErr w:type="spellStart"/>
      <w:r w:rsidRPr="007076F7">
        <w:rPr>
          <w:rFonts w:ascii="Times New Roman" w:eastAsia="Times New Roman" w:hAnsi="Times New Roman" w:cs="Times New Roman"/>
          <w:b/>
          <w:bCs/>
          <w:lang w:val="sr-Latn-ME"/>
        </w:rPr>
        <w:t>Farmakoterapijska</w:t>
      </w:r>
      <w:proofErr w:type="spellEnd"/>
      <w:r w:rsidRPr="007076F7">
        <w:rPr>
          <w:rFonts w:ascii="Times New Roman" w:eastAsia="Times New Roman" w:hAnsi="Times New Roman" w:cs="Times New Roman"/>
          <w:b/>
          <w:bCs/>
          <w:lang w:val="sr-Latn-ME"/>
        </w:rPr>
        <w:t xml:space="preserve"> grupa:</w:t>
      </w:r>
      <w:r w:rsidR="002E7166" w:rsidRPr="007076F7">
        <w:rPr>
          <w:rFonts w:ascii="Times New Roman" w:eastAsia="Times New Roman" w:hAnsi="Times New Roman" w:cs="Times New Roman"/>
          <w:b/>
          <w:bCs/>
          <w:lang w:val="sr-Latn-ME"/>
        </w:rPr>
        <w:t xml:space="preserve"> </w:t>
      </w:r>
      <w:r w:rsidR="002E7166" w:rsidRPr="007076F7">
        <w:rPr>
          <w:rFonts w:ascii="Times New Roman" w:eastAsia="Times New Roman" w:hAnsi="Times New Roman" w:cs="Times New Roman"/>
          <w:noProof/>
          <w:lang w:val="sr-Latn-ME"/>
        </w:rPr>
        <w:t>Ljekovi za poremećaje aciditeta;</w:t>
      </w:r>
      <w:r w:rsidR="002E7166" w:rsidRPr="007076F7">
        <w:rPr>
          <w:rFonts w:ascii="Times New Roman" w:eastAsia="Times New Roman" w:hAnsi="Times New Roman" w:cs="Times New Roman"/>
          <w:lang w:val="sr-Latn-ME"/>
        </w:rPr>
        <w:t xml:space="preserve"> Inhibitori protonske pumpe</w:t>
      </w:r>
    </w:p>
    <w:p w14:paraId="5542E6A8"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6A9"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ATC kod:</w:t>
      </w:r>
      <w:r w:rsidRPr="007076F7">
        <w:rPr>
          <w:rFonts w:ascii="Times New Roman" w:eastAsia="Times New Roman" w:hAnsi="Times New Roman" w:cs="Times New Roman"/>
          <w:lang w:val="sr-Latn-ME"/>
        </w:rPr>
        <w:t xml:space="preserve"> A02BC02</w:t>
      </w:r>
    </w:p>
    <w:p w14:paraId="5542E6AA"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6AB"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r w:rsidRPr="007076F7">
        <w:rPr>
          <w:rFonts w:ascii="Times New Roman" w:eastAsia="Times New Roman" w:hAnsi="Times New Roman" w:cs="Times New Roman"/>
          <w:i/>
          <w:iCs/>
          <w:u w:val="single"/>
          <w:lang w:val="sr-Latn-ME"/>
        </w:rPr>
        <w:t>Mehanizam dejstva</w:t>
      </w:r>
    </w:p>
    <w:p w14:paraId="5542E6AC" w14:textId="77777777" w:rsidR="00F6558F" w:rsidRPr="007076F7" w:rsidRDefault="00F6558F">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p>
    <w:p w14:paraId="5542E6AD"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roofErr w:type="spellStart"/>
      <w:r w:rsidRPr="007076F7">
        <w:rPr>
          <w:rFonts w:ascii="Times New Roman" w:eastAsia="TimesNewRoman" w:hAnsi="Times New Roman" w:cs="Times New Roman"/>
          <w:lang w:val="sr-Latn-ME"/>
        </w:rPr>
        <w:t>Pantoprazol</w:t>
      </w:r>
      <w:proofErr w:type="spellEnd"/>
      <w:r w:rsidRPr="007076F7">
        <w:rPr>
          <w:rFonts w:ascii="Times New Roman" w:eastAsia="TimesNewRoman" w:hAnsi="Times New Roman" w:cs="Times New Roman"/>
          <w:lang w:val="sr-Latn-ME"/>
        </w:rPr>
        <w:t xml:space="preserve"> je supstituisani </w:t>
      </w:r>
      <w:proofErr w:type="spellStart"/>
      <w:r w:rsidRPr="007076F7">
        <w:rPr>
          <w:rFonts w:ascii="Times New Roman" w:eastAsia="TimesNewRoman" w:hAnsi="Times New Roman" w:cs="Times New Roman"/>
          <w:lang w:val="sr-Latn-ME"/>
        </w:rPr>
        <w:t>benzimidazol</w:t>
      </w:r>
      <w:proofErr w:type="spellEnd"/>
      <w:r w:rsidRPr="007076F7">
        <w:rPr>
          <w:rFonts w:ascii="Times New Roman" w:eastAsia="TimesNewRoman" w:hAnsi="Times New Roman" w:cs="Times New Roman"/>
          <w:lang w:val="sr-Latn-ME"/>
        </w:rPr>
        <w:t xml:space="preserve"> koji inhibira sekreciju hlorovodonične kiseline djelujući na protonsku pumpu u </w:t>
      </w:r>
      <w:proofErr w:type="spellStart"/>
      <w:r w:rsidRPr="007076F7">
        <w:rPr>
          <w:rFonts w:ascii="Times New Roman" w:eastAsia="TimesNewRoman" w:hAnsi="Times New Roman" w:cs="Times New Roman"/>
          <w:lang w:val="sr-Latn-ME"/>
        </w:rPr>
        <w:t>parijetalnim</w:t>
      </w:r>
      <w:proofErr w:type="spellEnd"/>
      <w:r w:rsidRPr="007076F7">
        <w:rPr>
          <w:rFonts w:ascii="Times New Roman" w:eastAsia="TimesNewRoman" w:hAnsi="Times New Roman" w:cs="Times New Roman"/>
          <w:lang w:val="sr-Latn-ME"/>
        </w:rPr>
        <w:t xml:space="preserve"> ćelijama želuca.</w:t>
      </w:r>
    </w:p>
    <w:p w14:paraId="5542E6AE"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AF" w14:textId="77777777" w:rsidR="00B6641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roofErr w:type="spellStart"/>
      <w:r w:rsidRPr="007076F7">
        <w:rPr>
          <w:rFonts w:ascii="Times New Roman" w:eastAsia="TimesNewRoman" w:hAnsi="Times New Roman" w:cs="Times New Roman"/>
          <w:lang w:val="sr-Latn-ME"/>
        </w:rPr>
        <w:t>Pantoprazol</w:t>
      </w:r>
      <w:proofErr w:type="spellEnd"/>
      <w:r w:rsidRPr="007076F7">
        <w:rPr>
          <w:rFonts w:ascii="Times New Roman" w:eastAsia="TimesNewRoman" w:hAnsi="Times New Roman" w:cs="Times New Roman"/>
          <w:lang w:val="sr-Latn-ME"/>
        </w:rPr>
        <w:t xml:space="preserve"> prelazi u aktivnu formu u kiseloj sredini u </w:t>
      </w:r>
      <w:proofErr w:type="spellStart"/>
      <w:r w:rsidRPr="007076F7">
        <w:rPr>
          <w:rFonts w:ascii="Times New Roman" w:eastAsia="TimesNewRoman" w:hAnsi="Times New Roman" w:cs="Times New Roman"/>
          <w:lang w:val="sr-Latn-ME"/>
        </w:rPr>
        <w:t>parijetalnim</w:t>
      </w:r>
      <w:proofErr w:type="spellEnd"/>
      <w:r w:rsidRPr="007076F7">
        <w:rPr>
          <w:rFonts w:ascii="Times New Roman" w:eastAsia="TimesNewRoman" w:hAnsi="Times New Roman" w:cs="Times New Roman"/>
          <w:lang w:val="sr-Latn-ME"/>
        </w:rPr>
        <w:t xml:space="preserve"> ćelijama gdje vrši inhibiciju enzima H+/K+-ATP-</w:t>
      </w:r>
      <w:proofErr w:type="spellStart"/>
      <w:r w:rsidRPr="007076F7">
        <w:rPr>
          <w:rFonts w:ascii="Times New Roman" w:eastAsia="TimesNewRoman" w:hAnsi="Times New Roman" w:cs="Times New Roman"/>
          <w:lang w:val="sr-Latn-ME"/>
        </w:rPr>
        <w:t>aze</w:t>
      </w:r>
      <w:proofErr w:type="spellEnd"/>
      <w:r w:rsidRPr="007076F7">
        <w:rPr>
          <w:rFonts w:ascii="Times New Roman" w:eastAsia="TimesNewRoman" w:hAnsi="Times New Roman" w:cs="Times New Roman"/>
          <w:lang w:val="sr-Latn-ME"/>
        </w:rPr>
        <w:t xml:space="preserve">, tj. završnu fazu produkcije hlorovodonične kiseline u želucu. Stepen inhibicije zavisi od doze i utiče kako na osnovnu, tako i na stimulisanu sekreciju kiseline. Kod većine pacijenata, nestanak simptoma se postiže nakon 2 nedjelje. Kao i kod drugih inhibitora protonske pumpe i inhibitora H2 receptora, liječenje </w:t>
      </w:r>
      <w:proofErr w:type="spellStart"/>
      <w:r w:rsidRPr="007076F7">
        <w:rPr>
          <w:rFonts w:ascii="Times New Roman" w:eastAsia="TimesNewRoman" w:hAnsi="Times New Roman" w:cs="Times New Roman"/>
          <w:lang w:val="sr-Latn-ME"/>
        </w:rPr>
        <w:t>pantoprazolom</w:t>
      </w:r>
      <w:proofErr w:type="spellEnd"/>
      <w:r w:rsidRPr="007076F7">
        <w:rPr>
          <w:rFonts w:ascii="Times New Roman" w:eastAsia="TimesNewRoman" w:hAnsi="Times New Roman" w:cs="Times New Roman"/>
          <w:lang w:val="sr-Latn-ME"/>
        </w:rPr>
        <w:t xml:space="preserve"> uzrokuje smanjenu kiselost u želucu, a tako i povećanje </w:t>
      </w:r>
      <w:proofErr w:type="spellStart"/>
      <w:r w:rsidRPr="007076F7">
        <w:rPr>
          <w:rFonts w:ascii="Times New Roman" w:eastAsia="TimesNewRoman" w:hAnsi="Times New Roman" w:cs="Times New Roman"/>
          <w:lang w:val="sr-Latn-ME"/>
        </w:rPr>
        <w:t>gastrina</w:t>
      </w:r>
      <w:proofErr w:type="spellEnd"/>
      <w:r w:rsidRPr="007076F7">
        <w:rPr>
          <w:rFonts w:ascii="Times New Roman" w:eastAsia="TimesNewRoman" w:hAnsi="Times New Roman" w:cs="Times New Roman"/>
          <w:lang w:val="sr-Latn-ME"/>
        </w:rPr>
        <w:t xml:space="preserve"> srazmjerno smanjenoj kiselosti. Povećanje </w:t>
      </w:r>
      <w:proofErr w:type="spellStart"/>
      <w:r w:rsidRPr="007076F7">
        <w:rPr>
          <w:rFonts w:ascii="Times New Roman" w:eastAsia="TimesNewRoman" w:hAnsi="Times New Roman" w:cs="Times New Roman"/>
          <w:lang w:val="sr-Latn-ME"/>
        </w:rPr>
        <w:t>gastrina</w:t>
      </w:r>
      <w:proofErr w:type="spellEnd"/>
      <w:r w:rsidRPr="007076F7">
        <w:rPr>
          <w:rFonts w:ascii="Times New Roman" w:eastAsia="TimesNewRoman" w:hAnsi="Times New Roman" w:cs="Times New Roman"/>
          <w:lang w:val="sr-Latn-ME"/>
        </w:rPr>
        <w:t xml:space="preserve"> je </w:t>
      </w:r>
      <w:proofErr w:type="spellStart"/>
      <w:r w:rsidRPr="007076F7">
        <w:rPr>
          <w:rFonts w:ascii="Times New Roman" w:eastAsia="TimesNewRoman" w:hAnsi="Times New Roman" w:cs="Times New Roman"/>
          <w:lang w:val="sr-Latn-ME"/>
        </w:rPr>
        <w:t>reverzibilno</w:t>
      </w:r>
      <w:proofErr w:type="spellEnd"/>
      <w:r w:rsidRPr="007076F7">
        <w:rPr>
          <w:rFonts w:ascii="Times New Roman" w:eastAsia="TimesNewRoman" w:hAnsi="Times New Roman" w:cs="Times New Roman"/>
          <w:lang w:val="sr-Latn-ME"/>
        </w:rPr>
        <w:t xml:space="preserve">. </w:t>
      </w:r>
    </w:p>
    <w:p w14:paraId="5542E6B0" w14:textId="77777777" w:rsidR="002828B6" w:rsidRPr="007076F7" w:rsidRDefault="002828B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B1" w14:textId="0BAB5B1E"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lastRenderedPageBreak/>
        <w:t xml:space="preserve">S obzirom na to da se </w:t>
      </w:r>
      <w:proofErr w:type="spellStart"/>
      <w:r w:rsidRPr="007076F7">
        <w:rPr>
          <w:rFonts w:ascii="Times New Roman" w:eastAsia="TimesNewRoman" w:hAnsi="Times New Roman" w:cs="Times New Roman"/>
          <w:lang w:val="sr-Latn-ME"/>
        </w:rPr>
        <w:t>pantoprazol</w:t>
      </w:r>
      <w:proofErr w:type="spellEnd"/>
      <w:r w:rsidRPr="007076F7">
        <w:rPr>
          <w:rFonts w:ascii="Times New Roman" w:eastAsia="TimesNewRoman" w:hAnsi="Times New Roman" w:cs="Times New Roman"/>
          <w:lang w:val="sr-Latn-ME"/>
        </w:rPr>
        <w:t xml:space="preserve"> vezuje za enzim </w:t>
      </w:r>
      <w:proofErr w:type="spellStart"/>
      <w:r w:rsidRPr="007076F7">
        <w:rPr>
          <w:rFonts w:ascii="Times New Roman" w:eastAsia="TimesNewRoman" w:hAnsi="Times New Roman" w:cs="Times New Roman"/>
          <w:lang w:val="sr-Latn-ME"/>
        </w:rPr>
        <w:t>distalno</w:t>
      </w:r>
      <w:proofErr w:type="spellEnd"/>
      <w:r w:rsidRPr="007076F7">
        <w:rPr>
          <w:rFonts w:ascii="Times New Roman" w:eastAsia="TimesNewRoman" w:hAnsi="Times New Roman" w:cs="Times New Roman"/>
          <w:lang w:val="sr-Latn-ME"/>
        </w:rPr>
        <w:t xml:space="preserve"> u odnosu na nivo ćelijskog receptora, </w:t>
      </w:r>
      <w:r w:rsidR="00C30D13" w:rsidRPr="007076F7">
        <w:rPr>
          <w:rFonts w:ascii="Times New Roman" w:eastAsia="TimesNewRoman" w:hAnsi="Times New Roman" w:cs="Times New Roman"/>
          <w:lang w:val="sr-Latn-ME"/>
        </w:rPr>
        <w:t xml:space="preserve">on </w:t>
      </w:r>
      <w:r w:rsidRPr="007076F7">
        <w:rPr>
          <w:rFonts w:ascii="Times New Roman" w:eastAsia="TimesNewRoman" w:hAnsi="Times New Roman" w:cs="Times New Roman"/>
          <w:lang w:val="sr-Latn-ME"/>
        </w:rPr>
        <w:t>može da inhibira sekreciju hlorovodonične kiseline nezavisno od stimulacije ostalim supstancama (</w:t>
      </w:r>
      <w:proofErr w:type="spellStart"/>
      <w:r w:rsidRPr="007076F7">
        <w:rPr>
          <w:rFonts w:ascii="Times New Roman" w:eastAsia="TimesNewRoman" w:hAnsi="Times New Roman" w:cs="Times New Roman"/>
          <w:lang w:val="sr-Latn-ME"/>
        </w:rPr>
        <w:t>acetilholin</w:t>
      </w:r>
      <w:proofErr w:type="spellEnd"/>
      <w:r w:rsidRPr="007076F7">
        <w:rPr>
          <w:rFonts w:ascii="Times New Roman" w:eastAsia="TimesNewRoman" w:hAnsi="Times New Roman" w:cs="Times New Roman"/>
          <w:lang w:val="sr-Latn-ME"/>
        </w:rPr>
        <w:t xml:space="preserve">, histamin, </w:t>
      </w:r>
      <w:proofErr w:type="spellStart"/>
      <w:r w:rsidRPr="007076F7">
        <w:rPr>
          <w:rFonts w:ascii="Times New Roman" w:eastAsia="TimesNewRoman" w:hAnsi="Times New Roman" w:cs="Times New Roman"/>
          <w:lang w:val="sr-Latn-ME"/>
        </w:rPr>
        <w:t>gastrin</w:t>
      </w:r>
      <w:proofErr w:type="spellEnd"/>
      <w:r w:rsidRPr="007076F7">
        <w:rPr>
          <w:rFonts w:ascii="Times New Roman" w:eastAsia="TimesNewRoman" w:hAnsi="Times New Roman" w:cs="Times New Roman"/>
          <w:lang w:val="sr-Latn-ME"/>
        </w:rPr>
        <w:t xml:space="preserve">). Efekat je isti bilo da se </w:t>
      </w:r>
      <w:r w:rsidRPr="007076F7">
        <w:rPr>
          <w:rFonts w:ascii="Times New Roman" w:eastAsia="Times New Roman" w:hAnsi="Times New Roman" w:cs="Times New Roman"/>
          <w:lang w:val="sr-Latn-ME"/>
        </w:rPr>
        <w:t xml:space="preserve">lijek primjenjuje oralnim ili </w:t>
      </w:r>
      <w:proofErr w:type="spellStart"/>
      <w:r w:rsidRPr="007076F7">
        <w:rPr>
          <w:rFonts w:ascii="Times New Roman" w:eastAsia="Times New Roman" w:hAnsi="Times New Roman" w:cs="Times New Roman"/>
          <w:lang w:val="sr-Latn-ME"/>
        </w:rPr>
        <w:t>intravenskim</w:t>
      </w:r>
      <w:proofErr w:type="spellEnd"/>
      <w:r w:rsidRPr="007076F7">
        <w:rPr>
          <w:rFonts w:ascii="Times New Roman" w:eastAsia="Times New Roman" w:hAnsi="Times New Roman" w:cs="Times New Roman"/>
          <w:lang w:val="sr-Latn-ME"/>
        </w:rPr>
        <w:t xml:space="preserve"> putem</w:t>
      </w:r>
      <w:r w:rsidRPr="007076F7">
        <w:rPr>
          <w:rFonts w:ascii="Times New Roman" w:eastAsia="TimesNewRoman" w:hAnsi="Times New Roman" w:cs="Times New Roman"/>
          <w:lang w:val="sr-Latn-ME"/>
        </w:rPr>
        <w:t>.</w:t>
      </w:r>
    </w:p>
    <w:p w14:paraId="5542E6B2" w14:textId="77777777" w:rsidR="002E7166" w:rsidRPr="007076F7" w:rsidRDefault="002E7166">
      <w:pPr>
        <w:widowControl w:val="0"/>
        <w:tabs>
          <w:tab w:val="left" w:pos="284"/>
        </w:tabs>
        <w:autoSpaceDE w:val="0"/>
        <w:autoSpaceDN w:val="0"/>
        <w:adjustRightInd w:val="0"/>
        <w:spacing w:after="0" w:line="240" w:lineRule="auto"/>
        <w:jc w:val="both"/>
        <w:rPr>
          <w:rFonts w:ascii="Times New Roman" w:eastAsia="TimesNewRoman" w:hAnsi="Times New Roman" w:cs="Times New Roman"/>
          <w:lang w:val="sr-Latn-ME"/>
        </w:rPr>
      </w:pPr>
    </w:p>
    <w:p w14:paraId="5542E6B3" w14:textId="77777777" w:rsidR="002E7166" w:rsidRPr="007076F7" w:rsidRDefault="002E7166">
      <w:pPr>
        <w:widowControl w:val="0"/>
        <w:tabs>
          <w:tab w:val="left" w:pos="284"/>
        </w:tabs>
        <w:autoSpaceDE w:val="0"/>
        <w:autoSpaceDN w:val="0"/>
        <w:adjustRightInd w:val="0"/>
        <w:spacing w:after="0" w:line="240" w:lineRule="auto"/>
        <w:jc w:val="both"/>
        <w:rPr>
          <w:rFonts w:ascii="Times New Roman" w:eastAsia="TimesNewRoman" w:hAnsi="Times New Roman" w:cs="Times New Roman"/>
          <w:i/>
          <w:u w:val="single"/>
          <w:lang w:val="sr-Latn-ME"/>
        </w:rPr>
      </w:pPr>
      <w:proofErr w:type="spellStart"/>
      <w:r w:rsidRPr="007076F7">
        <w:rPr>
          <w:rFonts w:ascii="Times New Roman" w:eastAsia="TimesNewRoman" w:hAnsi="Times New Roman" w:cs="Times New Roman"/>
          <w:i/>
          <w:u w:val="single"/>
          <w:lang w:val="sr-Latn-ME"/>
        </w:rPr>
        <w:t>Farmakodinamski</w:t>
      </w:r>
      <w:proofErr w:type="spellEnd"/>
      <w:r w:rsidRPr="007076F7">
        <w:rPr>
          <w:rFonts w:ascii="Times New Roman" w:eastAsia="TimesNewRoman" w:hAnsi="Times New Roman" w:cs="Times New Roman"/>
          <w:i/>
          <w:u w:val="single"/>
          <w:lang w:val="sr-Latn-ME"/>
        </w:rPr>
        <w:t xml:space="preserve"> efekti</w:t>
      </w:r>
    </w:p>
    <w:p w14:paraId="5542E6B4" w14:textId="77777777" w:rsidR="00F6558F" w:rsidRPr="007076F7" w:rsidRDefault="00F6558F">
      <w:pPr>
        <w:widowControl w:val="0"/>
        <w:tabs>
          <w:tab w:val="left" w:pos="284"/>
        </w:tabs>
        <w:autoSpaceDE w:val="0"/>
        <w:autoSpaceDN w:val="0"/>
        <w:adjustRightInd w:val="0"/>
        <w:spacing w:after="0" w:line="240" w:lineRule="auto"/>
        <w:jc w:val="both"/>
        <w:rPr>
          <w:rFonts w:ascii="Times New Roman" w:eastAsia="TimesNewRoman" w:hAnsi="Times New Roman" w:cs="Times New Roman"/>
          <w:i/>
          <w:u w:val="single"/>
          <w:lang w:val="sr-Latn-ME"/>
        </w:rPr>
      </w:pPr>
    </w:p>
    <w:p w14:paraId="5542E6B5" w14:textId="63702310"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TimesNewRoman" w:hAnsi="Times New Roman" w:cs="Times New Roman"/>
          <w:lang w:val="sr-Latn-ME"/>
        </w:rPr>
        <w:t xml:space="preserve">Vrijednosti </w:t>
      </w:r>
      <w:proofErr w:type="spellStart"/>
      <w:r w:rsidRPr="007076F7">
        <w:rPr>
          <w:rFonts w:ascii="Times New Roman" w:eastAsia="TimesNewRoman" w:hAnsi="Times New Roman" w:cs="Times New Roman"/>
          <w:lang w:val="sr-Latn-ME"/>
        </w:rPr>
        <w:t>gastrina</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natašte</w:t>
      </w:r>
      <w:proofErr w:type="spellEnd"/>
      <w:r w:rsidRPr="007076F7">
        <w:rPr>
          <w:rFonts w:ascii="Times New Roman" w:eastAsia="TimesNewRoman" w:hAnsi="Times New Roman" w:cs="Times New Roman"/>
          <w:lang w:val="sr-Latn-ME"/>
        </w:rPr>
        <w:t xml:space="preserve"> rastu pod dejstvom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Pri kratkotrajnoj upotrebi, u većini slučajeva vrijednosti </w:t>
      </w:r>
      <w:proofErr w:type="spellStart"/>
      <w:r w:rsidRPr="007076F7">
        <w:rPr>
          <w:rFonts w:ascii="Times New Roman" w:eastAsia="TimesNewRoman" w:hAnsi="Times New Roman" w:cs="Times New Roman"/>
          <w:lang w:val="sr-Latn-ME"/>
        </w:rPr>
        <w:t>gastrina</w:t>
      </w:r>
      <w:proofErr w:type="spellEnd"/>
      <w:r w:rsidRPr="007076F7">
        <w:rPr>
          <w:rFonts w:ascii="Times New Roman" w:eastAsia="TimesNewRoman" w:hAnsi="Times New Roman" w:cs="Times New Roman"/>
          <w:lang w:val="sr-Latn-ME"/>
        </w:rPr>
        <w:t xml:space="preserve"> ne prelaze gornju granicu normalnih vrijednosti. Za vrijeme dugotrajne terapije, vrijednosti </w:t>
      </w:r>
      <w:proofErr w:type="spellStart"/>
      <w:r w:rsidRPr="007076F7">
        <w:rPr>
          <w:rFonts w:ascii="Times New Roman" w:eastAsia="TimesNewRoman" w:hAnsi="Times New Roman" w:cs="Times New Roman"/>
          <w:lang w:val="sr-Latn-ME"/>
        </w:rPr>
        <w:t>gastrina</w:t>
      </w:r>
      <w:proofErr w:type="spellEnd"/>
      <w:r w:rsidRPr="007076F7">
        <w:rPr>
          <w:rFonts w:ascii="Times New Roman" w:eastAsia="TimesNewRoman" w:hAnsi="Times New Roman" w:cs="Times New Roman"/>
          <w:lang w:val="sr-Latn-ME"/>
        </w:rPr>
        <w:t xml:space="preserve"> se u većini slučajeva udvostručuju. </w:t>
      </w:r>
      <w:r w:rsidRPr="007076F7">
        <w:rPr>
          <w:rFonts w:ascii="Times New Roman" w:eastAsia="Calibri" w:hAnsi="Times New Roman" w:cs="Times New Roman"/>
          <w:lang w:val="sr-Latn-ME"/>
        </w:rPr>
        <w:t xml:space="preserve">Međutim, izraziti porast se javlja samo u izolovanim slučajevima. Kao rezultat toga, blago do umjereno povećanje broja specifičnih endokrinih ćelija (ECL) želuca je uočeno u rijetkim slučajevima za vrijeme dugotrajne terapije (jednostavna do </w:t>
      </w:r>
      <w:proofErr w:type="spellStart"/>
      <w:r w:rsidRPr="007076F7">
        <w:rPr>
          <w:rFonts w:ascii="Times New Roman" w:eastAsia="Calibri" w:hAnsi="Times New Roman" w:cs="Times New Roman"/>
          <w:lang w:val="sr-Latn-ME"/>
        </w:rPr>
        <w:t>adenomatoidna</w:t>
      </w:r>
      <w:proofErr w:type="spellEnd"/>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hiperplazija</w:t>
      </w:r>
      <w:proofErr w:type="spellEnd"/>
      <w:r w:rsidRPr="007076F7">
        <w:rPr>
          <w:rFonts w:ascii="Times New Roman" w:eastAsia="Calibri" w:hAnsi="Times New Roman" w:cs="Times New Roman"/>
          <w:lang w:val="sr-Latn-ME"/>
        </w:rPr>
        <w:t xml:space="preserve">). Međutim, na osnovu dosad sprovedenih studija, formiranje </w:t>
      </w:r>
      <w:proofErr w:type="spellStart"/>
      <w:r w:rsidRPr="007076F7">
        <w:rPr>
          <w:rFonts w:ascii="Times New Roman" w:eastAsia="Calibri" w:hAnsi="Times New Roman" w:cs="Times New Roman"/>
          <w:lang w:val="sr-Latn-ME"/>
        </w:rPr>
        <w:t>karcinoidnih</w:t>
      </w:r>
      <w:proofErr w:type="spellEnd"/>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prekursora</w:t>
      </w:r>
      <w:proofErr w:type="spellEnd"/>
      <w:r w:rsidRPr="007076F7">
        <w:rPr>
          <w:rFonts w:ascii="Times New Roman" w:eastAsia="Calibri" w:hAnsi="Times New Roman" w:cs="Times New Roman"/>
          <w:lang w:val="sr-Latn-ME"/>
        </w:rPr>
        <w:t xml:space="preserve"> (atipična </w:t>
      </w:r>
      <w:proofErr w:type="spellStart"/>
      <w:r w:rsidRPr="007076F7">
        <w:rPr>
          <w:rFonts w:ascii="Times New Roman" w:eastAsia="Calibri" w:hAnsi="Times New Roman" w:cs="Times New Roman"/>
          <w:lang w:val="sr-Latn-ME"/>
        </w:rPr>
        <w:t>hiperplazija</w:t>
      </w:r>
      <w:proofErr w:type="spellEnd"/>
      <w:r w:rsidRPr="007076F7">
        <w:rPr>
          <w:rFonts w:ascii="Times New Roman" w:eastAsia="Calibri" w:hAnsi="Times New Roman" w:cs="Times New Roman"/>
          <w:lang w:val="sr-Latn-ME"/>
        </w:rPr>
        <w:t xml:space="preserve">) ili </w:t>
      </w:r>
      <w:proofErr w:type="spellStart"/>
      <w:r w:rsidRPr="007076F7">
        <w:rPr>
          <w:rFonts w:ascii="Times New Roman" w:eastAsia="Calibri" w:hAnsi="Times New Roman" w:cs="Times New Roman"/>
          <w:lang w:val="sr-Latn-ME"/>
        </w:rPr>
        <w:t>gastričnih</w:t>
      </w:r>
      <w:proofErr w:type="spellEnd"/>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karcinoida</w:t>
      </w:r>
      <w:proofErr w:type="spellEnd"/>
      <w:r w:rsidRPr="007076F7">
        <w:rPr>
          <w:rFonts w:ascii="Times New Roman" w:eastAsia="Calibri" w:hAnsi="Times New Roman" w:cs="Times New Roman"/>
          <w:lang w:val="sr-Latn-ME"/>
        </w:rPr>
        <w:t xml:space="preserve"> koji su zabilježeni u eksperimentima na životinjama (</w:t>
      </w:r>
      <w:r w:rsidR="00815564" w:rsidRPr="007076F7">
        <w:rPr>
          <w:rFonts w:ascii="Times New Roman" w:eastAsia="Calibri" w:hAnsi="Times New Roman" w:cs="Times New Roman"/>
          <w:lang w:val="sr-Latn-ME"/>
        </w:rPr>
        <w:t xml:space="preserve">pogledati dio </w:t>
      </w:r>
      <w:r w:rsidRPr="007076F7">
        <w:rPr>
          <w:rFonts w:ascii="Times New Roman" w:eastAsia="Calibri" w:hAnsi="Times New Roman" w:cs="Times New Roman"/>
          <w:lang w:val="sr-Latn-ME"/>
        </w:rPr>
        <w:t xml:space="preserve">5.3), nije zabilježeno kod </w:t>
      </w:r>
      <w:proofErr w:type="spellStart"/>
      <w:r w:rsidRPr="007076F7">
        <w:rPr>
          <w:rFonts w:ascii="Times New Roman" w:eastAsia="Calibri" w:hAnsi="Times New Roman" w:cs="Times New Roman"/>
          <w:lang w:val="sr-Latn-ME"/>
        </w:rPr>
        <w:t>ljudi</w:t>
      </w:r>
      <w:proofErr w:type="spellEnd"/>
      <w:r w:rsidRPr="007076F7">
        <w:rPr>
          <w:rFonts w:ascii="Times New Roman" w:eastAsia="Calibri" w:hAnsi="Times New Roman" w:cs="Times New Roman"/>
          <w:lang w:val="sr-Latn-ME"/>
        </w:rPr>
        <w:t>.</w:t>
      </w:r>
    </w:p>
    <w:p w14:paraId="5542E6B6" w14:textId="77777777" w:rsidR="002E7166" w:rsidRPr="007076F7" w:rsidRDefault="002E7166">
      <w:pPr>
        <w:autoSpaceDE w:val="0"/>
        <w:autoSpaceDN w:val="0"/>
        <w:adjustRightInd w:val="0"/>
        <w:spacing w:after="0" w:line="240" w:lineRule="auto"/>
        <w:jc w:val="both"/>
        <w:rPr>
          <w:rFonts w:ascii="Times New Roman" w:eastAsia="TimesNewRoman" w:hAnsi="Times New Roman" w:cs="Times New Roman"/>
          <w:lang w:val="sr-Latn-ME"/>
        </w:rPr>
      </w:pPr>
    </w:p>
    <w:p w14:paraId="5542E6B7"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Prema rezultatima istraživanja na životinjama, kod dugotrajne primjene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u trajanju dužem od jedne godine, ne može se potpuno isključiti uticaj na endokrine parametre </w:t>
      </w:r>
      <w:proofErr w:type="spellStart"/>
      <w:r w:rsidRPr="007076F7">
        <w:rPr>
          <w:rFonts w:ascii="Times New Roman" w:eastAsia="TimesNewRoman" w:hAnsi="Times New Roman" w:cs="Times New Roman"/>
          <w:lang w:val="sr-Latn-ME"/>
        </w:rPr>
        <w:t>tireoidne</w:t>
      </w:r>
      <w:proofErr w:type="spellEnd"/>
      <w:r w:rsidRPr="007076F7">
        <w:rPr>
          <w:rFonts w:ascii="Times New Roman" w:eastAsia="TimesNewRoman" w:hAnsi="Times New Roman" w:cs="Times New Roman"/>
          <w:lang w:val="sr-Latn-ME"/>
        </w:rPr>
        <w:t xml:space="preserve"> žlijezde.</w:t>
      </w:r>
    </w:p>
    <w:p w14:paraId="5542E6B8"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6B9"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Tokom primjene </w:t>
      </w:r>
      <w:proofErr w:type="spellStart"/>
      <w:r w:rsidRPr="007076F7">
        <w:rPr>
          <w:rFonts w:ascii="Times New Roman" w:eastAsia="Times New Roman" w:hAnsi="Times New Roman" w:cs="Times New Roman"/>
          <w:lang w:val="sr-Latn-ME"/>
        </w:rPr>
        <w:t>antisekretornih</w:t>
      </w:r>
      <w:proofErr w:type="spellEnd"/>
      <w:r w:rsidRPr="007076F7">
        <w:rPr>
          <w:rFonts w:ascii="Times New Roman" w:eastAsia="Times New Roman" w:hAnsi="Times New Roman" w:cs="Times New Roman"/>
          <w:lang w:val="sr-Latn-ME"/>
        </w:rPr>
        <w:t xml:space="preserve"> ljekova, koncentracija </w:t>
      </w:r>
      <w:proofErr w:type="spellStart"/>
      <w:r w:rsidRPr="007076F7">
        <w:rPr>
          <w:rFonts w:ascii="Times New Roman" w:eastAsia="Times New Roman" w:hAnsi="Times New Roman" w:cs="Times New Roman"/>
          <w:lang w:val="sr-Latn-ME"/>
        </w:rPr>
        <w:t>gastrina</w:t>
      </w:r>
      <w:proofErr w:type="spellEnd"/>
      <w:r w:rsidRPr="007076F7">
        <w:rPr>
          <w:rFonts w:ascii="Times New Roman" w:eastAsia="Times New Roman" w:hAnsi="Times New Roman" w:cs="Times New Roman"/>
          <w:lang w:val="sr-Latn-ME"/>
        </w:rPr>
        <w:t xml:space="preserve"> u serumu se povećava kao odgovor na smanjenje sekrecije želudačne kiseline. Takođe, zbog smanjenja želudačne kiselosti dolazi do povećanja nivoa </w:t>
      </w:r>
      <w:proofErr w:type="spellStart"/>
      <w:r w:rsidRPr="007076F7">
        <w:rPr>
          <w:rFonts w:ascii="Times New Roman" w:eastAsia="Times New Roman" w:hAnsi="Times New Roman" w:cs="Times New Roman"/>
          <w:lang w:val="sr-Latn-ME"/>
        </w:rPr>
        <w:t>CgA</w:t>
      </w:r>
      <w:proofErr w:type="spellEnd"/>
      <w:r w:rsidRPr="007076F7">
        <w:rPr>
          <w:rFonts w:ascii="Times New Roman" w:eastAsia="Times New Roman" w:hAnsi="Times New Roman" w:cs="Times New Roman"/>
          <w:lang w:val="sr-Latn-ME"/>
        </w:rPr>
        <w:t xml:space="preserve">. Povećani nivoi </w:t>
      </w:r>
      <w:proofErr w:type="spellStart"/>
      <w:r w:rsidRPr="007076F7">
        <w:rPr>
          <w:rFonts w:ascii="Times New Roman" w:eastAsia="Times New Roman" w:hAnsi="Times New Roman" w:cs="Times New Roman"/>
          <w:lang w:val="sr-Latn-ME"/>
        </w:rPr>
        <w:t>CgA</w:t>
      </w:r>
      <w:proofErr w:type="spellEnd"/>
      <w:r w:rsidRPr="007076F7">
        <w:rPr>
          <w:rFonts w:ascii="Times New Roman" w:eastAsia="Times New Roman" w:hAnsi="Times New Roman" w:cs="Times New Roman"/>
          <w:lang w:val="sr-Latn-ME"/>
        </w:rPr>
        <w:t xml:space="preserve"> mogu da utiču na laboratorijska ispitivanja prisustva </w:t>
      </w:r>
      <w:proofErr w:type="spellStart"/>
      <w:r w:rsidRPr="007076F7">
        <w:rPr>
          <w:rFonts w:ascii="Times New Roman" w:eastAsia="Times New Roman" w:hAnsi="Times New Roman" w:cs="Times New Roman"/>
          <w:lang w:val="sr-Latn-ME"/>
        </w:rPr>
        <w:t>neuroendokrinih</w:t>
      </w:r>
      <w:proofErr w:type="spellEnd"/>
      <w:r w:rsidRPr="007076F7">
        <w:rPr>
          <w:rFonts w:ascii="Times New Roman" w:eastAsia="Times New Roman" w:hAnsi="Times New Roman" w:cs="Times New Roman"/>
          <w:lang w:val="sr-Latn-ME"/>
        </w:rPr>
        <w:t xml:space="preserve"> tumora.</w:t>
      </w:r>
    </w:p>
    <w:p w14:paraId="5542E6BA" w14:textId="77777777" w:rsidR="002E7166" w:rsidRPr="007076F7" w:rsidRDefault="00B66416">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 xml:space="preserve">Dostupni objavljeni podaci </w:t>
      </w:r>
      <w:r w:rsidR="002E7166" w:rsidRPr="007076F7">
        <w:rPr>
          <w:rFonts w:ascii="Times New Roman" w:eastAsia="Times New Roman" w:hAnsi="Times New Roman" w:cs="Times New Roman"/>
          <w:lang w:val="sr-Latn-ME"/>
        </w:rPr>
        <w:t xml:space="preserve">ukazuju na to da je potrebno obustaviti primjenu inhibitora protonske pumpe između 5 dana i 2 nedjelje prije određivanja nivoa </w:t>
      </w:r>
      <w:proofErr w:type="spellStart"/>
      <w:r w:rsidR="002E7166" w:rsidRPr="007076F7">
        <w:rPr>
          <w:rFonts w:ascii="Times New Roman" w:eastAsia="Times New Roman" w:hAnsi="Times New Roman" w:cs="Times New Roman"/>
          <w:lang w:val="sr-Latn-ME"/>
        </w:rPr>
        <w:t>CgA</w:t>
      </w:r>
      <w:proofErr w:type="spellEnd"/>
      <w:r w:rsidR="002E7166" w:rsidRPr="007076F7">
        <w:rPr>
          <w:rFonts w:ascii="Times New Roman" w:eastAsia="Times New Roman" w:hAnsi="Times New Roman" w:cs="Times New Roman"/>
          <w:lang w:val="sr-Latn-ME"/>
        </w:rPr>
        <w:t xml:space="preserve">. Ovaj prekid omogućava da se nivo </w:t>
      </w:r>
      <w:proofErr w:type="spellStart"/>
      <w:r w:rsidR="002E7166" w:rsidRPr="007076F7">
        <w:rPr>
          <w:rFonts w:ascii="Times New Roman" w:eastAsia="Times New Roman" w:hAnsi="Times New Roman" w:cs="Times New Roman"/>
          <w:lang w:val="sr-Latn-ME"/>
        </w:rPr>
        <w:t>CgA</w:t>
      </w:r>
      <w:proofErr w:type="spellEnd"/>
      <w:r w:rsidR="002E7166" w:rsidRPr="007076F7">
        <w:rPr>
          <w:rFonts w:ascii="Times New Roman" w:eastAsia="Times New Roman" w:hAnsi="Times New Roman" w:cs="Times New Roman"/>
          <w:lang w:val="sr-Latn-ME"/>
        </w:rPr>
        <w:t xml:space="preserve">, koji može biti lažno povećan </w:t>
      </w:r>
      <w:proofErr w:type="spellStart"/>
      <w:r w:rsidR="002E7166" w:rsidRPr="007076F7">
        <w:rPr>
          <w:rFonts w:ascii="Times New Roman" w:eastAsia="Times New Roman" w:hAnsi="Times New Roman" w:cs="Times New Roman"/>
          <w:lang w:val="sr-Latn-ME"/>
        </w:rPr>
        <w:t>usljed</w:t>
      </w:r>
      <w:proofErr w:type="spellEnd"/>
      <w:r w:rsidR="002E7166" w:rsidRPr="007076F7">
        <w:rPr>
          <w:rFonts w:ascii="Times New Roman" w:eastAsia="Times New Roman" w:hAnsi="Times New Roman" w:cs="Times New Roman"/>
          <w:lang w:val="sr-Latn-ME"/>
        </w:rPr>
        <w:t xml:space="preserve"> liječenja </w:t>
      </w:r>
      <w:proofErr w:type="spellStart"/>
      <w:r w:rsidR="002E7166" w:rsidRPr="007076F7">
        <w:rPr>
          <w:rFonts w:ascii="Times New Roman" w:eastAsia="Times New Roman" w:hAnsi="Times New Roman" w:cs="Times New Roman"/>
          <w:lang w:val="sr-Latn-ME"/>
        </w:rPr>
        <w:t>inhibitorima</w:t>
      </w:r>
      <w:proofErr w:type="spellEnd"/>
      <w:r w:rsidR="002E7166" w:rsidRPr="007076F7">
        <w:rPr>
          <w:rFonts w:ascii="Times New Roman" w:eastAsia="Times New Roman" w:hAnsi="Times New Roman" w:cs="Times New Roman"/>
          <w:lang w:val="sr-Latn-ME"/>
        </w:rPr>
        <w:t xml:space="preserve"> protonske pumpe, vrati u okvire referentnih vrijednosti.</w:t>
      </w:r>
    </w:p>
    <w:p w14:paraId="5542E6BB"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6BC" w14:textId="77777777"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 xml:space="preserve">5.2. </w:t>
      </w:r>
      <w:proofErr w:type="spellStart"/>
      <w:r w:rsidRPr="007076F7">
        <w:rPr>
          <w:rFonts w:ascii="Times New Roman" w:eastAsia="Times New Roman" w:hAnsi="Times New Roman" w:cs="Times New Roman"/>
          <w:b/>
          <w:bCs/>
          <w:lang w:val="sr-Latn-ME"/>
        </w:rPr>
        <w:t>Farmakokinetički</w:t>
      </w:r>
      <w:proofErr w:type="spellEnd"/>
      <w:r w:rsidRPr="007076F7">
        <w:rPr>
          <w:rFonts w:ascii="Times New Roman" w:eastAsia="Times New Roman" w:hAnsi="Times New Roman" w:cs="Times New Roman"/>
          <w:b/>
          <w:bCs/>
          <w:lang w:val="sr-Latn-ME"/>
        </w:rPr>
        <w:t xml:space="preserve"> podaci</w:t>
      </w:r>
    </w:p>
    <w:p w14:paraId="5542E6BD" w14:textId="77777777" w:rsidR="002E7166" w:rsidRPr="007076F7" w:rsidRDefault="002E7166">
      <w:pPr>
        <w:widowControl w:val="0"/>
        <w:tabs>
          <w:tab w:val="left" w:pos="284"/>
        </w:tabs>
        <w:spacing w:after="0" w:line="240" w:lineRule="auto"/>
        <w:jc w:val="both"/>
        <w:rPr>
          <w:rFonts w:ascii="Times New Roman" w:eastAsia="Times New Roman" w:hAnsi="Times New Roman" w:cs="Times New Roman"/>
          <w:i/>
          <w:iCs/>
          <w:noProof/>
          <w:highlight w:val="yellow"/>
          <w:lang w:val="sr-Latn-ME"/>
        </w:rPr>
      </w:pPr>
    </w:p>
    <w:p w14:paraId="5542E6BE" w14:textId="77777777" w:rsidR="00F6558F"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r w:rsidRPr="007076F7">
        <w:rPr>
          <w:rFonts w:ascii="Times New Roman" w:eastAsia="Times New Roman" w:hAnsi="Times New Roman" w:cs="Times New Roman"/>
          <w:i/>
          <w:iCs/>
          <w:u w:val="single"/>
          <w:lang w:val="sr-Latn-ME"/>
        </w:rPr>
        <w:t>Resorpcija</w:t>
      </w:r>
    </w:p>
    <w:p w14:paraId="5542E6BF" w14:textId="19FDEA9F"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roofErr w:type="spellStart"/>
      <w:r w:rsidRPr="007076F7">
        <w:rPr>
          <w:rFonts w:ascii="Times New Roman" w:eastAsia="Calibri" w:hAnsi="Times New Roman" w:cs="Times New Roman"/>
          <w:lang w:val="sr-Latn-ME"/>
        </w:rPr>
        <w:t>Pantoprazol</w:t>
      </w:r>
      <w:proofErr w:type="spellEnd"/>
      <w:r w:rsidRPr="007076F7">
        <w:rPr>
          <w:rFonts w:ascii="Times New Roman" w:eastAsia="Calibri" w:hAnsi="Times New Roman" w:cs="Times New Roman"/>
          <w:lang w:val="sr-Latn-ME"/>
        </w:rPr>
        <w:t xml:space="preserve"> se brzo resorbuje. Čak i nakon jedne doze od 40 mg </w:t>
      </w:r>
      <w:proofErr w:type="spellStart"/>
      <w:r w:rsidRPr="007076F7">
        <w:rPr>
          <w:rFonts w:ascii="Times New Roman" w:eastAsia="Calibri" w:hAnsi="Times New Roman" w:cs="Times New Roman"/>
          <w:lang w:val="sr-Latn-ME"/>
        </w:rPr>
        <w:t>pantoprazola</w:t>
      </w:r>
      <w:proofErr w:type="spellEnd"/>
      <w:r w:rsidRPr="007076F7">
        <w:rPr>
          <w:rFonts w:ascii="Times New Roman" w:eastAsia="Calibri" w:hAnsi="Times New Roman" w:cs="Times New Roman"/>
          <w:lang w:val="sr-Latn-ME"/>
        </w:rPr>
        <w:t xml:space="preserve">, postiže se maksimalna koncentracija aktivne supstance u plazmi. U prosjeku, maksimalne koncentracije u serumu od približno 2-3 </w:t>
      </w:r>
      <w:proofErr w:type="spellStart"/>
      <w:r w:rsidRPr="007076F7">
        <w:rPr>
          <w:rFonts w:ascii="Times New Roman" w:eastAsia="Calibri" w:hAnsi="Times New Roman" w:cs="Times New Roman"/>
          <w:lang w:val="sr-Latn-ME"/>
        </w:rPr>
        <w:t>mikrograma</w:t>
      </w:r>
      <w:proofErr w:type="spellEnd"/>
      <w:r w:rsidRPr="007076F7">
        <w:rPr>
          <w:rFonts w:ascii="Times New Roman" w:eastAsia="Calibri" w:hAnsi="Times New Roman" w:cs="Times New Roman"/>
          <w:lang w:val="sr-Latn-ME"/>
        </w:rPr>
        <w:t>/m</w:t>
      </w:r>
      <w:r w:rsidR="00D6417C">
        <w:rPr>
          <w:rFonts w:ascii="Times New Roman" w:eastAsia="Calibri" w:hAnsi="Times New Roman" w:cs="Times New Roman"/>
          <w:lang w:val="sr-Latn-ME"/>
        </w:rPr>
        <w:t>l</w:t>
      </w:r>
      <w:r w:rsidRPr="007076F7">
        <w:rPr>
          <w:rFonts w:ascii="Times New Roman" w:eastAsia="Calibri" w:hAnsi="Times New Roman" w:cs="Times New Roman"/>
          <w:lang w:val="sr-Latn-ME"/>
        </w:rPr>
        <w:t xml:space="preserve"> postižu se tokom prosječno 2,5 sata nakon primjene doze, i ostaju konstantne čak i nakon višekratnog doziranja. </w:t>
      </w:r>
    </w:p>
    <w:p w14:paraId="5542E6C0"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
    <w:p w14:paraId="5542E6C1"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roofErr w:type="spellStart"/>
      <w:r w:rsidRPr="007076F7">
        <w:rPr>
          <w:rFonts w:ascii="Times New Roman" w:eastAsia="Calibri" w:hAnsi="Times New Roman" w:cs="Times New Roman"/>
          <w:lang w:val="sr-Latn-ME"/>
        </w:rPr>
        <w:t>Farmakokinetika</w:t>
      </w:r>
      <w:proofErr w:type="spellEnd"/>
      <w:r w:rsidRPr="007076F7">
        <w:rPr>
          <w:rFonts w:ascii="Times New Roman" w:eastAsia="Calibri" w:hAnsi="Times New Roman" w:cs="Times New Roman"/>
          <w:lang w:val="sr-Latn-ME"/>
        </w:rPr>
        <w:t xml:space="preserve"> se ne mijenja nakon pojedinačnog ili višekratnog doziranja. U </w:t>
      </w:r>
      <w:proofErr w:type="spellStart"/>
      <w:r w:rsidRPr="007076F7">
        <w:rPr>
          <w:rFonts w:ascii="Times New Roman" w:eastAsia="Calibri" w:hAnsi="Times New Roman" w:cs="Times New Roman"/>
          <w:lang w:val="sr-Latn-ME"/>
        </w:rPr>
        <w:t>doznom</w:t>
      </w:r>
      <w:proofErr w:type="spellEnd"/>
      <w:r w:rsidRPr="007076F7">
        <w:rPr>
          <w:rFonts w:ascii="Times New Roman" w:eastAsia="Calibri" w:hAnsi="Times New Roman" w:cs="Times New Roman"/>
          <w:lang w:val="sr-Latn-ME"/>
        </w:rPr>
        <w:t xml:space="preserve"> opsegu od 10 mg do 80 mg, plazma kinetika </w:t>
      </w:r>
      <w:proofErr w:type="spellStart"/>
      <w:r w:rsidRPr="007076F7">
        <w:rPr>
          <w:rFonts w:ascii="Times New Roman" w:eastAsia="Calibri" w:hAnsi="Times New Roman" w:cs="Times New Roman"/>
          <w:lang w:val="sr-Latn-ME"/>
        </w:rPr>
        <w:t>pantoprazola</w:t>
      </w:r>
      <w:proofErr w:type="spellEnd"/>
      <w:r w:rsidRPr="007076F7">
        <w:rPr>
          <w:rFonts w:ascii="Times New Roman" w:eastAsia="Calibri" w:hAnsi="Times New Roman" w:cs="Times New Roman"/>
          <w:lang w:val="sr-Latn-ME"/>
        </w:rPr>
        <w:t xml:space="preserve"> je linearna i nakon oralne i nakon </w:t>
      </w:r>
      <w:proofErr w:type="spellStart"/>
      <w:r w:rsidRPr="007076F7">
        <w:rPr>
          <w:rFonts w:ascii="Times New Roman" w:eastAsia="Calibri" w:hAnsi="Times New Roman" w:cs="Times New Roman"/>
          <w:lang w:val="sr-Latn-ME"/>
        </w:rPr>
        <w:t>intravenske</w:t>
      </w:r>
      <w:proofErr w:type="spellEnd"/>
      <w:r w:rsidRPr="007076F7">
        <w:rPr>
          <w:rFonts w:ascii="Times New Roman" w:eastAsia="Calibri" w:hAnsi="Times New Roman" w:cs="Times New Roman"/>
          <w:lang w:val="sr-Latn-ME"/>
        </w:rPr>
        <w:t xml:space="preserve"> primjene. </w:t>
      </w:r>
    </w:p>
    <w:p w14:paraId="5542E6C2"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
    <w:p w14:paraId="5542E6C3"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Utvrđeno je da je apsolutna </w:t>
      </w:r>
      <w:proofErr w:type="spellStart"/>
      <w:r w:rsidRPr="007076F7">
        <w:rPr>
          <w:rFonts w:ascii="Times New Roman" w:eastAsia="Calibri" w:hAnsi="Times New Roman" w:cs="Times New Roman"/>
          <w:lang w:val="sr-Latn-ME"/>
        </w:rPr>
        <w:t>bioraspoloživost</w:t>
      </w:r>
      <w:proofErr w:type="spellEnd"/>
      <w:r w:rsidRPr="007076F7">
        <w:rPr>
          <w:rFonts w:ascii="Times New Roman" w:eastAsia="Calibri" w:hAnsi="Times New Roman" w:cs="Times New Roman"/>
          <w:lang w:val="sr-Latn-ME"/>
        </w:rPr>
        <w:t xml:space="preserve"> iz </w:t>
      </w:r>
      <w:proofErr w:type="spellStart"/>
      <w:r w:rsidRPr="007076F7">
        <w:rPr>
          <w:rFonts w:ascii="Times New Roman" w:eastAsia="Calibri" w:hAnsi="Times New Roman" w:cs="Times New Roman"/>
          <w:lang w:val="sr-Latn-ME"/>
        </w:rPr>
        <w:t>gastrorezistentne</w:t>
      </w:r>
      <w:proofErr w:type="spellEnd"/>
      <w:r w:rsidRPr="007076F7">
        <w:rPr>
          <w:rFonts w:ascii="Times New Roman" w:eastAsia="Calibri" w:hAnsi="Times New Roman" w:cs="Times New Roman"/>
          <w:lang w:val="sr-Latn-ME"/>
        </w:rPr>
        <w:t xml:space="preserve"> tablete približno 77%.</w:t>
      </w:r>
    </w:p>
    <w:p w14:paraId="5542E6C4"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
    <w:p w14:paraId="3B9C0022" w14:textId="5AA2D679" w:rsidR="00815564" w:rsidRPr="007076F7" w:rsidRDefault="002E7166">
      <w:pPr>
        <w:autoSpaceDE w:val="0"/>
        <w:autoSpaceDN w:val="0"/>
        <w:adjustRightInd w:val="0"/>
        <w:spacing w:after="0" w:line="240" w:lineRule="auto"/>
        <w:jc w:val="both"/>
        <w:rPr>
          <w:rFonts w:ascii="Times New Roman" w:eastAsia="Calibri" w:hAnsi="Times New Roman" w:cs="Times New Roman"/>
          <w:lang w:val="sr-Latn-CS"/>
        </w:rPr>
      </w:pPr>
      <w:r w:rsidRPr="007076F7">
        <w:rPr>
          <w:rFonts w:ascii="Times New Roman" w:eastAsia="Calibri" w:hAnsi="Times New Roman" w:cs="Times New Roman"/>
          <w:lang w:val="sr-Latn-ME"/>
        </w:rPr>
        <w:t xml:space="preserve">Istovremeno uzimanje hrane nema uticaja na PIK (površina ispod krive), maksimalnu koncentraciju u plazmi i time </w:t>
      </w:r>
      <w:proofErr w:type="spellStart"/>
      <w:r w:rsidRPr="007076F7">
        <w:rPr>
          <w:rFonts w:ascii="Times New Roman" w:eastAsia="Calibri" w:hAnsi="Times New Roman" w:cs="Times New Roman"/>
          <w:lang w:val="sr-Latn-ME"/>
        </w:rPr>
        <w:t>bioraspoloživost</w:t>
      </w:r>
      <w:proofErr w:type="spellEnd"/>
      <w:r w:rsidRPr="007076F7">
        <w:rPr>
          <w:rFonts w:ascii="Times New Roman" w:eastAsia="Calibri" w:hAnsi="Times New Roman" w:cs="Times New Roman"/>
          <w:lang w:val="sr-Latn-ME"/>
        </w:rPr>
        <w:t xml:space="preserve">. Primjena </w:t>
      </w:r>
      <w:proofErr w:type="spellStart"/>
      <w:r w:rsidRPr="007076F7">
        <w:rPr>
          <w:rFonts w:ascii="Times New Roman" w:eastAsia="Calibri" w:hAnsi="Times New Roman" w:cs="Times New Roman"/>
          <w:lang w:val="sr-Latn-ME"/>
        </w:rPr>
        <w:t>pantoprazola</w:t>
      </w:r>
      <w:proofErr w:type="spellEnd"/>
      <w:r w:rsidRPr="007076F7">
        <w:rPr>
          <w:rFonts w:ascii="Times New Roman" w:eastAsia="Calibri" w:hAnsi="Times New Roman" w:cs="Times New Roman"/>
          <w:lang w:val="sr-Latn-ME"/>
        </w:rPr>
        <w:t xml:space="preserve"> sa hranom </w:t>
      </w:r>
      <w:r w:rsidR="00815564" w:rsidRPr="007076F7">
        <w:rPr>
          <w:rFonts w:ascii="Times New Roman" w:eastAsia="Calibri" w:hAnsi="Times New Roman" w:cs="Times New Roman"/>
          <w:lang w:val="sr-Latn-CS"/>
        </w:rPr>
        <w:t xml:space="preserve">može odložiti njegovu resorpciju (povećati </w:t>
      </w:r>
      <w:proofErr w:type="spellStart"/>
      <w:r w:rsidR="00815564" w:rsidRPr="007076F7">
        <w:rPr>
          <w:rFonts w:ascii="Times New Roman" w:eastAsia="Calibri" w:hAnsi="Times New Roman" w:cs="Times New Roman"/>
          <w:lang w:val="sr-Latn-CS"/>
        </w:rPr>
        <w:t>vrijeme</w:t>
      </w:r>
      <w:proofErr w:type="spellEnd"/>
      <w:r w:rsidR="00815564" w:rsidRPr="007076F7">
        <w:rPr>
          <w:rFonts w:ascii="Times New Roman" w:eastAsia="Calibri" w:hAnsi="Times New Roman" w:cs="Times New Roman"/>
          <w:lang w:val="sr-Latn-CS"/>
        </w:rPr>
        <w:t xml:space="preserve"> početka resorpcije, </w:t>
      </w:r>
      <w:proofErr w:type="spellStart"/>
      <w:r w:rsidR="00815564" w:rsidRPr="007076F7">
        <w:rPr>
          <w:rFonts w:ascii="Times New Roman" w:eastAsia="Calibri" w:hAnsi="Times New Roman" w:cs="Times New Roman"/>
          <w:lang w:val="sr-Latn-CS"/>
        </w:rPr>
        <w:t>eng</w:t>
      </w:r>
      <w:proofErr w:type="spellEnd"/>
      <w:r w:rsidR="00815564" w:rsidRPr="007076F7">
        <w:rPr>
          <w:rFonts w:ascii="Times New Roman" w:eastAsia="Calibri" w:hAnsi="Times New Roman" w:cs="Times New Roman"/>
          <w:lang w:val="sr-Latn-CS"/>
        </w:rPr>
        <w:t xml:space="preserve">. </w:t>
      </w:r>
      <w:proofErr w:type="spellStart"/>
      <w:r w:rsidR="00815564" w:rsidRPr="007076F7">
        <w:rPr>
          <w:rFonts w:ascii="Times New Roman" w:eastAsia="Calibri" w:hAnsi="Times New Roman" w:cs="Times New Roman"/>
          <w:i/>
          <w:iCs/>
          <w:lang w:val="sr-Latn-CS"/>
        </w:rPr>
        <w:t>lag</w:t>
      </w:r>
      <w:proofErr w:type="spellEnd"/>
      <w:r w:rsidR="00815564" w:rsidRPr="007076F7">
        <w:rPr>
          <w:rFonts w:ascii="Times New Roman" w:eastAsia="Calibri" w:hAnsi="Times New Roman" w:cs="Times New Roman"/>
          <w:i/>
          <w:iCs/>
          <w:lang w:val="sr-Latn-CS"/>
        </w:rPr>
        <w:t xml:space="preserve"> time</w:t>
      </w:r>
      <w:r w:rsidR="00815564" w:rsidRPr="007076F7">
        <w:rPr>
          <w:rFonts w:ascii="Times New Roman" w:eastAsia="Calibri" w:hAnsi="Times New Roman" w:cs="Times New Roman"/>
          <w:lang w:val="sr-Latn-CS"/>
        </w:rPr>
        <w:t>).</w:t>
      </w:r>
    </w:p>
    <w:p w14:paraId="5542E6C6" w14:textId="77777777" w:rsidR="002E7166" w:rsidRPr="007076F7" w:rsidRDefault="002E7166">
      <w:pPr>
        <w:autoSpaceDE w:val="0"/>
        <w:autoSpaceDN w:val="0"/>
        <w:adjustRightInd w:val="0"/>
        <w:spacing w:after="0" w:line="240" w:lineRule="auto"/>
        <w:jc w:val="both"/>
        <w:rPr>
          <w:rFonts w:ascii="Times New Roman" w:eastAsia="TimesNewRoman" w:hAnsi="Times New Roman" w:cs="Times New Roman"/>
          <w:lang w:val="sr-Latn-ME"/>
        </w:rPr>
      </w:pPr>
    </w:p>
    <w:p w14:paraId="5542E6C7" w14:textId="77777777" w:rsidR="00F6558F"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r w:rsidRPr="007076F7">
        <w:rPr>
          <w:rFonts w:ascii="Times New Roman" w:eastAsia="Times New Roman" w:hAnsi="Times New Roman" w:cs="Times New Roman"/>
          <w:i/>
          <w:iCs/>
          <w:u w:val="single"/>
          <w:lang w:val="sr-Latn-ME"/>
        </w:rPr>
        <w:t>Distribucija</w:t>
      </w:r>
    </w:p>
    <w:p w14:paraId="5542E6C8" w14:textId="3D1E9886"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Vezivanje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za proteine plazme je približno 98%. Volumen distribucije iznosi približno 0,15 </w:t>
      </w:r>
      <w:r w:rsidR="00D6417C">
        <w:rPr>
          <w:rFonts w:ascii="Times New Roman" w:eastAsia="TimesNewRoman" w:hAnsi="Times New Roman" w:cs="Times New Roman"/>
          <w:lang w:val="sr-Latn-ME"/>
        </w:rPr>
        <w:t>l</w:t>
      </w:r>
      <w:r w:rsidRPr="007076F7">
        <w:rPr>
          <w:rFonts w:ascii="Times New Roman" w:eastAsia="TimesNewRoman" w:hAnsi="Times New Roman" w:cs="Times New Roman"/>
          <w:lang w:val="sr-Latn-ME"/>
        </w:rPr>
        <w:t>/kg.</w:t>
      </w:r>
    </w:p>
    <w:p w14:paraId="5542E6C9"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CA" w14:textId="77777777" w:rsidR="00F6558F" w:rsidRPr="007076F7" w:rsidRDefault="002E7166">
      <w:pPr>
        <w:autoSpaceDE w:val="0"/>
        <w:autoSpaceDN w:val="0"/>
        <w:adjustRightInd w:val="0"/>
        <w:spacing w:after="0" w:line="240" w:lineRule="auto"/>
        <w:jc w:val="both"/>
        <w:rPr>
          <w:rFonts w:ascii="Times New Roman" w:eastAsia="Calibri" w:hAnsi="Times New Roman" w:cs="Times New Roman"/>
          <w:i/>
          <w:iCs/>
          <w:u w:val="single"/>
          <w:lang w:val="sr-Latn-ME"/>
        </w:rPr>
      </w:pPr>
      <w:r w:rsidRPr="007076F7">
        <w:rPr>
          <w:rFonts w:ascii="Times New Roman" w:eastAsia="Calibri" w:hAnsi="Times New Roman" w:cs="Times New Roman"/>
          <w:i/>
          <w:iCs/>
          <w:u w:val="single"/>
          <w:lang w:val="sr-Latn-ME"/>
        </w:rPr>
        <w:t>Metabolizam</w:t>
      </w:r>
    </w:p>
    <w:p w14:paraId="5542E6CB"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Lijek se skoro u potpunosti </w:t>
      </w:r>
      <w:proofErr w:type="spellStart"/>
      <w:r w:rsidRPr="007076F7">
        <w:rPr>
          <w:rFonts w:ascii="Times New Roman" w:eastAsia="Calibri" w:hAnsi="Times New Roman" w:cs="Times New Roman"/>
          <w:lang w:val="sr-Latn-ME"/>
        </w:rPr>
        <w:t>metaboliše</w:t>
      </w:r>
      <w:proofErr w:type="spellEnd"/>
      <w:r w:rsidRPr="007076F7">
        <w:rPr>
          <w:rFonts w:ascii="Times New Roman" w:eastAsia="Calibri" w:hAnsi="Times New Roman" w:cs="Times New Roman"/>
          <w:lang w:val="sr-Latn-ME"/>
        </w:rPr>
        <w:t xml:space="preserve"> u jetri. Glavni </w:t>
      </w:r>
      <w:proofErr w:type="spellStart"/>
      <w:r w:rsidRPr="007076F7">
        <w:rPr>
          <w:rFonts w:ascii="Times New Roman" w:eastAsia="Calibri" w:hAnsi="Times New Roman" w:cs="Times New Roman"/>
          <w:lang w:val="sr-Latn-ME"/>
        </w:rPr>
        <w:t>metabolički</w:t>
      </w:r>
      <w:proofErr w:type="spellEnd"/>
      <w:r w:rsidRPr="007076F7">
        <w:rPr>
          <w:rFonts w:ascii="Times New Roman" w:eastAsia="Calibri" w:hAnsi="Times New Roman" w:cs="Times New Roman"/>
          <w:lang w:val="sr-Latn-ME"/>
        </w:rPr>
        <w:t xml:space="preserve"> put je </w:t>
      </w:r>
      <w:proofErr w:type="spellStart"/>
      <w:r w:rsidRPr="007076F7">
        <w:rPr>
          <w:rFonts w:ascii="Times New Roman" w:eastAsia="Calibri" w:hAnsi="Times New Roman" w:cs="Times New Roman"/>
          <w:lang w:val="sr-Latn-ME"/>
        </w:rPr>
        <w:t>demetilacija</w:t>
      </w:r>
      <w:proofErr w:type="spellEnd"/>
      <w:r w:rsidRPr="007076F7">
        <w:rPr>
          <w:rFonts w:ascii="Times New Roman" w:eastAsia="Calibri" w:hAnsi="Times New Roman" w:cs="Times New Roman"/>
          <w:lang w:val="sr-Latn-ME"/>
        </w:rPr>
        <w:t xml:space="preserve"> putem CYP2C19 sa kasnijom </w:t>
      </w:r>
      <w:proofErr w:type="spellStart"/>
      <w:r w:rsidRPr="007076F7">
        <w:rPr>
          <w:rFonts w:ascii="Times New Roman" w:eastAsia="Calibri" w:hAnsi="Times New Roman" w:cs="Times New Roman"/>
          <w:lang w:val="sr-Latn-ME"/>
        </w:rPr>
        <w:t>sulfatnom</w:t>
      </w:r>
      <w:proofErr w:type="spellEnd"/>
      <w:r w:rsidRPr="007076F7">
        <w:rPr>
          <w:rFonts w:ascii="Times New Roman" w:eastAsia="Calibri" w:hAnsi="Times New Roman" w:cs="Times New Roman"/>
          <w:lang w:val="sr-Latn-ME"/>
        </w:rPr>
        <w:t xml:space="preserve"> konjugacijom. Drugi metabolički put uključuje oksidaciju putem CYP3A4.</w:t>
      </w:r>
    </w:p>
    <w:p w14:paraId="5542E6CC" w14:textId="77777777" w:rsidR="00F6558F" w:rsidRPr="007076F7" w:rsidRDefault="00F6558F">
      <w:pPr>
        <w:autoSpaceDE w:val="0"/>
        <w:autoSpaceDN w:val="0"/>
        <w:adjustRightInd w:val="0"/>
        <w:spacing w:after="0" w:line="240" w:lineRule="auto"/>
        <w:jc w:val="both"/>
        <w:rPr>
          <w:rFonts w:ascii="Times New Roman" w:eastAsia="Calibri" w:hAnsi="Times New Roman" w:cs="Times New Roman"/>
          <w:lang w:val="sr-Latn-ME"/>
        </w:rPr>
      </w:pPr>
    </w:p>
    <w:p w14:paraId="5542E6CD"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r w:rsidRPr="007076F7">
        <w:rPr>
          <w:rFonts w:ascii="Times New Roman" w:eastAsia="Times New Roman" w:hAnsi="Times New Roman" w:cs="Times New Roman"/>
          <w:i/>
          <w:iCs/>
          <w:u w:val="single"/>
          <w:lang w:val="sr-Latn-ME"/>
        </w:rPr>
        <w:t>Eliminacija</w:t>
      </w:r>
    </w:p>
    <w:p w14:paraId="5542E6CE" w14:textId="59CE2073"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Terminalno poluvrijeme eliminacije je približno 1 sat, a </w:t>
      </w:r>
      <w:proofErr w:type="spellStart"/>
      <w:r w:rsidRPr="007076F7">
        <w:rPr>
          <w:rFonts w:ascii="Times New Roman" w:eastAsia="TimesNewRoman" w:hAnsi="Times New Roman" w:cs="Times New Roman"/>
          <w:lang w:val="sr-Latn-ME"/>
        </w:rPr>
        <w:t>klirens</w:t>
      </w:r>
      <w:proofErr w:type="spellEnd"/>
      <w:r w:rsidRPr="007076F7">
        <w:rPr>
          <w:rFonts w:ascii="Times New Roman" w:eastAsia="TimesNewRoman" w:hAnsi="Times New Roman" w:cs="Times New Roman"/>
          <w:lang w:val="sr-Latn-ME"/>
        </w:rPr>
        <w:t xml:space="preserve"> je približno 0,1 </w:t>
      </w:r>
      <w:r w:rsidR="00D6417C">
        <w:rPr>
          <w:rFonts w:ascii="Times New Roman" w:eastAsia="TimesNewRoman" w:hAnsi="Times New Roman" w:cs="Times New Roman"/>
          <w:lang w:val="sr-Latn-ME"/>
        </w:rPr>
        <w:t>l</w:t>
      </w:r>
      <w:r w:rsidRPr="007076F7">
        <w:rPr>
          <w:rFonts w:ascii="Times New Roman" w:eastAsia="TimesNewRoman" w:hAnsi="Times New Roman" w:cs="Times New Roman"/>
          <w:lang w:val="sr-Latn-ME"/>
        </w:rPr>
        <w:t xml:space="preserve">/h/kg. Bilo je nekoliko slučajeva ispitanika sa odloženom eliminacijom. Zbog specifičnog vezivanja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za protonsku </w:t>
      </w:r>
      <w:r w:rsidRPr="007076F7">
        <w:rPr>
          <w:rFonts w:ascii="Times New Roman" w:eastAsia="TimesNewRoman" w:hAnsi="Times New Roman" w:cs="Times New Roman"/>
          <w:lang w:val="sr-Latn-ME"/>
        </w:rPr>
        <w:lastRenderedPageBreak/>
        <w:t xml:space="preserve">pumpu </w:t>
      </w:r>
      <w:proofErr w:type="spellStart"/>
      <w:r w:rsidRPr="007076F7">
        <w:rPr>
          <w:rFonts w:ascii="Times New Roman" w:eastAsia="TimesNewRoman" w:hAnsi="Times New Roman" w:cs="Times New Roman"/>
          <w:lang w:val="sr-Latn-ME"/>
        </w:rPr>
        <w:t>parijetalnih</w:t>
      </w:r>
      <w:proofErr w:type="spellEnd"/>
      <w:r w:rsidRPr="007076F7">
        <w:rPr>
          <w:rFonts w:ascii="Times New Roman" w:eastAsia="TimesNewRoman" w:hAnsi="Times New Roman" w:cs="Times New Roman"/>
          <w:lang w:val="sr-Latn-ME"/>
        </w:rPr>
        <w:t xml:space="preserve"> ćelija, poluvrijeme eliminacije nije u kor</w:t>
      </w:r>
      <w:r w:rsidR="00B66416" w:rsidRPr="007076F7">
        <w:rPr>
          <w:rFonts w:ascii="Times New Roman" w:eastAsia="TimesNewRoman" w:hAnsi="Times New Roman" w:cs="Times New Roman"/>
          <w:lang w:val="sr-Latn-ME"/>
        </w:rPr>
        <w:t xml:space="preserve">elaciji sa mnogo dužim </w:t>
      </w:r>
      <w:proofErr w:type="spellStart"/>
      <w:r w:rsidR="00B66416" w:rsidRPr="007076F7">
        <w:rPr>
          <w:rFonts w:ascii="Times New Roman" w:eastAsia="TimesNewRoman" w:hAnsi="Times New Roman" w:cs="Times New Roman"/>
          <w:lang w:val="sr-Latn-ME"/>
        </w:rPr>
        <w:t>vremenom</w:t>
      </w:r>
      <w:proofErr w:type="spellEnd"/>
      <w:r w:rsidRPr="007076F7">
        <w:rPr>
          <w:rFonts w:ascii="Times New Roman" w:eastAsia="TimesNewRoman" w:hAnsi="Times New Roman" w:cs="Times New Roman"/>
          <w:lang w:val="sr-Latn-ME"/>
        </w:rPr>
        <w:t xml:space="preserve"> aktivnosti (inhibicija sekrecije želudačne kiseline).</w:t>
      </w:r>
    </w:p>
    <w:p w14:paraId="5542E6CF"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D0" w14:textId="6DA954ED"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Eliminacija putem bubrega predstavlja glavni put eliminacije (približno 80%) za </w:t>
      </w:r>
      <w:proofErr w:type="spellStart"/>
      <w:r w:rsidRPr="007076F7">
        <w:rPr>
          <w:rFonts w:ascii="Times New Roman" w:eastAsia="TimesNewRoman" w:hAnsi="Times New Roman" w:cs="Times New Roman"/>
          <w:lang w:val="sr-Latn-ME"/>
        </w:rPr>
        <w:t>metabolite</w:t>
      </w:r>
      <w:proofErr w:type="spellEnd"/>
      <w:r w:rsidRPr="007076F7">
        <w:rPr>
          <w:rFonts w:ascii="Times New Roman" w:eastAsia="TimesNewRoman" w:hAnsi="Times New Roman" w:cs="Times New Roman"/>
          <w:lang w:val="sr-Latn-ME"/>
        </w:rPr>
        <w:t xml:space="preserve"> </w:t>
      </w:r>
      <w:proofErr w:type="spellStart"/>
      <w:r w:rsidRPr="007076F7">
        <w:rPr>
          <w:rFonts w:ascii="Times New Roman" w:eastAsia="TimesNewRoman" w:hAnsi="Times New Roman" w:cs="Times New Roman"/>
          <w:lang w:val="sr-Latn-ME"/>
        </w:rPr>
        <w:t>pantoprazola</w:t>
      </w:r>
      <w:proofErr w:type="spellEnd"/>
      <w:r w:rsidR="00EB5DE7" w:rsidRPr="007076F7">
        <w:rPr>
          <w:rFonts w:ascii="Times New Roman" w:eastAsia="TimesNewRoman" w:hAnsi="Times New Roman" w:cs="Times New Roman"/>
          <w:lang w:val="sr-Latn-ME"/>
        </w:rPr>
        <w:t>,</w:t>
      </w:r>
      <w:r w:rsidRPr="007076F7">
        <w:rPr>
          <w:rFonts w:ascii="Times New Roman" w:eastAsia="TimesNewRoman" w:hAnsi="Times New Roman" w:cs="Times New Roman"/>
          <w:lang w:val="sr-Latn-ME"/>
        </w:rPr>
        <w:t xml:space="preserve"> ostatak se eliminiše putem </w:t>
      </w:r>
      <w:proofErr w:type="spellStart"/>
      <w:r w:rsidRPr="007076F7">
        <w:rPr>
          <w:rFonts w:ascii="Times New Roman" w:eastAsia="TimesNewRoman" w:hAnsi="Times New Roman" w:cs="Times New Roman"/>
          <w:lang w:val="sr-Latn-ME"/>
        </w:rPr>
        <w:t>fecesa</w:t>
      </w:r>
      <w:proofErr w:type="spellEnd"/>
      <w:r w:rsidRPr="007076F7">
        <w:rPr>
          <w:rFonts w:ascii="Times New Roman" w:eastAsia="TimesNewRoman" w:hAnsi="Times New Roman" w:cs="Times New Roman"/>
          <w:lang w:val="sr-Latn-ME"/>
        </w:rPr>
        <w:t xml:space="preserve">. Glavni </w:t>
      </w:r>
      <w:proofErr w:type="spellStart"/>
      <w:r w:rsidRPr="007076F7">
        <w:rPr>
          <w:rFonts w:ascii="Times New Roman" w:eastAsia="TimesNewRoman" w:hAnsi="Times New Roman" w:cs="Times New Roman"/>
          <w:lang w:val="sr-Latn-ME"/>
        </w:rPr>
        <w:t>metabolit</w:t>
      </w:r>
      <w:proofErr w:type="spellEnd"/>
      <w:r w:rsidRPr="007076F7">
        <w:rPr>
          <w:rFonts w:ascii="Times New Roman" w:eastAsia="TimesNewRoman" w:hAnsi="Times New Roman" w:cs="Times New Roman"/>
          <w:lang w:val="sr-Latn-ME"/>
        </w:rPr>
        <w:t xml:space="preserve"> i u serumu i u urinu je </w:t>
      </w:r>
      <w:proofErr w:type="spellStart"/>
      <w:r w:rsidRPr="007076F7">
        <w:rPr>
          <w:rFonts w:ascii="Times New Roman" w:eastAsia="TimesNewRoman" w:hAnsi="Times New Roman" w:cs="Times New Roman"/>
          <w:lang w:val="sr-Latn-ME"/>
        </w:rPr>
        <w:t>desmetilpantoprazol</w:t>
      </w:r>
      <w:proofErr w:type="spellEnd"/>
      <w:r w:rsidRPr="007076F7">
        <w:rPr>
          <w:rFonts w:ascii="Times New Roman" w:eastAsia="TimesNewRoman" w:hAnsi="Times New Roman" w:cs="Times New Roman"/>
          <w:lang w:val="sr-Latn-ME"/>
        </w:rPr>
        <w:t xml:space="preserve"> koji je </w:t>
      </w:r>
      <w:proofErr w:type="spellStart"/>
      <w:r w:rsidRPr="007076F7">
        <w:rPr>
          <w:rFonts w:ascii="Times New Roman" w:eastAsia="TimesNewRoman" w:hAnsi="Times New Roman" w:cs="Times New Roman"/>
          <w:lang w:val="sr-Latn-ME"/>
        </w:rPr>
        <w:t>konjugovan</w:t>
      </w:r>
      <w:proofErr w:type="spellEnd"/>
      <w:r w:rsidRPr="007076F7">
        <w:rPr>
          <w:rFonts w:ascii="Times New Roman" w:eastAsia="TimesNewRoman" w:hAnsi="Times New Roman" w:cs="Times New Roman"/>
          <w:lang w:val="sr-Latn-ME"/>
        </w:rPr>
        <w:t xml:space="preserve"> sa sulfatima. Poluvrijeme eliminacije za glavni </w:t>
      </w:r>
      <w:proofErr w:type="spellStart"/>
      <w:r w:rsidRPr="007076F7">
        <w:rPr>
          <w:rFonts w:ascii="Times New Roman" w:eastAsia="TimesNewRoman" w:hAnsi="Times New Roman" w:cs="Times New Roman"/>
          <w:lang w:val="sr-Latn-ME"/>
        </w:rPr>
        <w:t>metabolit</w:t>
      </w:r>
      <w:proofErr w:type="spellEnd"/>
      <w:r w:rsidRPr="007076F7">
        <w:rPr>
          <w:rFonts w:ascii="Times New Roman" w:eastAsia="TimesNewRoman" w:hAnsi="Times New Roman" w:cs="Times New Roman"/>
          <w:lang w:val="sr-Latn-ME"/>
        </w:rPr>
        <w:t xml:space="preserve"> (približno 1,5 sat) nije mnogo duže nego kod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w:t>
      </w:r>
    </w:p>
    <w:p w14:paraId="5542E6D1"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D3" w14:textId="0CFEE947" w:rsidR="002E7166" w:rsidRDefault="002E7166">
      <w:pPr>
        <w:tabs>
          <w:tab w:val="left" w:pos="708"/>
        </w:tabs>
        <w:autoSpaceDE w:val="0"/>
        <w:autoSpaceDN w:val="0"/>
        <w:adjustRightInd w:val="0"/>
        <w:spacing w:after="0" w:line="240" w:lineRule="auto"/>
        <w:jc w:val="both"/>
        <w:rPr>
          <w:rFonts w:ascii="Times New Roman" w:eastAsia="Calibri" w:hAnsi="Times New Roman" w:cs="Times New Roman"/>
          <w:i/>
          <w:iCs/>
          <w:u w:val="single"/>
          <w:lang w:val="sr-Latn-ME"/>
        </w:rPr>
      </w:pPr>
      <w:r w:rsidRPr="007076F7">
        <w:rPr>
          <w:rFonts w:ascii="Times New Roman" w:eastAsia="Calibri" w:hAnsi="Times New Roman" w:cs="Times New Roman"/>
          <w:i/>
          <w:iCs/>
          <w:u w:val="single"/>
          <w:lang w:val="sr-Latn-ME"/>
        </w:rPr>
        <w:t xml:space="preserve">Posebne </w:t>
      </w:r>
      <w:r w:rsidR="00EB5DE7" w:rsidRPr="007076F7">
        <w:rPr>
          <w:rFonts w:ascii="Times New Roman" w:eastAsia="Calibri" w:hAnsi="Times New Roman" w:cs="Times New Roman"/>
          <w:i/>
          <w:iCs/>
          <w:u w:val="single"/>
          <w:lang w:val="sr-Latn-ME"/>
        </w:rPr>
        <w:t>grupe pacijenata</w:t>
      </w:r>
    </w:p>
    <w:p w14:paraId="2A47F723" w14:textId="77777777" w:rsidR="008C21AC" w:rsidRPr="007076F7" w:rsidRDefault="008C21AC">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p>
    <w:p w14:paraId="5542E6D4" w14:textId="77777777" w:rsidR="002E7166" w:rsidRPr="007076F7" w:rsidRDefault="002E7166">
      <w:pPr>
        <w:autoSpaceDE w:val="0"/>
        <w:autoSpaceDN w:val="0"/>
        <w:adjustRightInd w:val="0"/>
        <w:spacing w:after="0" w:line="240" w:lineRule="auto"/>
        <w:jc w:val="both"/>
        <w:rPr>
          <w:rFonts w:ascii="Times New Roman" w:eastAsia="Times New Roman" w:hAnsi="Times New Roman" w:cs="Times New Roman"/>
          <w:u w:val="single"/>
          <w:lang w:val="sr-Latn-ME" w:eastAsia="sr-Latn-CS"/>
        </w:rPr>
      </w:pPr>
      <w:r w:rsidRPr="007076F7">
        <w:rPr>
          <w:rFonts w:ascii="Times New Roman" w:eastAsia="Times New Roman" w:hAnsi="Times New Roman" w:cs="Times New Roman"/>
          <w:u w:val="single"/>
          <w:lang w:val="sr-Latn-ME" w:eastAsia="sr-Latn-CS"/>
        </w:rPr>
        <w:t xml:space="preserve">Slabi </w:t>
      </w:r>
      <w:proofErr w:type="spellStart"/>
      <w:r w:rsidRPr="007076F7">
        <w:rPr>
          <w:rFonts w:ascii="Times New Roman" w:eastAsia="Times New Roman" w:hAnsi="Times New Roman" w:cs="Times New Roman"/>
          <w:u w:val="single"/>
          <w:lang w:val="sr-Latn-ME" w:eastAsia="sr-Latn-CS"/>
        </w:rPr>
        <w:t>metabolizatori</w:t>
      </w:r>
      <w:proofErr w:type="spellEnd"/>
    </w:p>
    <w:p w14:paraId="5542E6D5" w14:textId="3290757A" w:rsidR="002E7166" w:rsidRPr="007076F7" w:rsidRDefault="002E7166">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 xml:space="preserve">Približno 3% populacije Evropljana ima smanjenu funkciju enzima CYP2C19 i oni se nazivaju slabi </w:t>
      </w:r>
      <w:proofErr w:type="spellStart"/>
      <w:r w:rsidRPr="007076F7">
        <w:rPr>
          <w:rFonts w:ascii="Times New Roman" w:eastAsia="Times New Roman" w:hAnsi="Times New Roman" w:cs="Times New Roman"/>
          <w:lang w:val="sr-Latn-ME" w:eastAsia="sr-Latn-CS"/>
        </w:rPr>
        <w:t>metabolizatori</w:t>
      </w:r>
      <w:proofErr w:type="spellEnd"/>
      <w:r w:rsidRPr="007076F7">
        <w:rPr>
          <w:rFonts w:ascii="Times New Roman" w:eastAsia="Times New Roman" w:hAnsi="Times New Roman" w:cs="Times New Roman"/>
          <w:lang w:val="sr-Latn-ME" w:eastAsia="sr-Latn-CS"/>
        </w:rPr>
        <w:t xml:space="preserve">. Kod ovih osoba, metabolizam </w:t>
      </w:r>
      <w:proofErr w:type="spellStart"/>
      <w:r w:rsidRPr="007076F7">
        <w:rPr>
          <w:rFonts w:ascii="Times New Roman" w:eastAsia="Times New Roman" w:hAnsi="Times New Roman" w:cs="Times New Roman"/>
          <w:lang w:val="sr-Latn-ME" w:eastAsia="sr-Latn-CS"/>
        </w:rPr>
        <w:t>pantoprazola</w:t>
      </w:r>
      <w:proofErr w:type="spellEnd"/>
      <w:r w:rsidRPr="007076F7">
        <w:rPr>
          <w:rFonts w:ascii="Times New Roman" w:eastAsia="Times New Roman" w:hAnsi="Times New Roman" w:cs="Times New Roman"/>
          <w:lang w:val="sr-Latn-ME" w:eastAsia="sr-Latn-CS"/>
        </w:rPr>
        <w:t xml:space="preserve"> je vjerovatno uglavnom </w:t>
      </w:r>
      <w:proofErr w:type="spellStart"/>
      <w:r w:rsidRPr="007076F7">
        <w:rPr>
          <w:rFonts w:ascii="Times New Roman" w:eastAsia="Times New Roman" w:hAnsi="Times New Roman" w:cs="Times New Roman"/>
          <w:lang w:val="sr-Latn-ME" w:eastAsia="sr-Latn-CS"/>
        </w:rPr>
        <w:t>katalizovan</w:t>
      </w:r>
      <w:proofErr w:type="spellEnd"/>
      <w:r w:rsidRPr="007076F7">
        <w:rPr>
          <w:rFonts w:ascii="Times New Roman" w:eastAsia="Times New Roman" w:hAnsi="Times New Roman" w:cs="Times New Roman"/>
          <w:lang w:val="sr-Latn-ME" w:eastAsia="sr-Latn-CS"/>
        </w:rPr>
        <w:t xml:space="preserve"> enzimom CYP3A4. Nakon primjene jedne doze </w:t>
      </w:r>
      <w:proofErr w:type="spellStart"/>
      <w:r w:rsidRPr="007076F7">
        <w:rPr>
          <w:rFonts w:ascii="Times New Roman" w:eastAsia="Times New Roman" w:hAnsi="Times New Roman" w:cs="Times New Roman"/>
          <w:lang w:val="sr-Latn-ME" w:eastAsia="sr-Latn-CS"/>
        </w:rPr>
        <w:t>pantoprazola</w:t>
      </w:r>
      <w:proofErr w:type="spellEnd"/>
      <w:r w:rsidRPr="007076F7">
        <w:rPr>
          <w:rFonts w:ascii="Times New Roman" w:eastAsia="Times New Roman" w:hAnsi="Times New Roman" w:cs="Times New Roman"/>
          <w:lang w:val="sr-Latn-ME" w:eastAsia="sr-Latn-CS"/>
        </w:rPr>
        <w:t xml:space="preserve"> od 40 mg, vrijednost PIK </w:t>
      </w:r>
      <w:proofErr w:type="spellStart"/>
      <w:r w:rsidRPr="007076F7">
        <w:rPr>
          <w:rFonts w:ascii="Times New Roman" w:eastAsia="Times New Roman" w:hAnsi="Times New Roman" w:cs="Times New Roman"/>
          <w:lang w:val="sr-Latn-ME" w:eastAsia="sr-Latn-CS"/>
        </w:rPr>
        <w:t>pantoprazola</w:t>
      </w:r>
      <w:proofErr w:type="spellEnd"/>
      <w:r w:rsidRPr="007076F7">
        <w:rPr>
          <w:rFonts w:ascii="Times New Roman" w:eastAsia="Times New Roman" w:hAnsi="Times New Roman" w:cs="Times New Roman"/>
          <w:lang w:val="sr-Latn-ME" w:eastAsia="sr-Latn-CS"/>
        </w:rPr>
        <w:t xml:space="preserve"> bila je</w:t>
      </w:r>
      <w:r w:rsidRPr="007076F7">
        <w:rPr>
          <w:rFonts w:ascii="Times New Roman" w:eastAsia="Times New Roman" w:hAnsi="Times New Roman" w:cs="Times New Roman"/>
          <w:lang w:val="sr-Latn-ME"/>
        </w:rPr>
        <w:t xml:space="preserve"> </w:t>
      </w:r>
      <w:r w:rsidRPr="007076F7">
        <w:rPr>
          <w:rFonts w:ascii="Times New Roman" w:eastAsia="Times New Roman" w:hAnsi="Times New Roman" w:cs="Times New Roman"/>
          <w:lang w:val="sr-Latn-ME" w:eastAsia="sr-Latn-CS"/>
        </w:rPr>
        <w:t>približno</w:t>
      </w:r>
      <w:r w:rsidRPr="007076F7">
        <w:rPr>
          <w:rFonts w:ascii="Times New Roman" w:eastAsia="Times New Roman" w:hAnsi="Times New Roman" w:cs="Times New Roman"/>
          <w:lang w:val="sr-Latn-ME"/>
        </w:rPr>
        <w:t xml:space="preserve"> </w:t>
      </w:r>
      <w:r w:rsidRPr="007076F7">
        <w:rPr>
          <w:rFonts w:ascii="Times New Roman" w:eastAsia="Times New Roman" w:hAnsi="Times New Roman" w:cs="Times New Roman"/>
          <w:lang w:val="sr-Latn-ME" w:eastAsia="sr-Latn-CS"/>
        </w:rPr>
        <w:t xml:space="preserve">6 puta veća kod slabih </w:t>
      </w:r>
      <w:proofErr w:type="spellStart"/>
      <w:r w:rsidRPr="007076F7">
        <w:rPr>
          <w:rFonts w:ascii="Times New Roman" w:eastAsia="Times New Roman" w:hAnsi="Times New Roman" w:cs="Times New Roman"/>
          <w:lang w:val="sr-Latn-ME" w:eastAsia="sr-Latn-CS"/>
        </w:rPr>
        <w:t>metabolizatora</w:t>
      </w:r>
      <w:proofErr w:type="spellEnd"/>
      <w:r w:rsidRPr="007076F7">
        <w:rPr>
          <w:rFonts w:ascii="Times New Roman" w:eastAsia="Times New Roman" w:hAnsi="Times New Roman" w:cs="Times New Roman"/>
          <w:lang w:val="sr-Latn-ME" w:eastAsia="sr-Latn-CS"/>
        </w:rPr>
        <w:t xml:space="preserve"> nego kod osoba sa očuvanom funkcijom enzima CYP2C</w:t>
      </w:r>
      <w:r w:rsidR="00EB5DE7" w:rsidRPr="007076F7">
        <w:rPr>
          <w:rFonts w:ascii="Times New Roman" w:eastAsia="Times New Roman" w:hAnsi="Times New Roman" w:cs="Times New Roman"/>
          <w:lang w:val="sr-Latn-ME" w:eastAsia="sr-Latn-CS"/>
        </w:rPr>
        <w:t>1</w:t>
      </w:r>
      <w:r w:rsidRPr="007076F7">
        <w:rPr>
          <w:rFonts w:ascii="Times New Roman" w:eastAsia="Times New Roman" w:hAnsi="Times New Roman" w:cs="Times New Roman"/>
          <w:lang w:val="sr-Latn-ME" w:eastAsia="sr-Latn-CS"/>
        </w:rPr>
        <w:t xml:space="preserve">9 (ekstenzivni </w:t>
      </w:r>
      <w:proofErr w:type="spellStart"/>
      <w:r w:rsidRPr="007076F7">
        <w:rPr>
          <w:rFonts w:ascii="Times New Roman" w:eastAsia="Times New Roman" w:hAnsi="Times New Roman" w:cs="Times New Roman"/>
          <w:lang w:val="sr-Latn-ME" w:eastAsia="sr-Latn-CS"/>
        </w:rPr>
        <w:t>metabolizatori</w:t>
      </w:r>
      <w:proofErr w:type="spellEnd"/>
      <w:r w:rsidRPr="007076F7">
        <w:rPr>
          <w:rFonts w:ascii="Times New Roman" w:eastAsia="Times New Roman" w:hAnsi="Times New Roman" w:cs="Times New Roman"/>
          <w:lang w:val="sr-Latn-ME" w:eastAsia="sr-Latn-CS"/>
        </w:rPr>
        <w:t xml:space="preserve">). Srednja vrijednost maksimalnih koncentracija u plazmi bila je povećana za približno 60%. Ovi nalazi ne utiču na doziranje </w:t>
      </w:r>
      <w:proofErr w:type="spellStart"/>
      <w:r w:rsidRPr="007076F7">
        <w:rPr>
          <w:rFonts w:ascii="Times New Roman" w:eastAsia="Times New Roman" w:hAnsi="Times New Roman" w:cs="Times New Roman"/>
          <w:lang w:val="sr-Latn-ME" w:eastAsia="sr-Latn-CS"/>
        </w:rPr>
        <w:t>pantoprazola</w:t>
      </w:r>
      <w:proofErr w:type="spellEnd"/>
      <w:r w:rsidRPr="007076F7">
        <w:rPr>
          <w:rFonts w:ascii="Times New Roman" w:eastAsia="Times New Roman" w:hAnsi="Times New Roman" w:cs="Times New Roman"/>
          <w:lang w:val="sr-Latn-ME" w:eastAsia="sr-Latn-CS"/>
        </w:rPr>
        <w:t>.</w:t>
      </w:r>
    </w:p>
    <w:p w14:paraId="5542E6D6" w14:textId="77777777"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
          <w:iCs/>
          <w:u w:val="single"/>
          <w:lang w:val="sr-Latn-ME"/>
        </w:rPr>
      </w:pPr>
    </w:p>
    <w:p w14:paraId="5542E6D7" w14:textId="77777777" w:rsidR="002E7166" w:rsidRPr="007076F7" w:rsidRDefault="002E7166">
      <w:pPr>
        <w:widowControl w:val="0"/>
        <w:numPr>
          <w:ilvl w:val="12"/>
          <w:numId w:val="0"/>
        </w:numPr>
        <w:tabs>
          <w:tab w:val="left" w:pos="284"/>
          <w:tab w:val="left" w:pos="567"/>
        </w:tabs>
        <w:spacing w:after="0" w:line="240" w:lineRule="auto"/>
        <w:jc w:val="both"/>
        <w:rPr>
          <w:rFonts w:ascii="Times New Roman" w:eastAsia="Times New Roman" w:hAnsi="Times New Roman" w:cs="Times New Roman"/>
          <w:iCs/>
          <w:u w:val="single"/>
          <w:lang w:val="sr-Latn-ME"/>
        </w:rPr>
      </w:pPr>
      <w:r w:rsidRPr="007076F7">
        <w:rPr>
          <w:rFonts w:ascii="Times New Roman" w:eastAsia="Times New Roman" w:hAnsi="Times New Roman" w:cs="Times New Roman"/>
          <w:iCs/>
          <w:u w:val="single"/>
          <w:lang w:val="sr-Latn-ME"/>
        </w:rPr>
        <w:t xml:space="preserve">Oštećenje funkcije bubrega </w:t>
      </w:r>
    </w:p>
    <w:p w14:paraId="5542E6D8"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Ne preporučuje se smanjenje doze kada se </w:t>
      </w:r>
      <w:proofErr w:type="spellStart"/>
      <w:r w:rsidRPr="007076F7">
        <w:rPr>
          <w:rFonts w:ascii="Times New Roman" w:eastAsia="Calibri" w:hAnsi="Times New Roman" w:cs="Times New Roman"/>
          <w:lang w:val="sr-Latn-ME"/>
        </w:rPr>
        <w:t>pantoprazol</w:t>
      </w:r>
      <w:proofErr w:type="spellEnd"/>
      <w:r w:rsidRPr="007076F7">
        <w:rPr>
          <w:rFonts w:ascii="Times New Roman" w:eastAsia="Calibri" w:hAnsi="Times New Roman" w:cs="Times New Roman"/>
          <w:lang w:val="sr-Latn-ME"/>
        </w:rPr>
        <w:t xml:space="preserve"> primjenjuje kod pacijenata sa oštećenjem funkcije bubrega (uključujući i pacijente na dijalizi).</w:t>
      </w:r>
      <w:r w:rsidRPr="007076F7">
        <w:rPr>
          <w:rFonts w:ascii="Times New Roman" w:eastAsia="TimesNewRoman" w:hAnsi="Times New Roman" w:cs="Times New Roman"/>
          <w:lang w:val="sr-Latn-ME"/>
        </w:rPr>
        <w:t xml:space="preserve"> Kao i kod zdravih ispitanika, poluvrijeme eliminacije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je kratko. </w:t>
      </w:r>
    </w:p>
    <w:p w14:paraId="5542E6D9"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Samo mala količina </w:t>
      </w:r>
      <w:proofErr w:type="spellStart"/>
      <w:r w:rsidRPr="007076F7">
        <w:rPr>
          <w:rFonts w:ascii="Times New Roman" w:eastAsia="TimesNewRoman" w:hAnsi="Times New Roman" w:cs="Times New Roman"/>
          <w:lang w:val="sr-Latn-ME"/>
        </w:rPr>
        <w:t>pantoprazola</w:t>
      </w:r>
      <w:proofErr w:type="spellEnd"/>
      <w:r w:rsidRPr="007076F7">
        <w:rPr>
          <w:rFonts w:ascii="Times New Roman" w:eastAsia="TimesNewRoman" w:hAnsi="Times New Roman" w:cs="Times New Roman"/>
          <w:lang w:val="sr-Latn-ME"/>
        </w:rPr>
        <w:t xml:space="preserve"> se može </w:t>
      </w:r>
      <w:proofErr w:type="spellStart"/>
      <w:r w:rsidRPr="007076F7">
        <w:rPr>
          <w:rFonts w:ascii="Times New Roman" w:eastAsia="TimesNewRoman" w:hAnsi="Times New Roman" w:cs="Times New Roman"/>
          <w:lang w:val="sr-Latn-ME"/>
        </w:rPr>
        <w:t>dijalizirati</w:t>
      </w:r>
      <w:proofErr w:type="spellEnd"/>
      <w:r w:rsidRPr="007076F7">
        <w:rPr>
          <w:rFonts w:ascii="Times New Roman" w:eastAsia="TimesNewRoman" w:hAnsi="Times New Roman" w:cs="Times New Roman"/>
          <w:lang w:val="sr-Latn-ME"/>
        </w:rPr>
        <w:t xml:space="preserve">. Iako glavni </w:t>
      </w:r>
      <w:proofErr w:type="spellStart"/>
      <w:r w:rsidRPr="007076F7">
        <w:rPr>
          <w:rFonts w:ascii="Times New Roman" w:eastAsia="TimesNewRoman" w:hAnsi="Times New Roman" w:cs="Times New Roman"/>
          <w:lang w:val="sr-Latn-ME"/>
        </w:rPr>
        <w:t>metabolit</w:t>
      </w:r>
      <w:proofErr w:type="spellEnd"/>
      <w:r w:rsidRPr="007076F7">
        <w:rPr>
          <w:rFonts w:ascii="Times New Roman" w:eastAsia="TimesNewRoman" w:hAnsi="Times New Roman" w:cs="Times New Roman"/>
          <w:lang w:val="sr-Latn-ME"/>
        </w:rPr>
        <w:t xml:space="preserve"> ima umjereno produženo poluvrijeme eliminacije (2-3 sata), izlučivanje je i dalje brzo, tako da ne dolazi do akumulacije lijeka.</w:t>
      </w:r>
    </w:p>
    <w:p w14:paraId="5542E6DA" w14:textId="77777777" w:rsidR="002E7166" w:rsidRPr="007076F7" w:rsidRDefault="002E7166">
      <w:pPr>
        <w:autoSpaceDE w:val="0"/>
        <w:autoSpaceDN w:val="0"/>
        <w:adjustRightInd w:val="0"/>
        <w:spacing w:after="0" w:line="240" w:lineRule="auto"/>
        <w:jc w:val="both"/>
        <w:rPr>
          <w:rFonts w:ascii="Times New Roman" w:eastAsia="Times New Roman" w:hAnsi="Times New Roman" w:cs="Times New Roman"/>
          <w:lang w:val="sr-Latn-ME"/>
        </w:rPr>
      </w:pPr>
    </w:p>
    <w:p w14:paraId="5542E6DB" w14:textId="77777777" w:rsidR="002E7166" w:rsidRPr="007076F7" w:rsidRDefault="002E7166">
      <w:pPr>
        <w:autoSpaceDE w:val="0"/>
        <w:autoSpaceDN w:val="0"/>
        <w:adjustRightInd w:val="0"/>
        <w:spacing w:after="0" w:line="240" w:lineRule="auto"/>
        <w:jc w:val="both"/>
        <w:rPr>
          <w:rFonts w:ascii="Times New Roman" w:eastAsia="Times New Roman" w:hAnsi="Times New Roman" w:cs="Times New Roman"/>
          <w:u w:val="single"/>
          <w:lang w:val="sr-Latn-ME"/>
        </w:rPr>
      </w:pPr>
      <w:r w:rsidRPr="007076F7">
        <w:rPr>
          <w:rFonts w:ascii="Times New Roman" w:eastAsia="Times New Roman" w:hAnsi="Times New Roman" w:cs="Times New Roman"/>
          <w:u w:val="single"/>
          <w:lang w:val="sr-Latn-ME"/>
        </w:rPr>
        <w:t>Oštećenje funkcije jetre</w:t>
      </w:r>
    </w:p>
    <w:p w14:paraId="5542E6DC"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Iako su kod pacijenata sa cirozom jetre (klase A i B prema </w:t>
      </w:r>
      <w:proofErr w:type="spellStart"/>
      <w:r w:rsidRPr="007076F7">
        <w:rPr>
          <w:rFonts w:ascii="Times New Roman" w:eastAsia="TimesNewRoman" w:hAnsi="Times New Roman" w:cs="Times New Roman"/>
          <w:i/>
          <w:iCs/>
          <w:lang w:val="sr-Latn-ME"/>
        </w:rPr>
        <w:t>Child</w:t>
      </w:r>
      <w:proofErr w:type="spellEnd"/>
      <w:r w:rsidRPr="007076F7">
        <w:rPr>
          <w:rFonts w:ascii="Times New Roman" w:eastAsia="TimesNewRoman" w:hAnsi="Times New Roman" w:cs="Times New Roman"/>
          <w:iCs/>
          <w:lang w:val="sr-Latn-ME"/>
        </w:rPr>
        <w:t>-u</w:t>
      </w:r>
      <w:r w:rsidRPr="007076F7">
        <w:rPr>
          <w:rFonts w:ascii="Times New Roman" w:eastAsia="TimesNewRoman" w:hAnsi="Times New Roman" w:cs="Times New Roman"/>
          <w:lang w:val="sr-Latn-ME"/>
        </w:rPr>
        <w:t xml:space="preserve">) vrijednosti </w:t>
      </w:r>
      <w:proofErr w:type="spellStart"/>
      <w:r w:rsidRPr="007076F7">
        <w:rPr>
          <w:rFonts w:ascii="Times New Roman" w:eastAsia="TimesNewRoman" w:hAnsi="Times New Roman" w:cs="Times New Roman"/>
          <w:lang w:val="sr-Latn-ME"/>
        </w:rPr>
        <w:t>poluvremena</w:t>
      </w:r>
      <w:proofErr w:type="spellEnd"/>
      <w:r w:rsidRPr="007076F7">
        <w:rPr>
          <w:rFonts w:ascii="Times New Roman" w:eastAsia="TimesNewRoman" w:hAnsi="Times New Roman" w:cs="Times New Roman"/>
          <w:lang w:val="sr-Latn-ME"/>
        </w:rPr>
        <w:t xml:space="preserve"> eliminacije povećane do između 7 i 9 h, a vrijednosti površine ispod krive (PIK) povećane za faktor 5-7, maksimalna plazma koncentracija se samo neznatno povećava za faktor 1,5 u poređenju sa zdravim ispitanicima.</w:t>
      </w:r>
    </w:p>
    <w:p w14:paraId="5542E6DD"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DE" w14:textId="6AF7949F" w:rsidR="002E7166" w:rsidRPr="007076F7" w:rsidRDefault="002E7166">
      <w:pPr>
        <w:tabs>
          <w:tab w:val="left" w:pos="708"/>
        </w:tabs>
        <w:autoSpaceDE w:val="0"/>
        <w:autoSpaceDN w:val="0"/>
        <w:adjustRightInd w:val="0"/>
        <w:spacing w:after="0" w:line="240" w:lineRule="auto"/>
        <w:jc w:val="both"/>
        <w:rPr>
          <w:rFonts w:ascii="Times New Roman" w:eastAsia="Times New Roman" w:hAnsi="Times New Roman" w:cs="Times New Roman"/>
          <w:iCs/>
          <w:u w:val="single"/>
          <w:lang w:val="sr-Latn-ME"/>
        </w:rPr>
      </w:pPr>
      <w:r w:rsidRPr="007076F7">
        <w:rPr>
          <w:rFonts w:ascii="Times New Roman" w:eastAsia="Times New Roman" w:hAnsi="Times New Roman" w:cs="Times New Roman"/>
          <w:iCs/>
          <w:u w:val="single"/>
          <w:lang w:val="sr-Latn-ME"/>
        </w:rPr>
        <w:t>Starij</w:t>
      </w:r>
      <w:r w:rsidR="00EB5DE7" w:rsidRPr="007076F7">
        <w:rPr>
          <w:rFonts w:ascii="Times New Roman" w:eastAsia="Times New Roman" w:hAnsi="Times New Roman" w:cs="Times New Roman"/>
          <w:iCs/>
          <w:u w:val="single"/>
          <w:lang w:val="sr-Latn-ME"/>
        </w:rPr>
        <w:t>i pacijenti</w:t>
      </w:r>
    </w:p>
    <w:p w14:paraId="5542E6DF" w14:textId="370D86A8"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076F7">
        <w:rPr>
          <w:rFonts w:ascii="Times New Roman" w:eastAsia="TimesNewRoman" w:hAnsi="Times New Roman" w:cs="Times New Roman"/>
          <w:lang w:val="sr-Latn-ME"/>
        </w:rPr>
        <w:t xml:space="preserve">Slično tome, blagi porast vrijednosti PIK i </w:t>
      </w:r>
      <w:proofErr w:type="spellStart"/>
      <w:r w:rsidRPr="007076F7">
        <w:rPr>
          <w:rFonts w:ascii="Times New Roman" w:eastAsia="TimesNewRoman" w:hAnsi="Times New Roman" w:cs="Times New Roman"/>
          <w:lang w:val="sr-Latn-ME"/>
        </w:rPr>
        <w:t>C</w:t>
      </w:r>
      <w:r w:rsidRPr="007076F7">
        <w:rPr>
          <w:rFonts w:ascii="Times New Roman" w:eastAsia="TimesNewRoman" w:hAnsi="Times New Roman" w:cs="Times New Roman"/>
          <w:vertAlign w:val="subscript"/>
          <w:lang w:val="sr-Latn-ME"/>
        </w:rPr>
        <w:t>max</w:t>
      </w:r>
      <w:proofErr w:type="spellEnd"/>
      <w:r w:rsidRPr="007076F7">
        <w:rPr>
          <w:rFonts w:ascii="Times New Roman" w:eastAsia="TimesNewRoman" w:hAnsi="Times New Roman" w:cs="Times New Roman"/>
          <w:lang w:val="sr-Latn-ME"/>
        </w:rPr>
        <w:t xml:space="preserve"> kod starijih </w:t>
      </w:r>
      <w:r w:rsidR="00EB5DE7" w:rsidRPr="007076F7">
        <w:rPr>
          <w:rFonts w:ascii="Times New Roman" w:eastAsia="TimesNewRoman" w:hAnsi="Times New Roman" w:cs="Times New Roman"/>
          <w:lang w:val="sr-Latn-ME"/>
        </w:rPr>
        <w:t>osoba</w:t>
      </w:r>
      <w:r w:rsidRPr="007076F7">
        <w:rPr>
          <w:rFonts w:ascii="Times New Roman" w:eastAsia="TimesNewRoman" w:hAnsi="Times New Roman" w:cs="Times New Roman"/>
          <w:lang w:val="sr-Latn-ME"/>
        </w:rPr>
        <w:t xml:space="preserve"> u </w:t>
      </w:r>
      <w:proofErr w:type="spellStart"/>
      <w:r w:rsidRPr="007076F7">
        <w:rPr>
          <w:rFonts w:ascii="Times New Roman" w:eastAsia="TimesNewRoman" w:hAnsi="Times New Roman" w:cs="Times New Roman"/>
          <w:lang w:val="sr-Latn-ME"/>
        </w:rPr>
        <w:t>poređnju</w:t>
      </w:r>
      <w:proofErr w:type="spellEnd"/>
      <w:r w:rsidRPr="007076F7">
        <w:rPr>
          <w:rFonts w:ascii="Times New Roman" w:eastAsia="TimesNewRoman" w:hAnsi="Times New Roman" w:cs="Times New Roman"/>
          <w:lang w:val="sr-Latn-ME"/>
        </w:rPr>
        <w:t xml:space="preserve"> sa mladim ispitanicima nije klinički značajan.</w:t>
      </w:r>
    </w:p>
    <w:p w14:paraId="5542E6E0" w14:textId="77777777" w:rsidR="002E7166" w:rsidRPr="007076F7" w:rsidRDefault="002E7166">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542E6E1" w14:textId="77777777" w:rsidR="002E7166" w:rsidRPr="007076F7" w:rsidRDefault="002E7166">
      <w:pPr>
        <w:widowControl w:val="0"/>
        <w:numPr>
          <w:ilvl w:val="12"/>
          <w:numId w:val="0"/>
        </w:numPr>
        <w:tabs>
          <w:tab w:val="left" w:pos="284"/>
          <w:tab w:val="left" w:pos="567"/>
        </w:tabs>
        <w:spacing w:after="0" w:line="240" w:lineRule="auto"/>
        <w:jc w:val="both"/>
        <w:rPr>
          <w:rFonts w:ascii="Times New Roman" w:eastAsia="Times New Roman" w:hAnsi="Times New Roman" w:cs="Times New Roman"/>
          <w:iCs/>
          <w:u w:val="single"/>
          <w:lang w:val="sr-Latn-ME"/>
        </w:rPr>
      </w:pPr>
      <w:r w:rsidRPr="007076F7">
        <w:rPr>
          <w:rFonts w:ascii="Times New Roman" w:eastAsia="Times New Roman" w:hAnsi="Times New Roman" w:cs="Times New Roman"/>
          <w:iCs/>
          <w:u w:val="single"/>
          <w:lang w:val="sr-Latn-ME"/>
        </w:rPr>
        <w:t>Pedijatrijska populacija</w:t>
      </w:r>
    </w:p>
    <w:p w14:paraId="5542E6E2"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Nakon primjene jedne oralne doze </w:t>
      </w:r>
      <w:proofErr w:type="spellStart"/>
      <w:r w:rsidRPr="007076F7">
        <w:rPr>
          <w:rFonts w:ascii="Times New Roman" w:eastAsia="Calibri" w:hAnsi="Times New Roman" w:cs="Times New Roman"/>
          <w:lang w:val="sr-Latn-ME"/>
        </w:rPr>
        <w:t>pantoprazola</w:t>
      </w:r>
      <w:proofErr w:type="spellEnd"/>
      <w:r w:rsidRPr="007076F7">
        <w:rPr>
          <w:rFonts w:ascii="Times New Roman" w:eastAsia="Calibri" w:hAnsi="Times New Roman" w:cs="Times New Roman"/>
          <w:lang w:val="sr-Latn-ME"/>
        </w:rPr>
        <w:t xml:space="preserve"> od 20 mg ili 40 mg kod djece uzrasta od 5 do 16 godina, </w:t>
      </w:r>
      <w:r w:rsidRPr="007076F7">
        <w:rPr>
          <w:rFonts w:ascii="Times New Roman" w:eastAsia="Times New Roman" w:hAnsi="Times New Roman" w:cs="Times New Roman"/>
          <w:lang w:val="sr-Latn-ME"/>
        </w:rPr>
        <w:t>površina ispod krive</w:t>
      </w:r>
      <w:r w:rsidRPr="007076F7">
        <w:rPr>
          <w:rFonts w:ascii="Times New Roman" w:eastAsia="Calibri" w:hAnsi="Times New Roman" w:cs="Times New Roman"/>
          <w:lang w:val="sr-Latn-ME"/>
        </w:rPr>
        <w:t xml:space="preserve"> PIK i </w:t>
      </w:r>
      <w:proofErr w:type="spellStart"/>
      <w:r w:rsidRPr="007076F7">
        <w:rPr>
          <w:rFonts w:ascii="Times New Roman" w:eastAsia="Calibri" w:hAnsi="Times New Roman" w:cs="Times New Roman"/>
          <w:lang w:val="sr-Latn-ME"/>
        </w:rPr>
        <w:t>C</w:t>
      </w:r>
      <w:r w:rsidRPr="007076F7">
        <w:rPr>
          <w:rFonts w:ascii="Times New Roman" w:eastAsia="Calibri" w:hAnsi="Times New Roman" w:cs="Times New Roman"/>
          <w:vertAlign w:val="subscript"/>
          <w:lang w:val="sr-Latn-ME"/>
        </w:rPr>
        <w:t>max</w:t>
      </w:r>
      <w:proofErr w:type="spellEnd"/>
      <w:r w:rsidRPr="007076F7">
        <w:rPr>
          <w:rFonts w:ascii="Times New Roman" w:eastAsia="Calibri" w:hAnsi="Times New Roman" w:cs="Times New Roman"/>
          <w:lang w:val="sr-Latn-ME"/>
        </w:rPr>
        <w:t xml:space="preserve"> su bili u opsegu odgovarajućih vrijednosti kod odraslih.</w:t>
      </w:r>
    </w:p>
    <w:p w14:paraId="5542E6E3"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
    <w:p w14:paraId="5542E6E4"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Nakon primjene jedne </w:t>
      </w:r>
      <w:proofErr w:type="spellStart"/>
      <w:r w:rsidRPr="007076F7">
        <w:rPr>
          <w:rFonts w:ascii="Times New Roman" w:eastAsia="Calibri" w:hAnsi="Times New Roman" w:cs="Times New Roman"/>
          <w:lang w:val="sr-Latn-ME"/>
        </w:rPr>
        <w:t>intravenske</w:t>
      </w:r>
      <w:proofErr w:type="spellEnd"/>
      <w:r w:rsidRPr="007076F7">
        <w:rPr>
          <w:rFonts w:ascii="Times New Roman" w:eastAsia="Calibri" w:hAnsi="Times New Roman" w:cs="Times New Roman"/>
          <w:lang w:val="sr-Latn-ME"/>
        </w:rPr>
        <w:t xml:space="preserve"> doze </w:t>
      </w:r>
      <w:proofErr w:type="spellStart"/>
      <w:r w:rsidRPr="007076F7">
        <w:rPr>
          <w:rFonts w:ascii="Times New Roman" w:eastAsia="Calibri" w:hAnsi="Times New Roman" w:cs="Times New Roman"/>
          <w:lang w:val="sr-Latn-ME"/>
        </w:rPr>
        <w:t>pantoprazola</w:t>
      </w:r>
      <w:proofErr w:type="spellEnd"/>
      <w:r w:rsidRPr="007076F7">
        <w:rPr>
          <w:rFonts w:ascii="Times New Roman" w:eastAsia="Calibri" w:hAnsi="Times New Roman" w:cs="Times New Roman"/>
          <w:lang w:val="sr-Latn-ME"/>
        </w:rPr>
        <w:t xml:space="preserve"> od 0,8 ili 1,6 mg/kg kod djece uzrasta od 2 do 16 godina nije bilo značajne povezanosti između </w:t>
      </w:r>
      <w:proofErr w:type="spellStart"/>
      <w:r w:rsidRPr="007076F7">
        <w:rPr>
          <w:rFonts w:ascii="Times New Roman" w:eastAsia="Calibri" w:hAnsi="Times New Roman" w:cs="Times New Roman"/>
          <w:lang w:val="sr-Latn-ME"/>
        </w:rPr>
        <w:t>klirensa</w:t>
      </w:r>
      <w:proofErr w:type="spellEnd"/>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pantoprazola</w:t>
      </w:r>
      <w:proofErr w:type="spellEnd"/>
      <w:r w:rsidRPr="007076F7">
        <w:rPr>
          <w:rFonts w:ascii="Times New Roman" w:eastAsia="Calibri" w:hAnsi="Times New Roman" w:cs="Times New Roman"/>
          <w:lang w:val="sr-Latn-ME"/>
        </w:rPr>
        <w:t xml:space="preserve"> i uzrasta ili tjelesne mase. Vrijednost PIK i volumen distribucije bili su u skladu sa podacima dobijenim kod odraslih osoba.</w:t>
      </w:r>
    </w:p>
    <w:p w14:paraId="1CF0A30F" w14:textId="77777777" w:rsidR="00EB5DE7" w:rsidRPr="007076F7" w:rsidRDefault="00EB5DE7">
      <w:pPr>
        <w:tabs>
          <w:tab w:val="left" w:pos="284"/>
        </w:tabs>
        <w:spacing w:after="0" w:line="240" w:lineRule="auto"/>
        <w:jc w:val="both"/>
        <w:rPr>
          <w:rFonts w:ascii="Times New Roman" w:eastAsia="Times New Roman" w:hAnsi="Times New Roman" w:cs="Times New Roman"/>
          <w:b/>
          <w:bCs/>
          <w:lang w:val="sr-Latn-ME"/>
        </w:rPr>
      </w:pPr>
    </w:p>
    <w:p w14:paraId="5542E6E5" w14:textId="3875DEC9" w:rsidR="002E7166" w:rsidRPr="007076F7" w:rsidRDefault="002E7166">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 xml:space="preserve">5.3. </w:t>
      </w:r>
      <w:proofErr w:type="spellStart"/>
      <w:r w:rsidRPr="007076F7">
        <w:rPr>
          <w:rFonts w:ascii="Times New Roman" w:eastAsia="Times New Roman" w:hAnsi="Times New Roman" w:cs="Times New Roman"/>
          <w:b/>
          <w:bCs/>
          <w:lang w:val="sr-Latn-ME"/>
        </w:rPr>
        <w:t>Pretklinički</w:t>
      </w:r>
      <w:proofErr w:type="spellEnd"/>
      <w:r w:rsidRPr="007076F7">
        <w:rPr>
          <w:rFonts w:ascii="Times New Roman" w:eastAsia="Times New Roman" w:hAnsi="Times New Roman" w:cs="Times New Roman"/>
          <w:b/>
          <w:bCs/>
          <w:lang w:val="sr-Latn-ME"/>
        </w:rPr>
        <w:t xml:space="preserve"> podaci o bezbjednosti</w:t>
      </w:r>
    </w:p>
    <w:p w14:paraId="5542E6E6"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6E8" w14:textId="7D26A948"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roofErr w:type="spellStart"/>
      <w:r w:rsidRPr="007076F7">
        <w:rPr>
          <w:rFonts w:ascii="Times New Roman" w:eastAsia="Calibri" w:hAnsi="Times New Roman" w:cs="Times New Roman"/>
          <w:lang w:val="sr-Latn-ME"/>
        </w:rPr>
        <w:t>Pretklinički</w:t>
      </w:r>
      <w:proofErr w:type="spellEnd"/>
      <w:r w:rsidRPr="007076F7">
        <w:rPr>
          <w:rFonts w:ascii="Times New Roman" w:eastAsia="Calibri" w:hAnsi="Times New Roman" w:cs="Times New Roman"/>
          <w:lang w:val="sr-Latn-ME"/>
        </w:rPr>
        <w:t xml:space="preserve"> podaci bazirani na konvencionalnim studijama o </w:t>
      </w:r>
      <w:proofErr w:type="spellStart"/>
      <w:r w:rsidR="00EB5DE7" w:rsidRPr="007076F7">
        <w:rPr>
          <w:rFonts w:ascii="Times New Roman" w:eastAsia="Calibri" w:hAnsi="Times New Roman" w:cs="Times New Roman"/>
          <w:lang w:val="sr-Latn-CS"/>
        </w:rPr>
        <w:t>bezbjednosti</w:t>
      </w:r>
      <w:proofErr w:type="spellEnd"/>
      <w:r w:rsidR="00EB5DE7" w:rsidRPr="007076F7">
        <w:rPr>
          <w:rFonts w:ascii="Times New Roman" w:eastAsia="Calibri" w:hAnsi="Times New Roman" w:cs="Times New Roman"/>
          <w:lang w:val="sr-Latn-CS"/>
        </w:rPr>
        <w:t xml:space="preserve"> </w:t>
      </w:r>
      <w:proofErr w:type="spellStart"/>
      <w:r w:rsidR="00EB5DE7" w:rsidRPr="007076F7">
        <w:rPr>
          <w:rFonts w:ascii="Times New Roman" w:eastAsia="Calibri" w:hAnsi="Times New Roman" w:cs="Times New Roman"/>
          <w:lang w:val="sr-Latn-CS"/>
        </w:rPr>
        <w:t>lijeka</w:t>
      </w:r>
      <w:proofErr w:type="spellEnd"/>
      <w:r w:rsidRPr="007076F7">
        <w:rPr>
          <w:rFonts w:ascii="Times New Roman" w:eastAsia="Calibri" w:hAnsi="Times New Roman" w:cs="Times New Roman"/>
          <w:lang w:val="sr-Latn-ME"/>
        </w:rPr>
        <w:t xml:space="preserve">, toksičnosti ponavljanih doza i </w:t>
      </w:r>
      <w:proofErr w:type="spellStart"/>
      <w:r w:rsidRPr="007076F7">
        <w:rPr>
          <w:rFonts w:ascii="Times New Roman" w:eastAsia="Calibri" w:hAnsi="Times New Roman" w:cs="Times New Roman"/>
          <w:lang w:val="sr-Latn-ME"/>
        </w:rPr>
        <w:t>genotoksičnosti</w:t>
      </w:r>
      <w:proofErr w:type="spellEnd"/>
      <w:r w:rsidRPr="007076F7">
        <w:rPr>
          <w:rFonts w:ascii="Times New Roman" w:eastAsia="Calibri" w:hAnsi="Times New Roman" w:cs="Times New Roman"/>
          <w:lang w:val="sr-Latn-ME"/>
        </w:rPr>
        <w:t xml:space="preserve"> ne ukazuju na posebne</w:t>
      </w:r>
      <w:r w:rsidR="00EB5DE7" w:rsidRPr="007076F7">
        <w:rPr>
          <w:rFonts w:ascii="Times New Roman" w:hAnsi="Times New Roman" w:cs="Times New Roman"/>
          <w:lang w:val="sr-Latn-CS"/>
        </w:rPr>
        <w:t xml:space="preserve"> </w:t>
      </w:r>
      <w:r w:rsidR="00EB5DE7" w:rsidRPr="007076F7">
        <w:rPr>
          <w:rFonts w:ascii="Times New Roman" w:eastAsia="Calibri" w:hAnsi="Times New Roman" w:cs="Times New Roman"/>
          <w:lang w:val="sr-Latn-CS"/>
        </w:rPr>
        <w:t xml:space="preserve">štetne efekte </w:t>
      </w:r>
      <w:proofErr w:type="spellStart"/>
      <w:r w:rsidR="00EB5DE7" w:rsidRPr="007076F7">
        <w:rPr>
          <w:rFonts w:ascii="Times New Roman" w:eastAsia="Calibri" w:hAnsi="Times New Roman" w:cs="Times New Roman"/>
          <w:lang w:val="sr-Latn-CS"/>
        </w:rPr>
        <w:t>lijeka</w:t>
      </w:r>
      <w:proofErr w:type="spellEnd"/>
      <w:r w:rsidR="00EB5DE7" w:rsidRPr="007076F7">
        <w:rPr>
          <w:rFonts w:ascii="Times New Roman" w:eastAsia="Calibri" w:hAnsi="Times New Roman" w:cs="Times New Roman"/>
          <w:lang w:val="sr-Latn-CS"/>
        </w:rPr>
        <w:t xml:space="preserve"> na ljude.</w:t>
      </w:r>
    </w:p>
    <w:p w14:paraId="5542E6E9" w14:textId="08504AC8"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U dvogodišnj</w:t>
      </w:r>
      <w:r w:rsidR="00EB5DE7" w:rsidRPr="007076F7">
        <w:rPr>
          <w:rFonts w:ascii="Times New Roman" w:eastAsia="Calibri" w:hAnsi="Times New Roman" w:cs="Times New Roman"/>
          <w:lang w:val="sr-Latn-ME"/>
        </w:rPr>
        <w:t>oj</w:t>
      </w:r>
      <w:r w:rsidRPr="007076F7">
        <w:rPr>
          <w:rFonts w:ascii="Times New Roman" w:eastAsia="Calibri" w:hAnsi="Times New Roman" w:cs="Times New Roman"/>
          <w:lang w:val="sr-Latn-ME"/>
        </w:rPr>
        <w:t xml:space="preserve"> studij</w:t>
      </w:r>
      <w:r w:rsidR="00EB5DE7" w:rsidRPr="007076F7">
        <w:rPr>
          <w:rFonts w:ascii="Times New Roman" w:eastAsia="Calibri" w:hAnsi="Times New Roman" w:cs="Times New Roman"/>
          <w:lang w:val="sr-Latn-ME"/>
        </w:rPr>
        <w:t>i</w:t>
      </w:r>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karcinogenosti</w:t>
      </w:r>
      <w:proofErr w:type="spellEnd"/>
      <w:r w:rsidRPr="007076F7">
        <w:rPr>
          <w:rFonts w:ascii="Times New Roman" w:eastAsia="Calibri" w:hAnsi="Times New Roman" w:cs="Times New Roman"/>
          <w:lang w:val="sr-Latn-ME"/>
        </w:rPr>
        <w:t xml:space="preserve"> kod pacova, pronađen</w:t>
      </w:r>
      <w:r w:rsidR="00EB5DE7" w:rsidRPr="007076F7">
        <w:rPr>
          <w:rFonts w:ascii="Times New Roman" w:eastAsia="Calibri" w:hAnsi="Times New Roman" w:cs="Times New Roman"/>
          <w:lang w:val="sr-Latn-ME"/>
        </w:rPr>
        <w:t>a</w:t>
      </w:r>
      <w:r w:rsidRPr="007076F7">
        <w:rPr>
          <w:rFonts w:ascii="Times New Roman" w:eastAsia="Calibri" w:hAnsi="Times New Roman" w:cs="Times New Roman"/>
          <w:lang w:val="sr-Latn-ME"/>
        </w:rPr>
        <w:t xml:space="preserve"> </w:t>
      </w:r>
      <w:r w:rsidR="00EB5DE7" w:rsidRPr="007076F7">
        <w:rPr>
          <w:rFonts w:ascii="Times New Roman" w:eastAsia="Calibri" w:hAnsi="Times New Roman" w:cs="Times New Roman"/>
          <w:lang w:val="sr-Latn-ME"/>
        </w:rPr>
        <w:t>je</w:t>
      </w:r>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neuroendokrin</w:t>
      </w:r>
      <w:r w:rsidR="00EB5DE7" w:rsidRPr="007076F7">
        <w:rPr>
          <w:rFonts w:ascii="Times New Roman" w:eastAsia="Calibri" w:hAnsi="Times New Roman" w:cs="Times New Roman"/>
          <w:lang w:val="sr-Latn-ME"/>
        </w:rPr>
        <w:t>a</w:t>
      </w:r>
      <w:proofErr w:type="spellEnd"/>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neoplazm</w:t>
      </w:r>
      <w:r w:rsidR="00EB5DE7" w:rsidRPr="007076F7">
        <w:rPr>
          <w:rFonts w:ascii="Times New Roman" w:eastAsia="Calibri" w:hAnsi="Times New Roman" w:cs="Times New Roman"/>
          <w:lang w:val="sr-Latn-ME"/>
        </w:rPr>
        <w:t>a</w:t>
      </w:r>
      <w:proofErr w:type="spellEnd"/>
      <w:r w:rsidRPr="007076F7">
        <w:rPr>
          <w:rFonts w:ascii="Times New Roman" w:eastAsia="Calibri" w:hAnsi="Times New Roman" w:cs="Times New Roman"/>
          <w:lang w:val="sr-Latn-ME"/>
        </w:rPr>
        <w:t xml:space="preserve">. Pored toga, u </w:t>
      </w:r>
      <w:proofErr w:type="spellStart"/>
      <w:r w:rsidRPr="007076F7">
        <w:rPr>
          <w:rFonts w:ascii="Times New Roman" w:eastAsia="Calibri" w:hAnsi="Times New Roman" w:cs="Times New Roman"/>
          <w:lang w:val="sr-Latn-ME"/>
        </w:rPr>
        <w:t>predželucu</w:t>
      </w:r>
      <w:proofErr w:type="spellEnd"/>
      <w:r w:rsidRPr="007076F7">
        <w:rPr>
          <w:rFonts w:ascii="Times New Roman" w:eastAsia="Calibri" w:hAnsi="Times New Roman" w:cs="Times New Roman"/>
          <w:lang w:val="sr-Latn-ME"/>
        </w:rPr>
        <w:t xml:space="preserve"> pacova </w:t>
      </w:r>
      <w:r w:rsidR="00EB5DE7" w:rsidRPr="007076F7">
        <w:rPr>
          <w:rFonts w:ascii="Times New Roman" w:eastAsia="Calibri" w:hAnsi="Times New Roman" w:cs="Times New Roman"/>
          <w:lang w:val="sr-Latn-ME"/>
        </w:rPr>
        <w:t xml:space="preserve">utvrđen je </w:t>
      </w:r>
      <w:proofErr w:type="spellStart"/>
      <w:r w:rsidRPr="007076F7">
        <w:rPr>
          <w:rFonts w:ascii="Times New Roman" w:eastAsia="Calibri" w:hAnsi="Times New Roman" w:cs="Times New Roman"/>
          <w:lang w:val="sr-Latn-ME"/>
        </w:rPr>
        <w:t>skvamocelularni</w:t>
      </w:r>
      <w:proofErr w:type="spellEnd"/>
      <w:r w:rsidRPr="007076F7">
        <w:rPr>
          <w:rFonts w:ascii="Times New Roman" w:eastAsia="Calibri" w:hAnsi="Times New Roman" w:cs="Times New Roman"/>
          <w:lang w:val="sr-Latn-ME"/>
        </w:rPr>
        <w:t xml:space="preserve"> papilom. Pažljivo je ispitan mehanizam kojim supstituisani </w:t>
      </w:r>
      <w:proofErr w:type="spellStart"/>
      <w:r w:rsidRPr="007076F7">
        <w:rPr>
          <w:rFonts w:ascii="Times New Roman" w:eastAsia="Calibri" w:hAnsi="Times New Roman" w:cs="Times New Roman"/>
          <w:lang w:val="sr-Latn-ME"/>
        </w:rPr>
        <w:t>benzimidazoli</w:t>
      </w:r>
      <w:proofErr w:type="spellEnd"/>
      <w:r w:rsidRPr="007076F7">
        <w:rPr>
          <w:rFonts w:ascii="Times New Roman" w:eastAsia="Calibri" w:hAnsi="Times New Roman" w:cs="Times New Roman"/>
          <w:lang w:val="sr-Latn-ME"/>
        </w:rPr>
        <w:t xml:space="preserve"> dovode do stvaranja </w:t>
      </w:r>
      <w:proofErr w:type="spellStart"/>
      <w:r w:rsidRPr="007076F7">
        <w:rPr>
          <w:rFonts w:ascii="Times New Roman" w:eastAsia="Calibri" w:hAnsi="Times New Roman" w:cs="Times New Roman"/>
          <w:lang w:val="sr-Latn-ME"/>
        </w:rPr>
        <w:t>gastričnih</w:t>
      </w:r>
      <w:proofErr w:type="spellEnd"/>
      <w:r w:rsidRPr="007076F7">
        <w:rPr>
          <w:rFonts w:ascii="Times New Roman" w:eastAsia="Calibri" w:hAnsi="Times New Roman" w:cs="Times New Roman"/>
          <w:lang w:val="sr-Latn-ME"/>
        </w:rPr>
        <w:t xml:space="preserve"> </w:t>
      </w:r>
      <w:proofErr w:type="spellStart"/>
      <w:r w:rsidRPr="007076F7">
        <w:rPr>
          <w:rFonts w:ascii="Times New Roman" w:eastAsia="Calibri" w:hAnsi="Times New Roman" w:cs="Times New Roman"/>
          <w:lang w:val="sr-Latn-ME"/>
        </w:rPr>
        <w:t>karcinoida</w:t>
      </w:r>
      <w:proofErr w:type="spellEnd"/>
      <w:r w:rsidRPr="007076F7">
        <w:rPr>
          <w:rFonts w:ascii="Times New Roman" w:eastAsia="Calibri" w:hAnsi="Times New Roman" w:cs="Times New Roman"/>
          <w:lang w:val="sr-Latn-ME"/>
        </w:rPr>
        <w:t xml:space="preserve">, i zaključeno je da je to sekundarna reakcija na izraziti porast serumskog </w:t>
      </w:r>
      <w:proofErr w:type="spellStart"/>
      <w:r w:rsidRPr="007076F7">
        <w:rPr>
          <w:rFonts w:ascii="Times New Roman" w:eastAsia="Calibri" w:hAnsi="Times New Roman" w:cs="Times New Roman"/>
          <w:lang w:val="sr-Latn-ME"/>
        </w:rPr>
        <w:t>gastrina</w:t>
      </w:r>
      <w:proofErr w:type="spellEnd"/>
      <w:r w:rsidRPr="007076F7">
        <w:rPr>
          <w:rFonts w:ascii="Times New Roman" w:eastAsia="Calibri" w:hAnsi="Times New Roman" w:cs="Times New Roman"/>
          <w:lang w:val="sr-Latn-ME"/>
        </w:rPr>
        <w:t xml:space="preserve"> koji se javlja kod pacova tokom hronične terapije. U dvogodišnjim studijama kod pacova i ženki miševa je uočen porast broja tumora jetre, što se objašnjava visokim stepenom metabolizma </w:t>
      </w:r>
      <w:proofErr w:type="spellStart"/>
      <w:r w:rsidRPr="007076F7">
        <w:rPr>
          <w:rFonts w:ascii="Times New Roman" w:eastAsia="Calibri" w:hAnsi="Times New Roman" w:cs="Times New Roman"/>
          <w:lang w:val="sr-Latn-ME"/>
        </w:rPr>
        <w:t>pantoprazola</w:t>
      </w:r>
      <w:proofErr w:type="spellEnd"/>
      <w:r w:rsidRPr="007076F7">
        <w:rPr>
          <w:rFonts w:ascii="Times New Roman" w:eastAsia="Calibri" w:hAnsi="Times New Roman" w:cs="Times New Roman"/>
          <w:lang w:val="sr-Latn-ME"/>
        </w:rPr>
        <w:t xml:space="preserve"> u jetri.</w:t>
      </w:r>
    </w:p>
    <w:p w14:paraId="5542E6EA"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
    <w:p w14:paraId="5542E6EB" w14:textId="0B5190AF"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U grupi pacova koja je primala </w:t>
      </w:r>
      <w:r w:rsidR="00EB5DE7" w:rsidRPr="007076F7">
        <w:rPr>
          <w:rFonts w:ascii="Times New Roman" w:eastAsia="Calibri" w:hAnsi="Times New Roman" w:cs="Times New Roman"/>
          <w:lang w:val="sr-Latn-ME"/>
        </w:rPr>
        <w:t>visoke</w:t>
      </w:r>
      <w:r w:rsidRPr="007076F7">
        <w:rPr>
          <w:rFonts w:ascii="Times New Roman" w:eastAsia="Calibri" w:hAnsi="Times New Roman" w:cs="Times New Roman"/>
          <w:lang w:val="sr-Latn-ME"/>
        </w:rPr>
        <w:t xml:space="preserve"> doze (200 mg/kg), uočen je blagi porast </w:t>
      </w:r>
      <w:proofErr w:type="spellStart"/>
      <w:r w:rsidRPr="007076F7">
        <w:rPr>
          <w:rFonts w:ascii="Times New Roman" w:eastAsia="Calibri" w:hAnsi="Times New Roman" w:cs="Times New Roman"/>
          <w:lang w:val="sr-Latn-ME"/>
        </w:rPr>
        <w:t>neoplastičnih</w:t>
      </w:r>
      <w:proofErr w:type="spellEnd"/>
      <w:r w:rsidRPr="007076F7">
        <w:rPr>
          <w:rFonts w:ascii="Times New Roman" w:eastAsia="Calibri" w:hAnsi="Times New Roman" w:cs="Times New Roman"/>
          <w:lang w:val="sr-Latn-ME"/>
        </w:rPr>
        <w:t xml:space="preserve"> promjena </w:t>
      </w:r>
      <w:proofErr w:type="spellStart"/>
      <w:r w:rsidRPr="007076F7">
        <w:rPr>
          <w:rFonts w:ascii="Times New Roman" w:eastAsia="Calibri" w:hAnsi="Times New Roman" w:cs="Times New Roman"/>
          <w:lang w:val="sr-Latn-ME"/>
        </w:rPr>
        <w:t>tireoidne</w:t>
      </w:r>
      <w:proofErr w:type="spellEnd"/>
      <w:r w:rsidRPr="007076F7">
        <w:rPr>
          <w:rFonts w:ascii="Times New Roman" w:eastAsia="Calibri" w:hAnsi="Times New Roman" w:cs="Times New Roman"/>
          <w:lang w:val="sr-Latn-ME"/>
        </w:rPr>
        <w:t xml:space="preserve"> žlijezde. Pojava ovih </w:t>
      </w:r>
      <w:proofErr w:type="spellStart"/>
      <w:r w:rsidRPr="007076F7">
        <w:rPr>
          <w:rFonts w:ascii="Times New Roman" w:eastAsia="Calibri" w:hAnsi="Times New Roman" w:cs="Times New Roman"/>
          <w:lang w:val="sr-Latn-ME"/>
        </w:rPr>
        <w:t>neoplazmi</w:t>
      </w:r>
      <w:proofErr w:type="spellEnd"/>
      <w:r w:rsidRPr="007076F7">
        <w:rPr>
          <w:rFonts w:ascii="Times New Roman" w:eastAsia="Calibri" w:hAnsi="Times New Roman" w:cs="Times New Roman"/>
          <w:lang w:val="sr-Latn-ME"/>
        </w:rPr>
        <w:t xml:space="preserve"> udružena je sa </w:t>
      </w:r>
      <w:proofErr w:type="spellStart"/>
      <w:r w:rsidRPr="007076F7">
        <w:rPr>
          <w:rFonts w:ascii="Times New Roman" w:eastAsia="Calibri" w:hAnsi="Times New Roman" w:cs="Times New Roman"/>
          <w:lang w:val="sr-Latn-ME"/>
        </w:rPr>
        <w:t>pantoprazol</w:t>
      </w:r>
      <w:proofErr w:type="spellEnd"/>
      <w:r w:rsidRPr="007076F7">
        <w:rPr>
          <w:rFonts w:ascii="Times New Roman" w:eastAsia="Calibri" w:hAnsi="Times New Roman" w:cs="Times New Roman"/>
          <w:lang w:val="sr-Latn-ME"/>
        </w:rPr>
        <w:t xml:space="preserve">-indukovanim promjenama u </w:t>
      </w:r>
      <w:r w:rsidRPr="007076F7">
        <w:rPr>
          <w:rFonts w:ascii="Times New Roman" w:eastAsia="Calibri" w:hAnsi="Times New Roman" w:cs="Times New Roman"/>
          <w:lang w:val="sr-Latn-ME"/>
        </w:rPr>
        <w:lastRenderedPageBreak/>
        <w:t xml:space="preserve">razgradnji </w:t>
      </w:r>
      <w:proofErr w:type="spellStart"/>
      <w:r w:rsidRPr="007076F7">
        <w:rPr>
          <w:rFonts w:ascii="Times New Roman" w:eastAsia="Calibri" w:hAnsi="Times New Roman" w:cs="Times New Roman"/>
          <w:lang w:val="sr-Latn-ME"/>
        </w:rPr>
        <w:t>tiroksina</w:t>
      </w:r>
      <w:proofErr w:type="spellEnd"/>
      <w:r w:rsidRPr="007076F7">
        <w:rPr>
          <w:rFonts w:ascii="Times New Roman" w:eastAsia="Calibri" w:hAnsi="Times New Roman" w:cs="Times New Roman"/>
          <w:lang w:val="sr-Latn-ME"/>
        </w:rPr>
        <w:t xml:space="preserve"> u jetri pacova. S obzirom na to da je terapijska doza za </w:t>
      </w:r>
      <w:proofErr w:type="spellStart"/>
      <w:r w:rsidRPr="007076F7">
        <w:rPr>
          <w:rFonts w:ascii="Times New Roman" w:eastAsia="Calibri" w:hAnsi="Times New Roman" w:cs="Times New Roman"/>
          <w:lang w:val="sr-Latn-ME"/>
        </w:rPr>
        <w:t>ljude</w:t>
      </w:r>
      <w:proofErr w:type="spellEnd"/>
      <w:r w:rsidRPr="007076F7">
        <w:rPr>
          <w:rFonts w:ascii="Times New Roman" w:eastAsia="Calibri" w:hAnsi="Times New Roman" w:cs="Times New Roman"/>
          <w:lang w:val="sr-Latn-ME"/>
        </w:rPr>
        <w:t xml:space="preserve"> niska, ne očekuju se neželjena dejstva na </w:t>
      </w:r>
      <w:proofErr w:type="spellStart"/>
      <w:r w:rsidRPr="007076F7">
        <w:rPr>
          <w:rFonts w:ascii="Times New Roman" w:eastAsia="Calibri" w:hAnsi="Times New Roman" w:cs="Times New Roman"/>
          <w:lang w:val="sr-Latn-ME"/>
        </w:rPr>
        <w:t>tireoidnoj</w:t>
      </w:r>
      <w:proofErr w:type="spellEnd"/>
      <w:r w:rsidRPr="007076F7">
        <w:rPr>
          <w:rFonts w:ascii="Times New Roman" w:eastAsia="Calibri" w:hAnsi="Times New Roman" w:cs="Times New Roman"/>
          <w:lang w:val="sr-Latn-ME"/>
        </w:rPr>
        <w:t xml:space="preserve"> žlijezdi.</w:t>
      </w:r>
    </w:p>
    <w:p w14:paraId="5542E6EC"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
    <w:p w14:paraId="5542E6ED" w14:textId="59786264"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U peri-</w:t>
      </w:r>
      <w:proofErr w:type="spellStart"/>
      <w:r w:rsidRPr="007076F7">
        <w:rPr>
          <w:rFonts w:ascii="Times New Roman" w:eastAsia="Calibri" w:hAnsi="Times New Roman" w:cs="Times New Roman"/>
          <w:lang w:val="sr-Latn-ME"/>
        </w:rPr>
        <w:t>postnatalnom</w:t>
      </w:r>
      <w:proofErr w:type="spellEnd"/>
      <w:r w:rsidRPr="007076F7">
        <w:rPr>
          <w:rFonts w:ascii="Times New Roman" w:eastAsia="Calibri" w:hAnsi="Times New Roman" w:cs="Times New Roman"/>
          <w:lang w:val="sr-Latn-ME"/>
        </w:rPr>
        <w:t xml:space="preserve"> reproduktivnom ispitivanju kod pacova, </w:t>
      </w:r>
      <w:r w:rsidR="004F1200" w:rsidRPr="007076F7">
        <w:rPr>
          <w:rFonts w:ascii="Times New Roman" w:eastAsia="Calibri" w:hAnsi="Times New Roman" w:cs="Times New Roman"/>
          <w:lang w:val="sr-Latn-ME"/>
        </w:rPr>
        <w:t xml:space="preserve">dizajniranom sa ciljem  procjene </w:t>
      </w:r>
      <w:r w:rsidRPr="007076F7">
        <w:rPr>
          <w:rFonts w:ascii="Times New Roman" w:eastAsia="Calibri" w:hAnsi="Times New Roman" w:cs="Times New Roman"/>
          <w:lang w:val="sr-Latn-ME"/>
        </w:rPr>
        <w:t>razvoja kostiju, zna</w:t>
      </w:r>
      <w:r w:rsidR="004F1200" w:rsidRPr="007076F7">
        <w:rPr>
          <w:rFonts w:ascii="Times New Roman" w:eastAsia="Calibri" w:hAnsi="Times New Roman" w:cs="Times New Roman"/>
          <w:lang w:val="sr-Latn-ME"/>
        </w:rPr>
        <w:t>ci</w:t>
      </w:r>
      <w:r w:rsidRPr="007076F7">
        <w:rPr>
          <w:rFonts w:ascii="Times New Roman" w:eastAsia="Calibri" w:hAnsi="Times New Roman" w:cs="Times New Roman"/>
          <w:lang w:val="sr-Latn-ME"/>
        </w:rPr>
        <w:t xml:space="preserve"> toksičnosti kod potomstva (smrtnost, snižena srednja vrijednost tjelesne </w:t>
      </w:r>
      <w:r w:rsidR="004F1200" w:rsidRPr="007076F7">
        <w:rPr>
          <w:rFonts w:ascii="Times New Roman" w:eastAsia="Calibri" w:hAnsi="Times New Roman" w:cs="Times New Roman"/>
          <w:lang w:val="sr-Latn-ME"/>
        </w:rPr>
        <w:t>mase</w:t>
      </w:r>
      <w:r w:rsidRPr="007076F7">
        <w:rPr>
          <w:rFonts w:ascii="Times New Roman" w:eastAsia="Calibri" w:hAnsi="Times New Roman" w:cs="Times New Roman"/>
          <w:lang w:val="sr-Latn-ME"/>
        </w:rPr>
        <w:t>, snižena srednja vrijednost pora</w:t>
      </w:r>
      <w:r w:rsidR="004F1200" w:rsidRPr="007076F7">
        <w:rPr>
          <w:rFonts w:ascii="Times New Roman" w:eastAsia="Calibri" w:hAnsi="Times New Roman" w:cs="Times New Roman"/>
          <w:lang w:val="sr-Latn-ME"/>
        </w:rPr>
        <w:t>s</w:t>
      </w:r>
      <w:r w:rsidRPr="007076F7">
        <w:rPr>
          <w:rFonts w:ascii="Times New Roman" w:eastAsia="Calibri" w:hAnsi="Times New Roman" w:cs="Times New Roman"/>
          <w:lang w:val="sr-Latn-ME"/>
        </w:rPr>
        <w:t xml:space="preserve">ta tjelesne </w:t>
      </w:r>
      <w:r w:rsidR="004F1200" w:rsidRPr="007076F7">
        <w:rPr>
          <w:rFonts w:ascii="Times New Roman" w:eastAsia="Calibri" w:hAnsi="Times New Roman" w:cs="Times New Roman"/>
          <w:lang w:val="sr-Latn-ME"/>
        </w:rPr>
        <w:t>mase</w:t>
      </w:r>
      <w:r w:rsidRPr="007076F7">
        <w:rPr>
          <w:rFonts w:ascii="Times New Roman" w:eastAsia="Calibri" w:hAnsi="Times New Roman" w:cs="Times New Roman"/>
          <w:lang w:val="sr-Latn-ME"/>
        </w:rPr>
        <w:t xml:space="preserve"> i smanjen rast kostiju) zabilježeni su pri izloženostima (</w:t>
      </w:r>
      <w:proofErr w:type="spellStart"/>
      <w:r w:rsidRPr="007076F7">
        <w:rPr>
          <w:rFonts w:ascii="Times New Roman" w:eastAsia="Calibri" w:hAnsi="Times New Roman" w:cs="Times New Roman"/>
          <w:lang w:val="sr-Latn-ME"/>
        </w:rPr>
        <w:t>C</w:t>
      </w:r>
      <w:r w:rsidRPr="007076F7">
        <w:rPr>
          <w:rFonts w:ascii="Times New Roman" w:eastAsia="Calibri" w:hAnsi="Times New Roman" w:cs="Times New Roman"/>
          <w:vertAlign w:val="subscript"/>
          <w:lang w:val="sr-Latn-ME"/>
        </w:rPr>
        <w:t>max</w:t>
      </w:r>
      <w:proofErr w:type="spellEnd"/>
      <w:r w:rsidRPr="007076F7">
        <w:rPr>
          <w:rFonts w:ascii="Times New Roman" w:eastAsia="Calibri" w:hAnsi="Times New Roman" w:cs="Times New Roman"/>
          <w:lang w:val="sr-Latn-ME"/>
        </w:rPr>
        <w:t xml:space="preserve">) približno </w:t>
      </w:r>
      <w:r w:rsidR="004F1200" w:rsidRPr="007076F7">
        <w:rPr>
          <w:rFonts w:ascii="Times New Roman" w:eastAsia="Calibri" w:hAnsi="Times New Roman" w:cs="Times New Roman"/>
          <w:lang w:val="sr-Latn-ME"/>
        </w:rPr>
        <w:t>dva puta</w:t>
      </w:r>
      <w:r w:rsidRPr="007076F7">
        <w:rPr>
          <w:rFonts w:ascii="Times New Roman" w:eastAsia="Calibri" w:hAnsi="Times New Roman" w:cs="Times New Roman"/>
          <w:lang w:val="sr-Latn-ME"/>
        </w:rPr>
        <w:t xml:space="preserve"> većim </w:t>
      </w:r>
      <w:r w:rsidR="004F1200" w:rsidRPr="007076F7">
        <w:rPr>
          <w:rFonts w:ascii="Times New Roman" w:eastAsia="Calibri" w:hAnsi="Times New Roman" w:cs="Times New Roman"/>
          <w:lang w:val="sr-Latn-ME"/>
        </w:rPr>
        <w:t>u odnosu na</w:t>
      </w:r>
      <w:r w:rsidRPr="007076F7">
        <w:rPr>
          <w:rFonts w:ascii="Times New Roman" w:eastAsia="Calibri" w:hAnsi="Times New Roman" w:cs="Times New Roman"/>
          <w:lang w:val="sr-Latn-ME"/>
        </w:rPr>
        <w:t xml:space="preserve"> kliničk</w:t>
      </w:r>
      <w:r w:rsidR="004F1200" w:rsidRPr="007076F7">
        <w:rPr>
          <w:rFonts w:ascii="Times New Roman" w:eastAsia="Calibri" w:hAnsi="Times New Roman" w:cs="Times New Roman"/>
          <w:lang w:val="sr-Latn-ME"/>
        </w:rPr>
        <w:t>u</w:t>
      </w:r>
      <w:r w:rsidRPr="007076F7">
        <w:rPr>
          <w:rFonts w:ascii="Times New Roman" w:eastAsia="Calibri" w:hAnsi="Times New Roman" w:cs="Times New Roman"/>
          <w:lang w:val="sr-Latn-ME"/>
        </w:rPr>
        <w:t xml:space="preserve"> izloženost kod </w:t>
      </w:r>
      <w:proofErr w:type="spellStart"/>
      <w:r w:rsidRPr="007076F7">
        <w:rPr>
          <w:rFonts w:ascii="Times New Roman" w:eastAsia="Calibri" w:hAnsi="Times New Roman" w:cs="Times New Roman"/>
          <w:lang w:val="sr-Latn-ME"/>
        </w:rPr>
        <w:t>ljudi</w:t>
      </w:r>
      <w:proofErr w:type="spellEnd"/>
      <w:r w:rsidRPr="007076F7">
        <w:rPr>
          <w:rFonts w:ascii="Times New Roman" w:eastAsia="Calibri" w:hAnsi="Times New Roman" w:cs="Times New Roman"/>
          <w:lang w:val="sr-Latn-ME"/>
        </w:rPr>
        <w:t>. Do kraja faze oporavka, ko</w:t>
      </w:r>
      <w:r w:rsidR="004F1200" w:rsidRPr="007076F7">
        <w:rPr>
          <w:rFonts w:ascii="Times New Roman" w:eastAsia="Calibri" w:hAnsi="Times New Roman" w:cs="Times New Roman"/>
          <w:lang w:val="sr-Latn-ME"/>
        </w:rPr>
        <w:t>š</w:t>
      </w:r>
      <w:r w:rsidRPr="007076F7">
        <w:rPr>
          <w:rFonts w:ascii="Times New Roman" w:eastAsia="Calibri" w:hAnsi="Times New Roman" w:cs="Times New Roman"/>
          <w:lang w:val="sr-Latn-ME"/>
        </w:rPr>
        <w:t>t</w:t>
      </w:r>
      <w:r w:rsidR="004F1200" w:rsidRPr="007076F7">
        <w:rPr>
          <w:rFonts w:ascii="Times New Roman" w:eastAsia="Calibri" w:hAnsi="Times New Roman" w:cs="Times New Roman"/>
          <w:lang w:val="sr-Latn-ME"/>
        </w:rPr>
        <w:t>a</w:t>
      </w:r>
      <w:r w:rsidRPr="007076F7">
        <w:rPr>
          <w:rFonts w:ascii="Times New Roman" w:eastAsia="Calibri" w:hAnsi="Times New Roman" w:cs="Times New Roman"/>
          <w:lang w:val="sr-Latn-ME"/>
        </w:rPr>
        <w:t xml:space="preserve">ni parametri bili su slični u svim ispitivanim grupama, a tjelesna težina je tokom razdoblja oporavka bez primjene lijeka pokazivala </w:t>
      </w:r>
      <w:r w:rsidR="004F1200" w:rsidRPr="007076F7">
        <w:rPr>
          <w:rFonts w:ascii="Times New Roman" w:eastAsia="Calibri" w:hAnsi="Times New Roman" w:cs="Times New Roman"/>
          <w:lang w:val="sr-Latn-ME"/>
        </w:rPr>
        <w:t>tendenciju</w:t>
      </w:r>
      <w:r w:rsidRPr="007076F7">
        <w:rPr>
          <w:rFonts w:ascii="Times New Roman" w:eastAsia="Calibri" w:hAnsi="Times New Roman" w:cs="Times New Roman"/>
          <w:lang w:val="sr-Latn-ME"/>
        </w:rPr>
        <w:t xml:space="preserve"> ka </w:t>
      </w:r>
      <w:proofErr w:type="spellStart"/>
      <w:r w:rsidRPr="007076F7">
        <w:rPr>
          <w:rFonts w:ascii="Times New Roman" w:eastAsia="Calibri" w:hAnsi="Times New Roman" w:cs="Times New Roman"/>
          <w:lang w:val="sr-Latn-ME"/>
        </w:rPr>
        <w:t>reverzibilnosti</w:t>
      </w:r>
      <w:proofErr w:type="spellEnd"/>
      <w:r w:rsidRPr="007076F7">
        <w:rPr>
          <w:rFonts w:ascii="Times New Roman" w:eastAsia="Calibri" w:hAnsi="Times New Roman" w:cs="Times New Roman"/>
          <w:lang w:val="sr-Latn-ME"/>
        </w:rPr>
        <w:t>. Povećana smrtnost prijavljena je samo kod mladunaca pacova u razdoblju prije prestanka sisanja (u uzrastu do 21. dana), za koje je procijenjeno da odgovara životnom razdoblju djece uzrasta od 2 godine. Značaj ovog zapažanja za pedijatrijsku populaciju nije jasan. U prethodnom peri-</w:t>
      </w:r>
      <w:proofErr w:type="spellStart"/>
      <w:r w:rsidRPr="007076F7">
        <w:rPr>
          <w:rFonts w:ascii="Times New Roman" w:eastAsia="Calibri" w:hAnsi="Times New Roman" w:cs="Times New Roman"/>
          <w:lang w:val="sr-Latn-ME"/>
        </w:rPr>
        <w:t>postnatalnom</w:t>
      </w:r>
      <w:proofErr w:type="spellEnd"/>
      <w:r w:rsidRPr="007076F7">
        <w:rPr>
          <w:rFonts w:ascii="Times New Roman" w:eastAsia="Calibri" w:hAnsi="Times New Roman" w:cs="Times New Roman"/>
          <w:lang w:val="sr-Latn-ME"/>
        </w:rPr>
        <w:t xml:space="preserve"> ispitivanju kod pacova </w:t>
      </w:r>
      <w:r w:rsidR="004F1200" w:rsidRPr="007076F7">
        <w:rPr>
          <w:rFonts w:ascii="Times New Roman" w:eastAsia="Calibri" w:hAnsi="Times New Roman" w:cs="Times New Roman"/>
          <w:lang w:val="sr-Latn-ME"/>
        </w:rPr>
        <w:t>sa</w:t>
      </w:r>
      <w:r w:rsidRPr="007076F7">
        <w:rPr>
          <w:rFonts w:ascii="Times New Roman" w:eastAsia="Calibri" w:hAnsi="Times New Roman" w:cs="Times New Roman"/>
          <w:lang w:val="sr-Latn-ME"/>
        </w:rPr>
        <w:t xml:space="preserve"> nešto nižim dozama nisu zabilježeni štetni efekti pri </w:t>
      </w:r>
      <w:r w:rsidR="004F1200" w:rsidRPr="007076F7">
        <w:rPr>
          <w:rFonts w:ascii="Times New Roman" w:eastAsia="Calibri" w:hAnsi="Times New Roman" w:cs="Times New Roman"/>
          <w:lang w:val="sr-Latn-ME"/>
        </w:rPr>
        <w:t xml:space="preserve">dozi od </w:t>
      </w:r>
      <w:r w:rsidRPr="007076F7">
        <w:rPr>
          <w:rFonts w:ascii="Times New Roman" w:eastAsia="Calibri" w:hAnsi="Times New Roman" w:cs="Times New Roman"/>
          <w:lang w:val="sr-Latn-ME"/>
        </w:rPr>
        <w:t>3 mg/kg, u poređenju sa niskom dozom od 5 mg/kg u ovom ispitivanju.</w:t>
      </w:r>
    </w:p>
    <w:p w14:paraId="5542E6EE"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
    <w:p w14:paraId="5542E6EF"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Istraživanjima nisu otkriveni dokazi o oštećenju fertiliteta ili </w:t>
      </w:r>
      <w:proofErr w:type="spellStart"/>
      <w:r w:rsidRPr="007076F7">
        <w:rPr>
          <w:rFonts w:ascii="Times New Roman" w:eastAsia="Calibri" w:hAnsi="Times New Roman" w:cs="Times New Roman"/>
          <w:lang w:val="sr-Latn-ME"/>
        </w:rPr>
        <w:t>teratogenim</w:t>
      </w:r>
      <w:proofErr w:type="spellEnd"/>
      <w:r w:rsidRPr="007076F7">
        <w:rPr>
          <w:rFonts w:ascii="Times New Roman" w:eastAsia="Calibri" w:hAnsi="Times New Roman" w:cs="Times New Roman"/>
          <w:lang w:val="sr-Latn-ME"/>
        </w:rPr>
        <w:t xml:space="preserve"> efektima.</w:t>
      </w:r>
    </w:p>
    <w:p w14:paraId="5542E6F0"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p>
    <w:p w14:paraId="5542E6F1" w14:textId="77777777" w:rsidR="002E7166" w:rsidRPr="007076F7" w:rsidRDefault="002E7166">
      <w:pPr>
        <w:autoSpaceDE w:val="0"/>
        <w:autoSpaceDN w:val="0"/>
        <w:adjustRightInd w:val="0"/>
        <w:spacing w:after="0" w:line="240" w:lineRule="auto"/>
        <w:jc w:val="both"/>
        <w:rPr>
          <w:rFonts w:ascii="Times New Roman" w:eastAsia="Calibri" w:hAnsi="Times New Roman" w:cs="Times New Roman"/>
          <w:lang w:val="sr-Latn-ME"/>
        </w:rPr>
      </w:pPr>
      <w:r w:rsidRPr="007076F7">
        <w:rPr>
          <w:rFonts w:ascii="Times New Roman" w:eastAsia="Calibri" w:hAnsi="Times New Roman" w:cs="Times New Roman"/>
          <w:lang w:val="sr-Latn-ME"/>
        </w:rPr>
        <w:t xml:space="preserve">Kod pacova je ispitivana sposobnost </w:t>
      </w:r>
      <w:proofErr w:type="spellStart"/>
      <w:r w:rsidRPr="007076F7">
        <w:rPr>
          <w:rFonts w:ascii="Times New Roman" w:eastAsia="Calibri" w:hAnsi="Times New Roman" w:cs="Times New Roman"/>
          <w:lang w:val="sr-Latn-ME"/>
        </w:rPr>
        <w:t>pantoprazola</w:t>
      </w:r>
      <w:proofErr w:type="spellEnd"/>
      <w:r w:rsidRPr="007076F7">
        <w:rPr>
          <w:rFonts w:ascii="Times New Roman" w:eastAsia="Calibri" w:hAnsi="Times New Roman" w:cs="Times New Roman"/>
          <w:lang w:val="sr-Latn-ME"/>
        </w:rPr>
        <w:t xml:space="preserve"> da prodire kroz placentu i utvrđeno je da se povećava sa napredovanjem trudnoće. Kao rezultat toga, neposredno </w:t>
      </w:r>
      <w:proofErr w:type="spellStart"/>
      <w:r w:rsidRPr="007076F7">
        <w:rPr>
          <w:rFonts w:ascii="Times New Roman" w:eastAsia="Calibri" w:hAnsi="Times New Roman" w:cs="Times New Roman"/>
          <w:lang w:val="sr-Latn-ME"/>
        </w:rPr>
        <w:t>pred</w:t>
      </w:r>
      <w:proofErr w:type="spellEnd"/>
      <w:r w:rsidRPr="007076F7">
        <w:rPr>
          <w:rFonts w:ascii="Times New Roman" w:eastAsia="Calibri" w:hAnsi="Times New Roman" w:cs="Times New Roman"/>
          <w:lang w:val="sr-Latn-ME"/>
        </w:rPr>
        <w:t xml:space="preserve"> porođaj su povišene koncentracije </w:t>
      </w:r>
      <w:proofErr w:type="spellStart"/>
      <w:r w:rsidRPr="007076F7">
        <w:rPr>
          <w:rFonts w:ascii="Times New Roman" w:eastAsia="Calibri" w:hAnsi="Times New Roman" w:cs="Times New Roman"/>
          <w:lang w:val="sr-Latn-ME"/>
        </w:rPr>
        <w:t>pantoprazola</w:t>
      </w:r>
      <w:proofErr w:type="spellEnd"/>
      <w:r w:rsidRPr="007076F7">
        <w:rPr>
          <w:rFonts w:ascii="Times New Roman" w:eastAsia="Calibri" w:hAnsi="Times New Roman" w:cs="Times New Roman"/>
          <w:lang w:val="sr-Latn-ME"/>
        </w:rPr>
        <w:t xml:space="preserve"> kod fetusa.</w:t>
      </w:r>
    </w:p>
    <w:p w14:paraId="5542E6F2" w14:textId="77777777" w:rsidR="002828B6" w:rsidRPr="007076F7" w:rsidRDefault="002828B6">
      <w:pPr>
        <w:autoSpaceDE w:val="0"/>
        <w:autoSpaceDN w:val="0"/>
        <w:adjustRightInd w:val="0"/>
        <w:spacing w:after="0" w:line="240" w:lineRule="auto"/>
        <w:jc w:val="both"/>
        <w:rPr>
          <w:rFonts w:ascii="Times New Roman" w:eastAsia="Calibri" w:hAnsi="Times New Roman" w:cs="Times New Roman"/>
          <w:lang w:val="sr-Latn-ME"/>
        </w:rPr>
      </w:pPr>
    </w:p>
    <w:p w14:paraId="5542E6F3" w14:textId="77777777" w:rsidR="00B66416" w:rsidRPr="007076F7" w:rsidRDefault="00B66416" w:rsidP="00AE0627">
      <w:pPr>
        <w:tabs>
          <w:tab w:val="left" w:pos="284"/>
        </w:tabs>
        <w:spacing w:after="0" w:line="240" w:lineRule="auto"/>
        <w:jc w:val="both"/>
        <w:rPr>
          <w:rFonts w:ascii="Times New Roman" w:eastAsia="Times New Roman" w:hAnsi="Times New Roman" w:cs="Times New Roman"/>
          <w:lang w:val="sr-Latn-ME"/>
        </w:rPr>
      </w:pPr>
    </w:p>
    <w:p w14:paraId="5542E6F4"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6. FARMACEUTSKI PODACI</w:t>
      </w:r>
    </w:p>
    <w:p w14:paraId="5542E6F5"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
          <w:bCs/>
          <w:lang w:val="sr-Latn-ME"/>
        </w:rPr>
      </w:pPr>
    </w:p>
    <w:p w14:paraId="5542E6F6" w14:textId="5A443128" w:rsidR="002E7166" w:rsidRPr="007076F7" w:rsidRDefault="002E7166" w:rsidP="00AE0627">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6.1. Lista pomoćnih supstanci</w:t>
      </w:r>
      <w:r w:rsidR="004F1200" w:rsidRPr="007076F7">
        <w:rPr>
          <w:rFonts w:ascii="Times New Roman" w:eastAsia="Times New Roman" w:hAnsi="Times New Roman" w:cs="Times New Roman"/>
          <w:b/>
          <w:bCs/>
          <w:lang w:val="sr-Latn-ME"/>
        </w:rPr>
        <w:t xml:space="preserve"> </w:t>
      </w:r>
      <w:r w:rsidR="004F1200" w:rsidRPr="007076F7">
        <w:rPr>
          <w:rFonts w:ascii="Times New Roman" w:eastAsia="Times New Roman" w:hAnsi="Times New Roman" w:cs="Times New Roman"/>
          <w:b/>
          <w:bCs/>
          <w:lang w:val="pl-PL"/>
        </w:rPr>
        <w:t>(ekscipijenasa)</w:t>
      </w:r>
    </w:p>
    <w:p w14:paraId="5542E6F7"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6F8"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AE0627">
        <w:rPr>
          <w:rFonts w:ascii="Times New Roman" w:eastAsia="Times New Roman" w:hAnsi="Times New Roman" w:cs="Times New Roman"/>
          <w:bCs/>
          <w:u w:val="single"/>
          <w:lang w:val="sr-Latn-ME"/>
        </w:rPr>
        <w:t>Jezgro</w:t>
      </w:r>
      <w:r w:rsidRPr="007076F7">
        <w:rPr>
          <w:rFonts w:ascii="Times New Roman" w:eastAsia="Times New Roman" w:hAnsi="Times New Roman" w:cs="Times New Roman"/>
          <w:bCs/>
          <w:lang w:val="sr-Latn-ME"/>
        </w:rPr>
        <w:t xml:space="preserve">: </w:t>
      </w:r>
    </w:p>
    <w:p w14:paraId="5542E6F9"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maltitol</w:t>
      </w:r>
      <w:proofErr w:type="spellEnd"/>
      <w:r w:rsidRPr="007076F7">
        <w:rPr>
          <w:rFonts w:ascii="Times New Roman" w:eastAsia="Times New Roman" w:hAnsi="Times New Roman" w:cs="Times New Roman"/>
          <w:bCs/>
          <w:lang w:val="sr-Latn-ME"/>
        </w:rPr>
        <w:t xml:space="preserve">; </w:t>
      </w:r>
    </w:p>
    <w:p w14:paraId="5542E6FA"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krospovidon</w:t>
      </w:r>
      <w:proofErr w:type="spellEnd"/>
      <w:r w:rsidRPr="007076F7">
        <w:rPr>
          <w:rFonts w:ascii="Times New Roman" w:eastAsia="Times New Roman" w:hAnsi="Times New Roman" w:cs="Times New Roman"/>
          <w:bCs/>
          <w:lang w:val="sr-Latn-ME"/>
        </w:rPr>
        <w:t xml:space="preserve">; </w:t>
      </w:r>
    </w:p>
    <w:p w14:paraId="5542E6FB" w14:textId="53BFB876"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karmelozanatrijum</w:t>
      </w:r>
      <w:proofErr w:type="spellEnd"/>
      <w:r w:rsidRPr="007076F7">
        <w:rPr>
          <w:rFonts w:ascii="Times New Roman" w:eastAsia="Times New Roman" w:hAnsi="Times New Roman" w:cs="Times New Roman"/>
          <w:bCs/>
          <w:lang w:val="sr-Latn-ME"/>
        </w:rPr>
        <w:t xml:space="preserve">; </w:t>
      </w:r>
    </w:p>
    <w:p w14:paraId="5542E6FC" w14:textId="7D147B2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natrijumkarbonat</w:t>
      </w:r>
      <w:proofErr w:type="spellEnd"/>
      <w:r w:rsidRPr="007076F7">
        <w:rPr>
          <w:rFonts w:ascii="Times New Roman" w:eastAsia="Times New Roman" w:hAnsi="Times New Roman" w:cs="Times New Roman"/>
          <w:bCs/>
          <w:lang w:val="sr-Latn-ME"/>
        </w:rPr>
        <w:t xml:space="preserve">, bezvodni; </w:t>
      </w:r>
    </w:p>
    <w:p w14:paraId="5542E6FD" w14:textId="15C583C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kalcijumstearat</w:t>
      </w:r>
      <w:proofErr w:type="spellEnd"/>
      <w:r w:rsidRPr="007076F7">
        <w:rPr>
          <w:rFonts w:ascii="Times New Roman" w:eastAsia="Times New Roman" w:hAnsi="Times New Roman" w:cs="Times New Roman"/>
          <w:bCs/>
          <w:lang w:val="sr-Latn-ME"/>
        </w:rPr>
        <w:t>.</w:t>
      </w:r>
    </w:p>
    <w:p w14:paraId="5542E6FF" w14:textId="77777777" w:rsidR="004917F9" w:rsidRPr="007076F7" w:rsidRDefault="004917F9" w:rsidP="00AE0627">
      <w:pPr>
        <w:tabs>
          <w:tab w:val="left" w:pos="284"/>
        </w:tabs>
        <w:spacing w:after="0" w:line="240" w:lineRule="auto"/>
        <w:jc w:val="both"/>
        <w:rPr>
          <w:rFonts w:ascii="Times New Roman" w:eastAsia="Times New Roman" w:hAnsi="Times New Roman" w:cs="Times New Roman"/>
          <w:bCs/>
          <w:lang w:val="sr-Latn-ME"/>
        </w:rPr>
      </w:pPr>
    </w:p>
    <w:p w14:paraId="5542E700"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AE0627">
        <w:rPr>
          <w:rFonts w:ascii="Times New Roman" w:eastAsia="Times New Roman" w:hAnsi="Times New Roman" w:cs="Times New Roman"/>
          <w:bCs/>
          <w:u w:val="single"/>
          <w:lang w:val="sr-Latn-ME"/>
        </w:rPr>
        <w:t>Omotač</w:t>
      </w:r>
      <w:r w:rsidRPr="007076F7">
        <w:rPr>
          <w:rFonts w:ascii="Times New Roman" w:eastAsia="Times New Roman" w:hAnsi="Times New Roman" w:cs="Times New Roman"/>
          <w:bCs/>
          <w:lang w:val="sr-Latn-ME"/>
        </w:rPr>
        <w:t xml:space="preserve">: </w:t>
      </w:r>
    </w:p>
    <w:p w14:paraId="5542E701"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metakrilna</w:t>
      </w:r>
      <w:proofErr w:type="spellEnd"/>
      <w:r w:rsidRPr="007076F7">
        <w:rPr>
          <w:rFonts w:ascii="Times New Roman" w:eastAsia="Times New Roman" w:hAnsi="Times New Roman" w:cs="Times New Roman"/>
          <w:bCs/>
          <w:lang w:val="sr-Latn-ME"/>
        </w:rPr>
        <w:t xml:space="preserve"> kiselina/etil </w:t>
      </w:r>
      <w:proofErr w:type="spellStart"/>
      <w:r w:rsidRPr="007076F7">
        <w:rPr>
          <w:rFonts w:ascii="Times New Roman" w:eastAsia="Times New Roman" w:hAnsi="Times New Roman" w:cs="Times New Roman"/>
          <w:bCs/>
          <w:lang w:val="sr-Latn-ME"/>
        </w:rPr>
        <w:t>akrilat</w:t>
      </w:r>
      <w:proofErr w:type="spellEnd"/>
      <w:r w:rsidRPr="007076F7">
        <w:rPr>
          <w:rFonts w:ascii="Times New Roman" w:eastAsia="Times New Roman" w:hAnsi="Times New Roman" w:cs="Times New Roman"/>
          <w:bCs/>
          <w:lang w:val="sr-Latn-ME"/>
        </w:rPr>
        <w:t xml:space="preserve"> </w:t>
      </w:r>
      <w:proofErr w:type="spellStart"/>
      <w:r w:rsidRPr="007076F7">
        <w:rPr>
          <w:rFonts w:ascii="Times New Roman" w:eastAsia="Times New Roman" w:hAnsi="Times New Roman" w:cs="Times New Roman"/>
          <w:bCs/>
          <w:lang w:val="sr-Latn-ME"/>
        </w:rPr>
        <w:t>kopolimer</w:t>
      </w:r>
      <w:proofErr w:type="spellEnd"/>
      <w:r w:rsidRPr="007076F7">
        <w:rPr>
          <w:rFonts w:ascii="Times New Roman" w:eastAsia="Times New Roman" w:hAnsi="Times New Roman" w:cs="Times New Roman"/>
          <w:bCs/>
          <w:lang w:val="sr-Latn-ME"/>
        </w:rPr>
        <w:t xml:space="preserve"> 1:1; </w:t>
      </w:r>
    </w:p>
    <w:p w14:paraId="5542E702"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trietilcitrat</w:t>
      </w:r>
      <w:proofErr w:type="spellEnd"/>
      <w:r w:rsidRPr="007076F7">
        <w:rPr>
          <w:rFonts w:ascii="Times New Roman" w:eastAsia="Times New Roman" w:hAnsi="Times New Roman" w:cs="Times New Roman"/>
          <w:bCs/>
          <w:lang w:val="sr-Latn-ME"/>
        </w:rPr>
        <w:t>.</w:t>
      </w:r>
    </w:p>
    <w:p w14:paraId="5542E703"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p>
    <w:p w14:paraId="5542E704"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i/>
          <w:lang w:val="sr-Latn-ME"/>
        </w:rPr>
      </w:pPr>
      <w:r w:rsidRPr="007076F7">
        <w:rPr>
          <w:rFonts w:ascii="Times New Roman" w:eastAsia="Times New Roman" w:hAnsi="Times New Roman" w:cs="Times New Roman"/>
          <w:bCs/>
          <w:i/>
          <w:lang w:val="sr-Latn-ME"/>
        </w:rPr>
        <w:t xml:space="preserve">Omotač I: </w:t>
      </w:r>
    </w:p>
    <w:p w14:paraId="5542E705"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t xml:space="preserve">polivinil alkohol; </w:t>
      </w:r>
    </w:p>
    <w:p w14:paraId="5542E706"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t xml:space="preserve">talk; </w:t>
      </w:r>
    </w:p>
    <w:p w14:paraId="5542E707" w14:textId="555D1F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titandioksid</w:t>
      </w:r>
      <w:proofErr w:type="spellEnd"/>
      <w:r w:rsidRPr="007076F7">
        <w:rPr>
          <w:rFonts w:ascii="Times New Roman" w:eastAsia="Times New Roman" w:hAnsi="Times New Roman" w:cs="Times New Roman"/>
          <w:bCs/>
          <w:lang w:val="sr-Latn-ME"/>
        </w:rPr>
        <w:t xml:space="preserve">; </w:t>
      </w:r>
    </w:p>
    <w:p w14:paraId="5542E708"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makrogol</w:t>
      </w:r>
      <w:proofErr w:type="spellEnd"/>
      <w:r w:rsidRPr="007076F7">
        <w:rPr>
          <w:rFonts w:ascii="Times New Roman" w:eastAsia="Times New Roman" w:hAnsi="Times New Roman" w:cs="Times New Roman"/>
          <w:bCs/>
          <w:lang w:val="sr-Latn-ME"/>
        </w:rPr>
        <w:t xml:space="preserve"> 3350; </w:t>
      </w:r>
    </w:p>
    <w:p w14:paraId="5542E709"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lecitin</w:t>
      </w:r>
      <w:proofErr w:type="spellEnd"/>
      <w:r w:rsidRPr="007076F7">
        <w:rPr>
          <w:rFonts w:ascii="Times New Roman" w:eastAsia="Times New Roman" w:hAnsi="Times New Roman" w:cs="Times New Roman"/>
          <w:bCs/>
          <w:lang w:val="sr-Latn-ME"/>
        </w:rPr>
        <w:t xml:space="preserve">; </w:t>
      </w:r>
    </w:p>
    <w:p w14:paraId="5542E70A" w14:textId="6C0F789C"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t xml:space="preserve">gvožđe(III)oksid, žuti; </w:t>
      </w:r>
    </w:p>
    <w:p w14:paraId="5542E70B" w14:textId="586851AA"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t>natrijum</w:t>
      </w:r>
      <w:r w:rsidR="004F1200"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karbonat, bezvodni.</w:t>
      </w:r>
    </w:p>
    <w:p w14:paraId="5542E70C"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p>
    <w:p w14:paraId="5542E70D"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i/>
          <w:lang w:val="sr-Latn-ME"/>
        </w:rPr>
      </w:pPr>
      <w:r w:rsidRPr="007076F7">
        <w:rPr>
          <w:rFonts w:ascii="Times New Roman" w:eastAsia="Times New Roman" w:hAnsi="Times New Roman" w:cs="Times New Roman"/>
          <w:bCs/>
          <w:i/>
          <w:lang w:val="sr-Latn-ME"/>
        </w:rPr>
        <w:t xml:space="preserve">Omotač II: </w:t>
      </w:r>
    </w:p>
    <w:p w14:paraId="5542E70E"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t xml:space="preserve">polivinil alkohol; </w:t>
      </w:r>
    </w:p>
    <w:p w14:paraId="5542E70F"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t xml:space="preserve">talk; </w:t>
      </w:r>
    </w:p>
    <w:p w14:paraId="5542E710" w14:textId="2892FAD3"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titandioksid</w:t>
      </w:r>
      <w:proofErr w:type="spellEnd"/>
      <w:r w:rsidRPr="007076F7">
        <w:rPr>
          <w:rFonts w:ascii="Times New Roman" w:eastAsia="Times New Roman" w:hAnsi="Times New Roman" w:cs="Times New Roman"/>
          <w:bCs/>
          <w:lang w:val="sr-Latn-ME"/>
        </w:rPr>
        <w:t xml:space="preserve">; </w:t>
      </w:r>
    </w:p>
    <w:p w14:paraId="5542E711"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makrogol</w:t>
      </w:r>
      <w:proofErr w:type="spellEnd"/>
      <w:r w:rsidRPr="007076F7">
        <w:rPr>
          <w:rFonts w:ascii="Times New Roman" w:eastAsia="Times New Roman" w:hAnsi="Times New Roman" w:cs="Times New Roman"/>
          <w:bCs/>
          <w:lang w:val="sr-Latn-ME"/>
        </w:rPr>
        <w:t xml:space="preserve"> 3350; </w:t>
      </w:r>
    </w:p>
    <w:p w14:paraId="5542E712"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Pr="007076F7">
        <w:rPr>
          <w:rFonts w:ascii="Times New Roman" w:eastAsia="Times New Roman" w:hAnsi="Times New Roman" w:cs="Times New Roman"/>
          <w:bCs/>
          <w:lang w:val="sr-Latn-ME"/>
        </w:rPr>
        <w:tab/>
      </w:r>
      <w:proofErr w:type="spellStart"/>
      <w:r w:rsidRPr="007076F7">
        <w:rPr>
          <w:rFonts w:ascii="Times New Roman" w:eastAsia="Times New Roman" w:hAnsi="Times New Roman" w:cs="Times New Roman"/>
          <w:bCs/>
          <w:lang w:val="sr-Latn-ME"/>
        </w:rPr>
        <w:t>lecitin</w:t>
      </w:r>
      <w:proofErr w:type="spellEnd"/>
      <w:r w:rsidRPr="007076F7">
        <w:rPr>
          <w:rFonts w:ascii="Times New Roman" w:eastAsia="Times New Roman" w:hAnsi="Times New Roman" w:cs="Times New Roman"/>
          <w:bCs/>
          <w:lang w:val="sr-Latn-ME"/>
        </w:rPr>
        <w:t xml:space="preserve">; </w:t>
      </w:r>
    </w:p>
    <w:p w14:paraId="5542E713" w14:textId="7540F5C6"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w:t>
      </w:r>
      <w:r w:rsidR="00AE75FE" w:rsidRPr="007076F7">
        <w:rPr>
          <w:rFonts w:ascii="Times New Roman" w:eastAsia="Times New Roman" w:hAnsi="Times New Roman" w:cs="Times New Roman"/>
          <w:bCs/>
          <w:lang w:val="sr-Latn-ME"/>
        </w:rPr>
        <w:t xml:space="preserve">    </w:t>
      </w:r>
      <w:r w:rsidRPr="007076F7">
        <w:rPr>
          <w:rFonts w:ascii="Times New Roman" w:eastAsia="Times New Roman" w:hAnsi="Times New Roman" w:cs="Times New Roman"/>
          <w:bCs/>
          <w:lang w:val="sr-Latn-ME"/>
        </w:rPr>
        <w:t>gvožđe(III)oksid, žuti.</w:t>
      </w:r>
    </w:p>
    <w:p w14:paraId="5542E714" w14:textId="1EAEFD96" w:rsidR="00632F9E" w:rsidRDefault="00632F9E">
      <w:pPr>
        <w:rPr>
          <w:rFonts w:ascii="Times New Roman" w:eastAsia="Times New Roman" w:hAnsi="Times New Roman" w:cs="Times New Roman"/>
          <w:bCs/>
          <w:lang w:val="sr-Latn-ME"/>
        </w:rPr>
      </w:pPr>
      <w:r>
        <w:rPr>
          <w:rFonts w:ascii="Times New Roman" w:eastAsia="Times New Roman" w:hAnsi="Times New Roman" w:cs="Times New Roman"/>
          <w:bCs/>
          <w:lang w:val="sr-Latn-ME"/>
        </w:rPr>
        <w:br w:type="page"/>
      </w:r>
    </w:p>
    <w:p w14:paraId="5542E715" w14:textId="795EAC1D" w:rsidR="002E7166" w:rsidRPr="007076F7" w:rsidRDefault="002E7166" w:rsidP="00AE0627">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lastRenderedPageBreak/>
        <w:t>6.2. Inkompatibilnost</w:t>
      </w:r>
      <w:r w:rsidR="004F1200" w:rsidRPr="007076F7">
        <w:rPr>
          <w:rFonts w:ascii="Times New Roman" w:eastAsia="Times New Roman" w:hAnsi="Times New Roman" w:cs="Times New Roman"/>
          <w:b/>
          <w:bCs/>
          <w:lang w:val="sr-Latn-ME"/>
        </w:rPr>
        <w:t>i</w:t>
      </w:r>
    </w:p>
    <w:p w14:paraId="5542E716"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717" w14:textId="73BFC785"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Ni</w:t>
      </w:r>
      <w:r w:rsidR="00A06B15">
        <w:rPr>
          <w:rFonts w:ascii="Times New Roman" w:eastAsia="Times New Roman" w:hAnsi="Times New Roman" w:cs="Times New Roman"/>
          <w:lang w:val="sr-Latn-ME"/>
        </w:rPr>
        <w:t>je</w:t>
      </w:r>
      <w:r w:rsidR="004F1200" w:rsidRPr="007076F7">
        <w:rPr>
          <w:rFonts w:ascii="Times New Roman" w:eastAsia="Times New Roman" w:hAnsi="Times New Roman" w:cs="Times New Roman"/>
          <w:lang w:val="sr-Latn-ME"/>
        </w:rPr>
        <w:t>su</w:t>
      </w:r>
      <w:r w:rsidRPr="007076F7">
        <w:rPr>
          <w:rFonts w:ascii="Times New Roman" w:eastAsia="Times New Roman" w:hAnsi="Times New Roman" w:cs="Times New Roman"/>
          <w:lang w:val="sr-Latn-ME"/>
        </w:rPr>
        <w:t xml:space="preserve"> poznat</w:t>
      </w:r>
      <w:r w:rsidR="004F1200" w:rsidRPr="007076F7">
        <w:rPr>
          <w:rFonts w:ascii="Times New Roman" w:eastAsia="Times New Roman" w:hAnsi="Times New Roman" w:cs="Times New Roman"/>
          <w:lang w:val="sr-Latn-ME"/>
        </w:rPr>
        <w:t>e</w:t>
      </w:r>
      <w:r w:rsidRPr="007076F7">
        <w:rPr>
          <w:rFonts w:ascii="Times New Roman" w:eastAsia="Times New Roman" w:hAnsi="Times New Roman" w:cs="Times New Roman"/>
          <w:lang w:val="sr-Latn-ME"/>
        </w:rPr>
        <w:t>.</w:t>
      </w:r>
    </w:p>
    <w:p w14:paraId="5542E718"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719"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6.3. Rok upotrebe</w:t>
      </w:r>
    </w:p>
    <w:p w14:paraId="5542E71A"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71B"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5 godina.</w:t>
      </w:r>
    </w:p>
    <w:p w14:paraId="5542E71C"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71D" w14:textId="67D7175D" w:rsidR="002E7166" w:rsidRPr="007076F7" w:rsidRDefault="002E7166" w:rsidP="00AE0627">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6.4. Posebne mjere opreza pri čuvanju</w:t>
      </w:r>
      <w:r w:rsidR="004F1200" w:rsidRPr="007076F7">
        <w:rPr>
          <w:rFonts w:ascii="Times New Roman" w:eastAsia="Times New Roman" w:hAnsi="Times New Roman" w:cs="Times New Roman"/>
          <w:b/>
          <w:bCs/>
          <w:lang w:val="sr-Latn-ME"/>
        </w:rPr>
        <w:t xml:space="preserve"> lijeka</w:t>
      </w:r>
    </w:p>
    <w:p w14:paraId="5542E71E"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71F"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Čuvati na temperaturi do 25°C.</w:t>
      </w:r>
    </w:p>
    <w:p w14:paraId="5542E720"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721"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6.5. Vrsta i sadržaj pakovanja</w:t>
      </w:r>
    </w:p>
    <w:p w14:paraId="5542E722"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723" w14:textId="50C1802C" w:rsidR="002E7166" w:rsidRPr="007076F7" w:rsidRDefault="002E7166" w:rsidP="007076F7">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Un</w:t>
      </w:r>
      <w:r w:rsidR="00AE75FE" w:rsidRPr="007076F7">
        <w:rPr>
          <w:rFonts w:ascii="Times New Roman" w:eastAsia="Times New Roman" w:hAnsi="Times New Roman" w:cs="Times New Roman"/>
          <w:lang w:val="sr-Latn-ME"/>
        </w:rPr>
        <w:t>utrašnje pakovanje je blister (</w:t>
      </w:r>
      <w:r w:rsidRPr="007076F7">
        <w:rPr>
          <w:rFonts w:ascii="Times New Roman" w:eastAsia="Times New Roman" w:hAnsi="Times New Roman" w:cs="Times New Roman"/>
          <w:lang w:val="sr-Latn-ME"/>
        </w:rPr>
        <w:t xml:space="preserve">AL/AL) sa 14 </w:t>
      </w:r>
      <w:proofErr w:type="spellStart"/>
      <w:r w:rsidRPr="007076F7">
        <w:rPr>
          <w:rFonts w:ascii="Times New Roman" w:eastAsia="Times New Roman" w:hAnsi="Times New Roman" w:cs="Times New Roman"/>
          <w:lang w:val="sr-Latn-ME"/>
        </w:rPr>
        <w:t>gastrorezistentnih</w:t>
      </w:r>
      <w:proofErr w:type="spellEnd"/>
      <w:r w:rsidRPr="007076F7">
        <w:rPr>
          <w:rFonts w:ascii="Times New Roman" w:eastAsia="Times New Roman" w:hAnsi="Times New Roman" w:cs="Times New Roman"/>
          <w:lang w:val="sr-Latn-ME"/>
        </w:rPr>
        <w:t xml:space="preserve"> tableta. </w:t>
      </w:r>
    </w:p>
    <w:p w14:paraId="5542E724" w14:textId="45775F30" w:rsidR="002E7166" w:rsidRPr="007076F7" w:rsidRDefault="002E7166">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Spoljašnje pakovanje lijeka je složiva kartonska kutija u kojoj se nalaz</w:t>
      </w:r>
      <w:r w:rsidR="004F1200" w:rsidRPr="007076F7">
        <w:rPr>
          <w:rFonts w:ascii="Times New Roman" w:eastAsia="Times New Roman" w:hAnsi="Times New Roman" w:cs="Times New Roman"/>
          <w:lang w:val="sr-Latn-ME"/>
        </w:rPr>
        <w:t>e</w:t>
      </w:r>
      <w:r w:rsidRPr="007076F7">
        <w:rPr>
          <w:rFonts w:ascii="Times New Roman" w:eastAsia="Times New Roman" w:hAnsi="Times New Roman" w:cs="Times New Roman"/>
          <w:lang w:val="sr-Latn-ME"/>
        </w:rPr>
        <w:t xml:space="preserve"> jedan blister sa</w:t>
      </w:r>
      <w:r w:rsidR="004F1200" w:rsidRPr="007076F7">
        <w:rPr>
          <w:rFonts w:ascii="Times New Roman" w:eastAsia="Times New Roman" w:hAnsi="Times New Roman" w:cs="Times New Roman"/>
          <w:lang w:val="sr-Latn-ME"/>
        </w:rPr>
        <w:t xml:space="preserve"> po</w:t>
      </w:r>
      <w:r w:rsidRPr="007076F7">
        <w:rPr>
          <w:rFonts w:ascii="Times New Roman" w:eastAsia="Times New Roman" w:hAnsi="Times New Roman" w:cs="Times New Roman"/>
          <w:lang w:val="sr-Latn-ME"/>
        </w:rPr>
        <w:t xml:space="preserve"> 14 </w:t>
      </w:r>
      <w:proofErr w:type="spellStart"/>
      <w:r w:rsidRPr="007076F7">
        <w:rPr>
          <w:rFonts w:ascii="Times New Roman" w:eastAsia="Times New Roman" w:hAnsi="Times New Roman" w:cs="Times New Roman"/>
          <w:lang w:val="sr-Latn-ME"/>
        </w:rPr>
        <w:t>gastrorezistentnih</w:t>
      </w:r>
      <w:proofErr w:type="spellEnd"/>
      <w:r w:rsidRPr="007076F7">
        <w:rPr>
          <w:rFonts w:ascii="Times New Roman" w:eastAsia="Times New Roman" w:hAnsi="Times New Roman" w:cs="Times New Roman"/>
          <w:lang w:val="sr-Latn-ME"/>
        </w:rPr>
        <w:t xml:space="preserve"> tableta</w:t>
      </w:r>
      <w:r w:rsidR="004F1200" w:rsidRPr="007076F7">
        <w:rPr>
          <w:rFonts w:ascii="Times New Roman" w:eastAsia="Times New Roman" w:hAnsi="Times New Roman" w:cs="Times New Roman"/>
          <w:lang w:val="sr-Latn-ME"/>
        </w:rPr>
        <w:t xml:space="preserve"> </w:t>
      </w:r>
      <w:r w:rsidR="004F1200" w:rsidRPr="007076F7">
        <w:rPr>
          <w:rFonts w:ascii="Times New Roman" w:eastAsia="Times New Roman" w:hAnsi="Times New Roman" w:cs="Times New Roman"/>
          <w:lang w:val="sv-SE"/>
        </w:rPr>
        <w:t>(ukupno 14 gastrorezistentnih tableta)</w:t>
      </w:r>
      <w:r w:rsidRPr="007076F7">
        <w:rPr>
          <w:rFonts w:ascii="Times New Roman" w:eastAsia="Times New Roman" w:hAnsi="Times New Roman" w:cs="Times New Roman"/>
          <w:lang w:val="sr-Latn-ME"/>
        </w:rPr>
        <w:t xml:space="preserve"> i Uputstvo za lijek.</w:t>
      </w:r>
    </w:p>
    <w:p w14:paraId="5542E725"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726" w14:textId="117BC01D" w:rsidR="002E7166" w:rsidRPr="007076F7" w:rsidRDefault="002E7166" w:rsidP="007076F7">
      <w:pPr>
        <w:tabs>
          <w:tab w:val="left" w:pos="284"/>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6.6. Posebne mjere opreza pri odlaganju materijala koji treba odbaciti nakon prim</w:t>
      </w:r>
      <w:r w:rsidR="004F1200" w:rsidRPr="007076F7">
        <w:rPr>
          <w:rFonts w:ascii="Times New Roman" w:eastAsia="Times New Roman" w:hAnsi="Times New Roman" w:cs="Times New Roman"/>
          <w:b/>
          <w:bCs/>
          <w:lang w:val="sr-Latn-ME"/>
        </w:rPr>
        <w:t>j</w:t>
      </w:r>
      <w:r w:rsidRPr="007076F7">
        <w:rPr>
          <w:rFonts w:ascii="Times New Roman" w:eastAsia="Times New Roman" w:hAnsi="Times New Roman" w:cs="Times New Roman"/>
          <w:b/>
          <w:bCs/>
          <w:lang w:val="sr-Latn-ME"/>
        </w:rPr>
        <w:t>ene l</w:t>
      </w:r>
      <w:r w:rsidR="004F1200" w:rsidRPr="007076F7">
        <w:rPr>
          <w:rFonts w:ascii="Times New Roman" w:eastAsia="Times New Roman" w:hAnsi="Times New Roman" w:cs="Times New Roman"/>
          <w:b/>
          <w:bCs/>
          <w:lang w:val="sr-Latn-ME"/>
        </w:rPr>
        <w:t>ij</w:t>
      </w:r>
      <w:r w:rsidRPr="007076F7">
        <w:rPr>
          <w:rFonts w:ascii="Times New Roman" w:eastAsia="Times New Roman" w:hAnsi="Times New Roman" w:cs="Times New Roman"/>
          <w:b/>
          <w:bCs/>
          <w:lang w:val="sr-Latn-ME"/>
        </w:rPr>
        <w:t>eka (i druga uputstva za rukovanje l</w:t>
      </w:r>
      <w:r w:rsidR="004F1200" w:rsidRPr="007076F7">
        <w:rPr>
          <w:rFonts w:ascii="Times New Roman" w:eastAsia="Times New Roman" w:hAnsi="Times New Roman" w:cs="Times New Roman"/>
          <w:b/>
          <w:bCs/>
          <w:lang w:val="sr-Latn-ME"/>
        </w:rPr>
        <w:t>ij</w:t>
      </w:r>
      <w:r w:rsidRPr="007076F7">
        <w:rPr>
          <w:rFonts w:ascii="Times New Roman" w:eastAsia="Times New Roman" w:hAnsi="Times New Roman" w:cs="Times New Roman"/>
          <w:b/>
          <w:bCs/>
          <w:lang w:val="sr-Latn-ME"/>
        </w:rPr>
        <w:t>ekom)</w:t>
      </w:r>
    </w:p>
    <w:p w14:paraId="5542E727"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lang w:val="sr-Latn-ME"/>
        </w:rPr>
      </w:pPr>
    </w:p>
    <w:p w14:paraId="5542E728" w14:textId="77777777" w:rsidR="002E7166" w:rsidRPr="007076F7" w:rsidRDefault="002E7166" w:rsidP="007076F7">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7076F7">
        <w:rPr>
          <w:rFonts w:ascii="Times New Roman" w:eastAsia="Times New Roman" w:hAnsi="Times New Roman" w:cs="Times New Roman"/>
          <w:lang w:val="sr-Latn-ME" w:eastAsia="sr-Latn-CS"/>
        </w:rPr>
        <w:t>Svu neiskorišćenu količinu lijeka ili otpadnog materijala nakon njegove upotrebe treba ukloniti, u skladu sa važećim propisima.</w:t>
      </w:r>
    </w:p>
    <w:p w14:paraId="5542E729"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iCs/>
          <w:lang w:val="sr-Latn-ME"/>
        </w:rPr>
      </w:pPr>
    </w:p>
    <w:p w14:paraId="5542E72B" w14:textId="77777777" w:rsidR="00B66416" w:rsidRPr="007076F7" w:rsidRDefault="00B66416" w:rsidP="00AE0627">
      <w:pPr>
        <w:tabs>
          <w:tab w:val="left" w:pos="284"/>
        </w:tabs>
        <w:spacing w:after="0" w:line="240" w:lineRule="auto"/>
        <w:jc w:val="both"/>
        <w:rPr>
          <w:rFonts w:ascii="Times New Roman" w:eastAsia="Times New Roman" w:hAnsi="Times New Roman" w:cs="Times New Roman"/>
          <w:iCs/>
          <w:lang w:val="sr-Latn-ME"/>
        </w:rPr>
      </w:pPr>
    </w:p>
    <w:p w14:paraId="5542E72C" w14:textId="77777777" w:rsidR="002E7166" w:rsidRPr="007076F7" w:rsidRDefault="002E7166" w:rsidP="007076F7">
      <w:pPr>
        <w:tabs>
          <w:tab w:val="left" w:pos="284"/>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lang w:val="sr-Latn-ME"/>
        </w:rPr>
        <w:t>7. NOSILAC DOZVOLE</w:t>
      </w:r>
    </w:p>
    <w:p w14:paraId="5542E72D"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72E" w14:textId="4BF5EB3B" w:rsidR="002E7166" w:rsidRPr="007076F7" w:rsidRDefault="002E7166">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HEMOFARM AD VRŠAC PJ Podgorica</w:t>
      </w:r>
    </w:p>
    <w:p w14:paraId="5542E72F"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r w:rsidRPr="007076F7">
        <w:rPr>
          <w:rFonts w:ascii="Times New Roman" w:eastAsia="Times New Roman" w:hAnsi="Times New Roman" w:cs="Times New Roman"/>
          <w:lang w:val="sr-Latn-ME"/>
        </w:rPr>
        <w:t>8 marta 55A,</w:t>
      </w:r>
      <w:r w:rsidR="009D71D9" w:rsidRPr="007076F7">
        <w:rPr>
          <w:rFonts w:ascii="Times New Roman" w:eastAsia="Times New Roman" w:hAnsi="Times New Roman" w:cs="Times New Roman"/>
          <w:lang w:val="sr-Latn-ME"/>
        </w:rPr>
        <w:t xml:space="preserve"> </w:t>
      </w:r>
      <w:r w:rsidRPr="007076F7">
        <w:rPr>
          <w:rFonts w:ascii="Times New Roman" w:eastAsia="Times New Roman" w:hAnsi="Times New Roman" w:cs="Times New Roman"/>
          <w:lang w:val="sr-Latn-ME"/>
        </w:rPr>
        <w:t>Podgorica,</w:t>
      </w:r>
      <w:r w:rsidR="009D71D9" w:rsidRPr="007076F7">
        <w:rPr>
          <w:rFonts w:ascii="Times New Roman" w:eastAsia="Times New Roman" w:hAnsi="Times New Roman" w:cs="Times New Roman"/>
          <w:lang w:val="sr-Latn-ME"/>
        </w:rPr>
        <w:t xml:space="preserve"> </w:t>
      </w:r>
      <w:r w:rsidRPr="007076F7">
        <w:rPr>
          <w:rFonts w:ascii="Times New Roman" w:eastAsia="Times New Roman" w:hAnsi="Times New Roman" w:cs="Times New Roman"/>
          <w:lang w:val="sr-Latn-ME"/>
        </w:rPr>
        <w:t>Crna Gora</w:t>
      </w:r>
    </w:p>
    <w:p w14:paraId="5542E730" w14:textId="77777777" w:rsidR="002E7166" w:rsidRPr="007076F7" w:rsidRDefault="002E7166">
      <w:pPr>
        <w:tabs>
          <w:tab w:val="left" w:pos="284"/>
        </w:tabs>
        <w:spacing w:after="0" w:line="240" w:lineRule="auto"/>
        <w:jc w:val="both"/>
        <w:rPr>
          <w:rFonts w:ascii="Times New Roman" w:eastAsia="Times New Roman" w:hAnsi="Times New Roman" w:cs="Times New Roman"/>
          <w:lang w:val="sr-Latn-ME"/>
        </w:rPr>
      </w:pPr>
    </w:p>
    <w:p w14:paraId="5542E731" w14:textId="77777777" w:rsidR="002828B6" w:rsidRPr="007076F7" w:rsidRDefault="002828B6">
      <w:pPr>
        <w:tabs>
          <w:tab w:val="left" w:pos="284"/>
        </w:tabs>
        <w:spacing w:after="0" w:line="240" w:lineRule="auto"/>
        <w:jc w:val="both"/>
        <w:rPr>
          <w:rFonts w:ascii="Times New Roman" w:eastAsia="Times New Roman" w:hAnsi="Times New Roman" w:cs="Times New Roman"/>
          <w:lang w:val="sr-Latn-ME"/>
        </w:rPr>
      </w:pPr>
    </w:p>
    <w:p w14:paraId="5542E732" w14:textId="77777777" w:rsidR="002E7166" w:rsidRPr="007076F7" w:rsidRDefault="002E7166">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 xml:space="preserve">8. </w:t>
      </w:r>
      <w:r w:rsidRPr="007076F7">
        <w:rPr>
          <w:rFonts w:ascii="Times New Roman" w:eastAsia="Times New Roman" w:hAnsi="Times New Roman" w:cs="Times New Roman"/>
          <w:b/>
          <w:bCs/>
          <w:lang w:val="sr-Latn-ME"/>
        </w:rPr>
        <w:tab/>
        <w:t>BROJ DOZVOLE ZA STAVLJANJE LIJEKA U PROMET</w:t>
      </w:r>
    </w:p>
    <w:p w14:paraId="5542E733" w14:textId="77777777" w:rsidR="002E7166" w:rsidRPr="007076F7" w:rsidRDefault="002E7166">
      <w:pPr>
        <w:tabs>
          <w:tab w:val="left" w:pos="284"/>
          <w:tab w:val="left" w:pos="540"/>
          <w:tab w:val="left" w:pos="569"/>
        </w:tabs>
        <w:spacing w:after="0" w:line="240" w:lineRule="auto"/>
        <w:jc w:val="both"/>
        <w:rPr>
          <w:rFonts w:ascii="Times New Roman" w:eastAsia="Times New Roman" w:hAnsi="Times New Roman" w:cs="Times New Roman"/>
          <w:bCs/>
          <w:lang w:val="sr-Latn-ME"/>
        </w:rPr>
      </w:pPr>
    </w:p>
    <w:p w14:paraId="5542E735" w14:textId="5920A170" w:rsidR="002E7166" w:rsidRPr="007076F7" w:rsidRDefault="00851C9A">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2030/19/1071 - 1241</w:t>
      </w:r>
    </w:p>
    <w:p w14:paraId="5542E736" w14:textId="53F1DA78" w:rsidR="002828B6" w:rsidRPr="007076F7" w:rsidRDefault="002828B6">
      <w:pPr>
        <w:tabs>
          <w:tab w:val="left" w:pos="284"/>
          <w:tab w:val="left" w:pos="540"/>
          <w:tab w:val="left" w:pos="569"/>
        </w:tabs>
        <w:spacing w:after="0" w:line="240" w:lineRule="auto"/>
        <w:jc w:val="both"/>
        <w:rPr>
          <w:rFonts w:ascii="Times New Roman" w:eastAsia="Times New Roman" w:hAnsi="Times New Roman" w:cs="Times New Roman"/>
          <w:bCs/>
          <w:lang w:val="sr-Latn-ME"/>
        </w:rPr>
      </w:pPr>
    </w:p>
    <w:p w14:paraId="0056FDFF" w14:textId="77777777" w:rsidR="00851C9A" w:rsidRPr="007076F7" w:rsidRDefault="00851C9A">
      <w:pPr>
        <w:tabs>
          <w:tab w:val="left" w:pos="284"/>
          <w:tab w:val="left" w:pos="540"/>
          <w:tab w:val="left" w:pos="569"/>
        </w:tabs>
        <w:spacing w:after="0" w:line="240" w:lineRule="auto"/>
        <w:jc w:val="both"/>
        <w:rPr>
          <w:rFonts w:ascii="Times New Roman" w:eastAsia="Times New Roman" w:hAnsi="Times New Roman" w:cs="Times New Roman"/>
          <w:bCs/>
          <w:lang w:val="sr-Latn-ME"/>
        </w:rPr>
      </w:pPr>
    </w:p>
    <w:p w14:paraId="5542E737" w14:textId="77777777" w:rsidR="002E7166" w:rsidRPr="007076F7" w:rsidRDefault="002E7166">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7076F7">
        <w:rPr>
          <w:rFonts w:ascii="Times New Roman" w:eastAsia="Times New Roman" w:hAnsi="Times New Roman" w:cs="Times New Roman"/>
          <w:b/>
          <w:bCs/>
          <w:lang w:val="sr-Latn-ME"/>
        </w:rPr>
        <w:t xml:space="preserve">9. </w:t>
      </w:r>
      <w:r w:rsidRPr="007076F7">
        <w:rPr>
          <w:rFonts w:ascii="Times New Roman" w:eastAsia="Times New Roman" w:hAnsi="Times New Roman" w:cs="Times New Roman"/>
          <w:b/>
          <w:bCs/>
          <w:lang w:val="sr-Latn-ME"/>
        </w:rPr>
        <w:tab/>
        <w:t>DATUM PRVE DOZVOLE/OBNOVE DOZVOLE ZA STAVLJANJE LIJEKA U PROMET</w:t>
      </w:r>
    </w:p>
    <w:p w14:paraId="5542E738" w14:textId="77777777" w:rsidR="002E7166" w:rsidRPr="007076F7" w:rsidRDefault="002E7166">
      <w:pPr>
        <w:tabs>
          <w:tab w:val="left" w:pos="284"/>
          <w:tab w:val="left" w:pos="540"/>
          <w:tab w:val="left" w:pos="569"/>
        </w:tabs>
        <w:spacing w:after="0" w:line="240" w:lineRule="auto"/>
        <w:jc w:val="both"/>
        <w:rPr>
          <w:rFonts w:ascii="Times New Roman" w:eastAsia="Times New Roman" w:hAnsi="Times New Roman" w:cs="Times New Roman"/>
          <w:bCs/>
          <w:lang w:val="sr-Latn-ME"/>
        </w:rPr>
      </w:pPr>
    </w:p>
    <w:p w14:paraId="5542E73A" w14:textId="138D65ED" w:rsidR="002E7166" w:rsidRPr="007076F7" w:rsidRDefault="00851C9A">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7076F7">
        <w:rPr>
          <w:rFonts w:ascii="Times New Roman" w:eastAsia="Times New Roman" w:hAnsi="Times New Roman" w:cs="Times New Roman"/>
          <w:bCs/>
          <w:lang w:val="sr-Latn-ME"/>
        </w:rPr>
        <w:t>20.12.2019. godine</w:t>
      </w:r>
    </w:p>
    <w:p w14:paraId="5542E73B" w14:textId="6D4A4D82" w:rsidR="002828B6" w:rsidRPr="007076F7" w:rsidRDefault="002828B6">
      <w:pPr>
        <w:tabs>
          <w:tab w:val="left" w:pos="284"/>
          <w:tab w:val="left" w:pos="540"/>
          <w:tab w:val="left" w:pos="569"/>
        </w:tabs>
        <w:spacing w:after="0" w:line="240" w:lineRule="auto"/>
        <w:jc w:val="both"/>
        <w:rPr>
          <w:rFonts w:ascii="Times New Roman" w:eastAsia="Times New Roman" w:hAnsi="Times New Roman" w:cs="Times New Roman"/>
          <w:bCs/>
          <w:lang w:val="sr-Latn-ME"/>
        </w:rPr>
      </w:pPr>
    </w:p>
    <w:p w14:paraId="568C697D" w14:textId="77777777" w:rsidR="00851C9A" w:rsidRPr="007076F7" w:rsidRDefault="00851C9A">
      <w:pPr>
        <w:tabs>
          <w:tab w:val="left" w:pos="284"/>
          <w:tab w:val="left" w:pos="540"/>
          <w:tab w:val="left" w:pos="569"/>
        </w:tabs>
        <w:spacing w:after="0" w:line="240" w:lineRule="auto"/>
        <w:jc w:val="both"/>
        <w:rPr>
          <w:rFonts w:ascii="Times New Roman" w:eastAsia="Times New Roman" w:hAnsi="Times New Roman" w:cs="Times New Roman"/>
          <w:bCs/>
          <w:lang w:val="sr-Latn-ME"/>
        </w:rPr>
      </w:pPr>
    </w:p>
    <w:p w14:paraId="5542E73C" w14:textId="77777777" w:rsidR="002E7166" w:rsidRPr="007076F7" w:rsidRDefault="002E7166">
      <w:pPr>
        <w:tabs>
          <w:tab w:val="left" w:pos="284"/>
          <w:tab w:val="left" w:pos="540"/>
          <w:tab w:val="left" w:pos="569"/>
        </w:tabs>
        <w:spacing w:after="0" w:line="240" w:lineRule="auto"/>
        <w:jc w:val="both"/>
        <w:rPr>
          <w:rFonts w:ascii="Times New Roman" w:eastAsia="Times New Roman" w:hAnsi="Times New Roman" w:cs="Times New Roman"/>
          <w:b/>
          <w:lang w:val="sr-Latn-ME"/>
        </w:rPr>
      </w:pPr>
      <w:r w:rsidRPr="007076F7">
        <w:rPr>
          <w:rFonts w:ascii="Times New Roman" w:eastAsia="Times New Roman" w:hAnsi="Times New Roman" w:cs="Times New Roman"/>
          <w:b/>
          <w:bCs/>
          <w:lang w:val="sr-Latn-ME"/>
        </w:rPr>
        <w:t xml:space="preserve">10. </w:t>
      </w:r>
      <w:r w:rsidRPr="007076F7">
        <w:rPr>
          <w:rFonts w:ascii="Times New Roman" w:eastAsia="Times New Roman" w:hAnsi="Times New Roman" w:cs="Times New Roman"/>
          <w:b/>
          <w:bCs/>
          <w:lang w:val="sr-Latn-ME"/>
        </w:rPr>
        <w:tab/>
        <w:t xml:space="preserve">DATUM REVIZIJE TEKSTA </w:t>
      </w:r>
    </w:p>
    <w:p w14:paraId="5542E73D" w14:textId="77777777" w:rsidR="002E7166" w:rsidRPr="007076F7" w:rsidRDefault="002E7166" w:rsidP="00AE0627">
      <w:pPr>
        <w:tabs>
          <w:tab w:val="left" w:pos="284"/>
        </w:tabs>
        <w:spacing w:after="0" w:line="240" w:lineRule="auto"/>
        <w:jc w:val="both"/>
        <w:rPr>
          <w:rFonts w:ascii="Times New Roman" w:eastAsia="Times New Roman" w:hAnsi="Times New Roman" w:cs="Times New Roman"/>
          <w:bCs/>
          <w:lang w:val="sr-Latn-ME"/>
        </w:rPr>
      </w:pPr>
    </w:p>
    <w:p w14:paraId="7A1E8931" w14:textId="538F4D7B" w:rsidR="004F1200" w:rsidRPr="007076F7" w:rsidRDefault="00A06B15" w:rsidP="00AE0627">
      <w:pPr>
        <w:spacing w:after="0" w:line="240" w:lineRule="auto"/>
        <w:jc w:val="both"/>
        <w:rPr>
          <w:rFonts w:ascii="Times New Roman" w:hAnsi="Times New Roman" w:cs="Times New Roman"/>
          <w:lang w:val="pl-PL"/>
        </w:rPr>
      </w:pPr>
      <w:r>
        <w:rPr>
          <w:rFonts w:ascii="Times New Roman" w:hAnsi="Times New Roman" w:cs="Times New Roman"/>
          <w:bCs/>
          <w:lang w:val="pl-PL"/>
        </w:rPr>
        <w:t>Decembar</w:t>
      </w:r>
      <w:r w:rsidR="00851C9A" w:rsidRPr="007076F7">
        <w:rPr>
          <w:rFonts w:ascii="Times New Roman" w:hAnsi="Times New Roman" w:cs="Times New Roman"/>
          <w:bCs/>
          <w:lang w:val="pl-PL"/>
        </w:rPr>
        <w:t xml:space="preserve">, </w:t>
      </w:r>
      <w:r w:rsidR="004F1200" w:rsidRPr="007076F7">
        <w:rPr>
          <w:rFonts w:ascii="Times New Roman" w:hAnsi="Times New Roman" w:cs="Times New Roman"/>
          <w:bCs/>
          <w:lang w:val="pl-PL"/>
        </w:rPr>
        <w:t>2024.</w:t>
      </w:r>
      <w:r w:rsidR="00851C9A" w:rsidRPr="007076F7">
        <w:rPr>
          <w:rFonts w:ascii="Times New Roman" w:hAnsi="Times New Roman" w:cs="Times New Roman"/>
          <w:bCs/>
          <w:lang w:val="pl-PL"/>
        </w:rPr>
        <w:t xml:space="preserve"> godine</w:t>
      </w:r>
    </w:p>
    <w:p w14:paraId="5542E73E" w14:textId="0AB59FB8" w:rsidR="009318B4" w:rsidRPr="007076F7" w:rsidRDefault="009318B4" w:rsidP="00AE0627">
      <w:pPr>
        <w:spacing w:after="0" w:line="240" w:lineRule="auto"/>
        <w:jc w:val="both"/>
        <w:rPr>
          <w:rFonts w:ascii="Times New Roman" w:hAnsi="Times New Roman" w:cs="Times New Roman"/>
          <w:lang w:val="sr-Latn-ME"/>
        </w:rPr>
      </w:pPr>
    </w:p>
    <w:sectPr w:rsidR="009318B4" w:rsidRPr="007076F7" w:rsidSect="00AE0627">
      <w:headerReference w:type="default" r:id="rId12"/>
      <w:footerReference w:type="default" r:id="rId13"/>
      <w:headerReference w:type="first" r:id="rId14"/>
      <w:footerReference w:type="first" r:id="rId15"/>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1A01D" w14:textId="77777777" w:rsidR="008F1FA7" w:rsidRDefault="008F1FA7" w:rsidP="00FF2B5A">
      <w:pPr>
        <w:spacing w:after="0" w:line="240" w:lineRule="auto"/>
      </w:pPr>
      <w:r>
        <w:separator/>
      </w:r>
    </w:p>
  </w:endnote>
  <w:endnote w:type="continuationSeparator" w:id="0">
    <w:p w14:paraId="6FB02B08" w14:textId="77777777" w:rsidR="008F1FA7" w:rsidRDefault="008F1FA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2E749" w14:textId="77777777" w:rsidR="00DC1D8A" w:rsidRPr="00F1527C" w:rsidRDefault="00DC1D8A" w:rsidP="00AE0627">
    <w:pPr>
      <w:tabs>
        <w:tab w:val="center" w:pos="4320"/>
        <w:tab w:val="right" w:pos="8640"/>
      </w:tabs>
      <w:spacing w:after="0" w:line="240" w:lineRule="auto"/>
      <w:rPr>
        <w:rFonts w:ascii="Times New Roman" w:eastAsia="Times New Roman" w:hAnsi="Times New Roman" w:cs="Times New Roman"/>
        <w:sz w:val="16"/>
        <w:szCs w:val="18"/>
        <w:lang w:val="sr-Latn-ME"/>
      </w:rPr>
    </w:pPr>
  </w:p>
  <w:p w14:paraId="5542E74A" w14:textId="77777777" w:rsidR="00DC1D8A" w:rsidRPr="00F1527C" w:rsidRDefault="00DC1D8A"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5542E74B" w14:textId="2D9E0764" w:rsidR="00DC1D8A" w:rsidRPr="009318B4" w:rsidRDefault="00DC1D8A"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06B15">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06B15">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2E74F" w14:textId="77777777" w:rsidR="00DC1D8A" w:rsidRPr="00F1527C" w:rsidRDefault="00DC1D8A"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542E750" w14:textId="77777777" w:rsidR="00DC1D8A" w:rsidRPr="00F1527C" w:rsidRDefault="00DC1D8A"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 xml:space="preserve">81000 Podgorica, </w:t>
    </w:r>
    <w:proofErr w:type="spellStart"/>
    <w:r w:rsidRPr="00F1527C">
      <w:rPr>
        <w:rFonts w:ascii="Times New Roman" w:eastAsia="Times New Roman" w:hAnsi="Times New Roman" w:cs="Times New Roman"/>
        <w:color w:val="E65900"/>
        <w:sz w:val="16"/>
        <w:szCs w:val="18"/>
        <w:lang w:val="sr-Latn-ME"/>
      </w:rPr>
      <w:t>Bul</w:t>
    </w:r>
    <w:proofErr w:type="spellEnd"/>
    <w:r w:rsidRPr="00F1527C">
      <w:rPr>
        <w:rFonts w:ascii="Times New Roman" w:eastAsia="Times New Roman" w:hAnsi="Times New Roman" w:cs="Times New Roman"/>
        <w:color w:val="E65900"/>
        <w:sz w:val="16"/>
        <w:szCs w:val="18"/>
        <w:lang w:val="sr-Latn-ME"/>
      </w:rPr>
      <w:t>. Ivana Crnojevića 64a</w:t>
    </w:r>
  </w:p>
  <w:p w14:paraId="5542E751" w14:textId="77777777" w:rsidR="00DC1D8A" w:rsidRPr="00F1527C" w:rsidRDefault="00DC1D8A"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fax</w:t>
    </w:r>
    <w:proofErr w:type="spellEnd"/>
    <w:r w:rsidRPr="00F1527C">
      <w:rPr>
        <w:rFonts w:ascii="Times New Roman" w:eastAsia="Times New Roman" w:hAnsi="Times New Roman" w:cs="Times New Roman"/>
        <w:color w:val="FA0000"/>
        <w:sz w:val="16"/>
        <w:szCs w:val="18"/>
        <w:lang w:val="sr-Latn-ME"/>
      </w:rPr>
      <w:t>: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žiro</w:t>
    </w:r>
    <w:proofErr w:type="spellEnd"/>
    <w:r w:rsidRPr="00F1527C">
      <w:rPr>
        <w:rFonts w:ascii="Times New Roman" w:eastAsia="Times New Roman" w:hAnsi="Times New Roman" w:cs="Times New Roman"/>
        <w:color w:val="FA0000"/>
        <w:sz w:val="16"/>
        <w:szCs w:val="18"/>
        <w:lang w:val="sr-Latn-ME"/>
      </w:rPr>
      <w:t xml:space="preserve"> račun: 520-3603-33</w:t>
    </w:r>
  </w:p>
  <w:p w14:paraId="5542E752" w14:textId="77777777" w:rsidR="00DC1D8A" w:rsidRPr="00F1527C" w:rsidRDefault="00DC1D8A"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542E753" w14:textId="77777777" w:rsidR="00DC1D8A" w:rsidRPr="00F1527C" w:rsidRDefault="00DC1D8A"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5542E754" w14:textId="77777777" w:rsidR="00DC1D8A" w:rsidRPr="009318B4" w:rsidRDefault="00DC1D8A"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F192D" w14:textId="77777777" w:rsidR="008F1FA7" w:rsidRDefault="008F1FA7" w:rsidP="00FF2B5A">
      <w:pPr>
        <w:spacing w:after="0" w:line="240" w:lineRule="auto"/>
      </w:pPr>
      <w:r>
        <w:separator/>
      </w:r>
    </w:p>
  </w:footnote>
  <w:footnote w:type="continuationSeparator" w:id="0">
    <w:p w14:paraId="5E1CE38A" w14:textId="77777777" w:rsidR="008F1FA7" w:rsidRDefault="008F1FA7"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2E745" w14:textId="77777777" w:rsidR="00DC1D8A" w:rsidRDefault="00DC1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2E74C" w14:textId="77777777" w:rsidR="00DC1D8A" w:rsidRDefault="00DC1D8A" w:rsidP="009318B4">
    <w:pPr>
      <w:pStyle w:val="Header"/>
      <w:rPr>
        <w:sz w:val="16"/>
        <w:szCs w:val="16"/>
      </w:rPr>
    </w:pPr>
  </w:p>
  <w:p w14:paraId="5542E74D" w14:textId="77777777" w:rsidR="00DC1D8A" w:rsidRDefault="00DC1D8A"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542E757" wp14:editId="5542E758">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542E74E" w14:textId="77777777" w:rsidR="00DC1D8A" w:rsidRDefault="00DC1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C7E3658"/>
    <w:multiLevelType w:val="hybridMultilevel"/>
    <w:tmpl w:val="184C6F7E"/>
    <w:lvl w:ilvl="0" w:tplc="BC384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115F"/>
    <w:rsid w:val="00116FE6"/>
    <w:rsid w:val="0013358F"/>
    <w:rsid w:val="001A696C"/>
    <w:rsid w:val="002828B6"/>
    <w:rsid w:val="002830A5"/>
    <w:rsid w:val="002B0F54"/>
    <w:rsid w:val="002C0872"/>
    <w:rsid w:val="002D5DB3"/>
    <w:rsid w:val="002E7166"/>
    <w:rsid w:val="003257C2"/>
    <w:rsid w:val="00326BFE"/>
    <w:rsid w:val="00333B76"/>
    <w:rsid w:val="003B5724"/>
    <w:rsid w:val="00461135"/>
    <w:rsid w:val="004917F9"/>
    <w:rsid w:val="004E3DF7"/>
    <w:rsid w:val="004F03CE"/>
    <w:rsid w:val="004F1200"/>
    <w:rsid w:val="005341C1"/>
    <w:rsid w:val="00560316"/>
    <w:rsid w:val="005702A9"/>
    <w:rsid w:val="005912CB"/>
    <w:rsid w:val="005969F6"/>
    <w:rsid w:val="0061366D"/>
    <w:rsid w:val="00625347"/>
    <w:rsid w:val="00632B8A"/>
    <w:rsid w:val="00632F9E"/>
    <w:rsid w:val="006743F0"/>
    <w:rsid w:val="006945FA"/>
    <w:rsid w:val="006A54E8"/>
    <w:rsid w:val="006B7F8B"/>
    <w:rsid w:val="007076F7"/>
    <w:rsid w:val="00747C4B"/>
    <w:rsid w:val="00783B8D"/>
    <w:rsid w:val="00785FD0"/>
    <w:rsid w:val="00815564"/>
    <w:rsid w:val="00851C9A"/>
    <w:rsid w:val="00862F9B"/>
    <w:rsid w:val="00880E23"/>
    <w:rsid w:val="00883AF2"/>
    <w:rsid w:val="008932F7"/>
    <w:rsid w:val="008B4E53"/>
    <w:rsid w:val="008C21AC"/>
    <w:rsid w:val="008F1FA7"/>
    <w:rsid w:val="0092492D"/>
    <w:rsid w:val="009278F2"/>
    <w:rsid w:val="009318B4"/>
    <w:rsid w:val="00934541"/>
    <w:rsid w:val="0096073D"/>
    <w:rsid w:val="009D71D9"/>
    <w:rsid w:val="00A06058"/>
    <w:rsid w:val="00A06B15"/>
    <w:rsid w:val="00A442DE"/>
    <w:rsid w:val="00A76584"/>
    <w:rsid w:val="00AE0627"/>
    <w:rsid w:val="00AE75FE"/>
    <w:rsid w:val="00B234CE"/>
    <w:rsid w:val="00B34AF2"/>
    <w:rsid w:val="00B66416"/>
    <w:rsid w:val="00BD1EFE"/>
    <w:rsid w:val="00C30D13"/>
    <w:rsid w:val="00C4240B"/>
    <w:rsid w:val="00D16BE1"/>
    <w:rsid w:val="00D45AFE"/>
    <w:rsid w:val="00D6417C"/>
    <w:rsid w:val="00DB07ED"/>
    <w:rsid w:val="00DC1D8A"/>
    <w:rsid w:val="00DC3353"/>
    <w:rsid w:val="00DF56B9"/>
    <w:rsid w:val="00E0627A"/>
    <w:rsid w:val="00EB2A93"/>
    <w:rsid w:val="00EB5DE7"/>
    <w:rsid w:val="00F1527C"/>
    <w:rsid w:val="00F454FE"/>
    <w:rsid w:val="00F6558F"/>
    <w:rsid w:val="00F66BB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2E535"/>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E7166"/>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semiHidden/>
    <w:unhideWhenUsed/>
    <w:qFormat/>
    <w:rsid w:val="002E716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semiHidden/>
    <w:unhideWhenUsed/>
    <w:qFormat/>
    <w:rsid w:val="002E7166"/>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semiHidden/>
    <w:unhideWhenUsed/>
    <w:qFormat/>
    <w:rsid w:val="002E7166"/>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2E7166"/>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semiHidden/>
    <w:rsid w:val="002E7166"/>
    <w:rPr>
      <w:rFonts w:ascii="Arial" w:eastAsia="Times New Roman" w:hAnsi="Arial" w:cs="Arial"/>
      <w:i/>
      <w:iCs/>
      <w:color w:val="999999"/>
      <w:sz w:val="18"/>
      <w:szCs w:val="24"/>
    </w:rPr>
  </w:style>
  <w:style w:type="character" w:customStyle="1" w:styleId="Heading3Char">
    <w:name w:val="Heading 3 Char"/>
    <w:basedOn w:val="DefaultParagraphFont"/>
    <w:link w:val="Heading3"/>
    <w:semiHidden/>
    <w:rsid w:val="002E7166"/>
    <w:rPr>
      <w:rFonts w:ascii="Arial" w:eastAsia="Times New Roman" w:hAnsi="Arial" w:cs="Arial"/>
      <w:i/>
      <w:iCs/>
      <w:color w:val="999999"/>
      <w:sz w:val="18"/>
      <w:szCs w:val="24"/>
    </w:rPr>
  </w:style>
  <w:style w:type="character" w:customStyle="1" w:styleId="Heading4Char">
    <w:name w:val="Heading 4 Char"/>
    <w:basedOn w:val="DefaultParagraphFont"/>
    <w:link w:val="Heading4"/>
    <w:semiHidden/>
    <w:rsid w:val="002E7166"/>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2E7166"/>
  </w:style>
  <w:style w:type="character" w:styleId="Hyperlink">
    <w:name w:val="Hyperlink"/>
    <w:unhideWhenUsed/>
    <w:rsid w:val="002E7166"/>
    <w:rPr>
      <w:rFonts w:ascii="Times New Roman" w:hAnsi="Times New Roman" w:cs="Times New Roman" w:hint="default"/>
      <w:color w:val="000000"/>
      <w:sz w:val="24"/>
      <w:szCs w:val="24"/>
      <w:u w:val="single"/>
      <w:lang w:val="sr-Latn-CS"/>
    </w:rPr>
  </w:style>
  <w:style w:type="character" w:customStyle="1" w:styleId="FollowedHyperlink1">
    <w:name w:val="FollowedHyperlink1"/>
    <w:basedOn w:val="DefaultParagraphFont"/>
    <w:uiPriority w:val="99"/>
    <w:semiHidden/>
    <w:unhideWhenUsed/>
    <w:rsid w:val="002E7166"/>
    <w:rPr>
      <w:color w:val="800080"/>
      <w:u w:val="single"/>
    </w:rPr>
  </w:style>
  <w:style w:type="paragraph" w:styleId="NormalWeb">
    <w:name w:val="Normal (Web)"/>
    <w:basedOn w:val="Normal"/>
    <w:semiHidden/>
    <w:unhideWhenUsed/>
    <w:rsid w:val="002E7166"/>
    <w:pPr>
      <w:snapToGrid w:val="0"/>
      <w:spacing w:before="100" w:beforeAutospacing="1" w:after="58" w:line="240" w:lineRule="auto"/>
    </w:pPr>
    <w:rPr>
      <w:rFonts w:ascii="Times New Roman" w:eastAsia="Times New Roman" w:hAnsi="Times New Roman" w:cs="Times New Roman"/>
      <w:color w:val="000000"/>
      <w:sz w:val="24"/>
      <w:szCs w:val="24"/>
      <w:lang w:eastAsia="sr-Latn-CS"/>
    </w:rPr>
  </w:style>
  <w:style w:type="paragraph" w:styleId="CommentText">
    <w:name w:val="annotation text"/>
    <w:basedOn w:val="Normal"/>
    <w:link w:val="CommentTextChar"/>
    <w:semiHidden/>
    <w:unhideWhenUsed/>
    <w:rsid w:val="002E7166"/>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2E7166"/>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unhideWhenUsed/>
    <w:rsid w:val="002E7166"/>
    <w:rPr>
      <w:b/>
      <w:bCs/>
    </w:rPr>
  </w:style>
  <w:style w:type="character" w:customStyle="1" w:styleId="CommentSubjectChar">
    <w:name w:val="Comment Subject Char"/>
    <w:basedOn w:val="CommentTextChar"/>
    <w:link w:val="CommentSubject"/>
    <w:semiHidden/>
    <w:rsid w:val="002E7166"/>
    <w:rPr>
      <w:rFonts w:ascii="Humanist777" w:eastAsia="Times New Roman" w:hAnsi="Humanist777" w:cs="Times New Roman"/>
      <w:b/>
      <w:bCs/>
      <w:sz w:val="20"/>
      <w:szCs w:val="20"/>
    </w:rPr>
  </w:style>
  <w:style w:type="paragraph" w:styleId="BalloonText">
    <w:name w:val="Balloon Text"/>
    <w:basedOn w:val="Normal"/>
    <w:link w:val="BalloonTextChar"/>
    <w:semiHidden/>
    <w:unhideWhenUsed/>
    <w:rsid w:val="002E7166"/>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E7166"/>
    <w:rPr>
      <w:rFonts w:ascii="Tahoma" w:eastAsia="Times New Roman" w:hAnsi="Tahoma" w:cs="Tahoma"/>
      <w:sz w:val="16"/>
      <w:szCs w:val="16"/>
    </w:rPr>
  </w:style>
  <w:style w:type="paragraph" w:styleId="Revision">
    <w:name w:val="Revision"/>
    <w:uiPriority w:val="99"/>
    <w:semiHidden/>
    <w:rsid w:val="002E7166"/>
    <w:pPr>
      <w:spacing w:after="0" w:line="240" w:lineRule="auto"/>
    </w:pPr>
    <w:rPr>
      <w:rFonts w:ascii="Humanist777" w:eastAsia="Times New Roman" w:hAnsi="Humanist777" w:cs="Times New Roman"/>
      <w:sz w:val="24"/>
      <w:szCs w:val="24"/>
    </w:rPr>
  </w:style>
  <w:style w:type="paragraph" w:customStyle="1" w:styleId="Default">
    <w:name w:val="Default"/>
    <w:rsid w:val="002E7166"/>
    <w:pPr>
      <w:autoSpaceDE w:val="0"/>
      <w:autoSpaceDN w:val="0"/>
      <w:adjustRightInd w:val="0"/>
      <w:snapToGrid w:val="0"/>
      <w:spacing w:after="0" w:line="240" w:lineRule="auto"/>
    </w:pPr>
    <w:rPr>
      <w:rFonts w:ascii="Times New Roman" w:eastAsia="Times New Roman" w:hAnsi="Times New Roman" w:cs="Times New Roman"/>
      <w:color w:val="000000"/>
      <w:sz w:val="24"/>
      <w:szCs w:val="24"/>
      <w:lang w:val="sl-SI" w:eastAsia="sr-Latn-CS"/>
    </w:rPr>
  </w:style>
  <w:style w:type="character" w:styleId="CommentReference">
    <w:name w:val="annotation reference"/>
    <w:semiHidden/>
    <w:unhideWhenUsed/>
    <w:rsid w:val="002E7166"/>
    <w:rPr>
      <w:sz w:val="16"/>
      <w:szCs w:val="16"/>
    </w:rPr>
  </w:style>
  <w:style w:type="table" w:styleId="TableGrid">
    <w:name w:val="Table Grid"/>
    <w:basedOn w:val="TableNormal"/>
    <w:rsid w:val="002E7166"/>
    <w:pPr>
      <w:spacing w:after="0" w:line="240" w:lineRule="auto"/>
    </w:pPr>
    <w:rPr>
      <w:rFonts w:ascii="Calibri" w:eastAsia="Calibri" w:hAnsi="Calibri" w:cs="Times New Roman"/>
      <w:lang w:val="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2E7166"/>
    <w:rPr>
      <w:color w:val="954F72" w:themeColor="followedHyperlink"/>
      <w:u w:val="single"/>
    </w:rPr>
  </w:style>
  <w:style w:type="character" w:customStyle="1" w:styleId="UnresolvedMention1">
    <w:name w:val="Unresolved Mention1"/>
    <w:basedOn w:val="DefaultParagraphFont"/>
    <w:uiPriority w:val="99"/>
    <w:semiHidden/>
    <w:unhideWhenUsed/>
    <w:rsid w:val="00880E23"/>
    <w:rPr>
      <w:color w:val="605E5C"/>
      <w:shd w:val="clear" w:color="auto" w:fill="E1DFDD"/>
    </w:rPr>
  </w:style>
  <w:style w:type="paragraph" w:styleId="ListParagraph">
    <w:name w:val="List Paragraph"/>
    <w:basedOn w:val="Normal"/>
    <w:uiPriority w:val="34"/>
    <w:qFormat/>
    <w:rsid w:val="00AE0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09E97-CC8A-425C-BB23-D90CCE5D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4835</Words>
  <Characters>27563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10</cp:revision>
  <dcterms:created xsi:type="dcterms:W3CDTF">2024-03-11T14:52:00Z</dcterms:created>
  <dcterms:modified xsi:type="dcterms:W3CDTF">2024-12-02T12:23:00Z</dcterms:modified>
</cp:coreProperties>
</file>