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6BF47" w14:textId="77777777" w:rsidR="00561B67" w:rsidRPr="007703FB" w:rsidRDefault="00561B67" w:rsidP="00923865">
      <w:pPr>
        <w:jc w:val="center"/>
        <w:rPr>
          <w:b/>
          <w:bCs/>
          <w:iCs/>
          <w:szCs w:val="22"/>
          <w:u w:val="single"/>
          <w:lang w:val="hr-HR"/>
        </w:rPr>
      </w:pPr>
    </w:p>
    <w:p w14:paraId="6014D684" w14:textId="77777777" w:rsidR="00561B67" w:rsidRPr="007703FB" w:rsidRDefault="00561B67" w:rsidP="00923865">
      <w:pPr>
        <w:jc w:val="center"/>
        <w:rPr>
          <w:b/>
          <w:bCs/>
          <w:iCs/>
          <w:szCs w:val="22"/>
          <w:u w:val="single"/>
          <w:lang w:val="hr-HR"/>
        </w:rPr>
      </w:pPr>
    </w:p>
    <w:p w14:paraId="1A7669FC" w14:textId="77777777" w:rsidR="00CE09F3" w:rsidRPr="007703FB" w:rsidRDefault="00CE09F3" w:rsidP="00C32B1E">
      <w:pPr>
        <w:jc w:val="center"/>
        <w:rPr>
          <w:b/>
          <w:bCs/>
          <w:iCs/>
          <w:szCs w:val="22"/>
          <w:u w:val="single"/>
          <w:lang w:val="hr-HR"/>
        </w:rPr>
      </w:pPr>
      <w:r w:rsidRPr="007703FB">
        <w:rPr>
          <w:b/>
          <w:bCs/>
          <w:iCs/>
          <w:szCs w:val="22"/>
          <w:u w:val="single"/>
          <w:lang w:val="hr-HR"/>
        </w:rPr>
        <w:t>SAŽETAK KARAKTERISTIKA L</w:t>
      </w:r>
      <w:r w:rsidR="00D7729A" w:rsidRPr="007703FB">
        <w:rPr>
          <w:b/>
          <w:bCs/>
          <w:iCs/>
          <w:szCs w:val="22"/>
          <w:u w:val="single"/>
          <w:lang w:val="hr-HR"/>
        </w:rPr>
        <w:t>IJ</w:t>
      </w:r>
      <w:r w:rsidRPr="007703FB">
        <w:rPr>
          <w:b/>
          <w:bCs/>
          <w:iCs/>
          <w:szCs w:val="22"/>
          <w:u w:val="single"/>
          <w:lang w:val="hr-HR"/>
        </w:rPr>
        <w:t>EKA</w:t>
      </w:r>
    </w:p>
    <w:p w14:paraId="47D59A9D" w14:textId="77777777" w:rsidR="00605F56" w:rsidRPr="007703FB" w:rsidRDefault="00605F56" w:rsidP="00847188">
      <w:pPr>
        <w:tabs>
          <w:tab w:val="left" w:pos="-720"/>
        </w:tabs>
        <w:suppressAutoHyphens/>
        <w:spacing w:line="288" w:lineRule="auto"/>
        <w:rPr>
          <w:b/>
          <w:szCs w:val="22"/>
          <w:lang w:val="hr-HR"/>
        </w:rPr>
      </w:pPr>
    </w:p>
    <w:p w14:paraId="79584CC1" w14:textId="7FFF8DF8" w:rsidR="00CE09F3" w:rsidRPr="007703FB" w:rsidRDefault="00FD29A2" w:rsidP="00C32B1E">
      <w:pPr>
        <w:pStyle w:val="NASLOV123"/>
        <w:tabs>
          <w:tab w:val="clear" w:pos="284"/>
          <w:tab w:val="left" w:pos="567"/>
        </w:tabs>
        <w:rPr>
          <w:lang w:val="hr-HR"/>
        </w:rPr>
      </w:pPr>
      <w:r w:rsidRPr="007703FB">
        <w:rPr>
          <w:lang w:val="hr-HR"/>
        </w:rPr>
        <w:t xml:space="preserve">1. </w:t>
      </w:r>
      <w:r w:rsidR="00C32B1E" w:rsidRPr="007703FB">
        <w:rPr>
          <w:lang w:val="hr-HR"/>
        </w:rPr>
        <w:tab/>
      </w:r>
      <w:r w:rsidRPr="007703FB">
        <w:rPr>
          <w:lang w:val="hr-HR"/>
        </w:rPr>
        <w:t>NAZIV</w:t>
      </w:r>
      <w:r w:rsidR="00CE09F3" w:rsidRPr="007703FB">
        <w:rPr>
          <w:lang w:val="hr-HR"/>
        </w:rPr>
        <w:t xml:space="preserve"> L</w:t>
      </w:r>
      <w:r w:rsidRPr="007703FB">
        <w:rPr>
          <w:lang w:val="hr-HR"/>
        </w:rPr>
        <w:t>IJ</w:t>
      </w:r>
      <w:r w:rsidR="00CE09F3" w:rsidRPr="007703FB">
        <w:rPr>
          <w:lang w:val="hr-HR"/>
        </w:rPr>
        <w:t>EKA</w:t>
      </w:r>
    </w:p>
    <w:p w14:paraId="4B85732F" w14:textId="1FFA799C" w:rsidR="00CE09F3" w:rsidRPr="008D0BF3" w:rsidRDefault="00B07542" w:rsidP="00B07542">
      <w:pPr>
        <w:rPr>
          <w:bCs/>
          <w:szCs w:val="22"/>
          <w:lang w:val="hr-HR"/>
        </w:rPr>
      </w:pPr>
      <w:r w:rsidRPr="002E7D92">
        <w:rPr>
          <w:iCs/>
          <w:szCs w:val="22"/>
          <w:lang w:val="hr-HR"/>
        </w:rPr>
        <w:t>Salazopyrin EN</w:t>
      </w:r>
      <w:r w:rsidR="00C504AD" w:rsidRPr="002E7D92">
        <w:rPr>
          <w:iCs/>
          <w:szCs w:val="22"/>
          <w:lang w:val="hr-HR"/>
        </w:rPr>
        <w:t>,</w:t>
      </w:r>
      <w:r w:rsidRPr="002E7D92">
        <w:rPr>
          <w:iCs/>
          <w:szCs w:val="22"/>
          <w:lang w:val="hr-HR"/>
        </w:rPr>
        <w:t xml:space="preserve"> 500 mg</w:t>
      </w:r>
      <w:r w:rsidR="00C504AD" w:rsidRPr="002E7D92">
        <w:rPr>
          <w:iCs/>
          <w:szCs w:val="22"/>
          <w:lang w:val="hr-HR"/>
        </w:rPr>
        <w:t>,</w:t>
      </w:r>
      <w:r w:rsidRPr="002E7D92">
        <w:rPr>
          <w:iCs/>
          <w:szCs w:val="22"/>
          <w:lang w:val="hr-HR"/>
        </w:rPr>
        <w:t xml:space="preserve"> gastrorezistentn</w:t>
      </w:r>
      <w:r w:rsidR="008D0BF3">
        <w:rPr>
          <w:iCs/>
          <w:szCs w:val="22"/>
          <w:lang w:val="hr-HR"/>
        </w:rPr>
        <w:t>a</w:t>
      </w:r>
      <w:r w:rsidRPr="002E7D92">
        <w:rPr>
          <w:iCs/>
          <w:szCs w:val="22"/>
          <w:lang w:val="hr-HR"/>
        </w:rPr>
        <w:t xml:space="preserve"> tablet</w:t>
      </w:r>
      <w:r w:rsidR="008D0BF3">
        <w:rPr>
          <w:iCs/>
          <w:szCs w:val="22"/>
          <w:lang w:val="hr-HR"/>
        </w:rPr>
        <w:t>a</w:t>
      </w:r>
    </w:p>
    <w:p w14:paraId="59A0C1A4" w14:textId="77777777" w:rsidR="00CE09F3" w:rsidRPr="007703FB" w:rsidRDefault="00CE09F3" w:rsidP="00923865">
      <w:pPr>
        <w:rPr>
          <w:bCs/>
          <w:szCs w:val="22"/>
          <w:lang w:val="hr-HR"/>
        </w:rPr>
      </w:pPr>
    </w:p>
    <w:p w14:paraId="07319C2E" w14:textId="77777777" w:rsidR="00CE09F3" w:rsidRPr="007703FB" w:rsidRDefault="00CE09F3" w:rsidP="00D136A5">
      <w:pPr>
        <w:rPr>
          <w:szCs w:val="22"/>
          <w:lang w:val="hr-HR"/>
        </w:rPr>
      </w:pPr>
      <w:r w:rsidRPr="007703FB">
        <w:rPr>
          <w:szCs w:val="22"/>
          <w:lang w:val="hr-HR"/>
        </w:rPr>
        <w:t>INN:</w:t>
      </w:r>
      <w:r w:rsidR="00B07542" w:rsidRPr="007703FB">
        <w:rPr>
          <w:szCs w:val="22"/>
          <w:lang w:val="hr-HR"/>
        </w:rPr>
        <w:t xml:space="preserve"> sulfasalazin</w:t>
      </w:r>
    </w:p>
    <w:p w14:paraId="15413DE5" w14:textId="7A0B63B7" w:rsidR="00160E92" w:rsidRDefault="00160E92" w:rsidP="00D136A5">
      <w:pPr>
        <w:rPr>
          <w:szCs w:val="22"/>
          <w:lang w:val="hr-HR"/>
        </w:rPr>
      </w:pPr>
    </w:p>
    <w:p w14:paraId="21FD5F0A" w14:textId="77777777" w:rsidR="00D136A5" w:rsidRPr="007703FB" w:rsidRDefault="00D136A5" w:rsidP="00D136A5">
      <w:pPr>
        <w:rPr>
          <w:szCs w:val="22"/>
          <w:lang w:val="hr-HR"/>
        </w:rPr>
      </w:pPr>
    </w:p>
    <w:p w14:paraId="02F041FA" w14:textId="1BB0B12D" w:rsidR="00CE09F3" w:rsidRPr="007703FB" w:rsidRDefault="00CE09F3" w:rsidP="00D136A5">
      <w:pPr>
        <w:pStyle w:val="NASLOV123"/>
        <w:tabs>
          <w:tab w:val="clear" w:pos="284"/>
          <w:tab w:val="left" w:pos="567"/>
        </w:tabs>
        <w:spacing w:before="0" w:after="0"/>
        <w:rPr>
          <w:lang w:val="hr-HR"/>
        </w:rPr>
      </w:pPr>
      <w:r w:rsidRPr="007703FB">
        <w:rPr>
          <w:lang w:val="hr-HR"/>
        </w:rPr>
        <w:t xml:space="preserve">2. </w:t>
      </w:r>
      <w:r w:rsidR="00C32B1E" w:rsidRPr="007703FB">
        <w:rPr>
          <w:lang w:val="hr-HR"/>
        </w:rPr>
        <w:tab/>
      </w:r>
      <w:r w:rsidRPr="007703FB">
        <w:rPr>
          <w:lang w:val="hr-HR"/>
        </w:rPr>
        <w:t>KVALITATIVNI I KVANTITATIVNI SASTAV</w:t>
      </w:r>
    </w:p>
    <w:p w14:paraId="11C0F08E" w14:textId="77777777" w:rsidR="00D136A5" w:rsidRDefault="00D136A5" w:rsidP="00B91EBB">
      <w:pPr>
        <w:tabs>
          <w:tab w:val="left" w:pos="-720"/>
        </w:tabs>
        <w:rPr>
          <w:szCs w:val="22"/>
          <w:lang w:val="hr-HR"/>
        </w:rPr>
      </w:pPr>
    </w:p>
    <w:p w14:paraId="561FC7BF" w14:textId="3C43D7F7" w:rsidR="00B07542" w:rsidRPr="007703FB" w:rsidRDefault="00B07542" w:rsidP="00B91EBB">
      <w:pPr>
        <w:tabs>
          <w:tab w:val="left" w:pos="-720"/>
        </w:tabs>
        <w:rPr>
          <w:szCs w:val="22"/>
          <w:lang w:val="hr-HR"/>
        </w:rPr>
      </w:pPr>
      <w:r w:rsidRPr="007703FB">
        <w:rPr>
          <w:szCs w:val="22"/>
          <w:lang w:val="hr-HR"/>
        </w:rPr>
        <w:t>Jedna gastrorezistentna tableta</w:t>
      </w:r>
      <w:r w:rsidR="00F375A9" w:rsidRPr="007703FB">
        <w:rPr>
          <w:szCs w:val="22"/>
          <w:lang w:val="hr-HR"/>
        </w:rPr>
        <w:t xml:space="preserve"> sadrži</w:t>
      </w:r>
      <w:r w:rsidRPr="007703FB">
        <w:rPr>
          <w:szCs w:val="22"/>
          <w:lang w:val="hr-HR"/>
        </w:rPr>
        <w:t xml:space="preserve"> 500 mg sulfasalazina</w:t>
      </w:r>
      <w:r w:rsidR="00C504AD" w:rsidRPr="007703FB">
        <w:rPr>
          <w:szCs w:val="22"/>
          <w:lang w:val="hr-HR"/>
        </w:rPr>
        <w:t xml:space="preserve"> (u obliku 535 mg sulfasalazina sa povidonom)</w:t>
      </w:r>
      <w:r w:rsidRPr="007703FB">
        <w:rPr>
          <w:szCs w:val="22"/>
          <w:lang w:val="hr-HR"/>
        </w:rPr>
        <w:t>.</w:t>
      </w:r>
    </w:p>
    <w:p w14:paraId="2D3C325F" w14:textId="73502673" w:rsidR="00C32B1E" w:rsidRPr="007703FB" w:rsidRDefault="00C32B1E" w:rsidP="00C630F2">
      <w:pPr>
        <w:tabs>
          <w:tab w:val="left" w:pos="-720"/>
        </w:tabs>
        <w:rPr>
          <w:szCs w:val="22"/>
          <w:lang w:val="hr-HR"/>
        </w:rPr>
      </w:pPr>
    </w:p>
    <w:p w14:paraId="56F28CD3" w14:textId="0A98E8FE" w:rsidR="00C32B1E" w:rsidRPr="007703FB" w:rsidRDefault="00C32B1E" w:rsidP="00C630F2">
      <w:pPr>
        <w:tabs>
          <w:tab w:val="left" w:pos="-720"/>
        </w:tabs>
        <w:rPr>
          <w:szCs w:val="22"/>
          <w:lang w:val="hr-HR"/>
        </w:rPr>
      </w:pPr>
      <w:r w:rsidRPr="007703FB">
        <w:rPr>
          <w:szCs w:val="22"/>
          <w:u w:val="single"/>
          <w:lang w:val="hr-HR"/>
        </w:rPr>
        <w:t>Ekscipijens sa poznatim dejstvom</w:t>
      </w:r>
      <w:r w:rsidRPr="007703FB">
        <w:rPr>
          <w:szCs w:val="22"/>
          <w:lang w:val="hr-HR"/>
        </w:rPr>
        <w:t>:</w:t>
      </w:r>
    </w:p>
    <w:p w14:paraId="321170AA" w14:textId="2109BE22" w:rsidR="00C32B1E" w:rsidRPr="007703FB" w:rsidRDefault="00C32B1E" w:rsidP="00C630F2">
      <w:pPr>
        <w:tabs>
          <w:tab w:val="left" w:pos="-720"/>
        </w:tabs>
        <w:rPr>
          <w:szCs w:val="22"/>
          <w:lang w:val="hr-HR"/>
        </w:rPr>
      </w:pPr>
      <w:r w:rsidRPr="007703FB">
        <w:rPr>
          <w:szCs w:val="22"/>
          <w:lang w:val="hr-HR"/>
        </w:rPr>
        <w:t>Jedna gastrorezistentna tableta sadrži 5 mg propilen</w:t>
      </w:r>
      <w:r w:rsidR="00513268">
        <w:rPr>
          <w:szCs w:val="22"/>
          <w:lang w:val="hr-HR"/>
        </w:rPr>
        <w:t xml:space="preserve"> </w:t>
      </w:r>
      <w:r w:rsidRPr="007703FB">
        <w:rPr>
          <w:szCs w:val="22"/>
          <w:lang w:val="hr-HR"/>
        </w:rPr>
        <w:t>glikola.</w:t>
      </w:r>
    </w:p>
    <w:p w14:paraId="64DFF047" w14:textId="77777777" w:rsidR="00C32B1E" w:rsidRPr="007703FB" w:rsidRDefault="00C32B1E" w:rsidP="00C630F2">
      <w:pPr>
        <w:tabs>
          <w:tab w:val="left" w:pos="-720"/>
        </w:tabs>
        <w:rPr>
          <w:szCs w:val="22"/>
          <w:lang w:val="hr-HR"/>
        </w:rPr>
      </w:pPr>
    </w:p>
    <w:p w14:paraId="2E45B5E5" w14:textId="0DCFE0F7" w:rsidR="00E41FE8" w:rsidRPr="007703FB" w:rsidRDefault="00E41FE8" w:rsidP="00C630F2">
      <w:pPr>
        <w:tabs>
          <w:tab w:val="left" w:pos="-720"/>
        </w:tabs>
        <w:rPr>
          <w:szCs w:val="22"/>
          <w:lang w:val="hr-HR"/>
        </w:rPr>
      </w:pPr>
      <w:r w:rsidRPr="007703FB">
        <w:rPr>
          <w:szCs w:val="22"/>
          <w:lang w:val="hr-HR"/>
        </w:rPr>
        <w:t xml:space="preserve">Za </w:t>
      </w:r>
      <w:r w:rsidR="00CE7E6F">
        <w:rPr>
          <w:szCs w:val="22"/>
          <w:lang w:val="hr-HR"/>
        </w:rPr>
        <w:t>spisak svih ekscipijenasa, pogleda</w:t>
      </w:r>
      <w:r w:rsidRPr="007703FB">
        <w:rPr>
          <w:szCs w:val="22"/>
          <w:lang w:val="hr-HR"/>
        </w:rPr>
        <w:t xml:space="preserve">ti </w:t>
      </w:r>
      <w:r w:rsidR="00CE7E6F">
        <w:rPr>
          <w:szCs w:val="22"/>
          <w:lang w:val="hr-HR"/>
        </w:rPr>
        <w:t>di</w:t>
      </w:r>
      <w:r w:rsidRPr="007703FB">
        <w:rPr>
          <w:szCs w:val="22"/>
          <w:lang w:val="hr-HR"/>
        </w:rPr>
        <w:t>o 6.1.</w:t>
      </w:r>
    </w:p>
    <w:p w14:paraId="435FD999" w14:textId="7FB34CB2" w:rsidR="00160E92" w:rsidRDefault="00160E92" w:rsidP="00C630F2">
      <w:pPr>
        <w:tabs>
          <w:tab w:val="left" w:pos="-720"/>
        </w:tabs>
        <w:rPr>
          <w:szCs w:val="22"/>
          <w:lang w:val="hr-HR"/>
        </w:rPr>
      </w:pPr>
    </w:p>
    <w:p w14:paraId="1C92444C" w14:textId="77777777" w:rsidR="00C630F2" w:rsidRPr="007703FB" w:rsidRDefault="00C630F2" w:rsidP="00C630F2">
      <w:pPr>
        <w:tabs>
          <w:tab w:val="left" w:pos="-720"/>
        </w:tabs>
        <w:rPr>
          <w:szCs w:val="22"/>
          <w:lang w:val="hr-HR"/>
        </w:rPr>
      </w:pPr>
    </w:p>
    <w:p w14:paraId="4F2BA064" w14:textId="6299CC6D" w:rsidR="00CE09F3" w:rsidRPr="007703FB" w:rsidRDefault="00CE09F3" w:rsidP="00C630F2">
      <w:pPr>
        <w:pStyle w:val="NASLOV123"/>
        <w:tabs>
          <w:tab w:val="clear" w:pos="284"/>
          <w:tab w:val="left" w:pos="567"/>
        </w:tabs>
        <w:spacing w:before="0" w:after="0"/>
        <w:rPr>
          <w:lang w:val="hr-HR"/>
        </w:rPr>
      </w:pPr>
      <w:r w:rsidRPr="007703FB">
        <w:rPr>
          <w:lang w:val="hr-HR"/>
        </w:rPr>
        <w:t xml:space="preserve">3. </w:t>
      </w:r>
      <w:r w:rsidR="00C32B1E" w:rsidRPr="007703FB">
        <w:rPr>
          <w:lang w:val="hr-HR"/>
        </w:rPr>
        <w:tab/>
      </w:r>
      <w:r w:rsidRPr="007703FB">
        <w:rPr>
          <w:lang w:val="hr-HR"/>
        </w:rPr>
        <w:t>FARMACEUTSKI OBLIK</w:t>
      </w:r>
    </w:p>
    <w:p w14:paraId="3DFEC537" w14:textId="77777777" w:rsidR="00C630F2" w:rsidRDefault="00C630F2" w:rsidP="00C630F2">
      <w:pPr>
        <w:widowControl w:val="0"/>
        <w:tabs>
          <w:tab w:val="clear" w:pos="284"/>
          <w:tab w:val="left" w:pos="-720"/>
        </w:tabs>
        <w:suppressAutoHyphens/>
        <w:rPr>
          <w:szCs w:val="22"/>
          <w:lang w:val="hr-HR"/>
        </w:rPr>
      </w:pPr>
    </w:p>
    <w:p w14:paraId="57B5060D" w14:textId="6393F3D9" w:rsidR="00B07542" w:rsidRPr="007703FB" w:rsidRDefault="00B07542" w:rsidP="00C630F2">
      <w:pPr>
        <w:widowControl w:val="0"/>
        <w:tabs>
          <w:tab w:val="clear" w:pos="284"/>
          <w:tab w:val="left" w:pos="-720"/>
        </w:tabs>
        <w:suppressAutoHyphens/>
        <w:rPr>
          <w:szCs w:val="22"/>
          <w:lang w:val="hr-HR"/>
        </w:rPr>
      </w:pPr>
      <w:r w:rsidRPr="007703FB">
        <w:rPr>
          <w:szCs w:val="22"/>
          <w:lang w:val="hr-HR"/>
        </w:rPr>
        <w:t xml:space="preserve">Gastrorezistentna tableta. </w:t>
      </w:r>
    </w:p>
    <w:p w14:paraId="56B605E0" w14:textId="77777777" w:rsidR="00B91EBB" w:rsidRPr="007703FB" w:rsidRDefault="00B91EBB" w:rsidP="00C630F2">
      <w:pPr>
        <w:rPr>
          <w:szCs w:val="22"/>
          <w:lang w:val="hr-HR"/>
        </w:rPr>
      </w:pPr>
    </w:p>
    <w:p w14:paraId="200C4475" w14:textId="1245E6E8" w:rsidR="00E41FE8" w:rsidRPr="007703FB" w:rsidRDefault="00B07542" w:rsidP="00C630F2">
      <w:pPr>
        <w:rPr>
          <w:szCs w:val="22"/>
          <w:lang w:val="hr-HR"/>
        </w:rPr>
      </w:pPr>
      <w:r w:rsidRPr="007703FB">
        <w:rPr>
          <w:szCs w:val="22"/>
          <w:lang w:val="hr-HR"/>
        </w:rPr>
        <w:t>Ovalne, bikonveksne</w:t>
      </w:r>
      <w:r w:rsidR="00513268">
        <w:rPr>
          <w:szCs w:val="22"/>
          <w:lang w:val="hr-HR"/>
        </w:rPr>
        <w:t>,</w:t>
      </w:r>
      <w:r w:rsidRPr="007703FB">
        <w:rPr>
          <w:szCs w:val="22"/>
          <w:lang w:val="hr-HR"/>
        </w:rPr>
        <w:t xml:space="preserve"> obložene</w:t>
      </w:r>
      <w:r w:rsidR="00513268">
        <w:rPr>
          <w:szCs w:val="22"/>
          <w:lang w:val="hr-HR"/>
        </w:rPr>
        <w:t>,</w:t>
      </w:r>
      <w:r w:rsidRPr="007703FB">
        <w:rPr>
          <w:szCs w:val="22"/>
          <w:lang w:val="hr-HR"/>
        </w:rPr>
        <w:t xml:space="preserve"> narandžastožute tablete, koje sa jedne strane imaju utisnutu oznaku “KPh”, a sa druge broj “102”. </w:t>
      </w:r>
    </w:p>
    <w:p w14:paraId="11AB0D6E" w14:textId="44C2EBD5" w:rsidR="00160E92" w:rsidRDefault="00160E92" w:rsidP="00C630F2">
      <w:pPr>
        <w:rPr>
          <w:szCs w:val="22"/>
          <w:lang w:val="hr-HR"/>
        </w:rPr>
      </w:pPr>
    </w:p>
    <w:p w14:paraId="04DE31B5" w14:textId="77777777" w:rsidR="00C630F2" w:rsidRPr="007703FB" w:rsidRDefault="00C630F2" w:rsidP="00C630F2">
      <w:pPr>
        <w:rPr>
          <w:szCs w:val="22"/>
          <w:lang w:val="hr-HR"/>
        </w:rPr>
      </w:pPr>
    </w:p>
    <w:p w14:paraId="6A2EEF07" w14:textId="0EB20F39" w:rsidR="00CE09F3" w:rsidRPr="007703FB" w:rsidRDefault="00CE09F3" w:rsidP="00C630F2">
      <w:pPr>
        <w:pStyle w:val="NASLOV123"/>
        <w:tabs>
          <w:tab w:val="clear" w:pos="284"/>
          <w:tab w:val="left" w:pos="567"/>
        </w:tabs>
        <w:spacing w:before="0" w:after="0"/>
        <w:rPr>
          <w:lang w:val="hr-HR"/>
        </w:rPr>
      </w:pPr>
      <w:r w:rsidRPr="007703FB">
        <w:rPr>
          <w:lang w:val="hr-HR"/>
        </w:rPr>
        <w:t xml:space="preserve">4. </w:t>
      </w:r>
      <w:r w:rsidR="00C32B1E" w:rsidRPr="007703FB">
        <w:rPr>
          <w:lang w:val="hr-HR"/>
        </w:rPr>
        <w:tab/>
      </w:r>
      <w:r w:rsidRPr="007703FB">
        <w:rPr>
          <w:lang w:val="hr-HR"/>
        </w:rPr>
        <w:t>KLINIČKI PODACI</w:t>
      </w:r>
    </w:p>
    <w:p w14:paraId="503E3E00" w14:textId="77777777" w:rsidR="00C630F2" w:rsidRDefault="00C630F2" w:rsidP="00C630F2">
      <w:pPr>
        <w:tabs>
          <w:tab w:val="left" w:pos="567"/>
          <w:tab w:val="left" w:pos="851"/>
          <w:tab w:val="left" w:pos="1134"/>
        </w:tabs>
        <w:rPr>
          <w:b/>
          <w:bCs/>
          <w:szCs w:val="22"/>
          <w:lang w:val="hr-HR"/>
        </w:rPr>
      </w:pPr>
    </w:p>
    <w:p w14:paraId="2594D6FB" w14:textId="27A06B39" w:rsidR="00CE09F3" w:rsidRPr="007703FB" w:rsidRDefault="00CE09F3" w:rsidP="00C630F2">
      <w:pPr>
        <w:tabs>
          <w:tab w:val="left" w:pos="567"/>
          <w:tab w:val="left" w:pos="851"/>
          <w:tab w:val="left" w:pos="1134"/>
        </w:tabs>
        <w:rPr>
          <w:b/>
          <w:bCs/>
          <w:szCs w:val="22"/>
          <w:lang w:val="hr-HR"/>
        </w:rPr>
      </w:pPr>
      <w:r w:rsidRPr="007703FB">
        <w:rPr>
          <w:b/>
          <w:bCs/>
          <w:szCs w:val="22"/>
          <w:lang w:val="hr-HR"/>
        </w:rPr>
        <w:t xml:space="preserve">4.1. </w:t>
      </w:r>
      <w:r w:rsidR="00C32B1E" w:rsidRPr="007703FB">
        <w:rPr>
          <w:b/>
          <w:bCs/>
          <w:szCs w:val="22"/>
          <w:lang w:val="hr-HR"/>
        </w:rPr>
        <w:tab/>
      </w:r>
      <w:r w:rsidRPr="007703FB">
        <w:rPr>
          <w:b/>
          <w:bCs/>
          <w:szCs w:val="22"/>
          <w:lang w:val="hr-HR"/>
        </w:rPr>
        <w:t>Terapijske indikacije</w:t>
      </w:r>
    </w:p>
    <w:p w14:paraId="5A082330" w14:textId="77777777" w:rsidR="00CE09F3" w:rsidRPr="007703FB" w:rsidRDefault="00CE09F3" w:rsidP="00923865">
      <w:pPr>
        <w:rPr>
          <w:szCs w:val="22"/>
          <w:lang w:val="hr-HR"/>
        </w:rPr>
      </w:pPr>
    </w:p>
    <w:p w14:paraId="053AD7A3" w14:textId="62F0401A" w:rsidR="00B07542" w:rsidRPr="007703FB" w:rsidRDefault="00B07542" w:rsidP="00B91EBB">
      <w:pPr>
        <w:tabs>
          <w:tab w:val="left" w:pos="-720"/>
        </w:tabs>
        <w:ind w:left="142" w:hanging="142"/>
        <w:rPr>
          <w:spacing w:val="-3"/>
          <w:szCs w:val="22"/>
          <w:lang w:val="hr-HR"/>
        </w:rPr>
      </w:pPr>
      <w:r w:rsidRPr="007703FB">
        <w:rPr>
          <w:spacing w:val="-3"/>
          <w:szCs w:val="22"/>
          <w:lang w:val="hr-HR"/>
        </w:rPr>
        <w:t xml:space="preserve">- </w:t>
      </w:r>
      <w:r w:rsidRPr="007703FB">
        <w:rPr>
          <w:szCs w:val="22"/>
          <w:lang w:val="hr-HR"/>
        </w:rPr>
        <w:t>Inflamatorn</w:t>
      </w:r>
      <w:r w:rsidR="008E1E45" w:rsidRPr="007703FB">
        <w:rPr>
          <w:szCs w:val="22"/>
          <w:lang w:val="hr-HR"/>
        </w:rPr>
        <w:t>e</w:t>
      </w:r>
      <w:r w:rsidRPr="007703FB">
        <w:rPr>
          <w:szCs w:val="22"/>
          <w:lang w:val="hr-HR"/>
        </w:rPr>
        <w:t xml:space="preserve"> bolest</w:t>
      </w:r>
      <w:r w:rsidR="008E1E45" w:rsidRPr="007703FB">
        <w:rPr>
          <w:szCs w:val="22"/>
          <w:lang w:val="hr-HR"/>
        </w:rPr>
        <w:t>i</w:t>
      </w:r>
      <w:r w:rsidRPr="007703FB">
        <w:rPr>
          <w:szCs w:val="22"/>
          <w:lang w:val="hr-HR"/>
        </w:rPr>
        <w:t xml:space="preserve"> cr</w:t>
      </w:r>
      <w:r w:rsidR="008D30CE" w:rsidRPr="007703FB">
        <w:rPr>
          <w:szCs w:val="22"/>
          <w:lang w:val="hr-HR"/>
        </w:rPr>
        <w:t>ij</w:t>
      </w:r>
      <w:r w:rsidRPr="007703FB">
        <w:rPr>
          <w:szCs w:val="22"/>
          <w:lang w:val="hr-HR"/>
        </w:rPr>
        <w:t>eva: indukcija i održavanje remisije kod ulceroznog kolitisa i l</w:t>
      </w:r>
      <w:r w:rsidR="008D30CE" w:rsidRPr="007703FB">
        <w:rPr>
          <w:szCs w:val="22"/>
          <w:lang w:val="hr-HR"/>
        </w:rPr>
        <w:t>ij</w:t>
      </w:r>
      <w:r w:rsidRPr="007703FB">
        <w:rPr>
          <w:szCs w:val="22"/>
          <w:lang w:val="hr-HR"/>
        </w:rPr>
        <w:t xml:space="preserve">ečenje aktivne </w:t>
      </w:r>
      <w:r w:rsidRPr="007703FB">
        <w:rPr>
          <w:i/>
          <w:szCs w:val="22"/>
          <w:lang w:val="hr-HR"/>
        </w:rPr>
        <w:t>Crohn</w:t>
      </w:r>
      <w:r w:rsidRPr="007703FB">
        <w:rPr>
          <w:szCs w:val="22"/>
          <w:lang w:val="hr-HR"/>
        </w:rPr>
        <w:t>-ove bolesti</w:t>
      </w:r>
      <w:r w:rsidRPr="007703FB">
        <w:rPr>
          <w:spacing w:val="-3"/>
          <w:szCs w:val="22"/>
          <w:lang w:val="hr-HR"/>
        </w:rPr>
        <w:t>.</w:t>
      </w:r>
    </w:p>
    <w:p w14:paraId="3D6F2A9B" w14:textId="77777777" w:rsidR="00B91EBB" w:rsidRPr="007703FB" w:rsidRDefault="00B91EBB" w:rsidP="00B91EBB">
      <w:pPr>
        <w:tabs>
          <w:tab w:val="left" w:pos="-720"/>
        </w:tabs>
        <w:ind w:left="142" w:hanging="142"/>
        <w:rPr>
          <w:spacing w:val="-3"/>
          <w:szCs w:val="22"/>
          <w:lang w:val="hr-HR"/>
        </w:rPr>
      </w:pPr>
    </w:p>
    <w:p w14:paraId="6CC26475" w14:textId="77777777" w:rsidR="005073A3" w:rsidRPr="007703FB" w:rsidRDefault="00B07542" w:rsidP="00B91EBB">
      <w:pPr>
        <w:rPr>
          <w:b/>
          <w:bCs/>
          <w:szCs w:val="22"/>
          <w:lang w:val="hr-HR"/>
        </w:rPr>
      </w:pPr>
      <w:r w:rsidRPr="007703FB">
        <w:rPr>
          <w:spacing w:val="-3"/>
          <w:szCs w:val="22"/>
          <w:lang w:val="hr-HR"/>
        </w:rPr>
        <w:t xml:space="preserve">- </w:t>
      </w:r>
      <w:r w:rsidRPr="007703FB">
        <w:rPr>
          <w:szCs w:val="22"/>
          <w:lang w:val="hr-HR"/>
        </w:rPr>
        <w:t>L</w:t>
      </w:r>
      <w:r w:rsidR="008D30CE" w:rsidRPr="007703FB">
        <w:rPr>
          <w:szCs w:val="22"/>
          <w:lang w:val="hr-HR"/>
        </w:rPr>
        <w:t>ij</w:t>
      </w:r>
      <w:r w:rsidRPr="007703FB">
        <w:rPr>
          <w:szCs w:val="22"/>
          <w:lang w:val="hr-HR"/>
        </w:rPr>
        <w:t xml:space="preserve">ečenje reumatoidnog artritisa </w:t>
      </w:r>
      <w:r w:rsidR="008E1E45" w:rsidRPr="007703FB">
        <w:rPr>
          <w:szCs w:val="22"/>
          <w:lang w:val="hr-HR"/>
        </w:rPr>
        <w:t xml:space="preserve">kod odraslih </w:t>
      </w:r>
      <w:r w:rsidRPr="007703FB">
        <w:rPr>
          <w:szCs w:val="22"/>
          <w:lang w:val="hr-HR"/>
        </w:rPr>
        <w:t>i poliartikularnog juvenilnog artritisa kod d</w:t>
      </w:r>
      <w:r w:rsidR="008D30CE" w:rsidRPr="007703FB">
        <w:rPr>
          <w:szCs w:val="22"/>
          <w:lang w:val="hr-HR"/>
        </w:rPr>
        <w:t>j</w:t>
      </w:r>
      <w:r w:rsidRPr="007703FB">
        <w:rPr>
          <w:szCs w:val="22"/>
          <w:lang w:val="hr-HR"/>
        </w:rPr>
        <w:t xml:space="preserve">ece </w:t>
      </w:r>
      <w:r w:rsidR="008E1E45" w:rsidRPr="007703FB">
        <w:rPr>
          <w:szCs w:val="22"/>
          <w:lang w:val="hr-HR"/>
        </w:rPr>
        <w:t>uzrasta</w:t>
      </w:r>
      <w:r w:rsidRPr="007703FB">
        <w:rPr>
          <w:szCs w:val="22"/>
          <w:lang w:val="hr-HR"/>
        </w:rPr>
        <w:t xml:space="preserve"> 6 godina i starijih, koji se ne mogu kontrolisati salicilatima i drugim NSAIL.</w:t>
      </w:r>
    </w:p>
    <w:p w14:paraId="7894C8C6" w14:textId="77777777" w:rsidR="005073A3" w:rsidRPr="007703FB" w:rsidRDefault="005073A3" w:rsidP="00923865">
      <w:pPr>
        <w:rPr>
          <w:b/>
          <w:bCs/>
          <w:szCs w:val="22"/>
          <w:lang w:val="hr-HR"/>
        </w:rPr>
      </w:pPr>
    </w:p>
    <w:p w14:paraId="7EE73FE6" w14:textId="2053F87B" w:rsidR="00CE09F3" w:rsidRPr="007703FB" w:rsidRDefault="00CE09F3" w:rsidP="00847188">
      <w:pPr>
        <w:tabs>
          <w:tab w:val="left" w:pos="567"/>
        </w:tabs>
        <w:rPr>
          <w:b/>
          <w:bCs/>
          <w:szCs w:val="22"/>
          <w:lang w:val="hr-HR"/>
        </w:rPr>
      </w:pPr>
      <w:r w:rsidRPr="007703FB">
        <w:rPr>
          <w:b/>
          <w:bCs/>
          <w:szCs w:val="22"/>
          <w:lang w:val="hr-HR"/>
        </w:rPr>
        <w:t>4.2.</w:t>
      </w:r>
      <w:r w:rsidR="00C32B1E" w:rsidRPr="007703FB">
        <w:rPr>
          <w:b/>
          <w:bCs/>
          <w:szCs w:val="22"/>
          <w:lang w:val="hr-HR"/>
        </w:rPr>
        <w:tab/>
      </w:r>
      <w:r w:rsidRPr="007703FB">
        <w:rPr>
          <w:b/>
          <w:bCs/>
          <w:szCs w:val="22"/>
          <w:lang w:val="hr-HR"/>
        </w:rPr>
        <w:t xml:space="preserve"> Doziranje i način prim</w:t>
      </w:r>
      <w:r w:rsidR="002319DD" w:rsidRPr="007703FB">
        <w:rPr>
          <w:b/>
          <w:bCs/>
          <w:szCs w:val="22"/>
          <w:lang w:val="hr-HR"/>
        </w:rPr>
        <w:t>j</w:t>
      </w:r>
      <w:r w:rsidRPr="007703FB">
        <w:rPr>
          <w:b/>
          <w:bCs/>
          <w:szCs w:val="22"/>
          <w:lang w:val="hr-HR"/>
        </w:rPr>
        <w:t>ene</w:t>
      </w:r>
    </w:p>
    <w:p w14:paraId="088B5105" w14:textId="77777777" w:rsidR="00CE09F3" w:rsidRPr="007703FB" w:rsidRDefault="00CE09F3" w:rsidP="00923865">
      <w:pPr>
        <w:rPr>
          <w:color w:val="FF0000"/>
          <w:szCs w:val="22"/>
          <w:lang w:val="hr-HR"/>
        </w:rPr>
      </w:pPr>
    </w:p>
    <w:p w14:paraId="63AFE709" w14:textId="3686C53B" w:rsidR="00B07542" w:rsidRPr="007703FB" w:rsidRDefault="00B07542">
      <w:pPr>
        <w:tabs>
          <w:tab w:val="left" w:pos="-720"/>
        </w:tabs>
        <w:rPr>
          <w:szCs w:val="22"/>
          <w:lang w:val="hr-HR"/>
        </w:rPr>
      </w:pPr>
      <w:r w:rsidRPr="007703FB">
        <w:rPr>
          <w:szCs w:val="22"/>
          <w:lang w:val="hr-HR"/>
        </w:rPr>
        <w:t>Doziranje treba prilagoditi težini oboljenja i podnošljivosti l</w:t>
      </w:r>
      <w:r w:rsidR="00A86A5C" w:rsidRPr="007703FB">
        <w:rPr>
          <w:szCs w:val="22"/>
          <w:lang w:val="hr-HR"/>
        </w:rPr>
        <w:t>ij</w:t>
      </w:r>
      <w:r w:rsidRPr="007703FB">
        <w:rPr>
          <w:szCs w:val="22"/>
          <w:lang w:val="hr-HR"/>
        </w:rPr>
        <w:t>eka od strane pacijenta. Pacijentima koji ni</w:t>
      </w:r>
      <w:r w:rsidR="006B05A3">
        <w:rPr>
          <w:szCs w:val="22"/>
          <w:lang w:val="hr-HR"/>
        </w:rPr>
        <w:t>je</w:t>
      </w:r>
      <w:r w:rsidRPr="007703FB">
        <w:rPr>
          <w:szCs w:val="22"/>
          <w:lang w:val="hr-HR"/>
        </w:rPr>
        <w:t>su ranije koristili l</w:t>
      </w:r>
      <w:r w:rsidR="00A86A5C" w:rsidRPr="007703FB">
        <w:rPr>
          <w:szCs w:val="22"/>
          <w:lang w:val="hr-HR"/>
        </w:rPr>
        <w:t>ij</w:t>
      </w:r>
      <w:r w:rsidRPr="007703FB">
        <w:rPr>
          <w:szCs w:val="22"/>
          <w:lang w:val="hr-HR"/>
        </w:rPr>
        <w:t>ek Salazopyrin EN preporučuje se da doze povećavaju postepeno tokom perioda od nekoliko ned</w:t>
      </w:r>
      <w:r w:rsidR="00A86A5C" w:rsidRPr="007703FB">
        <w:rPr>
          <w:szCs w:val="22"/>
          <w:lang w:val="hr-HR"/>
        </w:rPr>
        <w:t>j</w:t>
      </w:r>
      <w:r w:rsidRPr="007703FB">
        <w:rPr>
          <w:szCs w:val="22"/>
          <w:lang w:val="hr-HR"/>
        </w:rPr>
        <w:t>elja.</w:t>
      </w:r>
      <w:r w:rsidR="008E1E45" w:rsidRPr="007703FB">
        <w:rPr>
          <w:szCs w:val="22"/>
          <w:lang w:val="hr-HR"/>
        </w:rPr>
        <w:t xml:space="preserve"> L</w:t>
      </w:r>
      <w:r w:rsidR="00A86A5C" w:rsidRPr="007703FB">
        <w:rPr>
          <w:szCs w:val="22"/>
          <w:lang w:val="hr-HR"/>
        </w:rPr>
        <w:t>ij</w:t>
      </w:r>
      <w:r w:rsidR="008E1E45" w:rsidRPr="007703FB">
        <w:rPr>
          <w:szCs w:val="22"/>
          <w:lang w:val="hr-HR"/>
        </w:rPr>
        <w:t xml:space="preserve">ek </w:t>
      </w:r>
      <w:r w:rsidRPr="007703FB">
        <w:rPr>
          <w:szCs w:val="22"/>
          <w:lang w:val="hr-HR"/>
        </w:rPr>
        <w:t>Salazopyrin EN je gastrorezistentna tableta specijalno nam</w:t>
      </w:r>
      <w:r w:rsidR="00A86A5C" w:rsidRPr="007703FB">
        <w:rPr>
          <w:szCs w:val="22"/>
          <w:lang w:val="hr-HR"/>
        </w:rPr>
        <w:t>ij</w:t>
      </w:r>
      <w:r w:rsidRPr="007703FB">
        <w:rPr>
          <w:szCs w:val="22"/>
          <w:lang w:val="hr-HR"/>
        </w:rPr>
        <w:t>enjena pacijentima kod kojih su se ispoljila gastrointestinalna neželjena dejstva tokom ranijeg uzimanja ovog l</w:t>
      </w:r>
      <w:r w:rsidR="00A86A5C" w:rsidRPr="007703FB">
        <w:rPr>
          <w:szCs w:val="22"/>
          <w:lang w:val="hr-HR"/>
        </w:rPr>
        <w:t>ij</w:t>
      </w:r>
      <w:r w:rsidRPr="007703FB">
        <w:rPr>
          <w:szCs w:val="22"/>
          <w:lang w:val="hr-HR"/>
        </w:rPr>
        <w:t>eka. Gastrorezistentne tablete se moraju progutati c</w:t>
      </w:r>
      <w:r w:rsidR="00A86A5C" w:rsidRPr="007703FB">
        <w:rPr>
          <w:szCs w:val="22"/>
          <w:lang w:val="hr-HR"/>
        </w:rPr>
        <w:t>ij</w:t>
      </w:r>
      <w:r w:rsidRPr="007703FB">
        <w:rPr>
          <w:szCs w:val="22"/>
          <w:lang w:val="hr-HR"/>
        </w:rPr>
        <w:t xml:space="preserve">ele. </w:t>
      </w:r>
      <w:r w:rsidR="008E1E45" w:rsidRPr="007703FB">
        <w:rPr>
          <w:szCs w:val="22"/>
          <w:lang w:val="hr-HR"/>
        </w:rPr>
        <w:t>Gastrorezistentne t</w:t>
      </w:r>
      <w:r w:rsidRPr="007703FB">
        <w:rPr>
          <w:szCs w:val="22"/>
          <w:lang w:val="hr-HR"/>
        </w:rPr>
        <w:t>ablete treba uzimati uz obrok, a samo izuzetno tokom drugih d</w:t>
      </w:r>
      <w:r w:rsidR="00A86A5C" w:rsidRPr="007703FB">
        <w:rPr>
          <w:szCs w:val="22"/>
          <w:lang w:val="hr-HR"/>
        </w:rPr>
        <w:t>j</w:t>
      </w:r>
      <w:r w:rsidRPr="007703FB">
        <w:rPr>
          <w:szCs w:val="22"/>
          <w:lang w:val="hr-HR"/>
        </w:rPr>
        <w:t>elova dana. Razmak između dv</w:t>
      </w:r>
      <w:r w:rsidR="00A86A5C" w:rsidRPr="007703FB">
        <w:rPr>
          <w:szCs w:val="22"/>
          <w:lang w:val="hr-HR"/>
        </w:rPr>
        <w:t>ij</w:t>
      </w:r>
      <w:r w:rsidRPr="007703FB">
        <w:rPr>
          <w:szCs w:val="22"/>
          <w:lang w:val="hr-HR"/>
        </w:rPr>
        <w:t>e doze, uključujući i noć, ne treba da bude duži od 8 sati.</w:t>
      </w:r>
    </w:p>
    <w:p w14:paraId="6E3F2347" w14:textId="77777777" w:rsidR="00B07542" w:rsidRPr="007703FB" w:rsidRDefault="00B07542">
      <w:pPr>
        <w:widowControl w:val="0"/>
        <w:tabs>
          <w:tab w:val="clear" w:pos="284"/>
        </w:tabs>
        <w:jc w:val="left"/>
        <w:rPr>
          <w:color w:val="FF0000"/>
          <w:szCs w:val="22"/>
          <w:lang w:val="hr-HR"/>
        </w:rPr>
      </w:pPr>
    </w:p>
    <w:p w14:paraId="073940ED" w14:textId="77777777" w:rsidR="00B07542" w:rsidRPr="007703FB" w:rsidRDefault="00B07542">
      <w:pPr>
        <w:widowControl w:val="0"/>
        <w:tabs>
          <w:tab w:val="clear" w:pos="284"/>
        </w:tabs>
        <w:jc w:val="left"/>
        <w:rPr>
          <w:i/>
          <w:szCs w:val="22"/>
          <w:lang w:val="hr-HR"/>
        </w:rPr>
      </w:pPr>
      <w:r w:rsidRPr="007703FB">
        <w:rPr>
          <w:i/>
          <w:szCs w:val="22"/>
          <w:lang w:val="hr-HR"/>
        </w:rPr>
        <w:t>Inflamatorna bolest cr</w:t>
      </w:r>
      <w:r w:rsidR="00A86A5C" w:rsidRPr="007703FB">
        <w:rPr>
          <w:i/>
          <w:szCs w:val="22"/>
          <w:lang w:val="hr-HR"/>
        </w:rPr>
        <w:t>ij</w:t>
      </w:r>
      <w:r w:rsidRPr="007703FB">
        <w:rPr>
          <w:i/>
          <w:szCs w:val="22"/>
          <w:lang w:val="hr-HR"/>
        </w:rPr>
        <w:t>eva</w:t>
      </w:r>
    </w:p>
    <w:p w14:paraId="3A7C6764" w14:textId="77777777" w:rsidR="00B07542" w:rsidRPr="007703FB" w:rsidRDefault="00B07542">
      <w:pPr>
        <w:widowControl w:val="0"/>
        <w:tabs>
          <w:tab w:val="clear" w:pos="284"/>
        </w:tabs>
        <w:jc w:val="left"/>
        <w:rPr>
          <w:szCs w:val="22"/>
          <w:lang w:val="hr-HR"/>
        </w:rPr>
      </w:pPr>
    </w:p>
    <w:p w14:paraId="51973002" w14:textId="77777777" w:rsidR="00B07542" w:rsidRPr="007703FB" w:rsidRDefault="00B07542">
      <w:pPr>
        <w:widowControl w:val="0"/>
        <w:tabs>
          <w:tab w:val="clear" w:pos="284"/>
        </w:tabs>
        <w:jc w:val="left"/>
        <w:rPr>
          <w:szCs w:val="22"/>
          <w:lang w:val="hr-HR"/>
        </w:rPr>
      </w:pPr>
      <w:r w:rsidRPr="007703FB">
        <w:rPr>
          <w:szCs w:val="22"/>
          <w:u w:val="single"/>
          <w:lang w:val="hr-HR"/>
        </w:rPr>
        <w:t>Akutni napadi</w:t>
      </w:r>
    </w:p>
    <w:p w14:paraId="30199DE9" w14:textId="77777777" w:rsidR="00B07542" w:rsidRPr="007703FB" w:rsidRDefault="00B07542">
      <w:pPr>
        <w:widowControl w:val="0"/>
        <w:tabs>
          <w:tab w:val="clear" w:pos="284"/>
        </w:tabs>
        <w:jc w:val="left"/>
        <w:rPr>
          <w:szCs w:val="22"/>
          <w:lang w:val="hr-HR"/>
        </w:rPr>
      </w:pPr>
      <w:r w:rsidRPr="007703FB">
        <w:rPr>
          <w:szCs w:val="22"/>
          <w:lang w:val="hr-HR"/>
        </w:rPr>
        <w:t xml:space="preserve">Odrasli: Teški oblici: 2-4 </w:t>
      </w:r>
      <w:r w:rsidR="008E1E45" w:rsidRPr="007703FB">
        <w:rPr>
          <w:szCs w:val="22"/>
          <w:lang w:val="hr-HR"/>
        </w:rPr>
        <w:t xml:space="preserve">gastrorezistentne </w:t>
      </w:r>
      <w:r w:rsidRPr="007703FB">
        <w:rPr>
          <w:szCs w:val="22"/>
          <w:lang w:val="hr-HR"/>
        </w:rPr>
        <w:t>tablete, 4 puta dnevno, zajedno sa kortikosteroidima.</w:t>
      </w:r>
    </w:p>
    <w:p w14:paraId="61CBBDAC" w14:textId="77777777" w:rsidR="00B07542" w:rsidRPr="007703FB" w:rsidRDefault="00B07542">
      <w:pPr>
        <w:widowControl w:val="0"/>
        <w:tabs>
          <w:tab w:val="clear" w:pos="284"/>
        </w:tabs>
        <w:ind w:left="720"/>
        <w:jc w:val="left"/>
        <w:rPr>
          <w:szCs w:val="22"/>
          <w:lang w:val="hr-HR"/>
        </w:rPr>
      </w:pPr>
      <w:r w:rsidRPr="007703FB">
        <w:rPr>
          <w:szCs w:val="22"/>
          <w:lang w:val="hr-HR"/>
        </w:rPr>
        <w:t xml:space="preserve"> Blagi i um</w:t>
      </w:r>
      <w:r w:rsidR="00A86A5C" w:rsidRPr="007703FB">
        <w:rPr>
          <w:szCs w:val="22"/>
          <w:lang w:val="hr-HR"/>
        </w:rPr>
        <w:t>j</w:t>
      </w:r>
      <w:r w:rsidRPr="007703FB">
        <w:rPr>
          <w:szCs w:val="22"/>
          <w:lang w:val="hr-HR"/>
        </w:rPr>
        <w:t xml:space="preserve">ereni oblici: 2 </w:t>
      </w:r>
      <w:r w:rsidR="008E1E45" w:rsidRPr="007703FB">
        <w:rPr>
          <w:szCs w:val="22"/>
          <w:lang w:val="hr-HR"/>
        </w:rPr>
        <w:t xml:space="preserve">gastrorezistentne </w:t>
      </w:r>
      <w:r w:rsidRPr="007703FB">
        <w:rPr>
          <w:szCs w:val="22"/>
          <w:lang w:val="hr-HR"/>
        </w:rPr>
        <w:t>tablete 3-4 puta dnevno, sa ili bez kortikosteroida.</w:t>
      </w:r>
    </w:p>
    <w:p w14:paraId="2BF779F3" w14:textId="77777777" w:rsidR="00513268" w:rsidRDefault="00513268" w:rsidP="002E7D92">
      <w:pPr>
        <w:widowControl w:val="0"/>
        <w:tabs>
          <w:tab w:val="clear" w:pos="284"/>
        </w:tabs>
        <w:jc w:val="left"/>
        <w:rPr>
          <w:szCs w:val="22"/>
          <w:lang w:val="hr-HR"/>
        </w:rPr>
      </w:pPr>
    </w:p>
    <w:p w14:paraId="60385B01" w14:textId="1B8A8405" w:rsidR="00B07542" w:rsidRPr="007703FB" w:rsidRDefault="00B07542" w:rsidP="002E7D92">
      <w:pPr>
        <w:widowControl w:val="0"/>
        <w:tabs>
          <w:tab w:val="clear" w:pos="284"/>
        </w:tabs>
        <w:jc w:val="left"/>
        <w:rPr>
          <w:szCs w:val="22"/>
          <w:lang w:val="hr-HR"/>
        </w:rPr>
      </w:pPr>
      <w:r w:rsidRPr="007703FB">
        <w:rPr>
          <w:szCs w:val="22"/>
          <w:lang w:val="hr-HR"/>
        </w:rPr>
        <w:t>D</w:t>
      </w:r>
      <w:r w:rsidR="00A86A5C" w:rsidRPr="007703FB">
        <w:rPr>
          <w:szCs w:val="22"/>
          <w:lang w:val="hr-HR"/>
        </w:rPr>
        <w:t>j</w:t>
      </w:r>
      <w:r w:rsidRPr="007703FB">
        <w:rPr>
          <w:szCs w:val="22"/>
          <w:lang w:val="hr-HR"/>
        </w:rPr>
        <w:t>eca starija od 2 godine: 40-60 mg/kg t</w:t>
      </w:r>
      <w:r w:rsidR="00A86A5C" w:rsidRPr="007703FB">
        <w:rPr>
          <w:szCs w:val="22"/>
          <w:lang w:val="hr-HR"/>
        </w:rPr>
        <w:t>j</w:t>
      </w:r>
      <w:r w:rsidRPr="007703FB">
        <w:rPr>
          <w:szCs w:val="22"/>
          <w:lang w:val="hr-HR"/>
        </w:rPr>
        <w:t>elesne mase dnevno, pod</w:t>
      </w:r>
      <w:r w:rsidR="00A86A5C" w:rsidRPr="007703FB">
        <w:rPr>
          <w:szCs w:val="22"/>
          <w:lang w:val="hr-HR"/>
        </w:rPr>
        <w:t>ij</w:t>
      </w:r>
      <w:r w:rsidRPr="007703FB">
        <w:rPr>
          <w:szCs w:val="22"/>
          <w:lang w:val="hr-HR"/>
        </w:rPr>
        <w:t>eljeno u 3-6 doza.</w:t>
      </w:r>
    </w:p>
    <w:p w14:paraId="6CFF043C" w14:textId="77777777" w:rsidR="00B07542" w:rsidRPr="007703FB" w:rsidRDefault="00B07542" w:rsidP="00B91EBB">
      <w:pPr>
        <w:widowControl w:val="0"/>
        <w:tabs>
          <w:tab w:val="clear" w:pos="284"/>
        </w:tabs>
        <w:rPr>
          <w:i/>
          <w:szCs w:val="22"/>
          <w:lang w:val="hr-HR"/>
        </w:rPr>
      </w:pPr>
      <w:r w:rsidRPr="007703FB">
        <w:rPr>
          <w:i/>
          <w:szCs w:val="22"/>
          <w:lang w:val="hr-HR"/>
        </w:rPr>
        <w:lastRenderedPageBreak/>
        <w:t>Profilaktička prim</w:t>
      </w:r>
      <w:r w:rsidR="00A86A5C" w:rsidRPr="007703FB">
        <w:rPr>
          <w:i/>
          <w:szCs w:val="22"/>
          <w:lang w:val="hr-HR"/>
        </w:rPr>
        <w:t>j</w:t>
      </w:r>
      <w:r w:rsidRPr="007703FB">
        <w:rPr>
          <w:i/>
          <w:szCs w:val="22"/>
          <w:lang w:val="hr-HR"/>
        </w:rPr>
        <w:t>ena l</w:t>
      </w:r>
      <w:r w:rsidR="00A86A5C" w:rsidRPr="007703FB">
        <w:rPr>
          <w:i/>
          <w:szCs w:val="22"/>
          <w:lang w:val="hr-HR"/>
        </w:rPr>
        <w:t>ij</w:t>
      </w:r>
      <w:r w:rsidRPr="007703FB">
        <w:rPr>
          <w:i/>
          <w:szCs w:val="22"/>
          <w:lang w:val="hr-HR"/>
        </w:rPr>
        <w:t>eka</w:t>
      </w:r>
    </w:p>
    <w:p w14:paraId="0BF1FB7E" w14:textId="77777777" w:rsidR="00B07542" w:rsidRPr="007703FB" w:rsidRDefault="00B07542" w:rsidP="00847188">
      <w:pPr>
        <w:widowControl w:val="0"/>
        <w:tabs>
          <w:tab w:val="clear" w:pos="284"/>
          <w:tab w:val="left" w:pos="4120"/>
        </w:tabs>
        <w:rPr>
          <w:szCs w:val="22"/>
          <w:lang w:val="hr-HR"/>
        </w:rPr>
      </w:pPr>
      <w:r w:rsidRPr="007703FB">
        <w:rPr>
          <w:szCs w:val="22"/>
          <w:lang w:val="hr-HR"/>
        </w:rPr>
        <w:t xml:space="preserve">Odrasli: Nakon uvođenja u remisiju, treba postepeno smanjivati dozu. Kod pacijenata u fazi remisije bolesti preporučuje se doza održavanja koja iznosi 2 </w:t>
      </w:r>
      <w:r w:rsidR="008E1E45" w:rsidRPr="007703FB">
        <w:rPr>
          <w:szCs w:val="22"/>
          <w:lang w:val="hr-HR"/>
        </w:rPr>
        <w:t xml:space="preserve">gastrorezistentne </w:t>
      </w:r>
      <w:r w:rsidRPr="007703FB">
        <w:rPr>
          <w:szCs w:val="22"/>
          <w:lang w:val="hr-HR"/>
        </w:rPr>
        <w:t>tablete (1</w:t>
      </w:r>
      <w:r w:rsidR="002E10FA" w:rsidRPr="007703FB">
        <w:rPr>
          <w:szCs w:val="22"/>
          <w:lang w:val="hr-HR"/>
        </w:rPr>
        <w:t> </w:t>
      </w:r>
      <w:r w:rsidRPr="007703FB">
        <w:rPr>
          <w:szCs w:val="22"/>
          <w:lang w:val="hr-HR"/>
        </w:rPr>
        <w:t>g) 3 puta dnevno, a najmanje 1</w:t>
      </w:r>
      <w:r w:rsidR="00F375A9" w:rsidRPr="007703FB">
        <w:rPr>
          <w:szCs w:val="22"/>
          <w:lang w:val="hr-HR"/>
        </w:rPr>
        <w:t> </w:t>
      </w:r>
      <w:r w:rsidR="00AE34AC" w:rsidRPr="007703FB">
        <w:rPr>
          <w:szCs w:val="22"/>
          <w:lang w:val="hr-HR"/>
        </w:rPr>
        <w:t xml:space="preserve">gastrorezistentna </w:t>
      </w:r>
      <w:r w:rsidRPr="007703FB">
        <w:rPr>
          <w:szCs w:val="22"/>
          <w:lang w:val="hr-HR"/>
        </w:rPr>
        <w:t>tableta</w:t>
      </w:r>
      <w:r w:rsidR="008E1E45" w:rsidRPr="007703FB">
        <w:rPr>
          <w:szCs w:val="22"/>
          <w:lang w:val="hr-HR"/>
        </w:rPr>
        <w:t xml:space="preserve"> </w:t>
      </w:r>
      <w:r w:rsidRPr="007703FB">
        <w:rPr>
          <w:szCs w:val="22"/>
          <w:lang w:val="hr-HR"/>
        </w:rPr>
        <w:t>(500 mg) 4 puta dnevno, ukoliko je prim</w:t>
      </w:r>
      <w:r w:rsidR="00A86A5C" w:rsidRPr="007703FB">
        <w:rPr>
          <w:szCs w:val="22"/>
          <w:lang w:val="hr-HR"/>
        </w:rPr>
        <w:t>j</w:t>
      </w:r>
      <w:r w:rsidRPr="007703FB">
        <w:rPr>
          <w:szCs w:val="22"/>
          <w:lang w:val="hr-HR"/>
        </w:rPr>
        <w:t>ena l</w:t>
      </w:r>
      <w:r w:rsidR="00A86A5C" w:rsidRPr="007703FB">
        <w:rPr>
          <w:szCs w:val="22"/>
          <w:lang w:val="hr-HR"/>
        </w:rPr>
        <w:t>ij</w:t>
      </w:r>
      <w:r w:rsidRPr="007703FB">
        <w:rPr>
          <w:szCs w:val="22"/>
          <w:lang w:val="hr-HR"/>
        </w:rPr>
        <w:t>eka indikovana.</w:t>
      </w:r>
    </w:p>
    <w:p w14:paraId="5D49C286" w14:textId="0190F812" w:rsidR="00B07542" w:rsidRPr="007703FB" w:rsidRDefault="00B07542" w:rsidP="00847188">
      <w:pPr>
        <w:widowControl w:val="0"/>
        <w:tabs>
          <w:tab w:val="clear" w:pos="284"/>
        </w:tabs>
        <w:spacing w:after="240"/>
        <w:rPr>
          <w:szCs w:val="22"/>
          <w:lang w:val="hr-HR"/>
        </w:rPr>
      </w:pPr>
      <w:r w:rsidRPr="007703FB">
        <w:rPr>
          <w:szCs w:val="22"/>
          <w:lang w:val="hr-HR"/>
        </w:rPr>
        <w:t>Terapija ovom dozom može se održavati tokom c</w:t>
      </w:r>
      <w:r w:rsidR="00A86A5C" w:rsidRPr="007703FB">
        <w:rPr>
          <w:szCs w:val="22"/>
          <w:lang w:val="hr-HR"/>
        </w:rPr>
        <w:t>ij</w:t>
      </w:r>
      <w:r w:rsidRPr="007703FB">
        <w:rPr>
          <w:szCs w:val="22"/>
          <w:lang w:val="hr-HR"/>
        </w:rPr>
        <w:t>elog života, bez prekida</w:t>
      </w:r>
      <w:r w:rsidR="008E1E45" w:rsidRPr="007703FB">
        <w:rPr>
          <w:szCs w:val="22"/>
          <w:lang w:val="hr-HR"/>
        </w:rPr>
        <w:t xml:space="preserve">, ukoliko se ne jave </w:t>
      </w:r>
      <w:r w:rsidRPr="007703FB">
        <w:rPr>
          <w:szCs w:val="22"/>
          <w:lang w:val="hr-HR"/>
        </w:rPr>
        <w:t>neželjen</w:t>
      </w:r>
      <w:r w:rsidR="008E1E45" w:rsidRPr="007703FB">
        <w:rPr>
          <w:szCs w:val="22"/>
          <w:lang w:val="hr-HR"/>
        </w:rPr>
        <w:t>a</w:t>
      </w:r>
      <w:r w:rsidRPr="007703FB">
        <w:rPr>
          <w:szCs w:val="22"/>
          <w:lang w:val="hr-HR"/>
        </w:rPr>
        <w:t xml:space="preserve"> dejstva usl</w:t>
      </w:r>
      <w:r w:rsidR="006B05A3">
        <w:rPr>
          <w:szCs w:val="22"/>
          <w:lang w:val="hr-HR"/>
        </w:rPr>
        <w:t>j</w:t>
      </w:r>
      <w:r w:rsidRPr="007703FB">
        <w:rPr>
          <w:szCs w:val="22"/>
          <w:lang w:val="hr-HR"/>
        </w:rPr>
        <w:t>ed dugotrajne upotrebe. U slučaju pogoršanja bolesti, doz</w:t>
      </w:r>
      <w:r w:rsidR="00CE080D" w:rsidRPr="007703FB">
        <w:rPr>
          <w:szCs w:val="22"/>
          <w:lang w:val="hr-HR"/>
        </w:rPr>
        <w:t>u l</w:t>
      </w:r>
      <w:r w:rsidR="00A86A5C" w:rsidRPr="007703FB">
        <w:rPr>
          <w:szCs w:val="22"/>
          <w:lang w:val="hr-HR"/>
        </w:rPr>
        <w:t>ij</w:t>
      </w:r>
      <w:r w:rsidR="00CE080D" w:rsidRPr="007703FB">
        <w:rPr>
          <w:szCs w:val="22"/>
          <w:lang w:val="hr-HR"/>
        </w:rPr>
        <w:t>eka treba</w:t>
      </w:r>
      <w:r w:rsidRPr="007703FB">
        <w:rPr>
          <w:szCs w:val="22"/>
          <w:lang w:val="hr-HR"/>
        </w:rPr>
        <w:t xml:space="preserve"> poveća</w:t>
      </w:r>
      <w:r w:rsidR="00CE080D" w:rsidRPr="007703FB">
        <w:rPr>
          <w:szCs w:val="22"/>
          <w:lang w:val="hr-HR"/>
        </w:rPr>
        <w:t>ti.</w:t>
      </w:r>
    </w:p>
    <w:p w14:paraId="71B87FE5" w14:textId="77777777" w:rsidR="00B07542" w:rsidRPr="007703FB" w:rsidRDefault="00B07542" w:rsidP="008E1E45">
      <w:pPr>
        <w:pStyle w:val="EndnoteText"/>
        <w:spacing w:before="120"/>
        <w:jc w:val="both"/>
        <w:rPr>
          <w:rFonts w:ascii="Times New Roman" w:hAnsi="Times New Roman"/>
          <w:i/>
          <w:sz w:val="22"/>
          <w:szCs w:val="22"/>
          <w:lang w:val="hr-HR"/>
        </w:rPr>
      </w:pPr>
      <w:r w:rsidRPr="007703FB">
        <w:rPr>
          <w:rFonts w:ascii="Times New Roman" w:hAnsi="Times New Roman"/>
          <w:sz w:val="22"/>
          <w:szCs w:val="22"/>
          <w:lang w:val="hr-HR"/>
        </w:rPr>
        <w:t>D</w:t>
      </w:r>
      <w:r w:rsidR="005178A6" w:rsidRPr="007703FB">
        <w:rPr>
          <w:rFonts w:ascii="Times New Roman" w:hAnsi="Times New Roman"/>
          <w:sz w:val="22"/>
          <w:szCs w:val="22"/>
          <w:lang w:val="hr-HR"/>
        </w:rPr>
        <w:t>j</w:t>
      </w:r>
      <w:r w:rsidRPr="007703FB">
        <w:rPr>
          <w:rFonts w:ascii="Times New Roman" w:hAnsi="Times New Roman"/>
          <w:sz w:val="22"/>
          <w:szCs w:val="22"/>
          <w:lang w:val="hr-HR"/>
        </w:rPr>
        <w:t>eca: U fazi remisije bolesti preporučuje se doza održavanja od 20-30</w:t>
      </w:r>
      <w:r w:rsidR="00F375A9" w:rsidRPr="007703FB">
        <w:rPr>
          <w:rFonts w:ascii="Times New Roman" w:hAnsi="Times New Roman"/>
          <w:sz w:val="22"/>
          <w:szCs w:val="22"/>
          <w:lang w:val="hr-HR"/>
        </w:rPr>
        <w:t> </w:t>
      </w:r>
      <w:r w:rsidRPr="007703FB">
        <w:rPr>
          <w:rFonts w:ascii="Times New Roman" w:hAnsi="Times New Roman"/>
          <w:sz w:val="22"/>
          <w:szCs w:val="22"/>
          <w:lang w:val="hr-HR"/>
        </w:rPr>
        <w:t>mg/kg t</w:t>
      </w:r>
      <w:r w:rsidR="00A86A5C" w:rsidRPr="007703FB">
        <w:rPr>
          <w:rFonts w:ascii="Times New Roman" w:hAnsi="Times New Roman"/>
          <w:sz w:val="22"/>
          <w:szCs w:val="22"/>
          <w:lang w:val="hr-HR"/>
        </w:rPr>
        <w:t>j</w:t>
      </w:r>
      <w:r w:rsidRPr="007703FB">
        <w:rPr>
          <w:rFonts w:ascii="Times New Roman" w:hAnsi="Times New Roman"/>
          <w:sz w:val="22"/>
          <w:szCs w:val="22"/>
          <w:lang w:val="hr-HR"/>
        </w:rPr>
        <w:t>elesne mase dnevno, pod</w:t>
      </w:r>
      <w:r w:rsidR="00A86A5C" w:rsidRPr="007703FB">
        <w:rPr>
          <w:rFonts w:ascii="Times New Roman" w:hAnsi="Times New Roman"/>
          <w:sz w:val="22"/>
          <w:szCs w:val="22"/>
          <w:lang w:val="hr-HR"/>
        </w:rPr>
        <w:t>ij</w:t>
      </w:r>
      <w:r w:rsidRPr="007703FB">
        <w:rPr>
          <w:rFonts w:ascii="Times New Roman" w:hAnsi="Times New Roman"/>
          <w:sz w:val="22"/>
          <w:szCs w:val="22"/>
          <w:lang w:val="hr-HR"/>
        </w:rPr>
        <w:t>eljeno u 3-6 doza.</w:t>
      </w:r>
      <w:r w:rsidRPr="007703FB">
        <w:rPr>
          <w:rFonts w:ascii="Times New Roman" w:hAnsi="Times New Roman"/>
          <w:i/>
          <w:sz w:val="22"/>
          <w:szCs w:val="22"/>
          <w:lang w:val="hr-HR"/>
        </w:rPr>
        <w:t xml:space="preserve"> </w:t>
      </w:r>
    </w:p>
    <w:p w14:paraId="4E0F5FA3" w14:textId="77777777" w:rsidR="00B07542" w:rsidRPr="007703FB" w:rsidRDefault="00B07542" w:rsidP="00B91EBB">
      <w:pPr>
        <w:pStyle w:val="EndnoteText"/>
        <w:jc w:val="both"/>
        <w:rPr>
          <w:rFonts w:ascii="Times New Roman" w:hAnsi="Times New Roman"/>
          <w:i/>
          <w:sz w:val="22"/>
          <w:szCs w:val="22"/>
          <w:lang w:val="hr-HR"/>
        </w:rPr>
      </w:pPr>
    </w:p>
    <w:p w14:paraId="3ED4DC56" w14:textId="77777777" w:rsidR="00B07542" w:rsidRPr="007703FB" w:rsidRDefault="00B07542" w:rsidP="00B91EBB">
      <w:pPr>
        <w:pStyle w:val="EndnoteText"/>
        <w:jc w:val="both"/>
        <w:rPr>
          <w:rFonts w:ascii="Times New Roman" w:hAnsi="Times New Roman"/>
          <w:i/>
          <w:sz w:val="22"/>
          <w:szCs w:val="22"/>
          <w:lang w:val="hr-HR"/>
        </w:rPr>
      </w:pPr>
      <w:r w:rsidRPr="007703FB">
        <w:rPr>
          <w:rFonts w:ascii="Times New Roman" w:hAnsi="Times New Roman"/>
          <w:i/>
          <w:sz w:val="22"/>
          <w:szCs w:val="22"/>
          <w:lang w:val="hr-HR"/>
        </w:rPr>
        <w:t>Adultni reumatoidni artritis</w:t>
      </w:r>
    </w:p>
    <w:p w14:paraId="65A27530" w14:textId="7AF6298F" w:rsidR="00B07542" w:rsidRPr="007703FB" w:rsidRDefault="00B07542" w:rsidP="00B91EBB">
      <w:pPr>
        <w:widowControl w:val="0"/>
        <w:tabs>
          <w:tab w:val="clear" w:pos="284"/>
        </w:tabs>
        <w:rPr>
          <w:szCs w:val="22"/>
          <w:lang w:val="hr-HR"/>
        </w:rPr>
      </w:pPr>
      <w:r w:rsidRPr="007703FB">
        <w:rPr>
          <w:szCs w:val="22"/>
          <w:lang w:val="hr-HR"/>
        </w:rPr>
        <w:t xml:space="preserve">Salazopyrin EN </w:t>
      </w:r>
      <w:r w:rsidR="008E1E45" w:rsidRPr="007703FB">
        <w:rPr>
          <w:szCs w:val="22"/>
          <w:lang w:val="hr-HR"/>
        </w:rPr>
        <w:t xml:space="preserve">gastrorezistentne </w:t>
      </w:r>
      <w:r w:rsidRPr="007703FB">
        <w:rPr>
          <w:szCs w:val="22"/>
          <w:lang w:val="hr-HR"/>
        </w:rPr>
        <w:t>tablete se posebno preporučuju za terapiju reumatoidnog artritisa jer ovi pacijenti mogu imati os</w:t>
      </w:r>
      <w:r w:rsidR="00DC3E49" w:rsidRPr="007703FB">
        <w:rPr>
          <w:szCs w:val="22"/>
          <w:lang w:val="hr-HR"/>
        </w:rPr>
        <w:t>j</w:t>
      </w:r>
      <w:r w:rsidRPr="007703FB">
        <w:rPr>
          <w:szCs w:val="22"/>
          <w:lang w:val="hr-HR"/>
        </w:rPr>
        <w:t>etljiv želudac, posebno oni koji su prethodno duže l</w:t>
      </w:r>
      <w:r w:rsidR="00DC3E49" w:rsidRPr="007703FB">
        <w:rPr>
          <w:szCs w:val="22"/>
          <w:lang w:val="hr-HR"/>
        </w:rPr>
        <w:t>ij</w:t>
      </w:r>
      <w:r w:rsidRPr="007703FB">
        <w:rPr>
          <w:szCs w:val="22"/>
          <w:lang w:val="hr-HR"/>
        </w:rPr>
        <w:t xml:space="preserve">ečeni NSAIL. </w:t>
      </w:r>
      <w:r w:rsidR="008E1E45" w:rsidRPr="007703FB">
        <w:rPr>
          <w:szCs w:val="22"/>
          <w:lang w:val="hr-HR"/>
        </w:rPr>
        <w:t>Gastrorezistentne t</w:t>
      </w:r>
      <w:r w:rsidRPr="007703FB">
        <w:rPr>
          <w:szCs w:val="22"/>
          <w:lang w:val="hr-HR"/>
        </w:rPr>
        <w:t>ablete treba uzimati uz obrok.</w:t>
      </w:r>
    </w:p>
    <w:p w14:paraId="73662C29" w14:textId="77777777" w:rsidR="00B07542" w:rsidRPr="007703FB" w:rsidRDefault="00B07542" w:rsidP="00B91EBB">
      <w:pPr>
        <w:widowControl w:val="0"/>
        <w:tabs>
          <w:tab w:val="clear" w:pos="284"/>
        </w:tabs>
        <w:rPr>
          <w:szCs w:val="22"/>
          <w:lang w:val="hr-HR"/>
        </w:rPr>
      </w:pPr>
      <w:r w:rsidRPr="007703FB">
        <w:rPr>
          <w:szCs w:val="22"/>
          <w:lang w:val="hr-HR"/>
        </w:rPr>
        <w:t>L</w:t>
      </w:r>
      <w:r w:rsidR="00DC3E49" w:rsidRPr="007703FB">
        <w:rPr>
          <w:szCs w:val="22"/>
          <w:lang w:val="hr-HR"/>
        </w:rPr>
        <w:t>ij</w:t>
      </w:r>
      <w:r w:rsidRPr="007703FB">
        <w:rPr>
          <w:szCs w:val="22"/>
          <w:lang w:val="hr-HR"/>
        </w:rPr>
        <w:t>ečenje se započinje prim</w:t>
      </w:r>
      <w:r w:rsidR="005178A6" w:rsidRPr="007703FB">
        <w:rPr>
          <w:szCs w:val="22"/>
          <w:lang w:val="hr-HR"/>
        </w:rPr>
        <w:t>j</w:t>
      </w:r>
      <w:r w:rsidRPr="007703FB">
        <w:rPr>
          <w:szCs w:val="22"/>
          <w:lang w:val="hr-HR"/>
        </w:rPr>
        <w:t>enom 500 mg dnevno u toku prve ned</w:t>
      </w:r>
      <w:r w:rsidR="00DC3E49" w:rsidRPr="007703FB">
        <w:rPr>
          <w:szCs w:val="22"/>
          <w:lang w:val="hr-HR"/>
        </w:rPr>
        <w:t>j</w:t>
      </w:r>
      <w:r w:rsidRPr="007703FB">
        <w:rPr>
          <w:szCs w:val="22"/>
          <w:lang w:val="hr-HR"/>
        </w:rPr>
        <w:t>elje, a zatim se doza svake sl</w:t>
      </w:r>
      <w:r w:rsidR="00DC3E49" w:rsidRPr="007703FB">
        <w:rPr>
          <w:szCs w:val="22"/>
          <w:lang w:val="hr-HR"/>
        </w:rPr>
        <w:t>j</w:t>
      </w:r>
      <w:r w:rsidRPr="007703FB">
        <w:rPr>
          <w:szCs w:val="22"/>
          <w:lang w:val="hr-HR"/>
        </w:rPr>
        <w:t>edeće ned</w:t>
      </w:r>
      <w:r w:rsidR="00DC3E49" w:rsidRPr="007703FB">
        <w:rPr>
          <w:szCs w:val="22"/>
          <w:lang w:val="hr-HR"/>
        </w:rPr>
        <w:t>j</w:t>
      </w:r>
      <w:r w:rsidRPr="007703FB">
        <w:rPr>
          <w:szCs w:val="22"/>
          <w:lang w:val="hr-HR"/>
        </w:rPr>
        <w:t xml:space="preserve">elje povećava za 500 mg (1 </w:t>
      </w:r>
      <w:r w:rsidR="009823C2" w:rsidRPr="007703FB">
        <w:rPr>
          <w:szCs w:val="22"/>
          <w:lang w:val="hr-HR"/>
        </w:rPr>
        <w:t xml:space="preserve">gastrorezistentna </w:t>
      </w:r>
      <w:r w:rsidRPr="007703FB">
        <w:rPr>
          <w:szCs w:val="22"/>
          <w:lang w:val="hr-HR"/>
        </w:rPr>
        <w:t>tableta) do ukupne doze od 2 g dnevno, pod</w:t>
      </w:r>
      <w:r w:rsidR="00DC3E49" w:rsidRPr="007703FB">
        <w:rPr>
          <w:szCs w:val="22"/>
          <w:lang w:val="hr-HR"/>
        </w:rPr>
        <w:t>ij</w:t>
      </w:r>
      <w:r w:rsidRPr="007703FB">
        <w:rPr>
          <w:szCs w:val="22"/>
          <w:lang w:val="hr-HR"/>
        </w:rPr>
        <w:t>eljeno u 3 do 4 doze. Ukoliko klinički odgovor nije odgovarajući nakon 12 ned</w:t>
      </w:r>
      <w:r w:rsidR="00DC3E49" w:rsidRPr="007703FB">
        <w:rPr>
          <w:szCs w:val="22"/>
          <w:lang w:val="hr-HR"/>
        </w:rPr>
        <w:t>j</w:t>
      </w:r>
      <w:r w:rsidRPr="007703FB">
        <w:rPr>
          <w:szCs w:val="22"/>
          <w:lang w:val="hr-HR"/>
        </w:rPr>
        <w:t>elja, dnevna doza se može povećati i do maksimalno 3 g dnevno.</w:t>
      </w:r>
    </w:p>
    <w:p w14:paraId="31B91123" w14:textId="77777777" w:rsidR="00B07542" w:rsidRPr="007703FB" w:rsidRDefault="00B07542" w:rsidP="00B91EBB">
      <w:pPr>
        <w:widowControl w:val="0"/>
        <w:tabs>
          <w:tab w:val="clear" w:pos="284"/>
        </w:tabs>
        <w:rPr>
          <w:szCs w:val="22"/>
          <w:lang w:val="hr-HR"/>
        </w:rPr>
      </w:pPr>
    </w:p>
    <w:p w14:paraId="61AECF5D" w14:textId="566B58DD" w:rsidR="006B05A3" w:rsidRPr="002E7D92" w:rsidRDefault="00B07542" w:rsidP="00B91EBB">
      <w:pPr>
        <w:widowControl w:val="0"/>
        <w:tabs>
          <w:tab w:val="clear" w:pos="284"/>
        </w:tabs>
        <w:rPr>
          <w:i/>
          <w:szCs w:val="22"/>
          <w:lang w:val="hr-HR"/>
        </w:rPr>
      </w:pPr>
      <w:r w:rsidRPr="007703FB">
        <w:rPr>
          <w:i/>
          <w:szCs w:val="22"/>
          <w:lang w:val="hr-HR"/>
        </w:rPr>
        <w:t>Poliartikularni juvenilni reumatoidni artritis kod d</w:t>
      </w:r>
      <w:r w:rsidR="00DC3E49" w:rsidRPr="007703FB">
        <w:rPr>
          <w:i/>
          <w:szCs w:val="22"/>
          <w:lang w:val="hr-HR"/>
        </w:rPr>
        <w:t>j</w:t>
      </w:r>
      <w:r w:rsidRPr="007703FB">
        <w:rPr>
          <w:i/>
          <w:szCs w:val="22"/>
          <w:lang w:val="hr-HR"/>
        </w:rPr>
        <w:t xml:space="preserve">ece </w:t>
      </w:r>
      <w:r w:rsidR="002D18A6" w:rsidRPr="007703FB">
        <w:rPr>
          <w:i/>
          <w:szCs w:val="22"/>
          <w:lang w:val="hr-HR"/>
        </w:rPr>
        <w:t>uzrasta</w:t>
      </w:r>
      <w:r w:rsidRPr="007703FB">
        <w:rPr>
          <w:i/>
          <w:szCs w:val="22"/>
          <w:lang w:val="hr-HR"/>
        </w:rPr>
        <w:t xml:space="preserve"> 6 godina i starijih, koji se ne može kontrolisati salicilatima i drugim NSAIL</w:t>
      </w:r>
    </w:p>
    <w:p w14:paraId="024F81AF" w14:textId="77777777" w:rsidR="00CE09F3" w:rsidRPr="007703FB" w:rsidRDefault="00B07542">
      <w:pPr>
        <w:rPr>
          <w:szCs w:val="22"/>
          <w:lang w:val="hr-HR"/>
        </w:rPr>
      </w:pPr>
      <w:r w:rsidRPr="007703FB">
        <w:rPr>
          <w:szCs w:val="22"/>
          <w:lang w:val="hr-HR"/>
        </w:rPr>
        <w:t>Preporučuje se prim</w:t>
      </w:r>
      <w:r w:rsidR="00DC3E49" w:rsidRPr="007703FB">
        <w:rPr>
          <w:szCs w:val="22"/>
          <w:lang w:val="hr-HR"/>
        </w:rPr>
        <w:t>j</w:t>
      </w:r>
      <w:r w:rsidRPr="007703FB">
        <w:rPr>
          <w:szCs w:val="22"/>
          <w:lang w:val="hr-HR"/>
        </w:rPr>
        <w:t xml:space="preserve">ena doze od </w:t>
      </w:r>
      <w:r w:rsidRPr="00833771">
        <w:rPr>
          <w:szCs w:val="22"/>
          <w:lang w:val="hr-HR"/>
        </w:rPr>
        <w:t>30-50</w:t>
      </w:r>
      <w:r w:rsidR="00A0551E" w:rsidRPr="00833771">
        <w:rPr>
          <w:szCs w:val="22"/>
          <w:lang w:val="hr-HR"/>
        </w:rPr>
        <w:t> </w:t>
      </w:r>
      <w:r w:rsidRPr="00833771">
        <w:rPr>
          <w:szCs w:val="22"/>
          <w:lang w:val="hr-HR"/>
        </w:rPr>
        <w:t>mg</w:t>
      </w:r>
      <w:r w:rsidRPr="007703FB">
        <w:rPr>
          <w:szCs w:val="22"/>
          <w:lang w:val="hr-HR"/>
        </w:rPr>
        <w:t>/kg t</w:t>
      </w:r>
      <w:r w:rsidR="00DC3E49" w:rsidRPr="007703FB">
        <w:rPr>
          <w:szCs w:val="22"/>
          <w:lang w:val="hr-HR"/>
        </w:rPr>
        <w:t>j</w:t>
      </w:r>
      <w:r w:rsidR="002D18A6" w:rsidRPr="007703FB">
        <w:rPr>
          <w:szCs w:val="22"/>
          <w:lang w:val="hr-HR"/>
        </w:rPr>
        <w:t xml:space="preserve">elesne </w:t>
      </w:r>
      <w:r w:rsidRPr="007703FB">
        <w:rPr>
          <w:szCs w:val="22"/>
          <w:lang w:val="hr-HR"/>
        </w:rPr>
        <w:t>m</w:t>
      </w:r>
      <w:r w:rsidR="002D18A6" w:rsidRPr="007703FB">
        <w:rPr>
          <w:szCs w:val="22"/>
          <w:lang w:val="hr-HR"/>
        </w:rPr>
        <w:t>ase</w:t>
      </w:r>
      <w:r w:rsidRPr="007703FB">
        <w:rPr>
          <w:szCs w:val="22"/>
          <w:lang w:val="hr-HR"/>
        </w:rPr>
        <w:t xml:space="preserve"> dnevno, pod</w:t>
      </w:r>
      <w:r w:rsidR="005178A6" w:rsidRPr="007703FB">
        <w:rPr>
          <w:szCs w:val="22"/>
          <w:lang w:val="hr-HR"/>
        </w:rPr>
        <w:t>ij</w:t>
      </w:r>
      <w:r w:rsidRPr="007703FB">
        <w:rPr>
          <w:szCs w:val="22"/>
          <w:lang w:val="hr-HR"/>
        </w:rPr>
        <w:t>eljeno u 2 doze. Maksimalna doza je 2</w:t>
      </w:r>
      <w:r w:rsidR="00A0551E" w:rsidRPr="007703FB">
        <w:rPr>
          <w:szCs w:val="22"/>
          <w:lang w:val="hr-HR"/>
        </w:rPr>
        <w:t> </w:t>
      </w:r>
      <w:r w:rsidRPr="007703FB">
        <w:rPr>
          <w:szCs w:val="22"/>
          <w:lang w:val="hr-HR"/>
        </w:rPr>
        <w:t>g dnevno.</w:t>
      </w:r>
    </w:p>
    <w:p w14:paraId="3F2ED1FE" w14:textId="77777777" w:rsidR="0059023E" w:rsidRPr="007703FB" w:rsidRDefault="0059023E">
      <w:pPr>
        <w:rPr>
          <w:color w:val="FF0000"/>
          <w:szCs w:val="22"/>
          <w:lang w:val="hr-HR"/>
        </w:rPr>
      </w:pPr>
    </w:p>
    <w:p w14:paraId="023AD8B1" w14:textId="0363D929" w:rsidR="00CE09F3" w:rsidRPr="007703FB" w:rsidRDefault="00CE09F3">
      <w:pPr>
        <w:rPr>
          <w:b/>
          <w:bCs/>
          <w:szCs w:val="22"/>
          <w:lang w:val="hr-HR"/>
        </w:rPr>
      </w:pPr>
      <w:r w:rsidRPr="007703FB">
        <w:rPr>
          <w:b/>
          <w:bCs/>
          <w:szCs w:val="22"/>
          <w:lang w:val="hr-HR"/>
        </w:rPr>
        <w:t xml:space="preserve">4.3. </w:t>
      </w:r>
      <w:r w:rsidR="00C32B1E" w:rsidRPr="007703FB">
        <w:rPr>
          <w:b/>
          <w:bCs/>
          <w:szCs w:val="22"/>
          <w:lang w:val="hr-HR"/>
        </w:rPr>
        <w:tab/>
      </w:r>
      <w:r w:rsidRPr="007703FB">
        <w:rPr>
          <w:b/>
          <w:bCs/>
          <w:szCs w:val="22"/>
          <w:lang w:val="hr-HR"/>
        </w:rPr>
        <w:t>Kontraindikacije</w:t>
      </w:r>
    </w:p>
    <w:p w14:paraId="2697B97F" w14:textId="77777777" w:rsidR="00CE09F3" w:rsidRPr="007703FB" w:rsidRDefault="00CE09F3">
      <w:pPr>
        <w:rPr>
          <w:color w:val="FF0000"/>
          <w:szCs w:val="22"/>
          <w:lang w:val="hr-HR"/>
        </w:rPr>
      </w:pPr>
    </w:p>
    <w:p w14:paraId="25B403A6" w14:textId="50A55E3D" w:rsidR="00B07542" w:rsidRPr="007703FB" w:rsidRDefault="00B07542" w:rsidP="002E7D92">
      <w:pPr>
        <w:rPr>
          <w:szCs w:val="22"/>
          <w:lang w:val="hr-HR"/>
        </w:rPr>
      </w:pPr>
      <w:r w:rsidRPr="007703FB">
        <w:rPr>
          <w:szCs w:val="22"/>
          <w:lang w:val="hr-HR"/>
        </w:rPr>
        <w:t>Preos</w:t>
      </w:r>
      <w:r w:rsidR="00DC3E49" w:rsidRPr="007703FB">
        <w:rPr>
          <w:szCs w:val="22"/>
          <w:lang w:val="hr-HR"/>
        </w:rPr>
        <w:t>j</w:t>
      </w:r>
      <w:r w:rsidRPr="007703FB">
        <w:rPr>
          <w:szCs w:val="22"/>
          <w:lang w:val="hr-HR"/>
        </w:rPr>
        <w:t xml:space="preserve">etljivost na </w:t>
      </w:r>
      <w:r w:rsidR="00B91EBB" w:rsidRPr="007703FB">
        <w:rPr>
          <w:szCs w:val="22"/>
          <w:lang w:val="hr-HR"/>
        </w:rPr>
        <w:t>aktivnu supstancu</w:t>
      </w:r>
      <w:r w:rsidR="00C32B1E" w:rsidRPr="007703FB">
        <w:rPr>
          <w:szCs w:val="22"/>
          <w:lang w:val="hr-HR"/>
        </w:rPr>
        <w:t>, njene metabolite</w:t>
      </w:r>
      <w:r w:rsidR="00FD3EC5" w:rsidRPr="007703FB">
        <w:rPr>
          <w:szCs w:val="22"/>
          <w:lang w:val="hr-HR"/>
        </w:rPr>
        <w:t xml:space="preserve"> </w:t>
      </w:r>
      <w:r w:rsidRPr="007703FB">
        <w:rPr>
          <w:szCs w:val="22"/>
          <w:lang w:val="hr-HR"/>
        </w:rPr>
        <w:t xml:space="preserve">ili na bilo koju od pomoćnih supstanci </w:t>
      </w:r>
      <w:r w:rsidR="00B91EBB" w:rsidRPr="007703FB">
        <w:rPr>
          <w:szCs w:val="22"/>
          <w:lang w:val="hr-HR"/>
        </w:rPr>
        <w:t xml:space="preserve">navedenih u </w:t>
      </w:r>
      <w:r w:rsidR="00AC72EF">
        <w:rPr>
          <w:szCs w:val="22"/>
          <w:lang w:val="hr-HR"/>
        </w:rPr>
        <w:t>dijel</w:t>
      </w:r>
      <w:r w:rsidR="00AC72EF" w:rsidRPr="007703FB">
        <w:rPr>
          <w:szCs w:val="22"/>
          <w:lang w:val="hr-HR"/>
        </w:rPr>
        <w:t xml:space="preserve">u </w:t>
      </w:r>
      <w:r w:rsidR="00B91EBB" w:rsidRPr="007703FB">
        <w:rPr>
          <w:szCs w:val="22"/>
          <w:lang w:val="hr-HR"/>
        </w:rPr>
        <w:t>6.1</w:t>
      </w:r>
      <w:r w:rsidR="00574C20" w:rsidRPr="007703FB">
        <w:rPr>
          <w:szCs w:val="22"/>
          <w:lang w:val="hr-HR"/>
        </w:rPr>
        <w:t xml:space="preserve">, kao i na sulfamide ili </w:t>
      </w:r>
      <w:r w:rsidR="00AC72EF">
        <w:rPr>
          <w:szCs w:val="22"/>
          <w:lang w:val="hr-HR"/>
        </w:rPr>
        <w:t xml:space="preserve">derivate </w:t>
      </w:r>
      <w:r w:rsidR="00574C20" w:rsidRPr="007703FB">
        <w:rPr>
          <w:szCs w:val="22"/>
          <w:lang w:val="hr-HR"/>
        </w:rPr>
        <w:t>salicila.</w:t>
      </w:r>
    </w:p>
    <w:p w14:paraId="47A182ED" w14:textId="77777777" w:rsidR="00513268" w:rsidRPr="007703FB" w:rsidRDefault="00513268" w:rsidP="002E7D92">
      <w:pPr>
        <w:rPr>
          <w:szCs w:val="22"/>
          <w:lang w:val="hr-HR"/>
        </w:rPr>
      </w:pPr>
    </w:p>
    <w:p w14:paraId="304085E8" w14:textId="1FA07F0A" w:rsidR="00574C20" w:rsidRPr="007703FB" w:rsidRDefault="00AC72EF" w:rsidP="002E7D92">
      <w:pPr>
        <w:rPr>
          <w:szCs w:val="22"/>
          <w:lang w:val="hr-HR"/>
        </w:rPr>
      </w:pPr>
      <w:r>
        <w:rPr>
          <w:szCs w:val="22"/>
          <w:lang w:val="hr-HR"/>
        </w:rPr>
        <w:t>Primjena</w:t>
      </w:r>
      <w:r w:rsidR="00574C20" w:rsidRPr="007703FB">
        <w:rPr>
          <w:szCs w:val="22"/>
          <w:lang w:val="hr-HR"/>
        </w:rPr>
        <w:t xml:space="preserve"> kod pacijenata sa žuticom ili porfirijom.</w:t>
      </w:r>
    </w:p>
    <w:p w14:paraId="3E422C3C" w14:textId="77777777" w:rsidR="00574C20" w:rsidRPr="007703FB" w:rsidRDefault="00574C20" w:rsidP="00FD3EC5">
      <w:pPr>
        <w:spacing w:before="60"/>
        <w:rPr>
          <w:szCs w:val="22"/>
          <w:lang w:val="hr-HR"/>
        </w:rPr>
      </w:pPr>
    </w:p>
    <w:p w14:paraId="583B269A" w14:textId="1754B9C5" w:rsidR="00CE09F3" w:rsidRPr="007703FB" w:rsidRDefault="00CE09F3" w:rsidP="00923865">
      <w:pPr>
        <w:rPr>
          <w:b/>
          <w:bCs/>
          <w:szCs w:val="22"/>
          <w:lang w:val="hr-HR"/>
        </w:rPr>
      </w:pPr>
      <w:r w:rsidRPr="007703FB">
        <w:rPr>
          <w:b/>
          <w:bCs/>
          <w:szCs w:val="22"/>
          <w:lang w:val="hr-HR"/>
        </w:rPr>
        <w:t xml:space="preserve">4.4. </w:t>
      </w:r>
      <w:r w:rsidR="00574C20" w:rsidRPr="007703FB">
        <w:rPr>
          <w:b/>
          <w:bCs/>
          <w:szCs w:val="22"/>
          <w:lang w:val="hr-HR"/>
        </w:rPr>
        <w:tab/>
      </w:r>
      <w:r w:rsidRPr="007703FB">
        <w:rPr>
          <w:b/>
          <w:bCs/>
          <w:szCs w:val="22"/>
          <w:lang w:val="hr-HR"/>
        </w:rPr>
        <w:t>Posebna upozorenja i m</w:t>
      </w:r>
      <w:r w:rsidR="002319DD" w:rsidRPr="007703FB">
        <w:rPr>
          <w:b/>
          <w:bCs/>
          <w:szCs w:val="22"/>
          <w:lang w:val="hr-HR"/>
        </w:rPr>
        <w:t>j</w:t>
      </w:r>
      <w:r w:rsidRPr="007703FB">
        <w:rPr>
          <w:b/>
          <w:bCs/>
          <w:szCs w:val="22"/>
          <w:lang w:val="hr-HR"/>
        </w:rPr>
        <w:t>ere opreza pri upotrebi l</w:t>
      </w:r>
      <w:r w:rsidR="002319DD" w:rsidRPr="007703FB">
        <w:rPr>
          <w:b/>
          <w:bCs/>
          <w:szCs w:val="22"/>
          <w:lang w:val="hr-HR"/>
        </w:rPr>
        <w:t>ij</w:t>
      </w:r>
      <w:r w:rsidRPr="007703FB">
        <w:rPr>
          <w:b/>
          <w:bCs/>
          <w:szCs w:val="22"/>
          <w:lang w:val="hr-HR"/>
        </w:rPr>
        <w:t>eka</w:t>
      </w:r>
    </w:p>
    <w:p w14:paraId="7044C7D8" w14:textId="77777777" w:rsidR="00A80D92" w:rsidRPr="007703FB" w:rsidRDefault="00A80D92" w:rsidP="00A80D92">
      <w:pPr>
        <w:rPr>
          <w:color w:val="FF0000"/>
          <w:szCs w:val="22"/>
          <w:lang w:val="hr-HR"/>
        </w:rPr>
      </w:pPr>
    </w:p>
    <w:p w14:paraId="19B3AADF" w14:textId="77777777" w:rsidR="00B07542" w:rsidRPr="007703FB" w:rsidRDefault="00B07542" w:rsidP="00A80D92">
      <w:pPr>
        <w:rPr>
          <w:szCs w:val="22"/>
          <w:lang w:val="hr-HR"/>
        </w:rPr>
      </w:pPr>
      <w:r w:rsidRPr="007703FB">
        <w:rPr>
          <w:szCs w:val="22"/>
          <w:lang w:val="hr-HR"/>
        </w:rPr>
        <w:t>Prijavljene su ozbiljne infekcije povezane sa mijelosupresijom, uključujući sepsu i pneumoniju. Pacijente kod kojih se razvije nova infekcija dok su na terapiji sulfasalazinom treba pažljivo pratiti. Terapiju sulfasalazinom treba prekinuti ukoliko se kod pacijenta razvije ozbiljna infekcija. Potreban je oprez kada se razmatra prim</w:t>
      </w:r>
      <w:r w:rsidR="005178A6" w:rsidRPr="007703FB">
        <w:rPr>
          <w:szCs w:val="22"/>
          <w:lang w:val="hr-HR"/>
        </w:rPr>
        <w:t>j</w:t>
      </w:r>
      <w:r w:rsidRPr="007703FB">
        <w:rPr>
          <w:szCs w:val="22"/>
          <w:lang w:val="hr-HR"/>
        </w:rPr>
        <w:t>ena sulfasalazina kod pacijenata sa istorijom ponovljenih ili hroničnih infekcija ili sa postojećim stanjima koja predisponiraju razvoj infekcija.</w:t>
      </w:r>
    </w:p>
    <w:p w14:paraId="1CAEFB2A" w14:textId="77777777" w:rsidR="00B07542" w:rsidRPr="007703FB" w:rsidRDefault="00B07542" w:rsidP="00B07542">
      <w:pPr>
        <w:rPr>
          <w:color w:val="FF0000"/>
          <w:szCs w:val="22"/>
          <w:lang w:val="hr-HR"/>
        </w:rPr>
      </w:pPr>
    </w:p>
    <w:p w14:paraId="7FE63F0A" w14:textId="25936EA9" w:rsidR="00B07542" w:rsidRPr="002E7D92" w:rsidRDefault="00B07542" w:rsidP="009F3A1A">
      <w:pPr>
        <w:rPr>
          <w:szCs w:val="22"/>
          <w:lang w:val="hr-HR"/>
        </w:rPr>
      </w:pPr>
      <w:r w:rsidRPr="00935255">
        <w:rPr>
          <w:szCs w:val="22"/>
          <w:lang w:val="hr-HR"/>
        </w:rPr>
        <w:t>Pr</w:t>
      </w:r>
      <w:r w:rsidR="00327F03" w:rsidRPr="00935255">
        <w:rPr>
          <w:szCs w:val="22"/>
          <w:lang w:val="hr-HR"/>
        </w:rPr>
        <w:t>ij</w:t>
      </w:r>
      <w:r w:rsidRPr="00935255">
        <w:rPr>
          <w:szCs w:val="22"/>
          <w:lang w:val="hr-HR"/>
        </w:rPr>
        <w:t>e započinjanja terapije sulfasalazinom potrebno je uraditi kompletnu analizu krvi (uključujući leukocitnu formulu), kao i prov</w:t>
      </w:r>
      <w:r w:rsidR="00327F03" w:rsidRPr="009D1818">
        <w:rPr>
          <w:szCs w:val="22"/>
          <w:lang w:val="hr-HR"/>
        </w:rPr>
        <w:t>j</w:t>
      </w:r>
      <w:r w:rsidRPr="009D1818">
        <w:rPr>
          <w:szCs w:val="22"/>
          <w:lang w:val="hr-HR"/>
        </w:rPr>
        <w:t>eriti parametre funkcije jetre</w:t>
      </w:r>
      <w:r w:rsidR="004575DB" w:rsidRPr="009D1818">
        <w:rPr>
          <w:szCs w:val="22"/>
          <w:lang w:val="hr-HR"/>
        </w:rPr>
        <w:t>.</w:t>
      </w:r>
      <w:r w:rsidR="00935255" w:rsidRPr="009112EF">
        <w:rPr>
          <w:szCs w:val="22"/>
          <w:lang w:val="hr-HR"/>
        </w:rPr>
        <w:t xml:space="preserve"> </w:t>
      </w:r>
      <w:r w:rsidR="004575DB" w:rsidRPr="009112EF">
        <w:rPr>
          <w:szCs w:val="22"/>
          <w:lang w:val="hr-HR"/>
        </w:rPr>
        <w:t>O</w:t>
      </w:r>
      <w:r w:rsidR="00574C20" w:rsidRPr="009112EF">
        <w:rPr>
          <w:szCs w:val="22"/>
          <w:lang w:val="hr-HR"/>
        </w:rPr>
        <w:t xml:space="preserve">ve analize </w:t>
      </w:r>
      <w:r w:rsidRPr="009112EF">
        <w:rPr>
          <w:szCs w:val="22"/>
          <w:lang w:val="hr-HR"/>
        </w:rPr>
        <w:t xml:space="preserve">ponavljati svake </w:t>
      </w:r>
      <w:r w:rsidR="00574C20" w:rsidRPr="009112EF">
        <w:rPr>
          <w:szCs w:val="22"/>
          <w:lang w:val="hr-HR"/>
        </w:rPr>
        <w:t>druge</w:t>
      </w:r>
      <w:r w:rsidRPr="009112EF">
        <w:rPr>
          <w:szCs w:val="22"/>
          <w:lang w:val="hr-HR"/>
        </w:rPr>
        <w:t xml:space="preserve"> ned</w:t>
      </w:r>
      <w:r w:rsidR="00574C20" w:rsidRPr="009112EF">
        <w:rPr>
          <w:szCs w:val="22"/>
          <w:lang w:val="hr-HR"/>
        </w:rPr>
        <w:t>j</w:t>
      </w:r>
      <w:r w:rsidRPr="009112EF">
        <w:rPr>
          <w:szCs w:val="22"/>
          <w:lang w:val="hr-HR"/>
        </w:rPr>
        <w:t>elje u toku prva tri m</w:t>
      </w:r>
      <w:r w:rsidR="00327F03" w:rsidRPr="00935255">
        <w:rPr>
          <w:szCs w:val="22"/>
          <w:lang w:val="hr-HR"/>
        </w:rPr>
        <w:t>j</w:t>
      </w:r>
      <w:r w:rsidRPr="00935255">
        <w:rPr>
          <w:szCs w:val="22"/>
          <w:lang w:val="hr-HR"/>
        </w:rPr>
        <w:t xml:space="preserve">eseca terapije. </w:t>
      </w:r>
      <w:r w:rsidR="00A07BE8" w:rsidRPr="00935255">
        <w:rPr>
          <w:szCs w:val="22"/>
          <w:lang w:val="hr-HR"/>
        </w:rPr>
        <w:t>Tokom naredna tri m</w:t>
      </w:r>
      <w:r w:rsidR="00CA437D" w:rsidRPr="00935255">
        <w:rPr>
          <w:szCs w:val="22"/>
          <w:lang w:val="hr-HR"/>
        </w:rPr>
        <w:t>j</w:t>
      </w:r>
      <w:r w:rsidR="00A07BE8" w:rsidRPr="00935255">
        <w:rPr>
          <w:szCs w:val="22"/>
          <w:lang w:val="hr-HR"/>
        </w:rPr>
        <w:t>eseca testove raditi jednom m</w:t>
      </w:r>
      <w:r w:rsidR="00CA437D" w:rsidRPr="00935255">
        <w:rPr>
          <w:szCs w:val="22"/>
          <w:lang w:val="hr-HR"/>
        </w:rPr>
        <w:t>j</w:t>
      </w:r>
      <w:r w:rsidR="00A07BE8" w:rsidRPr="00935255">
        <w:rPr>
          <w:szCs w:val="22"/>
          <w:lang w:val="hr-HR"/>
        </w:rPr>
        <w:t>esečno.</w:t>
      </w:r>
      <w:r w:rsidR="009F3A1A">
        <w:rPr>
          <w:szCs w:val="22"/>
          <w:lang w:val="hr-HR"/>
        </w:rPr>
        <w:t xml:space="preserve"> </w:t>
      </w:r>
      <w:r w:rsidR="009F3A1A" w:rsidRPr="009F3A1A">
        <w:rPr>
          <w:szCs w:val="22"/>
          <w:lang w:val="hr-HR"/>
        </w:rPr>
        <w:t>Testovi analize krvi i parametara</w:t>
      </w:r>
      <w:r w:rsidR="009F3A1A">
        <w:rPr>
          <w:szCs w:val="22"/>
          <w:lang w:val="hr-HR"/>
        </w:rPr>
        <w:t xml:space="preserve"> </w:t>
      </w:r>
      <w:r w:rsidR="009F3A1A" w:rsidRPr="009F3A1A">
        <w:rPr>
          <w:szCs w:val="22"/>
          <w:lang w:val="hr-HR"/>
        </w:rPr>
        <w:t>funkcije jetre se dalje sprovode</w:t>
      </w:r>
      <w:r w:rsidR="00574C20" w:rsidRPr="00935255">
        <w:rPr>
          <w:szCs w:val="22"/>
          <w:lang w:val="hr-HR"/>
        </w:rPr>
        <w:t xml:space="preserve"> </w:t>
      </w:r>
      <w:r w:rsidR="009F3A1A">
        <w:rPr>
          <w:szCs w:val="22"/>
          <w:lang w:val="hr-HR"/>
        </w:rPr>
        <w:t>svaka tri mjeseca</w:t>
      </w:r>
      <w:r w:rsidR="00574C20" w:rsidRPr="00935255">
        <w:rPr>
          <w:szCs w:val="22"/>
          <w:lang w:val="hr-HR"/>
        </w:rPr>
        <w:t xml:space="preserve"> i kako je klinički indikovano</w:t>
      </w:r>
      <w:r w:rsidR="005304AB" w:rsidRPr="00935255">
        <w:rPr>
          <w:szCs w:val="22"/>
          <w:lang w:val="hr-HR"/>
        </w:rPr>
        <w:t>.</w:t>
      </w:r>
      <w:r w:rsidRPr="00935255">
        <w:rPr>
          <w:szCs w:val="22"/>
          <w:lang w:val="hr-HR"/>
        </w:rPr>
        <w:t xml:space="preserve"> </w:t>
      </w:r>
      <w:r w:rsidR="00574C20" w:rsidRPr="00935255">
        <w:rPr>
          <w:szCs w:val="22"/>
          <w:lang w:val="hr-HR"/>
        </w:rPr>
        <w:t xml:space="preserve">Treba izvršiti procjenu </w:t>
      </w:r>
      <w:r w:rsidR="005304AB" w:rsidRPr="00935255">
        <w:rPr>
          <w:szCs w:val="22"/>
          <w:lang w:val="hr-HR"/>
        </w:rPr>
        <w:t xml:space="preserve">funkcije </w:t>
      </w:r>
      <w:r w:rsidRPr="00935255">
        <w:rPr>
          <w:szCs w:val="22"/>
          <w:lang w:val="hr-HR"/>
        </w:rPr>
        <w:t xml:space="preserve">bubrega (uključujući analizu urina) </w:t>
      </w:r>
      <w:r w:rsidR="009F3A1A">
        <w:rPr>
          <w:szCs w:val="22"/>
          <w:lang w:val="hr-HR"/>
        </w:rPr>
        <w:t>prije započinjanja terapije</w:t>
      </w:r>
      <w:r w:rsidR="00574C20" w:rsidRPr="00935255">
        <w:rPr>
          <w:szCs w:val="22"/>
          <w:lang w:val="hr-HR"/>
        </w:rPr>
        <w:t>, a</w:t>
      </w:r>
      <w:r w:rsidR="009F3A1A">
        <w:rPr>
          <w:szCs w:val="22"/>
          <w:lang w:val="hr-HR"/>
        </w:rPr>
        <w:t xml:space="preserve"> zatim</w:t>
      </w:r>
      <w:r w:rsidR="00574C20" w:rsidRPr="00935255">
        <w:rPr>
          <w:szCs w:val="22"/>
          <w:lang w:val="hr-HR"/>
        </w:rPr>
        <w:t xml:space="preserve"> najmanje jednom mjesečno </w:t>
      </w:r>
      <w:r w:rsidRPr="00935255">
        <w:rPr>
          <w:szCs w:val="22"/>
          <w:lang w:val="hr-HR"/>
        </w:rPr>
        <w:t>tokom naredna tri m</w:t>
      </w:r>
      <w:r w:rsidR="00327F03" w:rsidRPr="00935255">
        <w:rPr>
          <w:szCs w:val="22"/>
          <w:lang w:val="hr-HR"/>
        </w:rPr>
        <w:t>j</w:t>
      </w:r>
      <w:r w:rsidRPr="00935255">
        <w:rPr>
          <w:szCs w:val="22"/>
          <w:lang w:val="hr-HR"/>
        </w:rPr>
        <w:t xml:space="preserve">eseca terapije. </w:t>
      </w:r>
      <w:r w:rsidR="002B442A" w:rsidRPr="00935255">
        <w:rPr>
          <w:szCs w:val="22"/>
          <w:lang w:val="hr-HR"/>
        </w:rPr>
        <w:t>N</w:t>
      </w:r>
      <w:r w:rsidRPr="00935255">
        <w:rPr>
          <w:szCs w:val="22"/>
          <w:lang w:val="hr-HR"/>
        </w:rPr>
        <w:t xml:space="preserve">akon toga </w:t>
      </w:r>
      <w:r w:rsidR="002B442A" w:rsidRPr="00935255">
        <w:rPr>
          <w:szCs w:val="22"/>
          <w:lang w:val="hr-HR"/>
        </w:rPr>
        <w:t>praćenje</w:t>
      </w:r>
      <w:r w:rsidR="009112EF">
        <w:rPr>
          <w:szCs w:val="22"/>
          <w:lang w:val="hr-HR"/>
        </w:rPr>
        <w:t xml:space="preserve"> funkcije bubrega</w:t>
      </w:r>
      <w:r w:rsidR="002B442A" w:rsidRPr="009112EF">
        <w:rPr>
          <w:szCs w:val="22"/>
          <w:lang w:val="hr-HR"/>
        </w:rPr>
        <w:t xml:space="preserve"> treba obaviti kada </w:t>
      </w:r>
      <w:r w:rsidRPr="009112EF">
        <w:rPr>
          <w:szCs w:val="22"/>
          <w:lang w:val="hr-HR"/>
        </w:rPr>
        <w:t>se pokaže da je to klinički indikovano.</w:t>
      </w:r>
      <w:r w:rsidR="00577BB8" w:rsidRPr="009112EF">
        <w:rPr>
          <w:szCs w:val="22"/>
          <w:lang w:val="hr-HR"/>
        </w:rPr>
        <w:t xml:space="preserve"> </w:t>
      </w:r>
      <w:r w:rsidR="00574C20" w:rsidRPr="009112EF">
        <w:rPr>
          <w:szCs w:val="22"/>
          <w:lang w:val="hr-HR"/>
        </w:rPr>
        <w:t xml:space="preserve">Pacijenta takođe treba savjetovati da odmah prijavi </w:t>
      </w:r>
      <w:r w:rsidR="00052107" w:rsidRPr="009112EF">
        <w:rPr>
          <w:szCs w:val="22"/>
          <w:lang w:val="hr-HR"/>
        </w:rPr>
        <w:t>zapaljenje</w:t>
      </w:r>
      <w:r w:rsidRPr="009112EF">
        <w:rPr>
          <w:szCs w:val="22"/>
          <w:lang w:val="hr-HR"/>
        </w:rPr>
        <w:t xml:space="preserve"> grl</w:t>
      </w:r>
      <w:r w:rsidR="00052107" w:rsidRPr="009112EF">
        <w:rPr>
          <w:szCs w:val="22"/>
          <w:lang w:val="hr-HR"/>
        </w:rPr>
        <w:t>a</w:t>
      </w:r>
      <w:r w:rsidRPr="009112EF">
        <w:rPr>
          <w:szCs w:val="22"/>
          <w:lang w:val="hr-HR"/>
        </w:rPr>
        <w:t>, groznic</w:t>
      </w:r>
      <w:r w:rsidR="00574C20" w:rsidRPr="009112EF">
        <w:rPr>
          <w:szCs w:val="22"/>
          <w:lang w:val="hr-HR"/>
        </w:rPr>
        <w:t>u</w:t>
      </w:r>
      <w:r w:rsidRPr="009112EF">
        <w:rPr>
          <w:szCs w:val="22"/>
          <w:lang w:val="hr-HR"/>
        </w:rPr>
        <w:t xml:space="preserve">, </w:t>
      </w:r>
      <w:r w:rsidR="00574C20" w:rsidRPr="009112EF">
        <w:rPr>
          <w:szCs w:val="22"/>
          <w:lang w:val="hr-HR"/>
        </w:rPr>
        <w:t xml:space="preserve">malaksalost, </w:t>
      </w:r>
      <w:r w:rsidRPr="009112EF">
        <w:rPr>
          <w:szCs w:val="22"/>
          <w:lang w:val="hr-HR"/>
        </w:rPr>
        <w:t>bl</w:t>
      </w:r>
      <w:r w:rsidR="00574C20" w:rsidRPr="009112EF">
        <w:rPr>
          <w:szCs w:val="22"/>
          <w:lang w:val="hr-HR"/>
        </w:rPr>
        <w:t>j</w:t>
      </w:r>
      <w:r w:rsidRPr="009112EF">
        <w:rPr>
          <w:szCs w:val="22"/>
          <w:lang w:val="hr-HR"/>
        </w:rPr>
        <w:t>edilo, purpur</w:t>
      </w:r>
      <w:r w:rsidR="00574C20" w:rsidRPr="009112EF">
        <w:rPr>
          <w:szCs w:val="22"/>
          <w:lang w:val="hr-HR"/>
        </w:rPr>
        <w:t>u</w:t>
      </w:r>
      <w:r w:rsidRPr="009112EF">
        <w:rPr>
          <w:szCs w:val="22"/>
          <w:lang w:val="hr-HR"/>
        </w:rPr>
        <w:t xml:space="preserve"> ili žutic</w:t>
      </w:r>
      <w:r w:rsidR="00574C20" w:rsidRPr="009112EF">
        <w:rPr>
          <w:szCs w:val="22"/>
          <w:lang w:val="hr-HR"/>
        </w:rPr>
        <w:t>u</w:t>
      </w:r>
      <w:r w:rsidRPr="009112EF">
        <w:rPr>
          <w:szCs w:val="22"/>
          <w:lang w:val="hr-HR"/>
        </w:rPr>
        <w:t xml:space="preserve">, </w:t>
      </w:r>
      <w:r w:rsidR="00574C20" w:rsidRPr="009112EF">
        <w:rPr>
          <w:szCs w:val="22"/>
          <w:lang w:val="hr-HR"/>
        </w:rPr>
        <w:t xml:space="preserve">ili neočekivanu nespecifičnu bolest </w:t>
      </w:r>
      <w:r w:rsidRPr="009112EF">
        <w:rPr>
          <w:szCs w:val="22"/>
          <w:lang w:val="hr-HR"/>
        </w:rPr>
        <w:t>u toku terapije sulfasalazinom</w:t>
      </w:r>
      <w:r w:rsidR="00A0551E" w:rsidRPr="009112EF">
        <w:rPr>
          <w:szCs w:val="22"/>
          <w:lang w:val="hr-HR"/>
        </w:rPr>
        <w:t>,</w:t>
      </w:r>
      <w:r w:rsidRPr="009112EF">
        <w:rPr>
          <w:szCs w:val="22"/>
          <w:lang w:val="hr-HR"/>
        </w:rPr>
        <w:t xml:space="preserve"> </w:t>
      </w:r>
      <w:r w:rsidR="00574C20" w:rsidRPr="00972511">
        <w:rPr>
          <w:szCs w:val="22"/>
          <w:lang w:val="hr-HR"/>
        </w:rPr>
        <w:t xml:space="preserve">jer to može </w:t>
      </w:r>
      <w:r w:rsidRPr="00972511">
        <w:rPr>
          <w:szCs w:val="22"/>
          <w:lang w:val="hr-HR"/>
        </w:rPr>
        <w:t xml:space="preserve">da ukaže na pojavu mijelosupresije, hemolize ili hepatotoksičnosti. </w:t>
      </w:r>
      <w:r w:rsidR="00574C20" w:rsidRPr="00935255">
        <w:rPr>
          <w:szCs w:val="22"/>
          <w:lang w:val="hr-HR"/>
        </w:rPr>
        <w:t>T</w:t>
      </w:r>
      <w:r w:rsidR="002B442A" w:rsidRPr="00935255">
        <w:rPr>
          <w:szCs w:val="22"/>
          <w:lang w:val="hr-HR"/>
        </w:rPr>
        <w:t>erapiju treba odmah prekinuti i pričekati</w:t>
      </w:r>
      <w:r w:rsidR="00574C20" w:rsidRPr="00935255">
        <w:rPr>
          <w:szCs w:val="22"/>
          <w:lang w:val="hr-HR"/>
        </w:rPr>
        <w:t xml:space="preserve"> </w:t>
      </w:r>
      <w:r w:rsidRPr="00935255">
        <w:rPr>
          <w:szCs w:val="22"/>
          <w:lang w:val="hr-HR"/>
        </w:rPr>
        <w:t>dok se ne dobiju rezultati laboratorijskih analiza krvi.</w:t>
      </w:r>
      <w:r w:rsidR="00577BB8" w:rsidRPr="00935255">
        <w:rPr>
          <w:rFonts w:eastAsia="TimesNewRoman"/>
          <w:szCs w:val="22"/>
          <w:lang w:val="hr-HR"/>
        </w:rPr>
        <w:t xml:space="preserve"> </w:t>
      </w:r>
      <w:r w:rsidR="00574C20" w:rsidRPr="00935255">
        <w:rPr>
          <w:rFonts w:eastAsia="TimesNewRoman"/>
          <w:szCs w:val="22"/>
          <w:lang w:val="hr-HR"/>
        </w:rPr>
        <w:t>Pogledajte dio 4.4. „</w:t>
      </w:r>
      <w:r w:rsidR="00574C20" w:rsidRPr="00935255">
        <w:rPr>
          <w:rFonts w:eastAsia="TimesNewRoman"/>
          <w:i/>
          <w:iCs/>
          <w:szCs w:val="22"/>
          <w:lang w:val="hr-HR"/>
        </w:rPr>
        <w:t>Interferencije sa laboratorijskim ispitivanjima</w:t>
      </w:r>
      <w:r w:rsidR="00574C20" w:rsidRPr="00935255">
        <w:rPr>
          <w:rFonts w:eastAsia="TimesNewRoman"/>
          <w:szCs w:val="22"/>
          <w:lang w:val="hr-HR"/>
        </w:rPr>
        <w:t>“.</w:t>
      </w:r>
    </w:p>
    <w:p w14:paraId="1B258123" w14:textId="77777777" w:rsidR="002B442A" w:rsidRPr="007703FB" w:rsidRDefault="002B442A" w:rsidP="00B07542">
      <w:pPr>
        <w:pStyle w:val="BodyText2"/>
        <w:tabs>
          <w:tab w:val="left" w:pos="-720"/>
        </w:tabs>
        <w:spacing w:after="0" w:line="240" w:lineRule="auto"/>
        <w:rPr>
          <w:rFonts w:ascii="Times New Roman" w:hAnsi="Times New Roman"/>
          <w:sz w:val="22"/>
          <w:szCs w:val="22"/>
          <w:lang w:val="hr-HR"/>
        </w:rPr>
      </w:pPr>
    </w:p>
    <w:p w14:paraId="5A87B8B9" w14:textId="6E25E8DF" w:rsidR="002B442A" w:rsidRPr="007703FB" w:rsidRDefault="002B442A" w:rsidP="00B07542">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Sulfasalazin ne treba davati pacijentima sa oštećenjem funkcije bubrega ili jetre ili sa krvnim diskrazijama, osim ako potencijalna korist prevazilazi rizik.</w:t>
      </w:r>
    </w:p>
    <w:p w14:paraId="1033FBFE" w14:textId="77777777" w:rsidR="002B442A" w:rsidRPr="007703FB" w:rsidRDefault="002B442A" w:rsidP="00B07542">
      <w:pPr>
        <w:pStyle w:val="BodyText2"/>
        <w:tabs>
          <w:tab w:val="left" w:pos="-720"/>
        </w:tabs>
        <w:spacing w:after="0" w:line="240" w:lineRule="auto"/>
        <w:rPr>
          <w:rFonts w:ascii="Times New Roman" w:hAnsi="Times New Roman"/>
          <w:sz w:val="22"/>
          <w:szCs w:val="22"/>
          <w:lang w:val="hr-HR"/>
        </w:rPr>
      </w:pPr>
    </w:p>
    <w:p w14:paraId="7E1FCE4C" w14:textId="6694073D" w:rsidR="00B07542" w:rsidRPr="007703FB" w:rsidRDefault="00B07542" w:rsidP="00B07542">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 xml:space="preserve">Sulfasalazin treba </w:t>
      </w:r>
      <w:r w:rsidR="00052107" w:rsidRPr="007703FB">
        <w:rPr>
          <w:rFonts w:ascii="Times New Roman" w:hAnsi="Times New Roman"/>
          <w:sz w:val="22"/>
          <w:szCs w:val="22"/>
          <w:lang w:val="hr-HR"/>
        </w:rPr>
        <w:t>prim</w:t>
      </w:r>
      <w:r w:rsidR="00327F03" w:rsidRPr="007703FB">
        <w:rPr>
          <w:rFonts w:ascii="Times New Roman" w:hAnsi="Times New Roman"/>
          <w:sz w:val="22"/>
          <w:szCs w:val="22"/>
          <w:lang w:val="hr-HR"/>
        </w:rPr>
        <w:t>j</w:t>
      </w:r>
      <w:r w:rsidR="00052107" w:rsidRPr="007703FB">
        <w:rPr>
          <w:rFonts w:ascii="Times New Roman" w:hAnsi="Times New Roman"/>
          <w:sz w:val="22"/>
          <w:szCs w:val="22"/>
          <w:lang w:val="hr-HR"/>
        </w:rPr>
        <w:t>enjivati sa</w:t>
      </w:r>
      <w:r w:rsidRPr="007703FB">
        <w:rPr>
          <w:rFonts w:ascii="Times New Roman" w:hAnsi="Times New Roman"/>
          <w:sz w:val="22"/>
          <w:szCs w:val="22"/>
          <w:lang w:val="hr-HR"/>
        </w:rPr>
        <w:t xml:space="preserve"> oprez</w:t>
      </w:r>
      <w:r w:rsidR="00052107" w:rsidRPr="007703FB">
        <w:rPr>
          <w:rFonts w:ascii="Times New Roman" w:hAnsi="Times New Roman"/>
          <w:sz w:val="22"/>
          <w:szCs w:val="22"/>
          <w:lang w:val="hr-HR"/>
        </w:rPr>
        <w:t>om</w:t>
      </w:r>
      <w:r w:rsidRPr="007703FB">
        <w:rPr>
          <w:rFonts w:ascii="Times New Roman" w:hAnsi="Times New Roman"/>
          <w:sz w:val="22"/>
          <w:szCs w:val="22"/>
          <w:lang w:val="hr-HR"/>
        </w:rPr>
        <w:t xml:space="preserve"> kod pacijenata sa </w:t>
      </w:r>
      <w:r w:rsidR="00052107" w:rsidRPr="007703FB">
        <w:rPr>
          <w:rFonts w:ascii="Times New Roman" w:hAnsi="Times New Roman"/>
          <w:sz w:val="22"/>
          <w:szCs w:val="22"/>
          <w:lang w:val="hr-HR"/>
        </w:rPr>
        <w:t>teški</w:t>
      </w:r>
      <w:r w:rsidR="004D34AD" w:rsidRPr="007703FB">
        <w:rPr>
          <w:rFonts w:ascii="Times New Roman" w:hAnsi="Times New Roman"/>
          <w:sz w:val="22"/>
          <w:szCs w:val="22"/>
          <w:lang w:val="hr-HR"/>
        </w:rPr>
        <w:t>m</w:t>
      </w:r>
      <w:r w:rsidR="00052107" w:rsidRPr="007703FB">
        <w:rPr>
          <w:rFonts w:ascii="Times New Roman" w:hAnsi="Times New Roman"/>
          <w:sz w:val="22"/>
          <w:szCs w:val="22"/>
          <w:lang w:val="hr-HR"/>
        </w:rPr>
        <w:t xml:space="preserve"> </w:t>
      </w:r>
      <w:r w:rsidRPr="007703FB">
        <w:rPr>
          <w:rFonts w:ascii="Times New Roman" w:hAnsi="Times New Roman"/>
          <w:sz w:val="22"/>
          <w:szCs w:val="22"/>
          <w:lang w:val="hr-HR"/>
        </w:rPr>
        <w:t>alergijski</w:t>
      </w:r>
      <w:r w:rsidR="004D34AD" w:rsidRPr="007703FB">
        <w:rPr>
          <w:rFonts w:ascii="Times New Roman" w:hAnsi="Times New Roman"/>
          <w:sz w:val="22"/>
          <w:szCs w:val="22"/>
          <w:lang w:val="hr-HR"/>
        </w:rPr>
        <w:t>m</w:t>
      </w:r>
      <w:r w:rsidRPr="007703FB">
        <w:rPr>
          <w:rFonts w:ascii="Times New Roman" w:hAnsi="Times New Roman"/>
          <w:sz w:val="22"/>
          <w:szCs w:val="22"/>
          <w:lang w:val="hr-HR"/>
        </w:rPr>
        <w:t xml:space="preserve"> </w:t>
      </w:r>
      <w:r w:rsidR="00052107" w:rsidRPr="007703FB">
        <w:rPr>
          <w:rFonts w:ascii="Times New Roman" w:hAnsi="Times New Roman"/>
          <w:sz w:val="22"/>
          <w:szCs w:val="22"/>
          <w:lang w:val="hr-HR"/>
        </w:rPr>
        <w:t>stanj</w:t>
      </w:r>
      <w:r w:rsidR="004D34AD" w:rsidRPr="007703FB">
        <w:rPr>
          <w:rFonts w:ascii="Times New Roman" w:hAnsi="Times New Roman"/>
          <w:sz w:val="22"/>
          <w:szCs w:val="22"/>
          <w:lang w:val="hr-HR"/>
        </w:rPr>
        <w:t>im</w:t>
      </w:r>
      <w:r w:rsidR="00052107" w:rsidRPr="007703FB">
        <w:rPr>
          <w:rFonts w:ascii="Times New Roman" w:hAnsi="Times New Roman"/>
          <w:sz w:val="22"/>
          <w:szCs w:val="22"/>
          <w:lang w:val="hr-HR"/>
        </w:rPr>
        <w:t>a</w:t>
      </w:r>
      <w:r w:rsidRPr="007703FB">
        <w:rPr>
          <w:rFonts w:ascii="Times New Roman" w:hAnsi="Times New Roman"/>
          <w:sz w:val="22"/>
          <w:szCs w:val="22"/>
          <w:lang w:val="hr-HR"/>
        </w:rPr>
        <w:t xml:space="preserve"> ili astm</w:t>
      </w:r>
      <w:r w:rsidR="004D34AD" w:rsidRPr="007703FB">
        <w:rPr>
          <w:rFonts w:ascii="Times New Roman" w:hAnsi="Times New Roman"/>
          <w:sz w:val="22"/>
          <w:szCs w:val="22"/>
          <w:lang w:val="hr-HR"/>
        </w:rPr>
        <w:t>om</w:t>
      </w:r>
      <w:r w:rsidRPr="007703FB">
        <w:rPr>
          <w:rFonts w:ascii="Times New Roman" w:hAnsi="Times New Roman"/>
          <w:sz w:val="22"/>
          <w:szCs w:val="22"/>
          <w:lang w:val="hr-HR"/>
        </w:rPr>
        <w:t>.</w:t>
      </w:r>
    </w:p>
    <w:p w14:paraId="0169E21C" w14:textId="77777777" w:rsidR="00B07542" w:rsidRPr="007703FB" w:rsidRDefault="00B07542" w:rsidP="00B07542">
      <w:pPr>
        <w:pStyle w:val="BodyText2"/>
        <w:tabs>
          <w:tab w:val="left" w:pos="-720"/>
        </w:tabs>
        <w:spacing w:after="0" w:line="240" w:lineRule="auto"/>
        <w:rPr>
          <w:rFonts w:ascii="Times New Roman" w:hAnsi="Times New Roman"/>
          <w:sz w:val="22"/>
          <w:szCs w:val="22"/>
          <w:lang w:val="hr-HR"/>
        </w:rPr>
      </w:pPr>
    </w:p>
    <w:p w14:paraId="5614075D" w14:textId="50AAC245" w:rsidR="00B07542" w:rsidRPr="007703FB" w:rsidRDefault="00E657EA" w:rsidP="00B07542">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lastRenderedPageBreak/>
        <w:t>Teške</w:t>
      </w:r>
      <w:r w:rsidR="00B07542" w:rsidRPr="007703FB">
        <w:rPr>
          <w:rFonts w:ascii="Times New Roman" w:hAnsi="Times New Roman"/>
          <w:sz w:val="22"/>
          <w:szCs w:val="22"/>
          <w:lang w:val="hr-HR"/>
        </w:rPr>
        <w:t xml:space="preserve"> reakcije preos</w:t>
      </w:r>
      <w:r w:rsidR="00327F03" w:rsidRPr="007703FB">
        <w:rPr>
          <w:rFonts w:ascii="Times New Roman" w:hAnsi="Times New Roman"/>
          <w:sz w:val="22"/>
          <w:szCs w:val="22"/>
          <w:lang w:val="hr-HR"/>
        </w:rPr>
        <w:t>j</w:t>
      </w:r>
      <w:r w:rsidR="00B07542" w:rsidRPr="007703FB">
        <w:rPr>
          <w:rFonts w:ascii="Times New Roman" w:hAnsi="Times New Roman"/>
          <w:sz w:val="22"/>
          <w:szCs w:val="22"/>
          <w:lang w:val="hr-HR"/>
        </w:rPr>
        <w:t xml:space="preserve">etljivosti mogu </w:t>
      </w:r>
      <w:r w:rsidRPr="007703FB">
        <w:rPr>
          <w:rFonts w:ascii="Times New Roman" w:hAnsi="Times New Roman"/>
          <w:sz w:val="22"/>
          <w:szCs w:val="22"/>
          <w:lang w:val="hr-HR"/>
        </w:rPr>
        <w:t>zahvat</w:t>
      </w:r>
      <w:r w:rsidR="003D15F3" w:rsidRPr="007703FB">
        <w:rPr>
          <w:rFonts w:ascii="Times New Roman" w:hAnsi="Times New Roman"/>
          <w:sz w:val="22"/>
          <w:szCs w:val="22"/>
          <w:lang w:val="hr-HR"/>
        </w:rPr>
        <w:t>i</w:t>
      </w:r>
      <w:r w:rsidRPr="007703FB">
        <w:rPr>
          <w:rFonts w:ascii="Times New Roman" w:hAnsi="Times New Roman"/>
          <w:sz w:val="22"/>
          <w:szCs w:val="22"/>
          <w:lang w:val="hr-HR"/>
        </w:rPr>
        <w:t>ti</w:t>
      </w:r>
      <w:r w:rsidR="00B07542" w:rsidRPr="007703FB">
        <w:rPr>
          <w:rFonts w:ascii="Times New Roman" w:hAnsi="Times New Roman"/>
          <w:sz w:val="22"/>
          <w:szCs w:val="22"/>
          <w:lang w:val="hr-HR"/>
        </w:rPr>
        <w:t xml:space="preserve"> unutrašnj</w:t>
      </w:r>
      <w:r w:rsidRPr="007703FB">
        <w:rPr>
          <w:rFonts w:ascii="Times New Roman" w:hAnsi="Times New Roman"/>
          <w:sz w:val="22"/>
          <w:szCs w:val="22"/>
          <w:lang w:val="hr-HR"/>
        </w:rPr>
        <w:t>e</w:t>
      </w:r>
      <w:r w:rsidR="00B07542" w:rsidRPr="007703FB">
        <w:rPr>
          <w:rFonts w:ascii="Times New Roman" w:hAnsi="Times New Roman"/>
          <w:sz w:val="22"/>
          <w:szCs w:val="22"/>
          <w:lang w:val="hr-HR"/>
        </w:rPr>
        <w:t xml:space="preserve"> organ</w:t>
      </w:r>
      <w:r w:rsidRPr="007703FB">
        <w:rPr>
          <w:rFonts w:ascii="Times New Roman" w:hAnsi="Times New Roman"/>
          <w:sz w:val="22"/>
          <w:szCs w:val="22"/>
          <w:lang w:val="hr-HR"/>
        </w:rPr>
        <w:t>e</w:t>
      </w:r>
      <w:r w:rsidR="00B07542" w:rsidRPr="007703FB">
        <w:rPr>
          <w:rFonts w:ascii="Times New Roman" w:hAnsi="Times New Roman"/>
          <w:sz w:val="22"/>
          <w:szCs w:val="22"/>
          <w:lang w:val="hr-HR"/>
        </w:rPr>
        <w:t>, kao što su hepatitis, nefritis, miokarditis, sindrom sličan mononukleozi</w:t>
      </w:r>
      <w:r w:rsidR="0056012B">
        <w:rPr>
          <w:rFonts w:ascii="Times New Roman" w:hAnsi="Times New Roman"/>
          <w:sz w:val="22"/>
          <w:szCs w:val="22"/>
          <w:lang w:val="hr-HR"/>
        </w:rPr>
        <w:t xml:space="preserve"> </w:t>
      </w:r>
      <w:r w:rsidR="0056012B" w:rsidRPr="0056012B">
        <w:rPr>
          <w:rFonts w:ascii="Times New Roman" w:hAnsi="Times New Roman"/>
          <w:sz w:val="22"/>
          <w:szCs w:val="22"/>
          <w:lang w:val="hr-HR"/>
        </w:rPr>
        <w:t>(tj. pseudomononukleoza)</w:t>
      </w:r>
      <w:r w:rsidR="00B07542" w:rsidRPr="007703FB">
        <w:rPr>
          <w:rFonts w:ascii="Times New Roman" w:hAnsi="Times New Roman"/>
          <w:sz w:val="22"/>
          <w:szCs w:val="22"/>
          <w:lang w:val="hr-HR"/>
        </w:rPr>
        <w:t>, hematološk</w:t>
      </w:r>
      <w:r w:rsidRPr="007703FB">
        <w:rPr>
          <w:rFonts w:ascii="Times New Roman" w:hAnsi="Times New Roman"/>
          <w:sz w:val="22"/>
          <w:szCs w:val="22"/>
          <w:lang w:val="hr-HR"/>
        </w:rPr>
        <w:t>i</w:t>
      </w:r>
      <w:r w:rsidR="00B07542" w:rsidRPr="007703FB">
        <w:rPr>
          <w:rFonts w:ascii="Times New Roman" w:hAnsi="Times New Roman"/>
          <w:sz w:val="22"/>
          <w:szCs w:val="22"/>
          <w:lang w:val="hr-HR"/>
        </w:rPr>
        <w:t xml:space="preserve"> poremećaj</w:t>
      </w:r>
      <w:r w:rsidRPr="007703FB">
        <w:rPr>
          <w:rFonts w:ascii="Times New Roman" w:hAnsi="Times New Roman"/>
          <w:sz w:val="22"/>
          <w:szCs w:val="22"/>
          <w:lang w:val="hr-HR"/>
        </w:rPr>
        <w:t>i</w:t>
      </w:r>
      <w:r w:rsidR="00B07542" w:rsidRPr="007703FB">
        <w:rPr>
          <w:rFonts w:ascii="Times New Roman" w:hAnsi="Times New Roman"/>
          <w:sz w:val="22"/>
          <w:szCs w:val="22"/>
          <w:lang w:val="hr-HR"/>
        </w:rPr>
        <w:t xml:space="preserve"> (uključujući hemofagocitnu histiocitozu) i/ili pneumonitis (uključujući infiltraciju eozinofila).</w:t>
      </w:r>
    </w:p>
    <w:p w14:paraId="596B67A8" w14:textId="77777777" w:rsidR="00B07542" w:rsidRPr="007703FB" w:rsidRDefault="00B07542" w:rsidP="00B07542">
      <w:pPr>
        <w:pStyle w:val="BodyText2"/>
        <w:tabs>
          <w:tab w:val="left" w:pos="-720"/>
        </w:tabs>
        <w:spacing w:after="0" w:line="240" w:lineRule="auto"/>
        <w:rPr>
          <w:rFonts w:ascii="Times New Roman" w:hAnsi="Times New Roman"/>
          <w:sz w:val="22"/>
          <w:szCs w:val="22"/>
          <w:lang w:val="hr-HR"/>
        </w:rPr>
      </w:pPr>
    </w:p>
    <w:p w14:paraId="60275870" w14:textId="0EA4A59A" w:rsidR="00EE01B4" w:rsidRPr="007703FB" w:rsidRDefault="00EE01B4" w:rsidP="00EE01B4">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Upotreba kod djece sa sistemskim juveniln</w:t>
      </w:r>
      <w:r w:rsidR="009D1818">
        <w:rPr>
          <w:rFonts w:ascii="Times New Roman" w:hAnsi="Times New Roman"/>
          <w:sz w:val="22"/>
          <w:szCs w:val="22"/>
          <w:lang w:val="hr-HR"/>
        </w:rPr>
        <w:t>im</w:t>
      </w:r>
      <w:r w:rsidRPr="007703FB">
        <w:rPr>
          <w:rFonts w:ascii="Times New Roman" w:hAnsi="Times New Roman"/>
          <w:sz w:val="22"/>
          <w:szCs w:val="22"/>
          <w:lang w:val="hr-HR"/>
        </w:rPr>
        <w:t xml:space="preserve"> reumatoidn</w:t>
      </w:r>
      <w:r w:rsidR="009D1818">
        <w:rPr>
          <w:rFonts w:ascii="Times New Roman" w:hAnsi="Times New Roman"/>
          <w:sz w:val="22"/>
          <w:szCs w:val="22"/>
          <w:lang w:val="hr-HR"/>
        </w:rPr>
        <w:t>im</w:t>
      </w:r>
      <w:r w:rsidRPr="007703FB">
        <w:rPr>
          <w:rFonts w:ascii="Times New Roman" w:hAnsi="Times New Roman"/>
          <w:sz w:val="22"/>
          <w:szCs w:val="22"/>
          <w:lang w:val="hr-HR"/>
        </w:rPr>
        <w:t xml:space="preserve"> artritis</w:t>
      </w:r>
      <w:r w:rsidR="009D1818">
        <w:rPr>
          <w:rFonts w:ascii="Times New Roman" w:hAnsi="Times New Roman"/>
          <w:sz w:val="22"/>
          <w:szCs w:val="22"/>
          <w:lang w:val="hr-HR"/>
        </w:rPr>
        <w:t>om</w:t>
      </w:r>
      <w:r w:rsidRPr="007703FB">
        <w:rPr>
          <w:rFonts w:ascii="Times New Roman" w:hAnsi="Times New Roman"/>
          <w:sz w:val="22"/>
          <w:szCs w:val="22"/>
          <w:lang w:val="hr-HR"/>
        </w:rPr>
        <w:t xml:space="preserve"> može dovesti do reakcije slične serumskoj bolesti; stoga se sulfasalazin ne preporučuje kod ovih pacijenata.</w:t>
      </w:r>
    </w:p>
    <w:p w14:paraId="6078BB6B" w14:textId="77777777" w:rsidR="00EE01B4" w:rsidRPr="007703FB" w:rsidRDefault="00EE01B4" w:rsidP="00EE01B4">
      <w:pPr>
        <w:pStyle w:val="BodyText2"/>
        <w:tabs>
          <w:tab w:val="left" w:pos="-720"/>
        </w:tabs>
        <w:spacing w:after="0" w:line="240" w:lineRule="auto"/>
        <w:rPr>
          <w:rFonts w:ascii="Times New Roman" w:hAnsi="Times New Roman"/>
          <w:sz w:val="22"/>
          <w:szCs w:val="22"/>
          <w:lang w:val="hr-HR"/>
        </w:rPr>
      </w:pPr>
    </w:p>
    <w:p w14:paraId="12BAE5F2" w14:textId="5F270D14" w:rsidR="00EE01B4" w:rsidRPr="007703FB" w:rsidRDefault="00EE01B4" w:rsidP="00EE01B4">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Oraln</w:t>
      </w:r>
      <w:r w:rsidR="00DF2E90">
        <w:rPr>
          <w:rFonts w:ascii="Times New Roman" w:hAnsi="Times New Roman"/>
          <w:sz w:val="22"/>
          <w:szCs w:val="22"/>
          <w:lang w:val="hr-HR"/>
        </w:rPr>
        <w:t>a primjena</w:t>
      </w:r>
      <w:r w:rsidRPr="007703FB">
        <w:rPr>
          <w:rFonts w:ascii="Times New Roman" w:hAnsi="Times New Roman"/>
          <w:sz w:val="22"/>
          <w:szCs w:val="22"/>
          <w:lang w:val="hr-HR"/>
        </w:rPr>
        <w:t xml:space="preserve"> sulfasalazin</w:t>
      </w:r>
      <w:r w:rsidR="00DF2E90">
        <w:rPr>
          <w:rFonts w:ascii="Times New Roman" w:hAnsi="Times New Roman"/>
          <w:sz w:val="22"/>
          <w:szCs w:val="22"/>
          <w:lang w:val="hr-HR"/>
        </w:rPr>
        <w:t>a</w:t>
      </w:r>
      <w:r w:rsidRPr="007703FB">
        <w:rPr>
          <w:rFonts w:ascii="Times New Roman" w:hAnsi="Times New Roman"/>
          <w:sz w:val="22"/>
          <w:szCs w:val="22"/>
          <w:lang w:val="hr-HR"/>
        </w:rPr>
        <w:t xml:space="preserve"> inhibira </w:t>
      </w:r>
      <w:r w:rsidR="002F5E1A">
        <w:rPr>
          <w:rFonts w:ascii="Times New Roman" w:hAnsi="Times New Roman"/>
          <w:sz w:val="22"/>
          <w:szCs w:val="22"/>
          <w:lang w:val="hr-HR"/>
        </w:rPr>
        <w:t>re</w:t>
      </w:r>
      <w:r w:rsidRPr="007703FB">
        <w:rPr>
          <w:rFonts w:ascii="Times New Roman" w:hAnsi="Times New Roman"/>
          <w:sz w:val="22"/>
          <w:szCs w:val="22"/>
          <w:lang w:val="hr-HR"/>
        </w:rPr>
        <w:t>sorpciju i metabolizam folne kisjeline i može izazvati deficijenciju folne kiseline (pogledajte dio 4.6), što može dovesti do ozbiljnih poremećaja krvi (npr. makrocitoza i pancitopenija). Ov</w:t>
      </w:r>
      <w:r w:rsidR="009D1818">
        <w:rPr>
          <w:rFonts w:ascii="Times New Roman" w:hAnsi="Times New Roman"/>
          <w:sz w:val="22"/>
          <w:szCs w:val="22"/>
          <w:lang w:val="hr-HR"/>
        </w:rPr>
        <w:t>i poremećaji krvne slike se</w:t>
      </w:r>
      <w:r w:rsidRPr="007703FB">
        <w:rPr>
          <w:rFonts w:ascii="Times New Roman" w:hAnsi="Times New Roman"/>
          <w:sz w:val="22"/>
          <w:szCs w:val="22"/>
          <w:lang w:val="hr-HR"/>
        </w:rPr>
        <w:t xml:space="preserve"> mo</w:t>
      </w:r>
      <w:r w:rsidR="009D1818">
        <w:rPr>
          <w:rFonts w:ascii="Times New Roman" w:hAnsi="Times New Roman"/>
          <w:sz w:val="22"/>
          <w:szCs w:val="22"/>
          <w:lang w:val="hr-HR"/>
        </w:rPr>
        <w:t>gu</w:t>
      </w:r>
      <w:r w:rsidRPr="007703FB">
        <w:rPr>
          <w:rFonts w:ascii="Times New Roman" w:hAnsi="Times New Roman"/>
          <w:sz w:val="22"/>
          <w:szCs w:val="22"/>
          <w:lang w:val="hr-HR"/>
        </w:rPr>
        <w:t xml:space="preserve"> normalizovati prim</w:t>
      </w:r>
      <w:r w:rsidR="007703FB">
        <w:rPr>
          <w:rFonts w:ascii="Times New Roman" w:hAnsi="Times New Roman"/>
          <w:sz w:val="22"/>
          <w:szCs w:val="22"/>
          <w:lang w:val="hr-HR"/>
        </w:rPr>
        <w:t>j</w:t>
      </w:r>
      <w:r w:rsidRPr="007703FB">
        <w:rPr>
          <w:rFonts w:ascii="Times New Roman" w:hAnsi="Times New Roman"/>
          <w:sz w:val="22"/>
          <w:szCs w:val="22"/>
          <w:lang w:val="hr-HR"/>
        </w:rPr>
        <w:t>enom folne</w:t>
      </w:r>
      <w:r w:rsidRPr="007703FB">
        <w:rPr>
          <w:lang w:val="hr-HR"/>
        </w:rPr>
        <w:t xml:space="preserve"> </w:t>
      </w:r>
      <w:r w:rsidRPr="007703FB">
        <w:rPr>
          <w:rFonts w:ascii="Times New Roman" w:hAnsi="Times New Roman"/>
          <w:sz w:val="22"/>
          <w:szCs w:val="22"/>
          <w:lang w:val="hr-HR"/>
        </w:rPr>
        <w:t xml:space="preserve">kiseline ili folinske </w:t>
      </w:r>
      <w:r w:rsidRPr="006F04FA">
        <w:rPr>
          <w:rFonts w:ascii="Times New Roman" w:hAnsi="Times New Roman"/>
          <w:sz w:val="22"/>
          <w:szCs w:val="22"/>
          <w:lang w:val="hr-HR"/>
        </w:rPr>
        <w:t>kiseline</w:t>
      </w:r>
      <w:r w:rsidRPr="007703FB">
        <w:rPr>
          <w:rFonts w:ascii="Times New Roman" w:hAnsi="Times New Roman"/>
          <w:sz w:val="22"/>
          <w:szCs w:val="22"/>
          <w:lang w:val="hr-HR"/>
        </w:rPr>
        <w:t>.</w:t>
      </w:r>
    </w:p>
    <w:p w14:paraId="271421DF" w14:textId="77777777" w:rsidR="00EE01B4" w:rsidRPr="007703FB" w:rsidRDefault="00EE01B4" w:rsidP="00EE01B4">
      <w:pPr>
        <w:pStyle w:val="BodyText2"/>
        <w:tabs>
          <w:tab w:val="left" w:pos="-720"/>
        </w:tabs>
        <w:spacing w:after="0" w:line="240" w:lineRule="auto"/>
        <w:rPr>
          <w:rFonts w:ascii="Times New Roman" w:hAnsi="Times New Roman"/>
          <w:sz w:val="22"/>
          <w:szCs w:val="22"/>
          <w:lang w:val="hr-HR"/>
        </w:rPr>
      </w:pPr>
    </w:p>
    <w:p w14:paraId="7788FAF0" w14:textId="782DB2EC" w:rsidR="00B07542" w:rsidRPr="007703FB" w:rsidRDefault="009D1818" w:rsidP="00EE01B4">
      <w:pPr>
        <w:pStyle w:val="BodyText2"/>
        <w:tabs>
          <w:tab w:val="left" w:pos="-720"/>
        </w:tabs>
        <w:spacing w:after="0" w:line="240" w:lineRule="auto"/>
        <w:rPr>
          <w:rFonts w:ascii="Times New Roman" w:hAnsi="Times New Roman"/>
          <w:i/>
          <w:sz w:val="22"/>
          <w:szCs w:val="22"/>
          <w:lang w:val="hr-HR"/>
        </w:rPr>
      </w:pPr>
      <w:r>
        <w:rPr>
          <w:rFonts w:ascii="Times New Roman" w:hAnsi="Times New Roman"/>
          <w:i/>
          <w:sz w:val="22"/>
          <w:szCs w:val="22"/>
          <w:lang w:val="hr-HR"/>
        </w:rPr>
        <w:t xml:space="preserve">Reakcije na lijek </w:t>
      </w:r>
      <w:r w:rsidR="00EE01B4" w:rsidRPr="007703FB">
        <w:rPr>
          <w:rFonts w:ascii="Times New Roman" w:hAnsi="Times New Roman"/>
          <w:i/>
          <w:sz w:val="22"/>
          <w:szCs w:val="22"/>
          <w:lang w:val="hr-HR"/>
        </w:rPr>
        <w:t>sa eozinofilijom i sistemskim simptomima</w:t>
      </w:r>
    </w:p>
    <w:p w14:paraId="175D98B1" w14:textId="77777777" w:rsidR="00EE01B4" w:rsidRPr="007703FB" w:rsidRDefault="00EE01B4" w:rsidP="00EE01B4">
      <w:pPr>
        <w:pStyle w:val="BodyText2"/>
        <w:tabs>
          <w:tab w:val="left" w:pos="-720"/>
        </w:tabs>
        <w:spacing w:after="0" w:line="240" w:lineRule="auto"/>
        <w:rPr>
          <w:rFonts w:ascii="Times New Roman" w:hAnsi="Times New Roman"/>
          <w:color w:val="FF0000"/>
          <w:sz w:val="22"/>
          <w:szCs w:val="22"/>
          <w:lang w:val="hr-HR"/>
        </w:rPr>
      </w:pPr>
    </w:p>
    <w:p w14:paraId="5D0FBF7F" w14:textId="2F453E09" w:rsidR="00B07542" w:rsidRPr="007703FB" w:rsidRDefault="00B07542" w:rsidP="00B07542">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Ozbiljne, životno ugrožavajuće sistemske reakcije preos</w:t>
      </w:r>
      <w:r w:rsidR="00327F03" w:rsidRPr="007703FB">
        <w:rPr>
          <w:rFonts w:ascii="Times New Roman" w:hAnsi="Times New Roman"/>
          <w:sz w:val="22"/>
          <w:szCs w:val="22"/>
          <w:lang w:val="hr-HR"/>
        </w:rPr>
        <w:t>j</w:t>
      </w:r>
      <w:r w:rsidRPr="007703FB">
        <w:rPr>
          <w:rFonts w:ascii="Times New Roman" w:hAnsi="Times New Roman"/>
          <w:sz w:val="22"/>
          <w:szCs w:val="22"/>
          <w:lang w:val="hr-HR"/>
        </w:rPr>
        <w:t>etljivosti kao što su reakcije na l</w:t>
      </w:r>
      <w:r w:rsidR="00327F03" w:rsidRPr="007703FB">
        <w:rPr>
          <w:rFonts w:ascii="Times New Roman" w:hAnsi="Times New Roman"/>
          <w:sz w:val="22"/>
          <w:szCs w:val="22"/>
          <w:lang w:val="hr-HR"/>
        </w:rPr>
        <w:t>ij</w:t>
      </w:r>
      <w:r w:rsidRPr="007703FB">
        <w:rPr>
          <w:rFonts w:ascii="Times New Roman" w:hAnsi="Times New Roman"/>
          <w:sz w:val="22"/>
          <w:szCs w:val="22"/>
          <w:lang w:val="hr-HR"/>
        </w:rPr>
        <w:t>ek sa eozinofilijom i sistemskim simptomima (</w:t>
      </w:r>
      <w:r w:rsidR="00E657EA" w:rsidRPr="007703FB">
        <w:rPr>
          <w:rFonts w:ascii="Times New Roman" w:hAnsi="Times New Roman"/>
          <w:sz w:val="22"/>
          <w:szCs w:val="22"/>
          <w:lang w:val="hr-HR"/>
        </w:rPr>
        <w:t xml:space="preserve">engl. </w:t>
      </w:r>
      <w:r w:rsidRPr="007703FB">
        <w:rPr>
          <w:rFonts w:ascii="Times New Roman" w:hAnsi="Times New Roman"/>
          <w:i/>
          <w:sz w:val="22"/>
          <w:szCs w:val="22"/>
          <w:lang w:val="hr-HR"/>
        </w:rPr>
        <w:t>Drug reaction with eosinophilia and systemic symptoms</w:t>
      </w:r>
      <w:r w:rsidRPr="007703FB">
        <w:rPr>
          <w:rFonts w:ascii="Times New Roman" w:hAnsi="Times New Roman"/>
          <w:sz w:val="22"/>
          <w:szCs w:val="22"/>
          <w:lang w:val="hr-HR"/>
        </w:rPr>
        <w:t xml:space="preserve"> - DRESS) prijavljene su kod pacijenata koji su bili na terapiji </w:t>
      </w:r>
      <w:r w:rsidR="009A406F" w:rsidRPr="007703FB">
        <w:rPr>
          <w:rFonts w:ascii="Times New Roman" w:hAnsi="Times New Roman"/>
          <w:sz w:val="22"/>
          <w:szCs w:val="22"/>
          <w:lang w:val="hr-HR"/>
        </w:rPr>
        <w:t>sulfasalazinom</w:t>
      </w:r>
      <w:r w:rsidR="009D1818">
        <w:rPr>
          <w:rFonts w:ascii="Times New Roman" w:hAnsi="Times New Roman"/>
          <w:sz w:val="22"/>
          <w:szCs w:val="22"/>
          <w:lang w:val="hr-HR"/>
        </w:rPr>
        <w:t xml:space="preserve"> </w:t>
      </w:r>
      <w:r w:rsidR="009D1818" w:rsidRPr="009D1818">
        <w:rPr>
          <w:rFonts w:ascii="Times New Roman" w:hAnsi="Times New Roman"/>
          <w:sz w:val="22"/>
          <w:szCs w:val="22"/>
          <w:lang w:val="hr-HR"/>
        </w:rPr>
        <w:t xml:space="preserve">(videti </w:t>
      </w:r>
      <w:r w:rsidR="009D1818">
        <w:rPr>
          <w:rFonts w:ascii="Times New Roman" w:hAnsi="Times New Roman"/>
          <w:sz w:val="22"/>
          <w:szCs w:val="22"/>
          <w:lang w:val="hr-HR"/>
        </w:rPr>
        <w:t>dio</w:t>
      </w:r>
      <w:r w:rsidR="009D1818" w:rsidRPr="009D1818">
        <w:rPr>
          <w:rFonts w:ascii="Times New Roman" w:hAnsi="Times New Roman"/>
          <w:sz w:val="22"/>
          <w:szCs w:val="22"/>
          <w:lang w:val="hr-HR"/>
        </w:rPr>
        <w:t xml:space="preserve"> 4.8)</w:t>
      </w:r>
      <w:r w:rsidRPr="009D1818">
        <w:rPr>
          <w:rFonts w:ascii="Times New Roman" w:hAnsi="Times New Roman"/>
          <w:sz w:val="22"/>
          <w:szCs w:val="22"/>
          <w:lang w:val="hr-HR"/>
        </w:rPr>
        <w:t>.</w:t>
      </w:r>
      <w:r w:rsidRPr="007703FB">
        <w:rPr>
          <w:rFonts w:ascii="Times New Roman" w:hAnsi="Times New Roman"/>
          <w:sz w:val="22"/>
          <w:szCs w:val="22"/>
          <w:lang w:val="hr-HR"/>
        </w:rPr>
        <w:t xml:space="preserve"> Rani znaci </w:t>
      </w:r>
      <w:r w:rsidR="00E657EA" w:rsidRPr="007703FB">
        <w:rPr>
          <w:rFonts w:ascii="Times New Roman" w:hAnsi="Times New Roman"/>
          <w:sz w:val="22"/>
          <w:szCs w:val="22"/>
          <w:lang w:val="hr-HR"/>
        </w:rPr>
        <w:t>preos</w:t>
      </w:r>
      <w:r w:rsidR="00327F03" w:rsidRPr="007703FB">
        <w:rPr>
          <w:rFonts w:ascii="Times New Roman" w:hAnsi="Times New Roman"/>
          <w:sz w:val="22"/>
          <w:szCs w:val="22"/>
          <w:lang w:val="hr-HR"/>
        </w:rPr>
        <w:t>j</w:t>
      </w:r>
      <w:r w:rsidR="00E657EA" w:rsidRPr="007703FB">
        <w:rPr>
          <w:rFonts w:ascii="Times New Roman" w:hAnsi="Times New Roman"/>
          <w:sz w:val="22"/>
          <w:szCs w:val="22"/>
          <w:lang w:val="hr-HR"/>
        </w:rPr>
        <w:t>etljivosti</w:t>
      </w:r>
      <w:r w:rsidRPr="007703FB">
        <w:rPr>
          <w:rFonts w:ascii="Times New Roman" w:hAnsi="Times New Roman"/>
          <w:sz w:val="22"/>
          <w:szCs w:val="22"/>
          <w:lang w:val="hr-HR"/>
        </w:rPr>
        <w:t xml:space="preserve"> kao što su groznica ili limfadenopatija mogu biti prisutni čak i ako osip nije vidljiv. Pacijenta treba odmah pregledati ako se ovi simptomi pojave. Terapiju sulfasalazinom treba prekinuti ukoliko se ne identifikuje drugi uzrok ovih simptoma.</w:t>
      </w:r>
    </w:p>
    <w:p w14:paraId="178CD771" w14:textId="1131C52C" w:rsidR="00EE01B4" w:rsidRPr="007703FB" w:rsidRDefault="00EE01B4" w:rsidP="00B07542">
      <w:pPr>
        <w:pStyle w:val="BodyText2"/>
        <w:tabs>
          <w:tab w:val="left" w:pos="-720"/>
        </w:tabs>
        <w:spacing w:after="0" w:line="240" w:lineRule="auto"/>
        <w:rPr>
          <w:rFonts w:ascii="Times New Roman" w:hAnsi="Times New Roman"/>
          <w:sz w:val="22"/>
          <w:szCs w:val="22"/>
          <w:lang w:val="hr-HR"/>
        </w:rPr>
      </w:pPr>
    </w:p>
    <w:p w14:paraId="62DED1F3" w14:textId="3729A68E" w:rsidR="00EE01B4" w:rsidRPr="007703FB" w:rsidRDefault="00EE01B4" w:rsidP="00EE01B4">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 xml:space="preserve">Ozbiljne kožne reakcije, od kojih su neke fatalne, uključujući eksfolijativni dermatitis, </w:t>
      </w:r>
      <w:r w:rsidRPr="007B2EE6">
        <w:rPr>
          <w:rFonts w:ascii="Times New Roman" w:hAnsi="Times New Roman"/>
          <w:i/>
          <w:sz w:val="22"/>
          <w:szCs w:val="22"/>
          <w:lang w:val="hr-HR"/>
        </w:rPr>
        <w:t>Stivens-Džonson</w:t>
      </w:r>
      <w:r w:rsidR="00BA17A3">
        <w:rPr>
          <w:rFonts w:ascii="Times New Roman" w:hAnsi="Times New Roman"/>
          <w:i/>
          <w:sz w:val="22"/>
          <w:szCs w:val="22"/>
          <w:lang w:val="hr-HR"/>
        </w:rPr>
        <w:t>-</w:t>
      </w:r>
      <w:r w:rsidRPr="007B2EE6">
        <w:rPr>
          <w:rFonts w:ascii="Times New Roman" w:hAnsi="Times New Roman"/>
          <w:i/>
          <w:sz w:val="22"/>
          <w:szCs w:val="22"/>
          <w:lang w:val="hr-HR"/>
        </w:rPr>
        <w:t>ov</w:t>
      </w:r>
      <w:r w:rsidRPr="007703FB">
        <w:rPr>
          <w:rFonts w:ascii="Times New Roman" w:hAnsi="Times New Roman"/>
          <w:sz w:val="22"/>
          <w:szCs w:val="22"/>
          <w:lang w:val="hr-HR"/>
        </w:rPr>
        <w:t xml:space="preserve"> sindrom i toksičnu epidermalnu nekrolizu, veoma rijetko su prijavljivane u vezi sa upotrebom sulfasalazina. </w:t>
      </w:r>
      <w:r w:rsidR="00BA17A3" w:rsidRPr="002E7D92">
        <w:rPr>
          <w:rFonts w:ascii="Times New Roman" w:hAnsi="Times New Roman"/>
          <w:sz w:val="22"/>
          <w:szCs w:val="22"/>
          <w:lang w:val="hr-HR"/>
        </w:rPr>
        <w:t>Najveći rizik od pojave ovih reakcija je u ranoj fazi terapije,</w:t>
      </w:r>
      <w:r w:rsidRPr="007703FB">
        <w:rPr>
          <w:rFonts w:ascii="Times New Roman" w:hAnsi="Times New Roman"/>
          <w:sz w:val="22"/>
          <w:szCs w:val="22"/>
          <w:lang w:val="hr-HR"/>
        </w:rPr>
        <w:t xml:space="preserve"> a početak događaja se u većini slučajeva javlja u toku prvog mjeseca liječenja. </w:t>
      </w:r>
      <w:r w:rsidR="00BA17A3">
        <w:rPr>
          <w:rFonts w:ascii="Times New Roman" w:hAnsi="Times New Roman"/>
          <w:sz w:val="22"/>
          <w:szCs w:val="22"/>
          <w:lang w:val="hr-HR"/>
        </w:rPr>
        <w:t>Terapiju s</w:t>
      </w:r>
      <w:r w:rsidRPr="007703FB">
        <w:rPr>
          <w:rFonts w:ascii="Times New Roman" w:hAnsi="Times New Roman"/>
          <w:sz w:val="22"/>
          <w:szCs w:val="22"/>
          <w:lang w:val="hr-HR"/>
        </w:rPr>
        <w:t>ulfasalazin</w:t>
      </w:r>
      <w:r w:rsidR="00BA17A3">
        <w:rPr>
          <w:rFonts w:ascii="Times New Roman" w:hAnsi="Times New Roman"/>
          <w:sz w:val="22"/>
          <w:szCs w:val="22"/>
          <w:lang w:val="hr-HR"/>
        </w:rPr>
        <w:t>om</w:t>
      </w:r>
      <w:r w:rsidRPr="007703FB">
        <w:rPr>
          <w:rFonts w:ascii="Times New Roman" w:hAnsi="Times New Roman"/>
          <w:sz w:val="22"/>
          <w:szCs w:val="22"/>
          <w:lang w:val="hr-HR"/>
        </w:rPr>
        <w:t xml:space="preserve"> treba prekinuti pri prvoj pojavi kožnog osipa, lezija sluzokože ili bilo kog drugog znaka preosjetljivosti.</w:t>
      </w:r>
    </w:p>
    <w:p w14:paraId="192951B6" w14:textId="77777777" w:rsidR="00EE01B4" w:rsidRPr="007703FB" w:rsidRDefault="00EE01B4" w:rsidP="00EE01B4">
      <w:pPr>
        <w:pStyle w:val="BodyText2"/>
        <w:tabs>
          <w:tab w:val="left" w:pos="-720"/>
        </w:tabs>
        <w:spacing w:after="0" w:line="240" w:lineRule="auto"/>
        <w:rPr>
          <w:rFonts w:ascii="Times New Roman" w:hAnsi="Times New Roman"/>
          <w:sz w:val="22"/>
          <w:szCs w:val="22"/>
          <w:lang w:val="hr-HR"/>
        </w:rPr>
      </w:pPr>
    </w:p>
    <w:p w14:paraId="61308550" w14:textId="77777777" w:rsidR="00EE01B4" w:rsidRPr="007703FB" w:rsidRDefault="00EE01B4" w:rsidP="00EE01B4">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Budući da sulfasalazin može dovesti do pojave hemolitičke anemije, potreban je oprez kod pacijenata koji imaju deficit glukozo-6-fosfatdehidrogenaze (G-6-PD).</w:t>
      </w:r>
    </w:p>
    <w:p w14:paraId="652B59AD" w14:textId="77777777" w:rsidR="00B07542" w:rsidRPr="007703FB" w:rsidRDefault="00B07542" w:rsidP="00B07542">
      <w:pPr>
        <w:pStyle w:val="BodyText2"/>
        <w:tabs>
          <w:tab w:val="left" w:pos="-720"/>
        </w:tabs>
        <w:spacing w:after="0" w:line="240" w:lineRule="auto"/>
        <w:rPr>
          <w:rFonts w:ascii="Times New Roman" w:hAnsi="Times New Roman"/>
          <w:color w:val="FF0000"/>
          <w:sz w:val="22"/>
          <w:szCs w:val="22"/>
          <w:lang w:val="hr-HR"/>
        </w:rPr>
      </w:pPr>
    </w:p>
    <w:p w14:paraId="4B1C38D5" w14:textId="2D5018D8" w:rsidR="00B07542" w:rsidRPr="007703FB" w:rsidRDefault="00B07542" w:rsidP="00B07542">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 xml:space="preserve">Sulfasalazin može izazvati kristaluriju i stvaranje kamena u bubregu, pa je </w:t>
      </w:r>
      <w:r w:rsidR="00EE01B4" w:rsidRPr="007703FB">
        <w:rPr>
          <w:rFonts w:ascii="Times New Roman" w:hAnsi="Times New Roman"/>
          <w:sz w:val="22"/>
          <w:szCs w:val="22"/>
          <w:lang w:val="hr-HR"/>
        </w:rPr>
        <w:t xml:space="preserve">neophodno održavati </w:t>
      </w:r>
      <w:r w:rsidRPr="007703FB">
        <w:rPr>
          <w:rFonts w:ascii="Times New Roman" w:hAnsi="Times New Roman"/>
          <w:sz w:val="22"/>
          <w:szCs w:val="22"/>
          <w:lang w:val="hr-HR"/>
        </w:rPr>
        <w:t>odgovarajući unos tečnosti.</w:t>
      </w:r>
    </w:p>
    <w:p w14:paraId="0DC9D4B8" w14:textId="3B4D7958" w:rsidR="00EE01B4" w:rsidRPr="007703FB" w:rsidRDefault="00EE01B4" w:rsidP="00B07542">
      <w:pPr>
        <w:pStyle w:val="BodyText2"/>
        <w:tabs>
          <w:tab w:val="left" w:pos="-720"/>
        </w:tabs>
        <w:spacing w:after="0" w:line="240" w:lineRule="auto"/>
        <w:rPr>
          <w:rFonts w:ascii="Times New Roman" w:hAnsi="Times New Roman"/>
          <w:sz w:val="22"/>
          <w:szCs w:val="22"/>
          <w:lang w:val="hr-HR"/>
        </w:rPr>
      </w:pPr>
    </w:p>
    <w:p w14:paraId="38E01A94" w14:textId="0C35EED7" w:rsidR="00EE01B4" w:rsidRPr="007703FB" w:rsidRDefault="00EE01B4" w:rsidP="00EE01B4">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 xml:space="preserve">Kod muškaraca koji se liječe sulfasalazinom mogu se javiti oligospermija i neplodnost. </w:t>
      </w:r>
      <w:r w:rsidR="009112EF">
        <w:rPr>
          <w:rFonts w:ascii="Times New Roman" w:hAnsi="Times New Roman"/>
          <w:sz w:val="22"/>
          <w:szCs w:val="22"/>
          <w:lang w:val="hr-HR"/>
        </w:rPr>
        <w:t xml:space="preserve">Prekidom primjene ovog lijeka efekat može nestati </w:t>
      </w:r>
      <w:r w:rsidRPr="007703FB">
        <w:rPr>
          <w:rFonts w:ascii="Times New Roman" w:hAnsi="Times New Roman"/>
          <w:sz w:val="22"/>
          <w:szCs w:val="22"/>
          <w:lang w:val="hr-HR"/>
        </w:rPr>
        <w:t>u roku od 2 do 3 mjeseca.</w:t>
      </w:r>
    </w:p>
    <w:p w14:paraId="0868732A" w14:textId="77777777" w:rsidR="00EE01B4" w:rsidRPr="007703FB" w:rsidRDefault="00EE01B4" w:rsidP="00EE01B4">
      <w:pPr>
        <w:pStyle w:val="BodyText2"/>
        <w:tabs>
          <w:tab w:val="left" w:pos="-720"/>
        </w:tabs>
        <w:spacing w:after="0" w:line="240" w:lineRule="auto"/>
        <w:rPr>
          <w:rFonts w:ascii="Times New Roman" w:hAnsi="Times New Roman"/>
          <w:sz w:val="22"/>
          <w:szCs w:val="22"/>
          <w:lang w:val="hr-HR"/>
        </w:rPr>
      </w:pPr>
    </w:p>
    <w:p w14:paraId="2A16CC1B" w14:textId="6EF8AED9" w:rsidR="00EE01B4" w:rsidRPr="007703FB" w:rsidRDefault="00EE01B4" w:rsidP="00EE01B4">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Na određenim vrstama mekih kontaktnih sočiva sa produženim nošenjem mogu nastati trajne mrlje tokom terapije.</w:t>
      </w:r>
    </w:p>
    <w:p w14:paraId="5558A1DC" w14:textId="1538DFB0" w:rsidR="00EE01B4" w:rsidRPr="007703FB" w:rsidRDefault="00EE01B4" w:rsidP="00EE01B4">
      <w:pPr>
        <w:pStyle w:val="BodyText2"/>
        <w:tabs>
          <w:tab w:val="left" w:pos="-720"/>
        </w:tabs>
        <w:spacing w:after="0" w:line="240" w:lineRule="auto"/>
        <w:rPr>
          <w:rFonts w:ascii="Times New Roman" w:hAnsi="Times New Roman"/>
          <w:sz w:val="22"/>
          <w:szCs w:val="22"/>
          <w:lang w:val="hr-HR"/>
        </w:rPr>
      </w:pPr>
    </w:p>
    <w:p w14:paraId="3E1431D0" w14:textId="77777777" w:rsidR="00EE01B4" w:rsidRPr="007703FB" w:rsidRDefault="00EE01B4" w:rsidP="00847188">
      <w:pPr>
        <w:pStyle w:val="BodyText2"/>
        <w:tabs>
          <w:tab w:val="left" w:pos="-720"/>
        </w:tabs>
        <w:spacing w:after="0" w:line="240" w:lineRule="auto"/>
        <w:rPr>
          <w:rFonts w:ascii="Times New Roman" w:hAnsi="Times New Roman"/>
          <w:i/>
          <w:sz w:val="22"/>
          <w:szCs w:val="22"/>
          <w:lang w:val="hr-HR"/>
        </w:rPr>
      </w:pPr>
      <w:r w:rsidRPr="007703FB">
        <w:rPr>
          <w:rFonts w:ascii="Times New Roman" w:hAnsi="Times New Roman"/>
          <w:i/>
          <w:sz w:val="22"/>
          <w:szCs w:val="22"/>
          <w:lang w:val="hr-HR"/>
        </w:rPr>
        <w:t>Interferencije sa laboratorijskim ispitivanjima</w:t>
      </w:r>
    </w:p>
    <w:p w14:paraId="2F9CE1C2" w14:textId="77777777" w:rsidR="00EE01B4" w:rsidRPr="007703FB" w:rsidRDefault="00EE01B4" w:rsidP="00EE01B4">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Kod pacijenata koji su bili izloženi sulfasalazinu ili njegovim metabolitima, mesalaminu ili mesalazinu prijavljeno je nekoliko slučajeva mogućih interferencija tj. lažno pozitivni rezultati pri mjerenju normetanefrina u urinu tečnom hromatografijom.</w:t>
      </w:r>
    </w:p>
    <w:p w14:paraId="5716EB81" w14:textId="77777777" w:rsidR="00EE01B4" w:rsidRPr="007703FB" w:rsidRDefault="00EE01B4" w:rsidP="00EE01B4">
      <w:pPr>
        <w:pStyle w:val="BodyText2"/>
        <w:tabs>
          <w:tab w:val="left" w:pos="-720"/>
        </w:tabs>
        <w:spacing w:after="0" w:line="240" w:lineRule="auto"/>
        <w:rPr>
          <w:rFonts w:ascii="Times New Roman" w:hAnsi="Times New Roman"/>
          <w:sz w:val="22"/>
          <w:szCs w:val="22"/>
          <w:lang w:val="hr-HR"/>
        </w:rPr>
      </w:pPr>
    </w:p>
    <w:p w14:paraId="25559306" w14:textId="66CA095A" w:rsidR="00EE01B4" w:rsidRPr="007703FB" w:rsidRDefault="00EE01B4" w:rsidP="00EE01B4">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 xml:space="preserve">Sulfasalazin ili njegovi metaboliti mogu da ometaju </w:t>
      </w:r>
      <w:r w:rsidR="002F5E1A">
        <w:rPr>
          <w:rFonts w:ascii="Times New Roman" w:hAnsi="Times New Roman"/>
          <w:sz w:val="22"/>
          <w:szCs w:val="22"/>
          <w:lang w:val="hr-HR"/>
        </w:rPr>
        <w:t>re</w:t>
      </w:r>
      <w:r w:rsidRPr="007703FB">
        <w:rPr>
          <w:rFonts w:ascii="Times New Roman" w:hAnsi="Times New Roman"/>
          <w:sz w:val="22"/>
          <w:szCs w:val="22"/>
          <w:lang w:val="hr-HR"/>
        </w:rPr>
        <w:t xml:space="preserve">sorpciju ultraljubičastog zračenja, posebno na 340 nm, i mogu izazvati interferencije u nekim laboratorijskim analizama koje koriste NAD(H) ili NADP(H) za mjerenje apsorbancije ultraljubičastog zračenja oko te talasne dužine. Primjeri takvih analiza mogu uključivati ureu, amonijak, LDH, </w:t>
      </w:r>
      <w:r w:rsidR="000C0820" w:rsidRPr="00847188">
        <w:rPr>
          <w:sz w:val="16"/>
          <w:szCs w:val="16"/>
          <w:lang w:val="hr-HR"/>
        </w:rPr>
        <w:t>α</w:t>
      </w:r>
      <w:r w:rsidRPr="007703FB">
        <w:rPr>
          <w:rFonts w:ascii="Times New Roman" w:hAnsi="Times New Roman"/>
          <w:sz w:val="22"/>
          <w:szCs w:val="22"/>
          <w:lang w:val="hr-HR"/>
        </w:rPr>
        <w:t xml:space="preserve">-HBDH i </w:t>
      </w:r>
      <w:r w:rsidRPr="00634DA9">
        <w:rPr>
          <w:rFonts w:ascii="Times New Roman" w:hAnsi="Times New Roman"/>
          <w:sz w:val="22"/>
          <w:szCs w:val="22"/>
          <w:lang w:val="hr-HR"/>
        </w:rPr>
        <w:t>glukozu. Moguće je da alanin aminotransferaza (ALT), aspartat aminotransferaza (AST), kreatin kinaza-mišić/mozak (CK-MB), glutamat dehidrogenaza (GLDH) ili tiroksin takođe mogu dovesti do interferencija kada se terapija sulfasalazinom sprovodi u visokim dozama.</w:t>
      </w:r>
      <w:r w:rsidRPr="007703FB">
        <w:rPr>
          <w:rFonts w:ascii="Times New Roman" w:hAnsi="Times New Roman"/>
          <w:sz w:val="22"/>
          <w:szCs w:val="22"/>
          <w:lang w:val="hr-HR"/>
        </w:rPr>
        <w:t xml:space="preserve"> Konsultujte se sa laboratorijom za ispitivanje u vezi sa korišćenom metodologijom. Kod pacijenata koji primaju sulfasalazin treba biti oprezan u tumačenju ovih laboratorijskih rezultata. Rezultate treba tumačiti zajedno sa kliničkim nalazima.</w:t>
      </w:r>
    </w:p>
    <w:p w14:paraId="5EF61AE1" w14:textId="5F2F7AF9" w:rsidR="00EE01B4" w:rsidRDefault="00EE01B4" w:rsidP="00EE01B4">
      <w:pPr>
        <w:pStyle w:val="BodyText2"/>
        <w:tabs>
          <w:tab w:val="left" w:pos="-720"/>
        </w:tabs>
        <w:spacing w:after="0" w:line="240" w:lineRule="auto"/>
        <w:rPr>
          <w:rFonts w:ascii="Times New Roman" w:hAnsi="Times New Roman"/>
          <w:sz w:val="22"/>
          <w:szCs w:val="22"/>
          <w:lang w:val="hr-HR"/>
        </w:rPr>
      </w:pPr>
    </w:p>
    <w:p w14:paraId="3B8D8A3C" w14:textId="73318347" w:rsidR="00513268" w:rsidRDefault="00513268" w:rsidP="00EE01B4">
      <w:pPr>
        <w:pStyle w:val="BodyText2"/>
        <w:tabs>
          <w:tab w:val="left" w:pos="-720"/>
        </w:tabs>
        <w:spacing w:after="0" w:line="240" w:lineRule="auto"/>
        <w:rPr>
          <w:rFonts w:ascii="Times New Roman" w:hAnsi="Times New Roman"/>
          <w:sz w:val="22"/>
          <w:szCs w:val="22"/>
          <w:lang w:val="hr-HR"/>
        </w:rPr>
      </w:pPr>
    </w:p>
    <w:p w14:paraId="4D861FDF" w14:textId="77777777" w:rsidR="00513268" w:rsidRPr="007703FB" w:rsidRDefault="00513268" w:rsidP="00EE01B4">
      <w:pPr>
        <w:pStyle w:val="BodyText2"/>
        <w:tabs>
          <w:tab w:val="left" w:pos="-720"/>
        </w:tabs>
        <w:spacing w:after="0" w:line="240" w:lineRule="auto"/>
        <w:rPr>
          <w:rFonts w:ascii="Times New Roman" w:hAnsi="Times New Roman"/>
          <w:sz w:val="22"/>
          <w:szCs w:val="22"/>
          <w:lang w:val="hr-HR"/>
        </w:rPr>
      </w:pPr>
    </w:p>
    <w:p w14:paraId="22721171" w14:textId="2129E687" w:rsidR="00EE01B4" w:rsidRPr="007703FB" w:rsidRDefault="00EE01B4" w:rsidP="00EE01B4">
      <w:pPr>
        <w:pStyle w:val="BodyText2"/>
        <w:tabs>
          <w:tab w:val="left" w:pos="-720"/>
        </w:tabs>
        <w:spacing w:after="0" w:line="240" w:lineRule="auto"/>
        <w:rPr>
          <w:rFonts w:ascii="Times New Roman" w:hAnsi="Times New Roman"/>
          <w:sz w:val="22"/>
          <w:szCs w:val="22"/>
          <w:u w:val="single"/>
          <w:lang w:val="hr-HR"/>
        </w:rPr>
      </w:pPr>
      <w:r w:rsidRPr="007703FB">
        <w:rPr>
          <w:rFonts w:ascii="Times New Roman" w:hAnsi="Times New Roman"/>
          <w:sz w:val="22"/>
          <w:szCs w:val="22"/>
          <w:u w:val="single"/>
          <w:lang w:val="hr-HR"/>
        </w:rPr>
        <w:lastRenderedPageBreak/>
        <w:t xml:space="preserve">Informacije o </w:t>
      </w:r>
      <w:r w:rsidR="000C0820" w:rsidRPr="007703FB">
        <w:rPr>
          <w:rFonts w:ascii="Times New Roman" w:hAnsi="Times New Roman"/>
          <w:sz w:val="22"/>
          <w:szCs w:val="22"/>
          <w:u w:val="single"/>
          <w:lang w:val="hr-HR"/>
        </w:rPr>
        <w:t>ekscipijensima</w:t>
      </w:r>
    </w:p>
    <w:p w14:paraId="0D13DE84" w14:textId="77777777" w:rsidR="00EE01B4" w:rsidRPr="007703FB" w:rsidRDefault="00EE01B4" w:rsidP="00EE01B4">
      <w:pPr>
        <w:pStyle w:val="BodyText2"/>
        <w:tabs>
          <w:tab w:val="left" w:pos="-720"/>
        </w:tabs>
        <w:spacing w:after="0" w:line="240" w:lineRule="auto"/>
        <w:rPr>
          <w:rFonts w:ascii="Times New Roman" w:hAnsi="Times New Roman"/>
          <w:sz w:val="22"/>
          <w:szCs w:val="22"/>
          <w:u w:val="single"/>
          <w:lang w:val="hr-HR"/>
        </w:rPr>
      </w:pPr>
    </w:p>
    <w:p w14:paraId="4E4C25D9" w14:textId="38AD06E8" w:rsidR="00EE01B4" w:rsidRPr="007703FB" w:rsidRDefault="00EE01B4" w:rsidP="00EE01B4">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Salazopyrin EN 500 mg sadrži propilen glikol (</w:t>
      </w:r>
      <w:r w:rsidR="000C0820" w:rsidRPr="007703FB">
        <w:rPr>
          <w:rFonts w:ascii="Times New Roman" w:hAnsi="Times New Roman"/>
          <w:sz w:val="22"/>
          <w:szCs w:val="22"/>
          <w:lang w:val="hr-HR"/>
        </w:rPr>
        <w:t xml:space="preserve">pogledajte dio </w:t>
      </w:r>
      <w:r w:rsidRPr="007703FB">
        <w:rPr>
          <w:rFonts w:ascii="Times New Roman" w:hAnsi="Times New Roman"/>
          <w:sz w:val="22"/>
          <w:szCs w:val="22"/>
          <w:lang w:val="hr-HR"/>
        </w:rPr>
        <w:t>2).</w:t>
      </w:r>
    </w:p>
    <w:p w14:paraId="5A54E300" w14:textId="77777777" w:rsidR="00EE01B4" w:rsidRPr="007703FB" w:rsidRDefault="00EE01B4" w:rsidP="00EE01B4">
      <w:pPr>
        <w:pStyle w:val="BodyText2"/>
        <w:tabs>
          <w:tab w:val="left" w:pos="-720"/>
        </w:tabs>
        <w:spacing w:after="0" w:line="240" w:lineRule="auto"/>
        <w:rPr>
          <w:rFonts w:ascii="Times New Roman" w:hAnsi="Times New Roman"/>
          <w:sz w:val="22"/>
          <w:szCs w:val="22"/>
          <w:lang w:val="hr-HR"/>
        </w:rPr>
      </w:pPr>
    </w:p>
    <w:p w14:paraId="059569CB" w14:textId="0316A9CE" w:rsidR="00EE01B4" w:rsidRPr="007703FB" w:rsidRDefault="00EE01B4" w:rsidP="000C0820">
      <w:pPr>
        <w:pStyle w:val="BodyText2"/>
        <w:tabs>
          <w:tab w:val="left" w:pos="-720"/>
        </w:tabs>
        <w:spacing w:after="0" w:line="240" w:lineRule="auto"/>
        <w:rPr>
          <w:rFonts w:ascii="Times New Roman" w:hAnsi="Times New Roman"/>
          <w:sz w:val="22"/>
          <w:szCs w:val="22"/>
          <w:lang w:val="hr-HR"/>
        </w:rPr>
      </w:pPr>
      <w:r w:rsidRPr="007703FB">
        <w:rPr>
          <w:rFonts w:ascii="Times New Roman" w:hAnsi="Times New Roman"/>
          <w:sz w:val="22"/>
          <w:szCs w:val="22"/>
          <w:lang w:val="hr-HR"/>
        </w:rPr>
        <w:t>Primjeri izloženosti propilen glikolu na osnovu dnevne doze (</w:t>
      </w:r>
      <w:r w:rsidR="000C0820" w:rsidRPr="007703FB">
        <w:rPr>
          <w:rFonts w:ascii="Times New Roman" w:hAnsi="Times New Roman"/>
          <w:sz w:val="22"/>
          <w:szCs w:val="22"/>
          <w:lang w:val="hr-HR"/>
        </w:rPr>
        <w:t xml:space="preserve">pogledajte dio </w:t>
      </w:r>
      <w:r w:rsidRPr="007703FB">
        <w:rPr>
          <w:rFonts w:ascii="Times New Roman" w:hAnsi="Times New Roman"/>
          <w:sz w:val="22"/>
          <w:szCs w:val="22"/>
          <w:lang w:val="hr-HR"/>
        </w:rPr>
        <w:t>4.2) su sljedeći:</w:t>
      </w:r>
    </w:p>
    <w:p w14:paraId="50084EB6" w14:textId="77777777" w:rsidR="00EE01B4" w:rsidRPr="007703FB" w:rsidRDefault="00EE01B4" w:rsidP="00EE01B4">
      <w:pPr>
        <w:pStyle w:val="BodyText2"/>
        <w:tabs>
          <w:tab w:val="left" w:pos="-720"/>
        </w:tabs>
        <w:spacing w:after="0" w:line="240" w:lineRule="auto"/>
        <w:rPr>
          <w:rFonts w:ascii="Times New Roman" w:hAnsi="Times New Roman"/>
          <w:sz w:val="22"/>
          <w:szCs w:val="22"/>
          <w:lang w:val="hr-HR"/>
        </w:rPr>
      </w:pPr>
    </w:p>
    <w:p w14:paraId="69C07E45" w14:textId="77777777" w:rsidR="00EE01B4" w:rsidRPr="007703FB" w:rsidRDefault="00EE01B4" w:rsidP="00EE01B4">
      <w:pPr>
        <w:pStyle w:val="ListParagraph"/>
        <w:numPr>
          <w:ilvl w:val="0"/>
          <w:numId w:val="6"/>
        </w:numPr>
        <w:rPr>
          <w:szCs w:val="22"/>
          <w:lang w:val="hr-HR"/>
        </w:rPr>
      </w:pPr>
      <w:r w:rsidRPr="007703FB">
        <w:rPr>
          <w:szCs w:val="22"/>
          <w:lang w:val="hr-HR"/>
        </w:rPr>
        <w:t>16 tableta Salazopyrin EN od 500 mg datih odrasloj osobi težine 70 kg izazvale bi izlaganje propilen glikolu od 1,14 mg/kg/dan.</w:t>
      </w:r>
    </w:p>
    <w:p w14:paraId="2634FF69" w14:textId="1940D766" w:rsidR="00EE01B4" w:rsidRPr="00847188" w:rsidRDefault="00EE01B4" w:rsidP="00847188">
      <w:pPr>
        <w:pStyle w:val="ListParagraph"/>
        <w:numPr>
          <w:ilvl w:val="0"/>
          <w:numId w:val="6"/>
        </w:numPr>
        <w:rPr>
          <w:szCs w:val="22"/>
          <w:lang w:val="hr-HR"/>
        </w:rPr>
      </w:pPr>
      <w:r w:rsidRPr="007703FB">
        <w:rPr>
          <w:szCs w:val="22"/>
          <w:lang w:val="hr-HR"/>
        </w:rPr>
        <w:t>2 tablete Salazopyrin EN od 500 mg date 6-godišnjem djetetu od 20 kg izazvale bi izlaganje propilen glikolu od 0,50 mg/kg/dan.</w:t>
      </w:r>
    </w:p>
    <w:p w14:paraId="14BD2E4E" w14:textId="77777777" w:rsidR="00B07542" w:rsidRPr="007703FB" w:rsidRDefault="00B07542" w:rsidP="00B07542">
      <w:pPr>
        <w:ind w:firstLine="720"/>
        <w:rPr>
          <w:color w:val="FF0000"/>
          <w:szCs w:val="22"/>
          <w:lang w:val="hr-HR"/>
        </w:rPr>
      </w:pPr>
    </w:p>
    <w:p w14:paraId="38A62188" w14:textId="7E75C90B" w:rsidR="00CE09F3" w:rsidRPr="007703FB" w:rsidRDefault="00CE09F3" w:rsidP="00923865">
      <w:pPr>
        <w:rPr>
          <w:b/>
          <w:bCs/>
          <w:szCs w:val="22"/>
          <w:lang w:val="hr-HR"/>
        </w:rPr>
      </w:pPr>
      <w:r w:rsidRPr="007703FB">
        <w:rPr>
          <w:b/>
          <w:bCs/>
          <w:szCs w:val="22"/>
          <w:lang w:val="hr-HR"/>
        </w:rPr>
        <w:t>4.5.</w:t>
      </w:r>
      <w:r w:rsidR="000C0820" w:rsidRPr="007703FB">
        <w:rPr>
          <w:b/>
          <w:bCs/>
          <w:szCs w:val="22"/>
          <w:lang w:val="hr-HR"/>
        </w:rPr>
        <w:tab/>
      </w:r>
      <w:r w:rsidRPr="007703FB">
        <w:rPr>
          <w:b/>
          <w:bCs/>
          <w:szCs w:val="22"/>
          <w:lang w:val="hr-HR"/>
        </w:rPr>
        <w:t xml:space="preserve"> Interakcije sa drugim l</w:t>
      </w:r>
      <w:r w:rsidR="00EF44B2" w:rsidRPr="007703FB">
        <w:rPr>
          <w:b/>
          <w:bCs/>
          <w:szCs w:val="22"/>
          <w:lang w:val="hr-HR"/>
        </w:rPr>
        <w:t>j</w:t>
      </w:r>
      <w:r w:rsidRPr="007703FB">
        <w:rPr>
          <w:b/>
          <w:bCs/>
          <w:szCs w:val="22"/>
          <w:lang w:val="hr-HR"/>
        </w:rPr>
        <w:t>ekovima i druge vrste interakcija</w:t>
      </w:r>
    </w:p>
    <w:p w14:paraId="586124EA" w14:textId="63BA2458" w:rsidR="00CE09F3" w:rsidRPr="007703FB" w:rsidRDefault="00CE09F3" w:rsidP="00E657EA">
      <w:pPr>
        <w:rPr>
          <w:color w:val="FF0000"/>
          <w:szCs w:val="22"/>
          <w:lang w:val="hr-HR"/>
        </w:rPr>
      </w:pPr>
    </w:p>
    <w:p w14:paraId="18C26BFA" w14:textId="0C185F30" w:rsidR="000C0820" w:rsidRPr="007703FB" w:rsidRDefault="000C0820" w:rsidP="000C0820">
      <w:pPr>
        <w:rPr>
          <w:bCs/>
          <w:szCs w:val="22"/>
          <w:lang w:val="hr-HR"/>
        </w:rPr>
      </w:pPr>
      <w:r w:rsidRPr="007703FB">
        <w:rPr>
          <w:bCs/>
          <w:szCs w:val="22"/>
          <w:lang w:val="hr-HR"/>
        </w:rPr>
        <w:t xml:space="preserve">Upotreba sulfonamida sa antagonistima folne kisjeline ili hipoglikemicima može povećati efekte ovih </w:t>
      </w:r>
      <w:r w:rsidR="00BA32D3">
        <w:rPr>
          <w:bCs/>
          <w:szCs w:val="22"/>
          <w:lang w:val="hr-HR"/>
        </w:rPr>
        <w:t>ljekova</w:t>
      </w:r>
      <w:r w:rsidRPr="007703FB">
        <w:rPr>
          <w:bCs/>
          <w:szCs w:val="22"/>
          <w:lang w:val="hr-HR"/>
        </w:rPr>
        <w:t>.</w:t>
      </w:r>
    </w:p>
    <w:p w14:paraId="7711266C" w14:textId="77777777" w:rsidR="000C0820" w:rsidRPr="007703FB" w:rsidRDefault="000C0820" w:rsidP="00E657EA">
      <w:pPr>
        <w:rPr>
          <w:color w:val="FF0000"/>
          <w:szCs w:val="22"/>
          <w:lang w:val="hr-HR"/>
        </w:rPr>
      </w:pPr>
    </w:p>
    <w:p w14:paraId="21D1FBED" w14:textId="6FD5AD24" w:rsidR="00C425F5" w:rsidRPr="007703FB" w:rsidRDefault="00B07542" w:rsidP="00E657EA">
      <w:pPr>
        <w:tabs>
          <w:tab w:val="left" w:pos="-720"/>
        </w:tabs>
        <w:rPr>
          <w:szCs w:val="22"/>
          <w:lang w:val="hr-HR"/>
        </w:rPr>
      </w:pPr>
      <w:r w:rsidRPr="007703FB">
        <w:rPr>
          <w:szCs w:val="22"/>
          <w:lang w:val="hr-HR"/>
        </w:rPr>
        <w:t>Prijavljena je smanjena resorpcija digoksina</w:t>
      </w:r>
      <w:r w:rsidR="000C0820" w:rsidRPr="007703FB">
        <w:rPr>
          <w:szCs w:val="22"/>
          <w:lang w:val="hr-HR"/>
        </w:rPr>
        <w:t xml:space="preserve">, što rezultira neterapeutskim koncentracijama u serumu, </w:t>
      </w:r>
      <w:r w:rsidRPr="007703FB">
        <w:rPr>
          <w:szCs w:val="22"/>
          <w:lang w:val="hr-HR"/>
        </w:rPr>
        <w:t>tokom njegove istovremene prim</w:t>
      </w:r>
      <w:r w:rsidR="00A62C88" w:rsidRPr="007703FB">
        <w:rPr>
          <w:szCs w:val="22"/>
          <w:lang w:val="hr-HR"/>
        </w:rPr>
        <w:t>j</w:t>
      </w:r>
      <w:r w:rsidRPr="007703FB">
        <w:rPr>
          <w:szCs w:val="22"/>
          <w:lang w:val="hr-HR"/>
        </w:rPr>
        <w:t xml:space="preserve">ene sa </w:t>
      </w:r>
      <w:r w:rsidR="000C0820" w:rsidRPr="007703FB">
        <w:rPr>
          <w:szCs w:val="22"/>
          <w:lang w:val="hr-HR"/>
        </w:rPr>
        <w:t xml:space="preserve">oralnim </w:t>
      </w:r>
      <w:r w:rsidRPr="007703FB">
        <w:rPr>
          <w:szCs w:val="22"/>
          <w:lang w:val="hr-HR"/>
        </w:rPr>
        <w:t xml:space="preserve">sulfasalazinom. </w:t>
      </w:r>
    </w:p>
    <w:p w14:paraId="2CD61A03" w14:textId="77777777" w:rsidR="00C425F5" w:rsidRPr="007703FB" w:rsidRDefault="00C425F5" w:rsidP="00E657EA">
      <w:pPr>
        <w:rPr>
          <w:szCs w:val="22"/>
          <w:lang w:val="hr-HR"/>
        </w:rPr>
      </w:pPr>
    </w:p>
    <w:p w14:paraId="2CB0C1A1" w14:textId="68AD1F75" w:rsidR="00305384" w:rsidRPr="007703FB" w:rsidRDefault="000C0820" w:rsidP="00E657EA">
      <w:pPr>
        <w:rPr>
          <w:szCs w:val="22"/>
          <w:lang w:val="hr-HR"/>
        </w:rPr>
      </w:pPr>
      <w:r w:rsidRPr="007703FB">
        <w:rPr>
          <w:szCs w:val="22"/>
          <w:lang w:val="hr-HR"/>
        </w:rPr>
        <w:t>Zbog inhibicije tiopurin metiltransferaze (TPMT) sulfasalazinom p</w:t>
      </w:r>
      <w:r w:rsidR="009D06A9" w:rsidRPr="007703FB">
        <w:rPr>
          <w:szCs w:val="22"/>
          <w:lang w:val="hr-HR"/>
        </w:rPr>
        <w:t>rijavljena</w:t>
      </w:r>
      <w:r w:rsidR="00B07542" w:rsidRPr="007703FB">
        <w:rPr>
          <w:szCs w:val="22"/>
          <w:lang w:val="hr-HR"/>
        </w:rPr>
        <w:t xml:space="preserve"> je supresija koštane srži i leukopenija posl</w:t>
      </w:r>
      <w:r w:rsidRPr="007703FB">
        <w:rPr>
          <w:szCs w:val="22"/>
          <w:lang w:val="hr-HR"/>
        </w:rPr>
        <w:t>ij</w:t>
      </w:r>
      <w:r w:rsidR="00B07542" w:rsidRPr="007703FB">
        <w:rPr>
          <w:szCs w:val="22"/>
          <w:lang w:val="hr-HR"/>
        </w:rPr>
        <w:t>e istovremene prim</w:t>
      </w:r>
      <w:r w:rsidR="00A62C88" w:rsidRPr="007703FB">
        <w:rPr>
          <w:szCs w:val="22"/>
          <w:lang w:val="hr-HR"/>
        </w:rPr>
        <w:t>j</w:t>
      </w:r>
      <w:r w:rsidR="00B07542" w:rsidRPr="007703FB">
        <w:rPr>
          <w:szCs w:val="22"/>
          <w:lang w:val="hr-HR"/>
        </w:rPr>
        <w:t>ene merkaptopurina ili azatioprina sa oralnim sulfasalazinom.</w:t>
      </w:r>
    </w:p>
    <w:p w14:paraId="2B4410C7" w14:textId="23A12B28" w:rsidR="000C0820" w:rsidRPr="007703FB" w:rsidRDefault="000C0820" w:rsidP="00E657EA">
      <w:pPr>
        <w:rPr>
          <w:szCs w:val="22"/>
          <w:lang w:val="hr-HR"/>
        </w:rPr>
      </w:pPr>
    </w:p>
    <w:p w14:paraId="790164EF" w14:textId="7C34D426" w:rsidR="000C0820" w:rsidRPr="007703FB" w:rsidRDefault="000C0820" w:rsidP="00E657EA">
      <w:pPr>
        <w:rPr>
          <w:spacing w:val="-3"/>
          <w:szCs w:val="22"/>
          <w:lang w:val="hr-HR"/>
        </w:rPr>
      </w:pPr>
      <w:r w:rsidRPr="007703FB">
        <w:rPr>
          <w:szCs w:val="22"/>
          <w:lang w:val="hr-HR"/>
        </w:rPr>
        <w:t>Istovremena primjena oralnog sulfasalazina i metotreksata kod pacijenata sa reumatoidnim artritisom nije promijenila farmakokinetičku dispoziciju ljekova. Međutim, prijavljena je povećana incidencija gastrointestinalnih neželjenih događaja, posebno mučnine.</w:t>
      </w:r>
    </w:p>
    <w:p w14:paraId="1400FD7B" w14:textId="77777777" w:rsidR="00B07542" w:rsidRPr="007703FB" w:rsidRDefault="00B07542" w:rsidP="00B07542">
      <w:pPr>
        <w:rPr>
          <w:color w:val="FF0000"/>
          <w:szCs w:val="22"/>
          <w:lang w:val="hr-HR"/>
        </w:rPr>
      </w:pPr>
    </w:p>
    <w:p w14:paraId="05090FCF" w14:textId="637680CA" w:rsidR="00CE09F3" w:rsidRPr="007703FB" w:rsidRDefault="00CE09F3" w:rsidP="00923865">
      <w:pPr>
        <w:rPr>
          <w:b/>
          <w:bCs/>
          <w:szCs w:val="22"/>
          <w:lang w:val="hr-HR"/>
        </w:rPr>
      </w:pPr>
      <w:r w:rsidRPr="007703FB">
        <w:rPr>
          <w:b/>
          <w:bCs/>
          <w:szCs w:val="22"/>
          <w:lang w:val="hr-HR"/>
        </w:rPr>
        <w:t xml:space="preserve">4.6. </w:t>
      </w:r>
      <w:r w:rsidR="000C0820" w:rsidRPr="007703FB">
        <w:rPr>
          <w:b/>
          <w:bCs/>
          <w:szCs w:val="22"/>
          <w:lang w:val="hr-HR"/>
        </w:rPr>
        <w:tab/>
      </w:r>
      <w:r w:rsidRPr="007703FB">
        <w:rPr>
          <w:b/>
          <w:bCs/>
          <w:szCs w:val="22"/>
          <w:lang w:val="hr-HR"/>
        </w:rPr>
        <w:t>P</w:t>
      </w:r>
      <w:r w:rsidR="00183465">
        <w:rPr>
          <w:b/>
          <w:bCs/>
          <w:szCs w:val="22"/>
          <w:lang w:val="hr-HR"/>
        </w:rPr>
        <w:t>lodnost,</w:t>
      </w:r>
      <w:r w:rsidRPr="007703FB">
        <w:rPr>
          <w:b/>
          <w:bCs/>
          <w:szCs w:val="22"/>
          <w:lang w:val="hr-HR"/>
        </w:rPr>
        <w:t xml:space="preserve"> trudnoć</w:t>
      </w:r>
      <w:r w:rsidR="00183465">
        <w:rPr>
          <w:b/>
          <w:bCs/>
          <w:szCs w:val="22"/>
          <w:lang w:val="hr-HR"/>
        </w:rPr>
        <w:t>a</w:t>
      </w:r>
      <w:r w:rsidRPr="007703FB">
        <w:rPr>
          <w:b/>
          <w:bCs/>
          <w:szCs w:val="22"/>
          <w:lang w:val="hr-HR"/>
        </w:rPr>
        <w:t xml:space="preserve"> i </w:t>
      </w:r>
      <w:r w:rsidR="0023480D" w:rsidRPr="007703FB">
        <w:rPr>
          <w:b/>
          <w:bCs/>
          <w:szCs w:val="22"/>
          <w:lang w:val="hr-HR"/>
        </w:rPr>
        <w:t>dojenj</w:t>
      </w:r>
      <w:r w:rsidR="00183465">
        <w:rPr>
          <w:b/>
          <w:bCs/>
          <w:szCs w:val="22"/>
          <w:lang w:val="hr-HR"/>
        </w:rPr>
        <w:t>e</w:t>
      </w:r>
    </w:p>
    <w:p w14:paraId="47B02D8C" w14:textId="77777777" w:rsidR="00CE09F3" w:rsidRPr="007703FB" w:rsidRDefault="00CE09F3" w:rsidP="00923865">
      <w:pPr>
        <w:rPr>
          <w:color w:val="FF0000"/>
          <w:szCs w:val="22"/>
          <w:lang w:val="hr-HR"/>
        </w:rPr>
      </w:pPr>
    </w:p>
    <w:p w14:paraId="4CD03A49" w14:textId="77777777" w:rsidR="00B07542" w:rsidRPr="007703FB" w:rsidRDefault="00B07542" w:rsidP="00B07542">
      <w:pPr>
        <w:tabs>
          <w:tab w:val="left" w:pos="-720"/>
        </w:tabs>
        <w:suppressAutoHyphens/>
        <w:rPr>
          <w:szCs w:val="22"/>
          <w:u w:val="single"/>
          <w:lang w:val="hr-HR"/>
        </w:rPr>
      </w:pPr>
      <w:r w:rsidRPr="007703FB">
        <w:rPr>
          <w:szCs w:val="22"/>
          <w:u w:val="single"/>
          <w:lang w:val="hr-HR"/>
        </w:rPr>
        <w:t xml:space="preserve">Trudnoća </w:t>
      </w:r>
    </w:p>
    <w:p w14:paraId="6B58E7F8" w14:textId="27CB469D" w:rsidR="00B07542" w:rsidRPr="007703FB" w:rsidRDefault="00B07542" w:rsidP="00B07542">
      <w:pPr>
        <w:tabs>
          <w:tab w:val="left" w:pos="-720"/>
        </w:tabs>
        <w:suppressAutoHyphens/>
        <w:spacing w:before="60"/>
        <w:rPr>
          <w:szCs w:val="22"/>
          <w:lang w:val="hr-HR"/>
        </w:rPr>
      </w:pPr>
      <w:r w:rsidRPr="007703FB">
        <w:rPr>
          <w:szCs w:val="22"/>
          <w:lang w:val="hr-HR"/>
        </w:rPr>
        <w:t xml:space="preserve">Reproduktivne studije na pacovima i kunićima ne ukazuju da postoji rizik po fetus </w:t>
      </w:r>
      <w:r w:rsidR="00C425F5" w:rsidRPr="007703FB">
        <w:rPr>
          <w:szCs w:val="22"/>
          <w:lang w:val="hr-HR"/>
        </w:rPr>
        <w:t>ako se ovaj l</w:t>
      </w:r>
      <w:r w:rsidR="00A62C88" w:rsidRPr="007703FB">
        <w:rPr>
          <w:szCs w:val="22"/>
          <w:lang w:val="hr-HR"/>
        </w:rPr>
        <w:t>ij</w:t>
      </w:r>
      <w:r w:rsidR="00C425F5" w:rsidRPr="007703FB">
        <w:rPr>
          <w:szCs w:val="22"/>
          <w:lang w:val="hr-HR"/>
        </w:rPr>
        <w:t>ek prim</w:t>
      </w:r>
      <w:r w:rsidR="00A62C88" w:rsidRPr="007703FB">
        <w:rPr>
          <w:szCs w:val="22"/>
          <w:lang w:val="hr-HR"/>
        </w:rPr>
        <w:t>j</w:t>
      </w:r>
      <w:r w:rsidR="00C425F5" w:rsidRPr="007703FB">
        <w:rPr>
          <w:szCs w:val="22"/>
          <w:lang w:val="hr-HR"/>
        </w:rPr>
        <w:t>enjuje</w:t>
      </w:r>
      <w:r w:rsidRPr="007703FB">
        <w:rPr>
          <w:szCs w:val="22"/>
          <w:lang w:val="hr-HR"/>
        </w:rPr>
        <w:t xml:space="preserve"> u trudnoći.</w:t>
      </w:r>
    </w:p>
    <w:p w14:paraId="4A1CD8B2" w14:textId="77777777" w:rsidR="00B07542" w:rsidRPr="007703FB" w:rsidRDefault="00B07542" w:rsidP="00B07542">
      <w:pPr>
        <w:pStyle w:val="BodyText"/>
        <w:tabs>
          <w:tab w:val="clear" w:pos="0"/>
          <w:tab w:val="left" w:pos="-720"/>
        </w:tabs>
        <w:rPr>
          <w:rFonts w:ascii="Times New Roman" w:hAnsi="Times New Roman"/>
          <w:spacing w:val="0"/>
          <w:sz w:val="22"/>
          <w:szCs w:val="22"/>
          <w:lang w:val="hr-HR"/>
        </w:rPr>
      </w:pPr>
    </w:p>
    <w:p w14:paraId="4FB209E4" w14:textId="1FC5E92E" w:rsidR="00B07542" w:rsidRPr="007703FB" w:rsidRDefault="00C425F5" w:rsidP="00B07542">
      <w:pPr>
        <w:tabs>
          <w:tab w:val="left" w:pos="-720"/>
        </w:tabs>
        <w:rPr>
          <w:szCs w:val="22"/>
          <w:lang w:val="hr-HR"/>
        </w:rPr>
      </w:pPr>
      <w:r w:rsidRPr="007703FB">
        <w:rPr>
          <w:szCs w:val="22"/>
          <w:lang w:val="hr-HR"/>
        </w:rPr>
        <w:t>Oralna prim</w:t>
      </w:r>
      <w:r w:rsidR="00A62C88" w:rsidRPr="007703FB">
        <w:rPr>
          <w:szCs w:val="22"/>
          <w:lang w:val="hr-HR"/>
        </w:rPr>
        <w:t>j</w:t>
      </w:r>
      <w:r w:rsidRPr="007703FB">
        <w:rPr>
          <w:szCs w:val="22"/>
          <w:lang w:val="hr-HR"/>
        </w:rPr>
        <w:t xml:space="preserve">ena </w:t>
      </w:r>
      <w:r w:rsidR="00B07542" w:rsidRPr="007703FB">
        <w:rPr>
          <w:szCs w:val="22"/>
          <w:lang w:val="hr-HR"/>
        </w:rPr>
        <w:t>sulfasalazin</w:t>
      </w:r>
      <w:r w:rsidRPr="007703FB">
        <w:rPr>
          <w:szCs w:val="22"/>
          <w:lang w:val="hr-HR"/>
        </w:rPr>
        <w:t>a inhibira</w:t>
      </w:r>
      <w:r w:rsidR="00B07542" w:rsidRPr="007703FB">
        <w:rPr>
          <w:szCs w:val="22"/>
          <w:lang w:val="hr-HR"/>
        </w:rPr>
        <w:t xml:space="preserve"> resorpcij</w:t>
      </w:r>
      <w:r w:rsidR="008153EC" w:rsidRPr="007703FB">
        <w:rPr>
          <w:szCs w:val="22"/>
          <w:lang w:val="hr-HR"/>
        </w:rPr>
        <w:t>u</w:t>
      </w:r>
      <w:r w:rsidR="00B07542" w:rsidRPr="007703FB">
        <w:rPr>
          <w:szCs w:val="22"/>
          <w:lang w:val="hr-HR"/>
        </w:rPr>
        <w:t xml:space="preserve"> i metabolizam folne kis</w:t>
      </w:r>
      <w:r w:rsidR="000C0820" w:rsidRPr="007703FB">
        <w:rPr>
          <w:szCs w:val="22"/>
          <w:lang w:val="hr-HR"/>
        </w:rPr>
        <w:t>j</w:t>
      </w:r>
      <w:r w:rsidR="00B07542" w:rsidRPr="007703FB">
        <w:rPr>
          <w:szCs w:val="22"/>
          <w:lang w:val="hr-HR"/>
        </w:rPr>
        <w:t>eline</w:t>
      </w:r>
      <w:r w:rsidR="000C0820" w:rsidRPr="007703FB">
        <w:rPr>
          <w:szCs w:val="22"/>
          <w:lang w:val="hr-HR"/>
        </w:rPr>
        <w:t xml:space="preserve"> i</w:t>
      </w:r>
      <w:r w:rsidR="00B07542" w:rsidRPr="007703FB">
        <w:rPr>
          <w:szCs w:val="22"/>
          <w:lang w:val="hr-HR"/>
        </w:rPr>
        <w:t xml:space="preserve"> može dovesti do </w:t>
      </w:r>
      <w:r w:rsidRPr="007703FB">
        <w:rPr>
          <w:szCs w:val="22"/>
          <w:lang w:val="hr-HR"/>
        </w:rPr>
        <w:t>deficijencije folata</w:t>
      </w:r>
      <w:r w:rsidR="00B07542" w:rsidRPr="007703FB">
        <w:rPr>
          <w:szCs w:val="22"/>
          <w:lang w:val="hr-HR"/>
        </w:rPr>
        <w:t xml:space="preserve"> </w:t>
      </w:r>
      <w:r w:rsidR="00BA32D3">
        <w:rPr>
          <w:szCs w:val="22"/>
          <w:lang w:val="hr-HR"/>
        </w:rPr>
        <w:t>(</w:t>
      </w:r>
      <w:r w:rsidR="00DE3331">
        <w:rPr>
          <w:szCs w:val="22"/>
          <w:lang w:val="hr-HR"/>
        </w:rPr>
        <w:t>pogledajte dio</w:t>
      </w:r>
      <w:r w:rsidR="00B07542" w:rsidRPr="007703FB">
        <w:rPr>
          <w:szCs w:val="22"/>
          <w:lang w:val="hr-HR"/>
        </w:rPr>
        <w:t xml:space="preserve"> 4.4). Prijavljeni su slučajevi oštećenj</w:t>
      </w:r>
      <w:r w:rsidRPr="007703FB">
        <w:rPr>
          <w:szCs w:val="22"/>
          <w:lang w:val="hr-HR"/>
        </w:rPr>
        <w:t>a</w:t>
      </w:r>
      <w:r w:rsidR="00B07542" w:rsidRPr="007703FB">
        <w:rPr>
          <w:szCs w:val="22"/>
          <w:lang w:val="hr-HR"/>
        </w:rPr>
        <w:t xml:space="preserve"> neuralne c</w:t>
      </w:r>
      <w:r w:rsidR="00A62C88" w:rsidRPr="007703FB">
        <w:rPr>
          <w:szCs w:val="22"/>
          <w:lang w:val="hr-HR"/>
        </w:rPr>
        <w:t>ij</w:t>
      </w:r>
      <w:r w:rsidR="00B07542" w:rsidRPr="007703FB">
        <w:rPr>
          <w:szCs w:val="22"/>
          <w:lang w:val="hr-HR"/>
        </w:rPr>
        <w:t xml:space="preserve">evi </w:t>
      </w:r>
      <w:r w:rsidRPr="007703FB">
        <w:rPr>
          <w:szCs w:val="22"/>
          <w:lang w:val="hr-HR"/>
        </w:rPr>
        <w:t xml:space="preserve">kod novorođenčadi </w:t>
      </w:r>
      <w:r w:rsidR="00B07542" w:rsidRPr="007703FB">
        <w:rPr>
          <w:szCs w:val="22"/>
          <w:lang w:val="hr-HR"/>
        </w:rPr>
        <w:t>čije su majke bile izložene sulfasalazinu tokom trudnoće, iako u</w:t>
      </w:r>
      <w:r w:rsidR="000C0820" w:rsidRPr="007703FB">
        <w:rPr>
          <w:szCs w:val="22"/>
          <w:lang w:val="hr-HR"/>
        </w:rPr>
        <w:t>ticaj</w:t>
      </w:r>
      <w:r w:rsidR="00B07542" w:rsidRPr="007703FB">
        <w:rPr>
          <w:szCs w:val="22"/>
          <w:lang w:val="hr-HR"/>
        </w:rPr>
        <w:t xml:space="preserve"> sulfasalazina u ovim slučajevima nije utvrđen.</w:t>
      </w:r>
    </w:p>
    <w:p w14:paraId="7C3258E0" w14:textId="77777777" w:rsidR="00B07542" w:rsidRPr="007703FB" w:rsidRDefault="00B07542" w:rsidP="00B07542">
      <w:pPr>
        <w:tabs>
          <w:tab w:val="left" w:pos="-720"/>
        </w:tabs>
        <w:rPr>
          <w:szCs w:val="22"/>
          <w:lang w:val="hr-HR"/>
        </w:rPr>
      </w:pPr>
    </w:p>
    <w:p w14:paraId="32887C8A" w14:textId="4361EF5C" w:rsidR="00B07542" w:rsidRPr="007703FB" w:rsidRDefault="00B07542" w:rsidP="00B07542">
      <w:pPr>
        <w:tabs>
          <w:tab w:val="left" w:pos="-720"/>
        </w:tabs>
        <w:rPr>
          <w:szCs w:val="22"/>
          <w:lang w:val="hr-HR"/>
        </w:rPr>
      </w:pPr>
      <w:r w:rsidRPr="007703FB">
        <w:rPr>
          <w:szCs w:val="22"/>
          <w:lang w:val="hr-HR"/>
        </w:rPr>
        <w:t xml:space="preserve">Budući da se </w:t>
      </w:r>
      <w:r w:rsidR="00BA32D3">
        <w:rPr>
          <w:szCs w:val="22"/>
          <w:lang w:val="hr-HR"/>
        </w:rPr>
        <w:t>rizik</w:t>
      </w:r>
      <w:r w:rsidR="00645266" w:rsidRPr="007703FB">
        <w:rPr>
          <w:szCs w:val="22"/>
          <w:lang w:val="hr-HR"/>
        </w:rPr>
        <w:t xml:space="preserve"> </w:t>
      </w:r>
      <w:r w:rsidR="00C425F5" w:rsidRPr="007703FB">
        <w:rPr>
          <w:szCs w:val="22"/>
          <w:lang w:val="hr-HR"/>
        </w:rPr>
        <w:t xml:space="preserve">od </w:t>
      </w:r>
      <w:r w:rsidRPr="007703FB">
        <w:rPr>
          <w:szCs w:val="22"/>
          <w:lang w:val="hr-HR"/>
        </w:rPr>
        <w:t>prim</w:t>
      </w:r>
      <w:r w:rsidR="00A62C88" w:rsidRPr="007703FB">
        <w:rPr>
          <w:szCs w:val="22"/>
          <w:lang w:val="hr-HR"/>
        </w:rPr>
        <w:t>j</w:t>
      </w:r>
      <w:r w:rsidRPr="007703FB">
        <w:rPr>
          <w:szCs w:val="22"/>
          <w:lang w:val="hr-HR"/>
        </w:rPr>
        <w:t xml:space="preserve">ene </w:t>
      </w:r>
      <w:r w:rsidR="00C425F5" w:rsidRPr="007703FB">
        <w:rPr>
          <w:szCs w:val="22"/>
          <w:lang w:val="hr-HR"/>
        </w:rPr>
        <w:t>ovog l</w:t>
      </w:r>
      <w:r w:rsidR="00A62C88" w:rsidRPr="007703FB">
        <w:rPr>
          <w:szCs w:val="22"/>
          <w:lang w:val="hr-HR"/>
        </w:rPr>
        <w:t>ij</w:t>
      </w:r>
      <w:r w:rsidR="00C425F5" w:rsidRPr="007703FB">
        <w:rPr>
          <w:szCs w:val="22"/>
          <w:lang w:val="hr-HR"/>
        </w:rPr>
        <w:t xml:space="preserve">eka </w:t>
      </w:r>
      <w:r w:rsidRPr="007703FB">
        <w:rPr>
          <w:szCs w:val="22"/>
          <w:lang w:val="hr-HR"/>
        </w:rPr>
        <w:t xml:space="preserve">u trudnoći ne može u potpunosti isključiti, </w:t>
      </w:r>
      <w:r w:rsidR="00645266" w:rsidRPr="007703FB">
        <w:rPr>
          <w:szCs w:val="22"/>
          <w:lang w:val="hr-HR"/>
        </w:rPr>
        <w:t>sulfasalazin tokom trudnoće treba koristiti</w:t>
      </w:r>
      <w:r w:rsidR="00BA32D3">
        <w:rPr>
          <w:szCs w:val="22"/>
          <w:lang w:val="hr-HR"/>
        </w:rPr>
        <w:t xml:space="preserve"> samo</w:t>
      </w:r>
      <w:r w:rsidR="00645266" w:rsidRPr="007703FB">
        <w:rPr>
          <w:szCs w:val="22"/>
          <w:lang w:val="hr-HR"/>
        </w:rPr>
        <w:t xml:space="preserve"> ukoliko je to ne</w:t>
      </w:r>
      <w:r w:rsidR="00BA32D3">
        <w:rPr>
          <w:szCs w:val="22"/>
          <w:lang w:val="hr-HR"/>
        </w:rPr>
        <w:t>ophodno</w:t>
      </w:r>
      <w:r w:rsidR="00645266" w:rsidRPr="007703FB">
        <w:rPr>
          <w:szCs w:val="22"/>
          <w:lang w:val="hr-HR"/>
        </w:rPr>
        <w:t xml:space="preserve">. </w:t>
      </w:r>
    </w:p>
    <w:p w14:paraId="391E9B04" w14:textId="77777777" w:rsidR="00B07542" w:rsidRPr="007703FB" w:rsidRDefault="00B07542" w:rsidP="00B07542">
      <w:pPr>
        <w:tabs>
          <w:tab w:val="left" w:pos="-720"/>
        </w:tabs>
        <w:rPr>
          <w:szCs w:val="22"/>
          <w:lang w:val="hr-HR"/>
        </w:rPr>
      </w:pPr>
    </w:p>
    <w:p w14:paraId="662DBCF8" w14:textId="77777777" w:rsidR="00B07542" w:rsidRPr="007703FB" w:rsidRDefault="00B07542" w:rsidP="00C425F5">
      <w:pPr>
        <w:tabs>
          <w:tab w:val="left" w:pos="-720"/>
        </w:tabs>
        <w:suppressAutoHyphens/>
        <w:rPr>
          <w:szCs w:val="22"/>
          <w:u w:val="single"/>
          <w:lang w:val="hr-HR"/>
        </w:rPr>
      </w:pPr>
      <w:r w:rsidRPr="007703FB">
        <w:rPr>
          <w:szCs w:val="22"/>
          <w:u w:val="single"/>
          <w:lang w:val="hr-HR"/>
        </w:rPr>
        <w:t xml:space="preserve">Dojenje </w:t>
      </w:r>
    </w:p>
    <w:p w14:paraId="03B7721B" w14:textId="1F288506" w:rsidR="00305384" w:rsidRPr="007703FB" w:rsidRDefault="00B07542" w:rsidP="00C425F5">
      <w:pPr>
        <w:pStyle w:val="Default"/>
        <w:jc w:val="both"/>
        <w:rPr>
          <w:color w:val="auto"/>
          <w:sz w:val="22"/>
          <w:szCs w:val="22"/>
          <w:u w:val="single"/>
          <w:lang w:val="hr-HR"/>
        </w:rPr>
      </w:pPr>
      <w:r w:rsidRPr="007703FB">
        <w:rPr>
          <w:color w:val="auto"/>
          <w:sz w:val="22"/>
          <w:szCs w:val="22"/>
          <w:lang w:val="hr-HR"/>
        </w:rPr>
        <w:t xml:space="preserve">Sulfasalazin i sulfapiridin </w:t>
      </w:r>
      <w:r w:rsidR="00215F82" w:rsidRPr="007703FB">
        <w:rPr>
          <w:color w:val="auto"/>
          <w:sz w:val="22"/>
          <w:szCs w:val="22"/>
          <w:lang w:val="hr-HR"/>
        </w:rPr>
        <w:t>se izlučuju</w:t>
      </w:r>
      <w:r w:rsidR="00C425F5" w:rsidRPr="007703FB">
        <w:rPr>
          <w:color w:val="auto"/>
          <w:sz w:val="22"/>
          <w:szCs w:val="22"/>
          <w:lang w:val="hr-HR"/>
        </w:rPr>
        <w:t xml:space="preserve"> </w:t>
      </w:r>
      <w:r w:rsidRPr="007703FB">
        <w:rPr>
          <w:color w:val="auto"/>
          <w:sz w:val="22"/>
          <w:szCs w:val="22"/>
          <w:lang w:val="hr-HR"/>
        </w:rPr>
        <w:t>u majčino ml</w:t>
      </w:r>
      <w:r w:rsidR="00A62C88" w:rsidRPr="007703FB">
        <w:rPr>
          <w:color w:val="auto"/>
          <w:sz w:val="22"/>
          <w:szCs w:val="22"/>
          <w:lang w:val="hr-HR"/>
        </w:rPr>
        <w:t>ij</w:t>
      </w:r>
      <w:r w:rsidRPr="007703FB">
        <w:rPr>
          <w:color w:val="auto"/>
          <w:sz w:val="22"/>
          <w:szCs w:val="22"/>
          <w:lang w:val="hr-HR"/>
        </w:rPr>
        <w:t>ek</w:t>
      </w:r>
      <w:r w:rsidR="00C425F5" w:rsidRPr="007703FB">
        <w:rPr>
          <w:color w:val="auto"/>
          <w:sz w:val="22"/>
          <w:szCs w:val="22"/>
          <w:lang w:val="hr-HR"/>
        </w:rPr>
        <w:t>o</w:t>
      </w:r>
      <w:r w:rsidRPr="007703FB">
        <w:rPr>
          <w:color w:val="auto"/>
          <w:sz w:val="22"/>
          <w:szCs w:val="22"/>
          <w:lang w:val="hr-HR"/>
        </w:rPr>
        <w:t xml:space="preserve"> u </w:t>
      </w:r>
      <w:r w:rsidR="00C425F5" w:rsidRPr="007703FB">
        <w:rPr>
          <w:color w:val="auto"/>
          <w:sz w:val="22"/>
          <w:szCs w:val="22"/>
          <w:lang w:val="hr-HR"/>
        </w:rPr>
        <w:t>malim</w:t>
      </w:r>
      <w:r w:rsidRPr="007703FB">
        <w:rPr>
          <w:color w:val="auto"/>
          <w:sz w:val="22"/>
          <w:szCs w:val="22"/>
          <w:lang w:val="hr-HR"/>
        </w:rPr>
        <w:t xml:space="preserve"> koncentracijama. Oprez je potreban naročito kod dojenja pr</w:t>
      </w:r>
      <w:r w:rsidR="00645266" w:rsidRPr="007703FB">
        <w:rPr>
          <w:color w:val="auto"/>
          <w:sz w:val="22"/>
          <w:szCs w:val="22"/>
          <w:lang w:val="hr-HR"/>
        </w:rPr>
        <w:t>ij</w:t>
      </w:r>
      <w:r w:rsidRPr="007703FB">
        <w:rPr>
          <w:color w:val="auto"/>
          <w:sz w:val="22"/>
          <w:szCs w:val="22"/>
          <w:lang w:val="hr-HR"/>
        </w:rPr>
        <w:t>evremeno rođene d</w:t>
      </w:r>
      <w:r w:rsidR="00A62C88" w:rsidRPr="007703FB">
        <w:rPr>
          <w:color w:val="auto"/>
          <w:sz w:val="22"/>
          <w:szCs w:val="22"/>
          <w:lang w:val="hr-HR"/>
        </w:rPr>
        <w:t>j</w:t>
      </w:r>
      <w:r w:rsidRPr="007703FB">
        <w:rPr>
          <w:color w:val="auto"/>
          <w:sz w:val="22"/>
          <w:szCs w:val="22"/>
          <w:lang w:val="hr-HR"/>
        </w:rPr>
        <w:t>ece ili d</w:t>
      </w:r>
      <w:r w:rsidR="00A62C88" w:rsidRPr="007703FB">
        <w:rPr>
          <w:color w:val="auto"/>
          <w:sz w:val="22"/>
          <w:szCs w:val="22"/>
          <w:lang w:val="hr-HR"/>
        </w:rPr>
        <w:t>j</w:t>
      </w:r>
      <w:r w:rsidRPr="007703FB">
        <w:rPr>
          <w:color w:val="auto"/>
          <w:sz w:val="22"/>
          <w:szCs w:val="22"/>
          <w:lang w:val="hr-HR"/>
        </w:rPr>
        <w:t>ece sa deficitom G-6-PD. Postoje izv</w:t>
      </w:r>
      <w:r w:rsidR="00A62C88" w:rsidRPr="007703FB">
        <w:rPr>
          <w:color w:val="auto"/>
          <w:sz w:val="22"/>
          <w:szCs w:val="22"/>
          <w:lang w:val="hr-HR"/>
        </w:rPr>
        <w:t>j</w:t>
      </w:r>
      <w:r w:rsidRPr="007703FB">
        <w:rPr>
          <w:color w:val="auto"/>
          <w:sz w:val="22"/>
          <w:szCs w:val="22"/>
          <w:lang w:val="hr-HR"/>
        </w:rPr>
        <w:t>eštaji o pojavi krvave stolice i</w:t>
      </w:r>
      <w:r w:rsidR="00645266" w:rsidRPr="007703FB">
        <w:rPr>
          <w:color w:val="auto"/>
          <w:sz w:val="22"/>
          <w:szCs w:val="22"/>
          <w:lang w:val="hr-HR"/>
        </w:rPr>
        <w:t>li</w:t>
      </w:r>
      <w:r w:rsidRPr="007703FB">
        <w:rPr>
          <w:color w:val="auto"/>
          <w:sz w:val="22"/>
          <w:szCs w:val="22"/>
          <w:lang w:val="hr-HR"/>
        </w:rPr>
        <w:t xml:space="preserve"> dijareje kod odojčadi čije su majke </w:t>
      </w:r>
      <w:r w:rsidR="00F4599A" w:rsidRPr="007703FB">
        <w:rPr>
          <w:color w:val="auto"/>
          <w:sz w:val="22"/>
          <w:szCs w:val="22"/>
          <w:lang w:val="hr-HR"/>
        </w:rPr>
        <w:t>u toku dojenja</w:t>
      </w:r>
      <w:r w:rsidR="00215F82" w:rsidRPr="007703FB">
        <w:rPr>
          <w:color w:val="auto"/>
          <w:sz w:val="22"/>
          <w:szCs w:val="22"/>
          <w:lang w:val="hr-HR"/>
        </w:rPr>
        <w:t xml:space="preserve"> </w:t>
      </w:r>
      <w:r w:rsidRPr="007703FB">
        <w:rPr>
          <w:color w:val="auto"/>
          <w:sz w:val="22"/>
          <w:szCs w:val="22"/>
          <w:lang w:val="hr-HR"/>
        </w:rPr>
        <w:t>l</w:t>
      </w:r>
      <w:r w:rsidR="00A62C88" w:rsidRPr="007703FB">
        <w:rPr>
          <w:color w:val="auto"/>
          <w:sz w:val="22"/>
          <w:szCs w:val="22"/>
          <w:lang w:val="hr-HR"/>
        </w:rPr>
        <w:t>ij</w:t>
      </w:r>
      <w:r w:rsidRPr="007703FB">
        <w:rPr>
          <w:color w:val="auto"/>
          <w:sz w:val="22"/>
          <w:szCs w:val="22"/>
          <w:lang w:val="hr-HR"/>
        </w:rPr>
        <w:t>ečene sulfasalazinom</w:t>
      </w:r>
      <w:r w:rsidR="00645266" w:rsidRPr="007703FB">
        <w:rPr>
          <w:color w:val="auto"/>
          <w:sz w:val="22"/>
          <w:szCs w:val="22"/>
          <w:lang w:val="hr-HR"/>
        </w:rPr>
        <w:t>. U ovim slučajevima</w:t>
      </w:r>
      <w:r w:rsidRPr="007703FB">
        <w:rPr>
          <w:color w:val="auto"/>
          <w:sz w:val="22"/>
          <w:szCs w:val="22"/>
          <w:lang w:val="hr-HR"/>
        </w:rPr>
        <w:t xml:space="preserve"> krvava stolica ili dijareja su se povlačile nakon što je majka </w:t>
      </w:r>
      <w:r w:rsidR="00F4599A" w:rsidRPr="007703FB">
        <w:rPr>
          <w:color w:val="auto"/>
          <w:sz w:val="22"/>
          <w:szCs w:val="22"/>
          <w:lang w:val="hr-HR"/>
        </w:rPr>
        <w:t>u toku dojenja</w:t>
      </w:r>
      <w:r w:rsidR="00215F82" w:rsidRPr="007703FB">
        <w:rPr>
          <w:color w:val="auto"/>
          <w:sz w:val="22"/>
          <w:szCs w:val="22"/>
          <w:lang w:val="hr-HR"/>
        </w:rPr>
        <w:t xml:space="preserve"> </w:t>
      </w:r>
      <w:r w:rsidRPr="007703FB">
        <w:rPr>
          <w:color w:val="auto"/>
          <w:sz w:val="22"/>
          <w:szCs w:val="22"/>
          <w:lang w:val="hr-HR"/>
        </w:rPr>
        <w:t xml:space="preserve">prekinula </w:t>
      </w:r>
      <w:r w:rsidR="00C425F5" w:rsidRPr="007703FB">
        <w:rPr>
          <w:color w:val="auto"/>
          <w:sz w:val="22"/>
          <w:szCs w:val="22"/>
          <w:lang w:val="hr-HR"/>
        </w:rPr>
        <w:t>terapiju</w:t>
      </w:r>
      <w:r w:rsidRPr="007703FB">
        <w:rPr>
          <w:color w:val="auto"/>
          <w:sz w:val="22"/>
          <w:szCs w:val="22"/>
          <w:lang w:val="hr-HR"/>
        </w:rPr>
        <w:t xml:space="preserve"> su</w:t>
      </w:r>
      <w:r w:rsidR="00B85C09" w:rsidRPr="007703FB">
        <w:rPr>
          <w:color w:val="auto"/>
          <w:sz w:val="22"/>
          <w:szCs w:val="22"/>
          <w:lang w:val="hr-HR"/>
        </w:rPr>
        <w:t>l</w:t>
      </w:r>
      <w:r w:rsidRPr="007703FB">
        <w:rPr>
          <w:color w:val="auto"/>
          <w:sz w:val="22"/>
          <w:szCs w:val="22"/>
          <w:lang w:val="hr-HR"/>
        </w:rPr>
        <w:t>fasalazin</w:t>
      </w:r>
      <w:r w:rsidR="00BA7E0B" w:rsidRPr="007703FB">
        <w:rPr>
          <w:color w:val="auto"/>
          <w:sz w:val="22"/>
          <w:szCs w:val="22"/>
          <w:lang w:val="hr-HR"/>
        </w:rPr>
        <w:t>om</w:t>
      </w:r>
      <w:r w:rsidRPr="007703FB">
        <w:rPr>
          <w:color w:val="auto"/>
          <w:sz w:val="22"/>
          <w:szCs w:val="22"/>
          <w:lang w:val="hr-HR"/>
        </w:rPr>
        <w:t>.</w:t>
      </w:r>
    </w:p>
    <w:p w14:paraId="16055A15" w14:textId="77777777" w:rsidR="00305384" w:rsidRPr="007703FB" w:rsidRDefault="00305384" w:rsidP="00305384">
      <w:pPr>
        <w:rPr>
          <w:color w:val="FF0000"/>
          <w:szCs w:val="22"/>
          <w:lang w:val="hr-HR"/>
        </w:rPr>
      </w:pPr>
    </w:p>
    <w:p w14:paraId="665DA69A" w14:textId="53EF9BCE" w:rsidR="00CE09F3" w:rsidRPr="007703FB" w:rsidRDefault="00CE09F3" w:rsidP="00923865">
      <w:pPr>
        <w:rPr>
          <w:b/>
          <w:bCs/>
          <w:spacing w:val="-8"/>
          <w:szCs w:val="22"/>
          <w:lang w:val="hr-HR"/>
        </w:rPr>
      </w:pPr>
      <w:r w:rsidRPr="007703FB">
        <w:rPr>
          <w:b/>
          <w:bCs/>
          <w:spacing w:val="-8"/>
          <w:szCs w:val="22"/>
          <w:lang w:val="hr-HR"/>
        </w:rPr>
        <w:t xml:space="preserve">4.7. </w:t>
      </w:r>
      <w:r w:rsidR="00645266" w:rsidRPr="007703FB">
        <w:rPr>
          <w:b/>
          <w:bCs/>
          <w:spacing w:val="-8"/>
          <w:szCs w:val="22"/>
          <w:lang w:val="hr-HR"/>
        </w:rPr>
        <w:tab/>
      </w:r>
      <w:r w:rsidRPr="007703FB">
        <w:rPr>
          <w:rFonts w:ascii="Times New Roman Bold" w:hAnsi="Times New Roman Bold"/>
          <w:b/>
          <w:bCs/>
          <w:szCs w:val="22"/>
          <w:lang w:val="hr-HR"/>
        </w:rPr>
        <w:t xml:space="preserve">Uticaj na </w:t>
      </w:r>
      <w:r w:rsidR="009E45B4" w:rsidRPr="007703FB">
        <w:rPr>
          <w:rFonts w:ascii="Times New Roman Bold" w:hAnsi="Times New Roman Bold"/>
          <w:b/>
          <w:bCs/>
          <w:szCs w:val="22"/>
          <w:lang w:val="hr-HR"/>
        </w:rPr>
        <w:t xml:space="preserve">sposobnost  upravljanja </w:t>
      </w:r>
      <w:r w:rsidRPr="007703FB">
        <w:rPr>
          <w:rFonts w:ascii="Times New Roman Bold" w:hAnsi="Times New Roman Bold"/>
          <w:b/>
          <w:bCs/>
          <w:szCs w:val="22"/>
          <w:lang w:val="hr-HR"/>
        </w:rPr>
        <w:t>vozilima i rukovanj</w:t>
      </w:r>
      <w:r w:rsidR="00BF1F59">
        <w:rPr>
          <w:rFonts w:ascii="Times New Roman Bold" w:hAnsi="Times New Roman Bold"/>
          <w:b/>
          <w:bCs/>
          <w:szCs w:val="22"/>
          <w:lang w:val="hr-HR"/>
        </w:rPr>
        <w:t>e</w:t>
      </w:r>
      <w:r w:rsidRPr="007703FB">
        <w:rPr>
          <w:rFonts w:ascii="Times New Roman Bold" w:hAnsi="Times New Roman Bold"/>
          <w:b/>
          <w:bCs/>
          <w:szCs w:val="22"/>
          <w:lang w:val="hr-HR"/>
        </w:rPr>
        <w:t xml:space="preserve"> mašinama</w:t>
      </w:r>
    </w:p>
    <w:p w14:paraId="31CD4D05" w14:textId="77777777" w:rsidR="00CE09F3" w:rsidRPr="007703FB" w:rsidRDefault="00CE09F3" w:rsidP="00923865">
      <w:pPr>
        <w:rPr>
          <w:color w:val="FF0000"/>
          <w:szCs w:val="22"/>
          <w:lang w:val="hr-HR"/>
        </w:rPr>
      </w:pPr>
    </w:p>
    <w:p w14:paraId="3DC14993" w14:textId="6C35637F" w:rsidR="00645266" w:rsidRPr="007703FB" w:rsidRDefault="00645266" w:rsidP="00645266">
      <w:pPr>
        <w:rPr>
          <w:szCs w:val="22"/>
          <w:lang w:val="hr-HR"/>
        </w:rPr>
      </w:pPr>
      <w:r w:rsidRPr="007703FB">
        <w:rPr>
          <w:szCs w:val="22"/>
          <w:lang w:val="hr-HR"/>
        </w:rPr>
        <w:t xml:space="preserve">Dejstvo Salazopyrina EN na sposobnost upravljanja vozilima i rukovanja mašinama </w:t>
      </w:r>
      <w:r w:rsidR="00917FDF">
        <w:rPr>
          <w:szCs w:val="22"/>
          <w:lang w:val="hr-HR"/>
        </w:rPr>
        <w:t>n</w:t>
      </w:r>
      <w:r w:rsidR="00F907F4">
        <w:rPr>
          <w:szCs w:val="22"/>
          <w:lang w:val="hr-HR"/>
        </w:rPr>
        <w:t>ije</w:t>
      </w:r>
      <w:r w:rsidR="00917FDF">
        <w:rPr>
          <w:szCs w:val="22"/>
          <w:lang w:val="hr-HR"/>
        </w:rPr>
        <w:t xml:space="preserve"> </w:t>
      </w:r>
      <w:r w:rsidRPr="007703FB">
        <w:rPr>
          <w:szCs w:val="22"/>
          <w:lang w:val="hr-HR"/>
        </w:rPr>
        <w:t>procjenj</w:t>
      </w:r>
      <w:r w:rsidR="00F907F4">
        <w:rPr>
          <w:szCs w:val="22"/>
          <w:lang w:val="hr-HR"/>
        </w:rPr>
        <w:t>ivano</w:t>
      </w:r>
      <w:r w:rsidRPr="007703FB">
        <w:rPr>
          <w:szCs w:val="22"/>
          <w:lang w:val="hr-HR"/>
        </w:rPr>
        <w:t>.</w:t>
      </w:r>
    </w:p>
    <w:p w14:paraId="1056058C" w14:textId="77777777" w:rsidR="002C252A" w:rsidRPr="007703FB" w:rsidRDefault="002C252A" w:rsidP="002C252A">
      <w:pPr>
        <w:rPr>
          <w:color w:val="FF0000"/>
          <w:szCs w:val="22"/>
          <w:lang w:val="hr-HR"/>
        </w:rPr>
      </w:pPr>
    </w:p>
    <w:p w14:paraId="4F1F7D29" w14:textId="5C267743" w:rsidR="00CE09F3" w:rsidRPr="007703FB" w:rsidRDefault="00CE09F3" w:rsidP="00923865">
      <w:pPr>
        <w:rPr>
          <w:b/>
          <w:bCs/>
          <w:szCs w:val="22"/>
          <w:lang w:val="hr-HR"/>
        </w:rPr>
      </w:pPr>
      <w:r w:rsidRPr="007703FB">
        <w:rPr>
          <w:b/>
          <w:bCs/>
          <w:szCs w:val="22"/>
          <w:lang w:val="hr-HR"/>
        </w:rPr>
        <w:t xml:space="preserve">4.8. </w:t>
      </w:r>
      <w:r w:rsidR="00645266" w:rsidRPr="007703FB">
        <w:rPr>
          <w:b/>
          <w:bCs/>
          <w:szCs w:val="22"/>
          <w:lang w:val="hr-HR"/>
        </w:rPr>
        <w:tab/>
      </w:r>
      <w:r w:rsidRPr="007703FB">
        <w:rPr>
          <w:b/>
          <w:bCs/>
          <w:szCs w:val="22"/>
          <w:lang w:val="hr-HR"/>
        </w:rPr>
        <w:t>Neželjena dejstva</w:t>
      </w:r>
    </w:p>
    <w:p w14:paraId="06117BAB" w14:textId="77777777" w:rsidR="00CE09F3" w:rsidRPr="007703FB" w:rsidRDefault="00CE09F3" w:rsidP="00923865">
      <w:pPr>
        <w:rPr>
          <w:color w:val="FF0000"/>
          <w:szCs w:val="22"/>
          <w:u w:val="single"/>
          <w:lang w:val="hr-HR"/>
        </w:rPr>
      </w:pPr>
    </w:p>
    <w:p w14:paraId="4ACE7835" w14:textId="48DA910A" w:rsidR="00754D73" w:rsidRPr="007703FB" w:rsidRDefault="00754D73" w:rsidP="00884491">
      <w:pPr>
        <w:pStyle w:val="BodyTextIndent"/>
        <w:spacing w:after="0"/>
        <w:ind w:left="0"/>
        <w:rPr>
          <w:szCs w:val="22"/>
          <w:lang w:val="hr-HR"/>
        </w:rPr>
      </w:pPr>
      <w:r w:rsidRPr="007703FB">
        <w:rPr>
          <w:szCs w:val="22"/>
          <w:lang w:val="hr-HR"/>
        </w:rPr>
        <w:t>N</w:t>
      </w:r>
      <w:r w:rsidR="004D34AD" w:rsidRPr="007703FB">
        <w:rPr>
          <w:szCs w:val="22"/>
          <w:lang w:val="hr-HR"/>
        </w:rPr>
        <w:t>avedena n</w:t>
      </w:r>
      <w:r w:rsidRPr="007703FB">
        <w:rPr>
          <w:szCs w:val="22"/>
          <w:lang w:val="hr-HR"/>
        </w:rPr>
        <w:t xml:space="preserve">eželjena dejstva su </w:t>
      </w:r>
      <w:r w:rsidR="00817CAD" w:rsidRPr="007703FB">
        <w:rPr>
          <w:szCs w:val="22"/>
          <w:lang w:val="hr-HR"/>
        </w:rPr>
        <w:t xml:space="preserve">navedena </w:t>
      </w:r>
      <w:r w:rsidRPr="007703FB">
        <w:rPr>
          <w:szCs w:val="22"/>
          <w:lang w:val="hr-HR"/>
        </w:rPr>
        <w:t xml:space="preserve">prema </w:t>
      </w:r>
      <w:r w:rsidR="00884491" w:rsidRPr="007703FB">
        <w:rPr>
          <w:szCs w:val="22"/>
          <w:lang w:val="hr-HR"/>
        </w:rPr>
        <w:t xml:space="preserve">MedDRA klasifikaciji sistema organa </w:t>
      </w:r>
      <w:r w:rsidRPr="007703FB">
        <w:rPr>
          <w:szCs w:val="22"/>
          <w:lang w:val="hr-HR"/>
        </w:rPr>
        <w:t xml:space="preserve">i </w:t>
      </w:r>
      <w:r w:rsidR="00884491" w:rsidRPr="007703FB">
        <w:rPr>
          <w:szCs w:val="22"/>
          <w:lang w:val="hr-HR"/>
        </w:rPr>
        <w:t xml:space="preserve">kategorijama </w:t>
      </w:r>
      <w:r w:rsidRPr="007703FB">
        <w:rPr>
          <w:szCs w:val="22"/>
          <w:lang w:val="hr-HR"/>
        </w:rPr>
        <w:t xml:space="preserve">učestalosti. </w:t>
      </w:r>
      <w:r w:rsidR="00884491" w:rsidRPr="007703FB">
        <w:rPr>
          <w:szCs w:val="22"/>
          <w:lang w:val="hr-HR"/>
        </w:rPr>
        <w:t>Kategorije učestalosti su definisane prema sledećoj konvenciji</w:t>
      </w:r>
      <w:r w:rsidRPr="007703FB">
        <w:rPr>
          <w:szCs w:val="22"/>
          <w:lang w:val="hr-HR"/>
        </w:rPr>
        <w:t xml:space="preserve">: veoma česta (≥ 1/10); česta </w:t>
      </w:r>
      <w:r w:rsidR="00610667" w:rsidRPr="007703FB">
        <w:rPr>
          <w:szCs w:val="22"/>
          <w:lang w:val="hr-HR"/>
        </w:rPr>
        <w:br/>
      </w:r>
      <w:r w:rsidRPr="007703FB">
        <w:rPr>
          <w:szCs w:val="22"/>
          <w:lang w:val="hr-HR"/>
        </w:rPr>
        <w:t>(≥</w:t>
      </w:r>
      <w:r w:rsidR="00610667" w:rsidRPr="007703FB">
        <w:rPr>
          <w:szCs w:val="22"/>
          <w:lang w:val="hr-HR"/>
        </w:rPr>
        <w:t xml:space="preserve"> </w:t>
      </w:r>
      <w:r w:rsidRPr="007703FB">
        <w:rPr>
          <w:szCs w:val="22"/>
          <w:lang w:val="hr-HR"/>
        </w:rPr>
        <w:t>1/100 do &lt;</w:t>
      </w:r>
      <w:r w:rsidR="00610667" w:rsidRPr="007703FB">
        <w:rPr>
          <w:szCs w:val="22"/>
          <w:lang w:val="hr-HR"/>
        </w:rPr>
        <w:t xml:space="preserve"> </w:t>
      </w:r>
      <w:r w:rsidRPr="007703FB">
        <w:rPr>
          <w:szCs w:val="22"/>
          <w:lang w:val="hr-HR"/>
        </w:rPr>
        <w:t>1/10); povremena (≥</w:t>
      </w:r>
      <w:r w:rsidR="00E52741" w:rsidRPr="007703FB">
        <w:rPr>
          <w:szCs w:val="22"/>
          <w:lang w:val="hr-HR"/>
        </w:rPr>
        <w:t> </w:t>
      </w:r>
      <w:r w:rsidRPr="007703FB">
        <w:rPr>
          <w:szCs w:val="22"/>
          <w:lang w:val="hr-HR"/>
        </w:rPr>
        <w:t>1/1000 do &lt;</w:t>
      </w:r>
      <w:r w:rsidR="00E52741" w:rsidRPr="007703FB">
        <w:rPr>
          <w:szCs w:val="22"/>
          <w:lang w:val="hr-HR"/>
        </w:rPr>
        <w:t> </w:t>
      </w:r>
      <w:r w:rsidRPr="007703FB">
        <w:rPr>
          <w:szCs w:val="22"/>
          <w:lang w:val="hr-HR"/>
        </w:rPr>
        <w:t>1/100)</w:t>
      </w:r>
      <w:r w:rsidR="00E52741" w:rsidRPr="007703FB">
        <w:rPr>
          <w:szCs w:val="22"/>
          <w:lang w:val="hr-HR"/>
        </w:rPr>
        <w:t>;</w:t>
      </w:r>
      <w:r w:rsidRPr="007703FB">
        <w:rPr>
          <w:szCs w:val="22"/>
          <w:lang w:val="hr-HR"/>
        </w:rPr>
        <w:t xml:space="preserve"> r</w:t>
      </w:r>
      <w:r w:rsidR="002A5B60" w:rsidRPr="007703FB">
        <w:rPr>
          <w:szCs w:val="22"/>
          <w:lang w:val="hr-HR"/>
        </w:rPr>
        <w:t>ij</w:t>
      </w:r>
      <w:r w:rsidRPr="007703FB">
        <w:rPr>
          <w:szCs w:val="22"/>
          <w:lang w:val="hr-HR"/>
        </w:rPr>
        <w:t>etka (≥</w:t>
      </w:r>
      <w:r w:rsidR="00E52741" w:rsidRPr="007703FB">
        <w:rPr>
          <w:szCs w:val="22"/>
          <w:lang w:val="hr-HR"/>
        </w:rPr>
        <w:t> </w:t>
      </w:r>
      <w:r w:rsidRPr="007703FB">
        <w:rPr>
          <w:szCs w:val="22"/>
          <w:lang w:val="hr-HR"/>
        </w:rPr>
        <w:t>1/10000 do &lt;</w:t>
      </w:r>
      <w:r w:rsidR="00E52741" w:rsidRPr="007703FB">
        <w:rPr>
          <w:szCs w:val="22"/>
          <w:lang w:val="hr-HR"/>
        </w:rPr>
        <w:t> </w:t>
      </w:r>
      <w:r w:rsidRPr="007703FB">
        <w:rPr>
          <w:szCs w:val="22"/>
          <w:lang w:val="hr-HR"/>
        </w:rPr>
        <w:t>1/1000)</w:t>
      </w:r>
      <w:r w:rsidR="00E52741" w:rsidRPr="007703FB">
        <w:rPr>
          <w:szCs w:val="22"/>
          <w:lang w:val="hr-HR"/>
        </w:rPr>
        <w:t>;</w:t>
      </w:r>
      <w:r w:rsidRPr="007703FB">
        <w:rPr>
          <w:szCs w:val="22"/>
          <w:lang w:val="hr-HR"/>
        </w:rPr>
        <w:t xml:space="preserve"> veoma r</w:t>
      </w:r>
      <w:r w:rsidR="002A5B60" w:rsidRPr="007703FB">
        <w:rPr>
          <w:szCs w:val="22"/>
          <w:lang w:val="hr-HR"/>
        </w:rPr>
        <w:t>ij</w:t>
      </w:r>
      <w:r w:rsidRPr="007703FB">
        <w:rPr>
          <w:szCs w:val="22"/>
          <w:lang w:val="hr-HR"/>
        </w:rPr>
        <w:t>etka (&lt;</w:t>
      </w:r>
      <w:r w:rsidR="00E52741" w:rsidRPr="007703FB">
        <w:rPr>
          <w:szCs w:val="22"/>
          <w:lang w:val="hr-HR"/>
        </w:rPr>
        <w:t> </w:t>
      </w:r>
      <w:r w:rsidRPr="007703FB">
        <w:rPr>
          <w:szCs w:val="22"/>
          <w:lang w:val="hr-HR"/>
        </w:rPr>
        <w:t>1/10000) i nepoznata učestalost (ne može se proc</w:t>
      </w:r>
      <w:r w:rsidR="002A5B60" w:rsidRPr="007703FB">
        <w:rPr>
          <w:szCs w:val="22"/>
          <w:lang w:val="hr-HR"/>
        </w:rPr>
        <w:t>ij</w:t>
      </w:r>
      <w:r w:rsidRPr="007703FB">
        <w:rPr>
          <w:szCs w:val="22"/>
          <w:lang w:val="hr-HR"/>
        </w:rPr>
        <w:t xml:space="preserve">eniti </w:t>
      </w:r>
      <w:r w:rsidR="00884491" w:rsidRPr="007703FB">
        <w:rPr>
          <w:szCs w:val="22"/>
          <w:lang w:val="hr-HR"/>
        </w:rPr>
        <w:t xml:space="preserve">na osnovu dostupnih </w:t>
      </w:r>
      <w:r w:rsidRPr="007703FB">
        <w:rPr>
          <w:szCs w:val="22"/>
          <w:lang w:val="hr-HR"/>
        </w:rPr>
        <w:t>podataka).</w:t>
      </w:r>
    </w:p>
    <w:p w14:paraId="03FB11CA" w14:textId="77777777" w:rsidR="004E78AF" w:rsidRPr="007703FB" w:rsidRDefault="004E78AF" w:rsidP="00884491">
      <w:pPr>
        <w:pStyle w:val="BodyTextIndent"/>
        <w:spacing w:after="0"/>
        <w:ind w:left="0"/>
        <w:rPr>
          <w:szCs w:val="22"/>
          <w:lang w:val="hr-HR"/>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560"/>
        <w:gridCol w:w="4065"/>
      </w:tblGrid>
      <w:tr w:rsidR="004E78AF" w:rsidRPr="007703FB" w14:paraId="7E57C38F" w14:textId="77777777" w:rsidTr="00847188">
        <w:tc>
          <w:tcPr>
            <w:tcW w:w="2835" w:type="dxa"/>
            <w:tcBorders>
              <w:top w:val="single" w:sz="4" w:space="0" w:color="auto"/>
              <w:left w:val="single" w:sz="4" w:space="0" w:color="auto"/>
              <w:bottom w:val="single" w:sz="4" w:space="0" w:color="auto"/>
              <w:right w:val="single" w:sz="4" w:space="0" w:color="auto"/>
            </w:tcBorders>
          </w:tcPr>
          <w:p w14:paraId="266E9B33" w14:textId="77777777" w:rsidR="004E78AF" w:rsidRPr="007703FB" w:rsidRDefault="004E78AF" w:rsidP="00847188">
            <w:pPr>
              <w:tabs>
                <w:tab w:val="left" w:pos="7797"/>
              </w:tabs>
              <w:jc w:val="center"/>
              <w:rPr>
                <w:szCs w:val="22"/>
                <w:lang w:val="hr-HR"/>
              </w:rPr>
            </w:pPr>
            <w:r w:rsidRPr="007703FB">
              <w:rPr>
                <w:b/>
                <w:szCs w:val="22"/>
                <w:lang w:val="hr-HR"/>
              </w:rPr>
              <w:lastRenderedPageBreak/>
              <w:t>MedDRA klasifikcija sistema organa</w:t>
            </w:r>
          </w:p>
        </w:tc>
        <w:tc>
          <w:tcPr>
            <w:tcW w:w="1560" w:type="dxa"/>
            <w:tcBorders>
              <w:top w:val="single" w:sz="4" w:space="0" w:color="auto"/>
              <w:left w:val="single" w:sz="4" w:space="0" w:color="auto"/>
              <w:bottom w:val="single" w:sz="4" w:space="0" w:color="auto"/>
              <w:right w:val="single" w:sz="4" w:space="0" w:color="auto"/>
            </w:tcBorders>
          </w:tcPr>
          <w:p w14:paraId="7C44C951" w14:textId="77777777" w:rsidR="004E78AF" w:rsidRPr="007703FB" w:rsidRDefault="004E78AF" w:rsidP="00847188">
            <w:pPr>
              <w:tabs>
                <w:tab w:val="left" w:pos="7797"/>
              </w:tabs>
              <w:jc w:val="center"/>
              <w:rPr>
                <w:b/>
                <w:bCs/>
                <w:iCs/>
                <w:szCs w:val="22"/>
                <w:lang w:val="hr-HR"/>
              </w:rPr>
            </w:pPr>
            <w:r w:rsidRPr="007703FB">
              <w:rPr>
                <w:b/>
                <w:szCs w:val="22"/>
                <w:lang w:val="hr-HR"/>
              </w:rPr>
              <w:t>Učestalost</w:t>
            </w:r>
          </w:p>
          <w:p w14:paraId="75EC27CD" w14:textId="77777777" w:rsidR="004E78AF" w:rsidRPr="007703FB" w:rsidRDefault="004E78AF" w:rsidP="007703FB">
            <w:pPr>
              <w:tabs>
                <w:tab w:val="left" w:pos="7797"/>
              </w:tabs>
              <w:jc w:val="left"/>
              <w:rPr>
                <w:szCs w:val="22"/>
                <w:lang w:val="hr-HR"/>
              </w:rPr>
            </w:pPr>
          </w:p>
        </w:tc>
        <w:tc>
          <w:tcPr>
            <w:tcW w:w="4065" w:type="dxa"/>
            <w:tcBorders>
              <w:top w:val="single" w:sz="4" w:space="0" w:color="auto"/>
              <w:left w:val="single" w:sz="4" w:space="0" w:color="auto"/>
              <w:bottom w:val="single" w:sz="4" w:space="0" w:color="auto"/>
              <w:right w:val="single" w:sz="4" w:space="0" w:color="auto"/>
            </w:tcBorders>
          </w:tcPr>
          <w:p w14:paraId="7FBFDB94" w14:textId="77777777" w:rsidR="004E78AF" w:rsidRPr="007703FB" w:rsidRDefault="004E78AF" w:rsidP="00847188">
            <w:pPr>
              <w:pStyle w:val="BodyTextIndent"/>
              <w:spacing w:after="0"/>
              <w:ind w:left="0"/>
              <w:jc w:val="center"/>
              <w:rPr>
                <w:bCs/>
                <w:iCs/>
                <w:szCs w:val="22"/>
                <w:lang w:val="hr-HR"/>
              </w:rPr>
            </w:pPr>
            <w:r w:rsidRPr="007703FB">
              <w:rPr>
                <w:b/>
                <w:szCs w:val="22"/>
                <w:lang w:val="hr-HR"/>
              </w:rPr>
              <w:t>Neželjena reakcija na lijek</w:t>
            </w:r>
          </w:p>
        </w:tc>
      </w:tr>
      <w:tr w:rsidR="004E78AF" w:rsidRPr="00847188" w14:paraId="26DA1FBC" w14:textId="77777777" w:rsidTr="00847188">
        <w:trPr>
          <w:trHeight w:val="673"/>
        </w:trPr>
        <w:tc>
          <w:tcPr>
            <w:tcW w:w="2835" w:type="dxa"/>
            <w:tcBorders>
              <w:top w:val="single" w:sz="4" w:space="0" w:color="auto"/>
              <w:left w:val="single" w:sz="4" w:space="0" w:color="auto"/>
              <w:bottom w:val="single" w:sz="4" w:space="0" w:color="auto"/>
              <w:right w:val="single" w:sz="4" w:space="0" w:color="auto"/>
            </w:tcBorders>
          </w:tcPr>
          <w:p w14:paraId="07F63C77" w14:textId="77777777" w:rsidR="004E78AF" w:rsidRPr="007703FB" w:rsidRDefault="004E78AF" w:rsidP="007703FB">
            <w:pPr>
              <w:tabs>
                <w:tab w:val="left" w:pos="7797"/>
              </w:tabs>
              <w:jc w:val="left"/>
              <w:rPr>
                <w:b/>
                <w:bCs/>
                <w:szCs w:val="22"/>
                <w:lang w:val="hr-HR"/>
              </w:rPr>
            </w:pPr>
            <w:r w:rsidRPr="007703FB">
              <w:rPr>
                <w:b/>
                <w:spacing w:val="-1"/>
                <w:szCs w:val="22"/>
                <w:lang w:val="hr-HR"/>
              </w:rPr>
              <w:t>Infekcije</w:t>
            </w:r>
            <w:r w:rsidRPr="007703FB">
              <w:rPr>
                <w:b/>
                <w:spacing w:val="-9"/>
                <w:szCs w:val="22"/>
                <w:lang w:val="hr-HR"/>
              </w:rPr>
              <w:t xml:space="preserve"> </w:t>
            </w:r>
            <w:r w:rsidRPr="007703FB">
              <w:rPr>
                <w:b/>
                <w:szCs w:val="22"/>
                <w:lang w:val="hr-HR"/>
              </w:rPr>
              <w:t>i</w:t>
            </w:r>
            <w:r w:rsidRPr="007703FB">
              <w:rPr>
                <w:b/>
                <w:spacing w:val="-8"/>
                <w:szCs w:val="22"/>
                <w:lang w:val="hr-HR"/>
              </w:rPr>
              <w:t xml:space="preserve"> </w:t>
            </w:r>
            <w:r w:rsidRPr="007703FB">
              <w:rPr>
                <w:b/>
                <w:szCs w:val="22"/>
                <w:lang w:val="hr-HR"/>
              </w:rPr>
              <w:t>infestacije</w:t>
            </w:r>
          </w:p>
        </w:tc>
        <w:tc>
          <w:tcPr>
            <w:tcW w:w="1560" w:type="dxa"/>
            <w:tcBorders>
              <w:top w:val="single" w:sz="4" w:space="0" w:color="auto"/>
              <w:left w:val="single" w:sz="4" w:space="0" w:color="auto"/>
              <w:bottom w:val="single" w:sz="4" w:space="0" w:color="auto"/>
              <w:right w:val="single" w:sz="4" w:space="0" w:color="auto"/>
            </w:tcBorders>
          </w:tcPr>
          <w:p w14:paraId="0C7A49EC"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top w:val="single" w:sz="4" w:space="0" w:color="auto"/>
              <w:left w:val="single" w:sz="4" w:space="0" w:color="auto"/>
              <w:bottom w:val="single" w:sz="4" w:space="0" w:color="auto"/>
              <w:right w:val="single" w:sz="4" w:space="0" w:color="auto"/>
            </w:tcBorders>
          </w:tcPr>
          <w:p w14:paraId="4A72880C" w14:textId="77777777" w:rsidR="004E78AF" w:rsidRPr="007703FB" w:rsidRDefault="004E78AF" w:rsidP="007703FB">
            <w:pPr>
              <w:tabs>
                <w:tab w:val="left" w:pos="7797"/>
              </w:tabs>
              <w:jc w:val="left"/>
              <w:rPr>
                <w:szCs w:val="22"/>
                <w:lang w:val="hr-HR"/>
              </w:rPr>
            </w:pPr>
            <w:r w:rsidRPr="007703FB">
              <w:rPr>
                <w:szCs w:val="22"/>
                <w:lang w:val="hr-HR"/>
              </w:rPr>
              <w:t>aseptični meningitis, pseudomembranozni kolitis, parotitis</w:t>
            </w:r>
          </w:p>
        </w:tc>
      </w:tr>
      <w:tr w:rsidR="004E78AF" w:rsidRPr="007703FB" w14:paraId="4AF547AE" w14:textId="77777777" w:rsidTr="00847188">
        <w:trPr>
          <w:trHeight w:val="250"/>
        </w:trPr>
        <w:tc>
          <w:tcPr>
            <w:tcW w:w="2835" w:type="dxa"/>
            <w:vMerge w:val="restart"/>
            <w:tcBorders>
              <w:top w:val="single" w:sz="4" w:space="0" w:color="auto"/>
              <w:left w:val="single" w:sz="4" w:space="0" w:color="auto"/>
              <w:right w:val="single" w:sz="4" w:space="0" w:color="auto"/>
            </w:tcBorders>
          </w:tcPr>
          <w:p w14:paraId="19002DF1"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r w:rsidRPr="007703FB">
              <w:rPr>
                <w:b/>
                <w:szCs w:val="22"/>
                <w:lang w:val="hr-HR"/>
              </w:rPr>
              <w:t>Poremećaji</w:t>
            </w:r>
            <w:r w:rsidRPr="007703FB">
              <w:rPr>
                <w:b/>
                <w:spacing w:val="-8"/>
                <w:szCs w:val="22"/>
                <w:lang w:val="hr-HR"/>
              </w:rPr>
              <w:t xml:space="preserve"> </w:t>
            </w:r>
            <w:r w:rsidRPr="007703FB">
              <w:rPr>
                <w:b/>
                <w:spacing w:val="-1"/>
                <w:szCs w:val="22"/>
                <w:lang w:val="hr-HR"/>
              </w:rPr>
              <w:t>krvi</w:t>
            </w:r>
            <w:r w:rsidRPr="007703FB">
              <w:rPr>
                <w:b/>
                <w:spacing w:val="-7"/>
                <w:szCs w:val="22"/>
                <w:lang w:val="hr-HR"/>
              </w:rPr>
              <w:t xml:space="preserve"> </w:t>
            </w:r>
            <w:r w:rsidRPr="007703FB">
              <w:rPr>
                <w:b/>
                <w:szCs w:val="22"/>
                <w:lang w:val="hr-HR"/>
              </w:rPr>
              <w:t>i</w:t>
            </w:r>
            <w:r w:rsidRPr="007703FB">
              <w:rPr>
                <w:b/>
                <w:spacing w:val="-6"/>
                <w:szCs w:val="22"/>
                <w:lang w:val="hr-HR"/>
              </w:rPr>
              <w:t xml:space="preserve"> </w:t>
            </w:r>
            <w:r w:rsidRPr="007703FB">
              <w:rPr>
                <w:b/>
                <w:szCs w:val="22"/>
                <w:lang w:val="hr-HR"/>
              </w:rPr>
              <w:t>limfnog</w:t>
            </w:r>
            <w:r w:rsidRPr="007703FB">
              <w:rPr>
                <w:b/>
                <w:spacing w:val="-8"/>
                <w:szCs w:val="22"/>
                <w:lang w:val="hr-HR"/>
              </w:rPr>
              <w:t xml:space="preserve"> </w:t>
            </w:r>
            <w:r w:rsidRPr="007703FB">
              <w:rPr>
                <w:b/>
                <w:szCs w:val="22"/>
                <w:lang w:val="hr-HR"/>
              </w:rPr>
              <w:t>sistema</w:t>
            </w:r>
          </w:p>
        </w:tc>
        <w:tc>
          <w:tcPr>
            <w:tcW w:w="1560" w:type="dxa"/>
            <w:tcBorders>
              <w:top w:val="single" w:sz="4" w:space="0" w:color="auto"/>
              <w:left w:val="single" w:sz="4" w:space="0" w:color="auto"/>
              <w:bottom w:val="single" w:sz="4" w:space="0" w:color="auto"/>
              <w:right w:val="single" w:sz="4" w:space="0" w:color="auto"/>
            </w:tcBorders>
          </w:tcPr>
          <w:p w14:paraId="36EF2455" w14:textId="77777777" w:rsidR="004E78AF" w:rsidRPr="007703FB" w:rsidRDefault="004E78AF" w:rsidP="007703FB">
            <w:pPr>
              <w:tabs>
                <w:tab w:val="left" w:pos="7797"/>
              </w:tabs>
              <w:jc w:val="left"/>
              <w:rPr>
                <w:szCs w:val="22"/>
                <w:lang w:val="hr-HR"/>
              </w:rPr>
            </w:pPr>
            <w:r w:rsidRPr="007703FB">
              <w:rPr>
                <w:szCs w:val="22"/>
                <w:lang w:val="hr-HR"/>
              </w:rPr>
              <w:t>Česta</w:t>
            </w:r>
          </w:p>
        </w:tc>
        <w:tc>
          <w:tcPr>
            <w:tcW w:w="4065" w:type="dxa"/>
            <w:tcBorders>
              <w:top w:val="single" w:sz="4" w:space="0" w:color="auto"/>
              <w:left w:val="single" w:sz="4" w:space="0" w:color="auto"/>
              <w:right w:val="single" w:sz="4" w:space="0" w:color="auto"/>
            </w:tcBorders>
          </w:tcPr>
          <w:p w14:paraId="0F51AA0C" w14:textId="77777777" w:rsidR="004E78AF" w:rsidRPr="007703FB" w:rsidRDefault="004E78AF" w:rsidP="007703FB">
            <w:pPr>
              <w:tabs>
                <w:tab w:val="left" w:pos="7797"/>
              </w:tabs>
              <w:jc w:val="left"/>
              <w:rPr>
                <w:szCs w:val="22"/>
                <w:lang w:val="hr-HR"/>
              </w:rPr>
            </w:pPr>
            <w:r w:rsidRPr="007703FB">
              <w:rPr>
                <w:szCs w:val="22"/>
                <w:lang w:val="hr-HR"/>
              </w:rPr>
              <w:t xml:space="preserve">leukopenija </w:t>
            </w:r>
          </w:p>
        </w:tc>
      </w:tr>
      <w:tr w:rsidR="004E78AF" w:rsidRPr="007703FB" w14:paraId="3ACDC731" w14:textId="77777777" w:rsidTr="00847188">
        <w:trPr>
          <w:trHeight w:val="280"/>
        </w:trPr>
        <w:tc>
          <w:tcPr>
            <w:tcW w:w="2835" w:type="dxa"/>
            <w:vMerge/>
            <w:tcBorders>
              <w:left w:val="single" w:sz="4" w:space="0" w:color="auto"/>
              <w:right w:val="single" w:sz="4" w:space="0" w:color="auto"/>
            </w:tcBorders>
          </w:tcPr>
          <w:p w14:paraId="3ECBB654"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281E7F5F" w14:textId="77777777" w:rsidR="004E78AF" w:rsidRPr="007703FB" w:rsidRDefault="004E78AF" w:rsidP="007703FB">
            <w:pPr>
              <w:tabs>
                <w:tab w:val="left" w:pos="7797"/>
              </w:tabs>
              <w:jc w:val="left"/>
              <w:rPr>
                <w:szCs w:val="22"/>
                <w:lang w:val="hr-HR"/>
              </w:rPr>
            </w:pPr>
            <w:r w:rsidRPr="007703FB">
              <w:rPr>
                <w:szCs w:val="22"/>
                <w:lang w:val="hr-HR"/>
              </w:rPr>
              <w:t>Povremena</w:t>
            </w:r>
          </w:p>
        </w:tc>
        <w:tc>
          <w:tcPr>
            <w:tcW w:w="4065" w:type="dxa"/>
            <w:tcBorders>
              <w:left w:val="single" w:sz="4" w:space="0" w:color="auto"/>
              <w:bottom w:val="single" w:sz="4" w:space="0" w:color="auto"/>
              <w:right w:val="single" w:sz="4" w:space="0" w:color="auto"/>
            </w:tcBorders>
          </w:tcPr>
          <w:p w14:paraId="35092499" w14:textId="77777777" w:rsidR="004E78AF" w:rsidRPr="007703FB" w:rsidRDefault="004E78AF" w:rsidP="007703FB">
            <w:pPr>
              <w:tabs>
                <w:tab w:val="left" w:pos="7797"/>
              </w:tabs>
              <w:jc w:val="left"/>
              <w:rPr>
                <w:szCs w:val="22"/>
                <w:lang w:val="hr-HR"/>
              </w:rPr>
            </w:pPr>
            <w:r w:rsidRPr="007703FB">
              <w:rPr>
                <w:szCs w:val="22"/>
                <w:lang w:val="hr-HR"/>
              </w:rPr>
              <w:t>trombocitopenija†</w:t>
            </w:r>
          </w:p>
        </w:tc>
      </w:tr>
      <w:tr w:rsidR="004E78AF" w:rsidRPr="002E7D92" w14:paraId="3B89C064" w14:textId="77777777" w:rsidTr="00847188">
        <w:trPr>
          <w:trHeight w:val="990"/>
        </w:trPr>
        <w:tc>
          <w:tcPr>
            <w:tcW w:w="2835" w:type="dxa"/>
            <w:vMerge/>
            <w:tcBorders>
              <w:left w:val="single" w:sz="4" w:space="0" w:color="auto"/>
              <w:bottom w:val="single" w:sz="4" w:space="0" w:color="auto"/>
              <w:right w:val="single" w:sz="4" w:space="0" w:color="auto"/>
            </w:tcBorders>
          </w:tcPr>
          <w:p w14:paraId="035F72D4"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7FC4E230"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left w:val="single" w:sz="4" w:space="0" w:color="auto"/>
              <w:bottom w:val="single" w:sz="4" w:space="0" w:color="auto"/>
              <w:right w:val="single" w:sz="4" w:space="0" w:color="auto"/>
            </w:tcBorders>
          </w:tcPr>
          <w:p w14:paraId="3F264DF7" w14:textId="77777777" w:rsidR="004E78AF" w:rsidRPr="007703FB" w:rsidRDefault="004E78AF" w:rsidP="007703FB">
            <w:pPr>
              <w:tabs>
                <w:tab w:val="left" w:pos="7797"/>
              </w:tabs>
              <w:jc w:val="left"/>
              <w:rPr>
                <w:szCs w:val="22"/>
                <w:lang w:val="hr-HR"/>
              </w:rPr>
            </w:pPr>
            <w:r w:rsidRPr="007703FB">
              <w:rPr>
                <w:szCs w:val="22"/>
                <w:lang w:val="hr-HR"/>
              </w:rPr>
              <w:t xml:space="preserve">pancitopenija, agranulocitoza, aplastična anemija, pseudomononukleoza*†, hemolitička anemija, makrocitoza, megaloblastična anemija, anemija sa Hajnc tjelašcima, hipoprotrombinemija, limfadenopatija, methemoglobinemija, neutropenija, pancitopenija </w:t>
            </w:r>
          </w:p>
        </w:tc>
      </w:tr>
      <w:tr w:rsidR="004E78AF" w:rsidRPr="002E7D92" w14:paraId="527834AB" w14:textId="77777777" w:rsidTr="00847188">
        <w:tc>
          <w:tcPr>
            <w:tcW w:w="2835" w:type="dxa"/>
            <w:tcBorders>
              <w:top w:val="single" w:sz="4" w:space="0" w:color="auto"/>
              <w:left w:val="single" w:sz="4" w:space="0" w:color="auto"/>
              <w:bottom w:val="single" w:sz="4" w:space="0" w:color="auto"/>
              <w:right w:val="single" w:sz="4" w:space="0" w:color="auto"/>
            </w:tcBorders>
          </w:tcPr>
          <w:p w14:paraId="2EA696FE" w14:textId="70840088" w:rsidR="004E78AF" w:rsidRPr="007703FB" w:rsidRDefault="004E78AF" w:rsidP="007703FB">
            <w:pPr>
              <w:kinsoku w:val="0"/>
              <w:overflowPunct w:val="0"/>
              <w:autoSpaceDE w:val="0"/>
              <w:autoSpaceDN w:val="0"/>
              <w:adjustRightInd w:val="0"/>
              <w:spacing w:line="222" w:lineRule="exact"/>
              <w:jc w:val="left"/>
              <w:rPr>
                <w:b/>
                <w:bCs/>
                <w:szCs w:val="22"/>
                <w:lang w:val="hr-HR"/>
              </w:rPr>
            </w:pPr>
            <w:r w:rsidRPr="007703FB">
              <w:rPr>
                <w:b/>
                <w:szCs w:val="22"/>
                <w:lang w:val="hr-HR"/>
              </w:rPr>
              <w:t>Poremećaji</w:t>
            </w:r>
            <w:r w:rsidRPr="007703FB">
              <w:rPr>
                <w:b/>
                <w:spacing w:val="-13"/>
                <w:szCs w:val="22"/>
                <w:lang w:val="hr-HR"/>
              </w:rPr>
              <w:t xml:space="preserve"> </w:t>
            </w:r>
            <w:r w:rsidRPr="007703FB">
              <w:rPr>
                <w:b/>
                <w:spacing w:val="-1"/>
                <w:szCs w:val="22"/>
                <w:lang w:val="hr-HR"/>
              </w:rPr>
              <w:t>imunog</w:t>
            </w:r>
            <w:r w:rsidRPr="007703FB">
              <w:rPr>
                <w:b/>
                <w:spacing w:val="-10"/>
                <w:szCs w:val="22"/>
                <w:lang w:val="hr-HR"/>
              </w:rPr>
              <w:t xml:space="preserve"> </w:t>
            </w:r>
            <w:r w:rsidRPr="007703FB">
              <w:rPr>
                <w:b/>
                <w:spacing w:val="-1"/>
                <w:szCs w:val="22"/>
                <w:lang w:val="hr-HR"/>
              </w:rPr>
              <w:t>sistema</w:t>
            </w:r>
          </w:p>
        </w:tc>
        <w:tc>
          <w:tcPr>
            <w:tcW w:w="1560" w:type="dxa"/>
            <w:tcBorders>
              <w:top w:val="single" w:sz="4" w:space="0" w:color="auto"/>
              <w:left w:val="single" w:sz="4" w:space="0" w:color="auto"/>
              <w:bottom w:val="single" w:sz="4" w:space="0" w:color="auto"/>
              <w:right w:val="single" w:sz="4" w:space="0" w:color="auto"/>
            </w:tcBorders>
          </w:tcPr>
          <w:p w14:paraId="47FB5FDF"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top w:val="single" w:sz="4" w:space="0" w:color="auto"/>
              <w:left w:val="single" w:sz="4" w:space="0" w:color="auto"/>
              <w:bottom w:val="single" w:sz="4" w:space="0" w:color="auto"/>
              <w:right w:val="single" w:sz="4" w:space="0" w:color="auto"/>
            </w:tcBorders>
          </w:tcPr>
          <w:p w14:paraId="1199C070" w14:textId="77777777" w:rsidR="004E78AF" w:rsidRPr="007703FB" w:rsidRDefault="004E78AF" w:rsidP="007703FB">
            <w:pPr>
              <w:tabs>
                <w:tab w:val="left" w:pos="7797"/>
              </w:tabs>
              <w:jc w:val="left"/>
              <w:rPr>
                <w:szCs w:val="22"/>
                <w:lang w:val="hr-HR"/>
              </w:rPr>
            </w:pPr>
            <w:r w:rsidRPr="007703FB">
              <w:rPr>
                <w:szCs w:val="22"/>
                <w:lang w:val="hr-HR"/>
              </w:rPr>
              <w:t>anafilaktička reakcija*, serumska bolest,</w:t>
            </w:r>
            <w:r w:rsidRPr="007703FB">
              <w:rPr>
                <w:lang w:val="hr-HR"/>
              </w:rPr>
              <w:t xml:space="preserve"> </w:t>
            </w:r>
            <w:r w:rsidRPr="007703FB">
              <w:rPr>
                <w:szCs w:val="22"/>
                <w:lang w:val="hr-HR"/>
              </w:rPr>
              <w:t>nodozni poliarteritis</w:t>
            </w:r>
          </w:p>
        </w:tc>
      </w:tr>
      <w:tr w:rsidR="004E78AF" w:rsidRPr="007703FB" w14:paraId="481E3216" w14:textId="77777777" w:rsidTr="00847188">
        <w:trPr>
          <w:trHeight w:val="330"/>
        </w:trPr>
        <w:tc>
          <w:tcPr>
            <w:tcW w:w="2835" w:type="dxa"/>
            <w:vMerge w:val="restart"/>
            <w:tcBorders>
              <w:top w:val="single" w:sz="4" w:space="0" w:color="auto"/>
              <w:left w:val="single" w:sz="4" w:space="0" w:color="auto"/>
              <w:right w:val="single" w:sz="4" w:space="0" w:color="auto"/>
            </w:tcBorders>
          </w:tcPr>
          <w:p w14:paraId="688975DC"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r w:rsidRPr="007703FB">
              <w:rPr>
                <w:b/>
                <w:szCs w:val="22"/>
                <w:lang w:val="hr-HR"/>
              </w:rPr>
              <w:t>Poremećaji</w:t>
            </w:r>
            <w:r w:rsidRPr="007703FB">
              <w:rPr>
                <w:b/>
                <w:spacing w:val="-7"/>
                <w:szCs w:val="22"/>
                <w:lang w:val="hr-HR"/>
              </w:rPr>
              <w:t xml:space="preserve"> </w:t>
            </w:r>
            <w:r w:rsidRPr="007703FB">
              <w:rPr>
                <w:b/>
                <w:spacing w:val="-1"/>
                <w:szCs w:val="22"/>
                <w:lang w:val="hr-HR"/>
              </w:rPr>
              <w:t>metabolizma</w:t>
            </w:r>
            <w:r w:rsidRPr="007703FB">
              <w:rPr>
                <w:b/>
                <w:spacing w:val="-9"/>
                <w:szCs w:val="22"/>
                <w:lang w:val="hr-HR"/>
              </w:rPr>
              <w:t xml:space="preserve"> </w:t>
            </w:r>
            <w:r w:rsidRPr="007703FB">
              <w:rPr>
                <w:b/>
                <w:szCs w:val="22"/>
                <w:lang w:val="hr-HR"/>
              </w:rPr>
              <w:t>i</w:t>
            </w:r>
            <w:r w:rsidRPr="007703FB">
              <w:rPr>
                <w:b/>
                <w:spacing w:val="-9"/>
                <w:szCs w:val="22"/>
                <w:lang w:val="hr-HR"/>
              </w:rPr>
              <w:t xml:space="preserve"> </w:t>
            </w:r>
            <w:r w:rsidRPr="007703FB">
              <w:rPr>
                <w:b/>
                <w:szCs w:val="22"/>
                <w:lang w:val="hr-HR"/>
              </w:rPr>
              <w:t>ishrane</w:t>
            </w:r>
          </w:p>
        </w:tc>
        <w:tc>
          <w:tcPr>
            <w:tcW w:w="1560" w:type="dxa"/>
            <w:tcBorders>
              <w:top w:val="single" w:sz="4" w:space="0" w:color="auto"/>
              <w:left w:val="single" w:sz="4" w:space="0" w:color="auto"/>
              <w:bottom w:val="single" w:sz="4" w:space="0" w:color="auto"/>
              <w:right w:val="single" w:sz="4" w:space="0" w:color="auto"/>
            </w:tcBorders>
          </w:tcPr>
          <w:p w14:paraId="7C7B6EC8" w14:textId="77777777" w:rsidR="004E78AF" w:rsidRPr="007703FB" w:rsidRDefault="004E78AF" w:rsidP="007703FB">
            <w:pPr>
              <w:tabs>
                <w:tab w:val="left" w:pos="7797"/>
              </w:tabs>
              <w:jc w:val="left"/>
              <w:rPr>
                <w:szCs w:val="22"/>
                <w:lang w:val="hr-HR"/>
              </w:rPr>
            </w:pPr>
            <w:r w:rsidRPr="007703FB">
              <w:rPr>
                <w:szCs w:val="22"/>
                <w:lang w:val="hr-HR"/>
              </w:rPr>
              <w:t>Česta</w:t>
            </w:r>
          </w:p>
        </w:tc>
        <w:tc>
          <w:tcPr>
            <w:tcW w:w="4065" w:type="dxa"/>
            <w:tcBorders>
              <w:top w:val="single" w:sz="4" w:space="0" w:color="auto"/>
              <w:left w:val="single" w:sz="4" w:space="0" w:color="auto"/>
              <w:right w:val="single" w:sz="4" w:space="0" w:color="auto"/>
            </w:tcBorders>
          </w:tcPr>
          <w:p w14:paraId="2655E425" w14:textId="77777777" w:rsidR="004E78AF" w:rsidRPr="007703FB" w:rsidRDefault="004E78AF" w:rsidP="007703FB">
            <w:pPr>
              <w:tabs>
                <w:tab w:val="left" w:pos="7797"/>
              </w:tabs>
              <w:jc w:val="left"/>
              <w:rPr>
                <w:szCs w:val="22"/>
                <w:lang w:val="hr-HR"/>
              </w:rPr>
            </w:pPr>
            <w:r w:rsidRPr="007703FB">
              <w:rPr>
                <w:szCs w:val="22"/>
                <w:lang w:val="hr-HR"/>
              </w:rPr>
              <w:t>gubitak apetita</w:t>
            </w:r>
            <w:r w:rsidRPr="007703FB" w:rsidDel="008B07E3">
              <w:rPr>
                <w:szCs w:val="22"/>
                <w:lang w:val="hr-HR"/>
              </w:rPr>
              <w:t xml:space="preserve"> </w:t>
            </w:r>
          </w:p>
        </w:tc>
      </w:tr>
      <w:tr w:rsidR="004E78AF" w:rsidRPr="007703FB" w14:paraId="3ABC470E" w14:textId="77777777" w:rsidTr="00847188">
        <w:trPr>
          <w:trHeight w:val="330"/>
        </w:trPr>
        <w:tc>
          <w:tcPr>
            <w:tcW w:w="2835" w:type="dxa"/>
            <w:vMerge/>
            <w:tcBorders>
              <w:left w:val="single" w:sz="4" w:space="0" w:color="auto"/>
              <w:bottom w:val="single" w:sz="4" w:space="0" w:color="auto"/>
              <w:right w:val="single" w:sz="4" w:space="0" w:color="auto"/>
            </w:tcBorders>
          </w:tcPr>
          <w:p w14:paraId="49745D3E"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1029F8E8"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left w:val="single" w:sz="4" w:space="0" w:color="auto"/>
              <w:bottom w:val="single" w:sz="4" w:space="0" w:color="auto"/>
              <w:right w:val="single" w:sz="4" w:space="0" w:color="auto"/>
            </w:tcBorders>
          </w:tcPr>
          <w:p w14:paraId="353E868B" w14:textId="77777777" w:rsidR="004E78AF" w:rsidRPr="007703FB" w:rsidRDefault="004E78AF" w:rsidP="007703FB">
            <w:pPr>
              <w:tabs>
                <w:tab w:val="left" w:pos="7797"/>
              </w:tabs>
              <w:jc w:val="left"/>
              <w:rPr>
                <w:szCs w:val="22"/>
                <w:lang w:val="hr-HR"/>
              </w:rPr>
            </w:pPr>
            <w:r w:rsidRPr="007703FB">
              <w:rPr>
                <w:szCs w:val="22"/>
                <w:lang w:val="hr-HR"/>
              </w:rPr>
              <w:t>deficijencija folata</w:t>
            </w:r>
            <w:r w:rsidRPr="007703FB">
              <w:rPr>
                <w:rStyle w:val="TableText12"/>
                <w:sz w:val="22"/>
                <w:szCs w:val="22"/>
                <w:lang w:val="hr-HR"/>
              </w:rPr>
              <w:t>*</w:t>
            </w:r>
            <w:r w:rsidRPr="007703FB">
              <w:rPr>
                <w:rStyle w:val="TableText12"/>
                <w:sz w:val="22"/>
                <w:szCs w:val="22"/>
                <w:vertAlign w:val="superscript"/>
                <w:lang w:val="hr-HR"/>
              </w:rPr>
              <w:t>†</w:t>
            </w:r>
          </w:p>
        </w:tc>
      </w:tr>
      <w:tr w:rsidR="004E78AF" w:rsidRPr="007703FB" w14:paraId="48935E1D" w14:textId="77777777" w:rsidTr="00847188">
        <w:trPr>
          <w:trHeight w:val="210"/>
        </w:trPr>
        <w:tc>
          <w:tcPr>
            <w:tcW w:w="2835" w:type="dxa"/>
            <w:tcBorders>
              <w:top w:val="single" w:sz="4" w:space="0" w:color="auto"/>
              <w:left w:val="single" w:sz="4" w:space="0" w:color="auto"/>
              <w:bottom w:val="single" w:sz="4" w:space="0" w:color="auto"/>
              <w:right w:val="single" w:sz="4" w:space="0" w:color="auto"/>
            </w:tcBorders>
          </w:tcPr>
          <w:p w14:paraId="63FEC5A4" w14:textId="77777777" w:rsidR="004E78AF" w:rsidRPr="007703FB" w:rsidRDefault="004E78AF" w:rsidP="007703FB">
            <w:pPr>
              <w:kinsoku w:val="0"/>
              <w:overflowPunct w:val="0"/>
              <w:autoSpaceDE w:val="0"/>
              <w:autoSpaceDN w:val="0"/>
              <w:adjustRightInd w:val="0"/>
              <w:spacing w:line="222" w:lineRule="exact"/>
              <w:jc w:val="left"/>
              <w:rPr>
                <w:b/>
                <w:bCs/>
                <w:szCs w:val="22"/>
                <w:lang w:val="hr-HR"/>
              </w:rPr>
            </w:pPr>
            <w:r w:rsidRPr="007703FB">
              <w:rPr>
                <w:b/>
                <w:spacing w:val="-1"/>
                <w:szCs w:val="22"/>
                <w:lang w:val="hr-HR"/>
              </w:rPr>
              <w:t>Psihijatrijski</w:t>
            </w:r>
            <w:r w:rsidRPr="007703FB">
              <w:rPr>
                <w:b/>
                <w:spacing w:val="-20"/>
                <w:szCs w:val="22"/>
                <w:lang w:val="hr-HR"/>
              </w:rPr>
              <w:t xml:space="preserve"> </w:t>
            </w:r>
            <w:r w:rsidRPr="007703FB">
              <w:rPr>
                <w:b/>
                <w:szCs w:val="22"/>
                <w:lang w:val="hr-HR"/>
              </w:rPr>
              <w:t>poremećaji</w:t>
            </w:r>
          </w:p>
        </w:tc>
        <w:tc>
          <w:tcPr>
            <w:tcW w:w="1560" w:type="dxa"/>
            <w:tcBorders>
              <w:top w:val="single" w:sz="4" w:space="0" w:color="auto"/>
              <w:left w:val="single" w:sz="4" w:space="0" w:color="auto"/>
              <w:bottom w:val="single" w:sz="4" w:space="0" w:color="auto"/>
              <w:right w:val="single" w:sz="4" w:space="0" w:color="auto"/>
            </w:tcBorders>
          </w:tcPr>
          <w:p w14:paraId="3FF11173" w14:textId="77777777" w:rsidR="004E78AF" w:rsidRPr="007703FB" w:rsidRDefault="004E78AF" w:rsidP="007703FB">
            <w:pPr>
              <w:pStyle w:val="BodyTextIndent"/>
              <w:spacing w:before="60" w:after="60"/>
              <w:ind w:left="0"/>
              <w:jc w:val="left"/>
              <w:rPr>
                <w:szCs w:val="22"/>
                <w:lang w:val="hr-HR"/>
              </w:rPr>
            </w:pPr>
            <w:r w:rsidRPr="007703FB">
              <w:rPr>
                <w:szCs w:val="22"/>
                <w:lang w:val="hr-HR"/>
              </w:rPr>
              <w:t>Povremena</w:t>
            </w:r>
          </w:p>
        </w:tc>
        <w:tc>
          <w:tcPr>
            <w:tcW w:w="4065" w:type="dxa"/>
            <w:tcBorders>
              <w:top w:val="single" w:sz="4" w:space="0" w:color="auto"/>
              <w:left w:val="single" w:sz="4" w:space="0" w:color="auto"/>
              <w:bottom w:val="single" w:sz="4" w:space="0" w:color="auto"/>
              <w:right w:val="single" w:sz="4" w:space="0" w:color="auto"/>
            </w:tcBorders>
          </w:tcPr>
          <w:p w14:paraId="1E373FB2" w14:textId="77777777" w:rsidR="004E78AF" w:rsidRPr="007703FB" w:rsidRDefault="004E78AF" w:rsidP="007703FB">
            <w:pPr>
              <w:tabs>
                <w:tab w:val="left" w:pos="7797"/>
              </w:tabs>
              <w:jc w:val="left"/>
              <w:rPr>
                <w:szCs w:val="22"/>
                <w:lang w:val="hr-HR"/>
              </w:rPr>
            </w:pPr>
            <w:r w:rsidRPr="007703FB">
              <w:rPr>
                <w:szCs w:val="22"/>
                <w:lang w:val="hr-HR"/>
              </w:rPr>
              <w:t>depresija, halucinacije, nesanica</w:t>
            </w:r>
          </w:p>
        </w:tc>
      </w:tr>
      <w:tr w:rsidR="004E78AF" w:rsidRPr="002E7D92" w14:paraId="494077ED" w14:textId="77777777" w:rsidTr="00847188">
        <w:trPr>
          <w:trHeight w:val="285"/>
        </w:trPr>
        <w:tc>
          <w:tcPr>
            <w:tcW w:w="2835" w:type="dxa"/>
            <w:vMerge w:val="restart"/>
            <w:tcBorders>
              <w:top w:val="single" w:sz="4" w:space="0" w:color="auto"/>
              <w:left w:val="single" w:sz="4" w:space="0" w:color="auto"/>
              <w:right w:val="single" w:sz="4" w:space="0" w:color="auto"/>
            </w:tcBorders>
          </w:tcPr>
          <w:p w14:paraId="588E5F31" w14:textId="77777777" w:rsidR="004E78AF" w:rsidRPr="007703FB" w:rsidRDefault="004E78AF" w:rsidP="007703FB">
            <w:pPr>
              <w:kinsoku w:val="0"/>
              <w:overflowPunct w:val="0"/>
              <w:autoSpaceDE w:val="0"/>
              <w:autoSpaceDN w:val="0"/>
              <w:adjustRightInd w:val="0"/>
              <w:spacing w:line="222" w:lineRule="exact"/>
              <w:jc w:val="left"/>
              <w:rPr>
                <w:b/>
                <w:bCs/>
                <w:szCs w:val="22"/>
                <w:lang w:val="hr-HR"/>
              </w:rPr>
            </w:pPr>
            <w:r w:rsidRPr="007703FB">
              <w:rPr>
                <w:b/>
                <w:szCs w:val="22"/>
                <w:lang w:val="hr-HR"/>
              </w:rPr>
              <w:t>Poremećaji</w:t>
            </w:r>
            <w:r w:rsidRPr="007703FB">
              <w:rPr>
                <w:b/>
                <w:spacing w:val="-12"/>
                <w:szCs w:val="22"/>
                <w:lang w:val="hr-HR"/>
              </w:rPr>
              <w:t xml:space="preserve"> </w:t>
            </w:r>
            <w:r w:rsidRPr="007703FB">
              <w:rPr>
                <w:b/>
                <w:spacing w:val="-1"/>
                <w:szCs w:val="22"/>
                <w:lang w:val="hr-HR"/>
              </w:rPr>
              <w:t>nervnog</w:t>
            </w:r>
            <w:r w:rsidRPr="007703FB">
              <w:rPr>
                <w:b/>
                <w:spacing w:val="-12"/>
                <w:szCs w:val="22"/>
                <w:lang w:val="hr-HR"/>
              </w:rPr>
              <w:t xml:space="preserve"> </w:t>
            </w:r>
            <w:r w:rsidRPr="007703FB">
              <w:rPr>
                <w:b/>
                <w:szCs w:val="22"/>
                <w:lang w:val="hr-HR"/>
              </w:rPr>
              <w:t>sistema</w:t>
            </w:r>
          </w:p>
        </w:tc>
        <w:tc>
          <w:tcPr>
            <w:tcW w:w="1560" w:type="dxa"/>
            <w:tcBorders>
              <w:top w:val="single" w:sz="4" w:space="0" w:color="auto"/>
              <w:left w:val="single" w:sz="4" w:space="0" w:color="auto"/>
              <w:bottom w:val="single" w:sz="4" w:space="0" w:color="auto"/>
              <w:right w:val="single" w:sz="4" w:space="0" w:color="auto"/>
            </w:tcBorders>
          </w:tcPr>
          <w:p w14:paraId="68E6C0C7" w14:textId="77777777" w:rsidR="004E78AF" w:rsidRPr="007703FB" w:rsidRDefault="004E78AF" w:rsidP="007703FB">
            <w:pPr>
              <w:tabs>
                <w:tab w:val="left" w:pos="7797"/>
              </w:tabs>
              <w:jc w:val="left"/>
              <w:rPr>
                <w:szCs w:val="22"/>
                <w:lang w:val="hr-HR"/>
              </w:rPr>
            </w:pPr>
            <w:r w:rsidRPr="007703FB">
              <w:rPr>
                <w:szCs w:val="22"/>
                <w:lang w:val="hr-HR"/>
              </w:rPr>
              <w:t>Česta</w:t>
            </w:r>
          </w:p>
        </w:tc>
        <w:tc>
          <w:tcPr>
            <w:tcW w:w="4065" w:type="dxa"/>
            <w:tcBorders>
              <w:top w:val="single" w:sz="4" w:space="0" w:color="auto"/>
              <w:left w:val="single" w:sz="4" w:space="0" w:color="auto"/>
              <w:right w:val="single" w:sz="4" w:space="0" w:color="auto"/>
            </w:tcBorders>
          </w:tcPr>
          <w:p w14:paraId="777E744C" w14:textId="77777777" w:rsidR="004E78AF" w:rsidRPr="007703FB" w:rsidRDefault="004E78AF" w:rsidP="007703FB">
            <w:pPr>
              <w:tabs>
                <w:tab w:val="left" w:pos="7797"/>
              </w:tabs>
              <w:jc w:val="left"/>
              <w:rPr>
                <w:szCs w:val="22"/>
                <w:lang w:val="hr-HR"/>
              </w:rPr>
            </w:pPr>
            <w:r w:rsidRPr="007703FB">
              <w:rPr>
                <w:szCs w:val="22"/>
                <w:lang w:val="hr-HR"/>
              </w:rPr>
              <w:t xml:space="preserve">vrtoglavica, glavobolja, poremećaj čula ukusa </w:t>
            </w:r>
          </w:p>
        </w:tc>
      </w:tr>
      <w:tr w:rsidR="004E78AF" w:rsidRPr="002E7D92" w14:paraId="4327DFC5" w14:textId="77777777" w:rsidTr="00847188">
        <w:trPr>
          <w:trHeight w:val="570"/>
        </w:trPr>
        <w:tc>
          <w:tcPr>
            <w:tcW w:w="2835" w:type="dxa"/>
            <w:vMerge/>
            <w:tcBorders>
              <w:left w:val="single" w:sz="4" w:space="0" w:color="auto"/>
              <w:bottom w:val="single" w:sz="4" w:space="0" w:color="auto"/>
              <w:right w:val="single" w:sz="4" w:space="0" w:color="auto"/>
            </w:tcBorders>
          </w:tcPr>
          <w:p w14:paraId="4945A3BA"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0FA6EE3D" w14:textId="77777777" w:rsidR="004E78AF" w:rsidRPr="007703FB" w:rsidRDefault="004E78AF" w:rsidP="007703FB">
            <w:pPr>
              <w:tabs>
                <w:tab w:val="left" w:pos="7797"/>
              </w:tabs>
              <w:jc w:val="left"/>
              <w:rPr>
                <w:szCs w:val="22"/>
                <w:lang w:val="hr-HR"/>
              </w:rPr>
            </w:pPr>
            <w:r w:rsidRPr="007703FB">
              <w:rPr>
                <w:szCs w:val="22"/>
                <w:lang w:val="hr-HR"/>
              </w:rPr>
              <w:t xml:space="preserve">Nepoznata </w:t>
            </w:r>
          </w:p>
          <w:p w14:paraId="120E6192" w14:textId="77777777" w:rsidR="004E78AF" w:rsidRPr="007703FB" w:rsidRDefault="004E78AF" w:rsidP="007703FB">
            <w:pPr>
              <w:tabs>
                <w:tab w:val="left" w:pos="7797"/>
              </w:tabs>
              <w:jc w:val="left"/>
              <w:rPr>
                <w:szCs w:val="22"/>
                <w:lang w:val="hr-HR"/>
              </w:rPr>
            </w:pPr>
          </w:p>
        </w:tc>
        <w:tc>
          <w:tcPr>
            <w:tcW w:w="4065" w:type="dxa"/>
            <w:tcBorders>
              <w:left w:val="single" w:sz="4" w:space="0" w:color="auto"/>
              <w:bottom w:val="single" w:sz="4" w:space="0" w:color="auto"/>
              <w:right w:val="single" w:sz="4" w:space="0" w:color="auto"/>
            </w:tcBorders>
          </w:tcPr>
          <w:p w14:paraId="4CC1D57C" w14:textId="77777777" w:rsidR="004E78AF" w:rsidRPr="007703FB" w:rsidRDefault="004E78AF" w:rsidP="007703FB">
            <w:pPr>
              <w:tabs>
                <w:tab w:val="left" w:pos="7797"/>
              </w:tabs>
              <w:jc w:val="left"/>
              <w:rPr>
                <w:szCs w:val="22"/>
                <w:lang w:val="hr-HR"/>
              </w:rPr>
            </w:pPr>
            <w:r w:rsidRPr="007703FB">
              <w:rPr>
                <w:szCs w:val="22"/>
                <w:lang w:val="hr-HR"/>
              </w:rPr>
              <w:t>encefalopatija, periferna neuropatija, poremećaj čula mirisa, ataksija, konvulzije</w:t>
            </w:r>
          </w:p>
        </w:tc>
      </w:tr>
      <w:tr w:rsidR="004E78AF" w:rsidRPr="007703FB" w14:paraId="1821F037" w14:textId="77777777" w:rsidTr="00847188">
        <w:trPr>
          <w:trHeight w:val="230"/>
        </w:trPr>
        <w:tc>
          <w:tcPr>
            <w:tcW w:w="2835" w:type="dxa"/>
            <w:vMerge w:val="restart"/>
            <w:tcBorders>
              <w:top w:val="single" w:sz="4" w:space="0" w:color="auto"/>
              <w:left w:val="single" w:sz="4" w:space="0" w:color="auto"/>
              <w:right w:val="single" w:sz="4" w:space="0" w:color="auto"/>
            </w:tcBorders>
          </w:tcPr>
          <w:p w14:paraId="6BC06DB8"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r w:rsidRPr="007703FB">
              <w:rPr>
                <w:b/>
                <w:szCs w:val="22"/>
                <w:lang w:val="hr-HR"/>
              </w:rPr>
              <w:t>Poremećaji</w:t>
            </w:r>
            <w:r w:rsidRPr="007703FB">
              <w:rPr>
                <w:b/>
                <w:spacing w:val="-8"/>
                <w:szCs w:val="22"/>
                <w:lang w:val="hr-HR"/>
              </w:rPr>
              <w:t xml:space="preserve"> </w:t>
            </w:r>
            <w:r w:rsidRPr="007703FB">
              <w:rPr>
                <w:b/>
                <w:spacing w:val="-1"/>
                <w:szCs w:val="22"/>
                <w:lang w:val="hr-HR"/>
              </w:rPr>
              <w:t>uha</w:t>
            </w:r>
            <w:r w:rsidRPr="007703FB">
              <w:rPr>
                <w:b/>
                <w:spacing w:val="-6"/>
                <w:szCs w:val="22"/>
                <w:lang w:val="hr-HR"/>
              </w:rPr>
              <w:t xml:space="preserve"> </w:t>
            </w:r>
            <w:r w:rsidRPr="007703FB">
              <w:rPr>
                <w:b/>
                <w:szCs w:val="22"/>
                <w:lang w:val="hr-HR"/>
              </w:rPr>
              <w:t>i</w:t>
            </w:r>
            <w:r w:rsidRPr="007703FB">
              <w:rPr>
                <w:b/>
                <w:spacing w:val="-8"/>
                <w:szCs w:val="22"/>
                <w:lang w:val="hr-HR"/>
              </w:rPr>
              <w:t xml:space="preserve"> </w:t>
            </w:r>
            <w:r w:rsidRPr="007703FB">
              <w:rPr>
                <w:b/>
                <w:szCs w:val="22"/>
                <w:lang w:val="hr-HR"/>
              </w:rPr>
              <w:t>labirinta</w:t>
            </w:r>
          </w:p>
          <w:p w14:paraId="503E0DED"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77A90E18" w14:textId="77777777" w:rsidR="004E78AF" w:rsidRPr="007703FB" w:rsidRDefault="004E78AF" w:rsidP="007703FB">
            <w:pPr>
              <w:tabs>
                <w:tab w:val="left" w:pos="7797"/>
              </w:tabs>
              <w:jc w:val="left"/>
              <w:rPr>
                <w:szCs w:val="22"/>
                <w:lang w:val="hr-HR"/>
              </w:rPr>
            </w:pPr>
            <w:r w:rsidRPr="007703FB">
              <w:rPr>
                <w:szCs w:val="22"/>
                <w:lang w:val="hr-HR"/>
              </w:rPr>
              <w:t>Česta</w:t>
            </w:r>
          </w:p>
        </w:tc>
        <w:tc>
          <w:tcPr>
            <w:tcW w:w="4065" w:type="dxa"/>
            <w:tcBorders>
              <w:top w:val="single" w:sz="4" w:space="0" w:color="auto"/>
              <w:left w:val="single" w:sz="4" w:space="0" w:color="auto"/>
              <w:right w:val="single" w:sz="4" w:space="0" w:color="auto"/>
            </w:tcBorders>
          </w:tcPr>
          <w:p w14:paraId="2B8E961F" w14:textId="77777777" w:rsidR="004E78AF" w:rsidRPr="007703FB" w:rsidRDefault="004E78AF" w:rsidP="007703FB">
            <w:pPr>
              <w:tabs>
                <w:tab w:val="left" w:pos="7797"/>
              </w:tabs>
              <w:jc w:val="left"/>
              <w:rPr>
                <w:szCs w:val="22"/>
                <w:lang w:val="hr-HR"/>
              </w:rPr>
            </w:pPr>
            <w:r w:rsidRPr="007703FB">
              <w:rPr>
                <w:szCs w:val="22"/>
                <w:lang w:val="hr-HR"/>
              </w:rPr>
              <w:t>tinitus</w:t>
            </w:r>
          </w:p>
        </w:tc>
      </w:tr>
      <w:tr w:rsidR="004E78AF" w:rsidRPr="007703FB" w14:paraId="2D18B375" w14:textId="77777777" w:rsidTr="00847188">
        <w:trPr>
          <w:trHeight w:val="270"/>
        </w:trPr>
        <w:tc>
          <w:tcPr>
            <w:tcW w:w="2835" w:type="dxa"/>
            <w:vMerge/>
            <w:tcBorders>
              <w:left w:val="single" w:sz="4" w:space="0" w:color="auto"/>
              <w:bottom w:val="single" w:sz="4" w:space="0" w:color="auto"/>
              <w:right w:val="single" w:sz="4" w:space="0" w:color="auto"/>
            </w:tcBorders>
          </w:tcPr>
          <w:p w14:paraId="6909365C"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21775319"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left w:val="single" w:sz="4" w:space="0" w:color="auto"/>
              <w:bottom w:val="single" w:sz="4" w:space="0" w:color="auto"/>
              <w:right w:val="single" w:sz="4" w:space="0" w:color="auto"/>
            </w:tcBorders>
          </w:tcPr>
          <w:p w14:paraId="79BB9A3B" w14:textId="77777777" w:rsidR="004E78AF" w:rsidRPr="007703FB" w:rsidRDefault="004E78AF" w:rsidP="007703FB">
            <w:pPr>
              <w:tabs>
                <w:tab w:val="left" w:pos="7797"/>
              </w:tabs>
              <w:jc w:val="left"/>
              <w:rPr>
                <w:szCs w:val="22"/>
                <w:lang w:val="hr-HR"/>
              </w:rPr>
            </w:pPr>
            <w:r w:rsidRPr="007703FB">
              <w:rPr>
                <w:szCs w:val="22"/>
                <w:lang w:val="hr-HR"/>
              </w:rPr>
              <w:t>vertigo</w:t>
            </w:r>
          </w:p>
        </w:tc>
      </w:tr>
      <w:tr w:rsidR="004E78AF" w:rsidRPr="007703FB" w14:paraId="11E4CCC1" w14:textId="77777777" w:rsidTr="00847188">
        <w:trPr>
          <w:trHeight w:val="350"/>
        </w:trPr>
        <w:tc>
          <w:tcPr>
            <w:tcW w:w="2835" w:type="dxa"/>
            <w:tcBorders>
              <w:left w:val="single" w:sz="4" w:space="0" w:color="auto"/>
              <w:bottom w:val="single" w:sz="4" w:space="0" w:color="auto"/>
              <w:right w:val="single" w:sz="4" w:space="0" w:color="auto"/>
            </w:tcBorders>
          </w:tcPr>
          <w:p w14:paraId="27A96A3E"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r w:rsidRPr="007703FB">
              <w:rPr>
                <w:b/>
                <w:szCs w:val="22"/>
                <w:lang w:val="hr-HR"/>
              </w:rPr>
              <w:t>Poremećaji oka</w:t>
            </w:r>
          </w:p>
        </w:tc>
        <w:tc>
          <w:tcPr>
            <w:tcW w:w="1560" w:type="dxa"/>
            <w:tcBorders>
              <w:top w:val="single" w:sz="4" w:space="0" w:color="auto"/>
              <w:left w:val="single" w:sz="4" w:space="0" w:color="auto"/>
              <w:bottom w:val="single" w:sz="4" w:space="0" w:color="auto"/>
              <w:right w:val="single" w:sz="4" w:space="0" w:color="auto"/>
            </w:tcBorders>
          </w:tcPr>
          <w:p w14:paraId="295DA517"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left w:val="single" w:sz="4" w:space="0" w:color="auto"/>
              <w:bottom w:val="single" w:sz="4" w:space="0" w:color="auto"/>
              <w:right w:val="single" w:sz="4" w:space="0" w:color="auto"/>
            </w:tcBorders>
          </w:tcPr>
          <w:p w14:paraId="089331A9" w14:textId="77777777" w:rsidR="004E78AF" w:rsidRPr="007703FB" w:rsidRDefault="004E78AF" w:rsidP="007703FB">
            <w:pPr>
              <w:tabs>
                <w:tab w:val="left" w:pos="7797"/>
              </w:tabs>
              <w:jc w:val="left"/>
              <w:rPr>
                <w:szCs w:val="22"/>
                <w:lang w:val="hr-HR"/>
              </w:rPr>
            </w:pPr>
            <w:r w:rsidRPr="007703FB">
              <w:rPr>
                <w:szCs w:val="22"/>
                <w:lang w:val="hr-HR"/>
              </w:rPr>
              <w:t>konjunktivitis i infekcija beonjače</w:t>
            </w:r>
          </w:p>
        </w:tc>
      </w:tr>
      <w:tr w:rsidR="004E78AF" w:rsidRPr="007703FB" w14:paraId="3C6B0A58" w14:textId="77777777" w:rsidTr="00847188">
        <w:trPr>
          <w:trHeight w:val="480"/>
        </w:trPr>
        <w:tc>
          <w:tcPr>
            <w:tcW w:w="2835" w:type="dxa"/>
            <w:tcBorders>
              <w:top w:val="single" w:sz="4" w:space="0" w:color="auto"/>
              <w:left w:val="single" w:sz="4" w:space="0" w:color="auto"/>
              <w:bottom w:val="single" w:sz="4" w:space="0" w:color="auto"/>
              <w:right w:val="single" w:sz="4" w:space="0" w:color="auto"/>
            </w:tcBorders>
          </w:tcPr>
          <w:p w14:paraId="118FCFF9"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r w:rsidRPr="007703FB">
              <w:rPr>
                <w:b/>
                <w:spacing w:val="-1"/>
                <w:szCs w:val="22"/>
                <w:lang w:val="hr-HR"/>
              </w:rPr>
              <w:t>Kardiološki</w:t>
            </w:r>
            <w:r w:rsidRPr="007703FB">
              <w:rPr>
                <w:b/>
                <w:spacing w:val="-20"/>
                <w:szCs w:val="22"/>
                <w:lang w:val="hr-HR"/>
              </w:rPr>
              <w:t xml:space="preserve"> </w:t>
            </w:r>
            <w:r w:rsidRPr="007703FB">
              <w:rPr>
                <w:b/>
                <w:szCs w:val="22"/>
                <w:lang w:val="hr-HR"/>
              </w:rPr>
              <w:t>poremećaji</w:t>
            </w:r>
          </w:p>
          <w:p w14:paraId="552A3E5A"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50A6D3B1"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top w:val="single" w:sz="4" w:space="0" w:color="auto"/>
              <w:left w:val="single" w:sz="4" w:space="0" w:color="auto"/>
              <w:bottom w:val="single" w:sz="4" w:space="0" w:color="auto"/>
              <w:right w:val="single" w:sz="4" w:space="0" w:color="auto"/>
            </w:tcBorders>
          </w:tcPr>
          <w:p w14:paraId="2B1414B4" w14:textId="77777777" w:rsidR="004E78AF" w:rsidRPr="007703FB" w:rsidRDefault="004E78AF" w:rsidP="007703FB">
            <w:pPr>
              <w:tabs>
                <w:tab w:val="left" w:pos="7797"/>
              </w:tabs>
              <w:jc w:val="left"/>
              <w:rPr>
                <w:szCs w:val="22"/>
                <w:lang w:val="hr-HR"/>
              </w:rPr>
            </w:pPr>
            <w:r w:rsidRPr="007703FB">
              <w:rPr>
                <w:szCs w:val="22"/>
                <w:lang w:val="hr-HR"/>
              </w:rPr>
              <w:t>alergijski miokarditis*</w:t>
            </w:r>
            <w:r w:rsidRPr="007703FB">
              <w:rPr>
                <w:rStyle w:val="TableText12"/>
                <w:sz w:val="22"/>
                <w:szCs w:val="22"/>
                <w:vertAlign w:val="superscript"/>
                <w:lang w:val="hr-HR"/>
              </w:rPr>
              <w:t xml:space="preserve">†, </w:t>
            </w:r>
            <w:r w:rsidRPr="007703FB">
              <w:rPr>
                <w:szCs w:val="22"/>
                <w:lang w:val="hr-HR"/>
              </w:rPr>
              <w:t>perikarditis, cijanoza</w:t>
            </w:r>
            <w:r w:rsidRPr="007703FB">
              <w:rPr>
                <w:rStyle w:val="TableText12"/>
                <w:szCs w:val="22"/>
                <w:lang w:val="hr-HR"/>
              </w:rPr>
              <w:t>*</w:t>
            </w:r>
            <w:r w:rsidRPr="007703FB">
              <w:rPr>
                <w:rStyle w:val="TableText12"/>
                <w:szCs w:val="22"/>
                <w:vertAlign w:val="superscript"/>
                <w:lang w:val="hr-HR"/>
              </w:rPr>
              <w:t>†</w:t>
            </w:r>
            <w:r w:rsidRPr="007703FB">
              <w:rPr>
                <w:szCs w:val="22"/>
                <w:lang w:val="hr-HR"/>
              </w:rPr>
              <w:t>,</w:t>
            </w:r>
          </w:p>
        </w:tc>
      </w:tr>
      <w:tr w:rsidR="004E78AF" w:rsidRPr="007703FB" w14:paraId="22ED2F45" w14:textId="77777777" w:rsidTr="00847188">
        <w:trPr>
          <w:trHeight w:val="400"/>
        </w:trPr>
        <w:tc>
          <w:tcPr>
            <w:tcW w:w="2835" w:type="dxa"/>
            <w:tcBorders>
              <w:top w:val="single" w:sz="4" w:space="0" w:color="auto"/>
              <w:left w:val="single" w:sz="4" w:space="0" w:color="auto"/>
              <w:bottom w:val="single" w:sz="4" w:space="0" w:color="auto"/>
              <w:right w:val="single" w:sz="4" w:space="0" w:color="auto"/>
            </w:tcBorders>
          </w:tcPr>
          <w:p w14:paraId="71789A59" w14:textId="77777777" w:rsidR="004E78AF" w:rsidRPr="007703FB" w:rsidRDefault="004E78AF" w:rsidP="007703FB">
            <w:pPr>
              <w:kinsoku w:val="0"/>
              <w:overflowPunct w:val="0"/>
              <w:autoSpaceDE w:val="0"/>
              <w:autoSpaceDN w:val="0"/>
              <w:adjustRightInd w:val="0"/>
              <w:spacing w:line="222" w:lineRule="exact"/>
              <w:jc w:val="left"/>
              <w:rPr>
                <w:b/>
                <w:spacing w:val="-1"/>
                <w:szCs w:val="22"/>
                <w:lang w:val="hr-HR"/>
              </w:rPr>
            </w:pPr>
            <w:r w:rsidRPr="007703FB">
              <w:rPr>
                <w:b/>
                <w:spacing w:val="-1"/>
                <w:szCs w:val="22"/>
                <w:lang w:val="hr-HR"/>
              </w:rPr>
              <w:t>Vaskularni poremećaji</w:t>
            </w:r>
          </w:p>
        </w:tc>
        <w:tc>
          <w:tcPr>
            <w:tcW w:w="1560" w:type="dxa"/>
            <w:tcBorders>
              <w:top w:val="single" w:sz="4" w:space="0" w:color="auto"/>
              <w:left w:val="single" w:sz="4" w:space="0" w:color="auto"/>
              <w:bottom w:val="single" w:sz="4" w:space="0" w:color="auto"/>
              <w:right w:val="single" w:sz="4" w:space="0" w:color="auto"/>
            </w:tcBorders>
          </w:tcPr>
          <w:p w14:paraId="3AC63401"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top w:val="single" w:sz="4" w:space="0" w:color="auto"/>
              <w:left w:val="single" w:sz="4" w:space="0" w:color="auto"/>
              <w:bottom w:val="single" w:sz="4" w:space="0" w:color="auto"/>
              <w:right w:val="single" w:sz="4" w:space="0" w:color="auto"/>
            </w:tcBorders>
          </w:tcPr>
          <w:p w14:paraId="60C5E4F3" w14:textId="77777777" w:rsidR="004E78AF" w:rsidRPr="007703FB" w:rsidRDefault="004E78AF" w:rsidP="007703FB">
            <w:pPr>
              <w:tabs>
                <w:tab w:val="left" w:pos="7797"/>
              </w:tabs>
              <w:jc w:val="left"/>
              <w:rPr>
                <w:szCs w:val="22"/>
                <w:lang w:val="hr-HR"/>
              </w:rPr>
            </w:pPr>
            <w:r w:rsidRPr="00634DA9">
              <w:rPr>
                <w:rStyle w:val="TableText12"/>
                <w:szCs w:val="22"/>
                <w:lang w:val="hr-HR"/>
              </w:rPr>
              <w:t>bljedilo*</w:t>
            </w:r>
            <w:r w:rsidRPr="00634DA9">
              <w:rPr>
                <w:rStyle w:val="TableText12"/>
                <w:szCs w:val="22"/>
                <w:vertAlign w:val="superscript"/>
                <w:lang w:val="hr-HR"/>
              </w:rPr>
              <w:t>†</w:t>
            </w:r>
            <w:r w:rsidRPr="00634DA9">
              <w:rPr>
                <w:rStyle w:val="TableText12"/>
                <w:szCs w:val="22"/>
                <w:lang w:val="hr-HR"/>
              </w:rPr>
              <w:t>,</w:t>
            </w:r>
            <w:r w:rsidRPr="007703FB">
              <w:rPr>
                <w:rStyle w:val="TableText12"/>
                <w:szCs w:val="22"/>
                <w:lang w:val="hr-HR"/>
              </w:rPr>
              <w:t xml:space="preserve"> vaskulitis</w:t>
            </w:r>
          </w:p>
        </w:tc>
      </w:tr>
      <w:tr w:rsidR="004E78AF" w:rsidRPr="002E7D92" w14:paraId="6B7D14AB" w14:textId="77777777" w:rsidTr="00847188">
        <w:trPr>
          <w:trHeight w:val="190"/>
        </w:trPr>
        <w:tc>
          <w:tcPr>
            <w:tcW w:w="2835" w:type="dxa"/>
            <w:tcBorders>
              <w:top w:val="single" w:sz="4" w:space="0" w:color="auto"/>
              <w:left w:val="single" w:sz="4" w:space="0" w:color="auto"/>
              <w:bottom w:val="single" w:sz="4" w:space="0" w:color="auto"/>
              <w:right w:val="single" w:sz="4" w:space="0" w:color="auto"/>
            </w:tcBorders>
          </w:tcPr>
          <w:p w14:paraId="003B409D" w14:textId="77777777" w:rsidR="004E78AF" w:rsidRPr="007703FB" w:rsidRDefault="004E78AF" w:rsidP="007703FB">
            <w:pPr>
              <w:kinsoku w:val="0"/>
              <w:overflowPunct w:val="0"/>
              <w:autoSpaceDE w:val="0"/>
              <w:autoSpaceDN w:val="0"/>
              <w:adjustRightInd w:val="0"/>
              <w:spacing w:line="222" w:lineRule="exact"/>
              <w:jc w:val="left"/>
              <w:rPr>
                <w:b/>
                <w:spacing w:val="-1"/>
                <w:szCs w:val="22"/>
                <w:lang w:val="hr-HR"/>
              </w:rPr>
            </w:pPr>
            <w:r w:rsidRPr="007703FB">
              <w:rPr>
                <w:b/>
                <w:spacing w:val="-1"/>
                <w:szCs w:val="22"/>
                <w:lang w:val="hr-HR"/>
              </w:rPr>
              <w:t>Urođeni, nasljedni i genetski poremećaji</w:t>
            </w:r>
          </w:p>
        </w:tc>
        <w:tc>
          <w:tcPr>
            <w:tcW w:w="1560" w:type="dxa"/>
            <w:tcBorders>
              <w:top w:val="single" w:sz="4" w:space="0" w:color="auto"/>
              <w:left w:val="single" w:sz="4" w:space="0" w:color="auto"/>
              <w:bottom w:val="single" w:sz="4" w:space="0" w:color="auto"/>
              <w:right w:val="single" w:sz="4" w:space="0" w:color="auto"/>
            </w:tcBorders>
          </w:tcPr>
          <w:p w14:paraId="7C2A72A4"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top w:val="single" w:sz="4" w:space="0" w:color="auto"/>
              <w:left w:val="single" w:sz="4" w:space="0" w:color="auto"/>
              <w:bottom w:val="single" w:sz="4" w:space="0" w:color="auto"/>
              <w:right w:val="single" w:sz="4" w:space="0" w:color="auto"/>
            </w:tcBorders>
          </w:tcPr>
          <w:p w14:paraId="037CF2D9" w14:textId="77777777" w:rsidR="004E78AF" w:rsidRPr="007703FB" w:rsidRDefault="004E78AF" w:rsidP="007703FB">
            <w:pPr>
              <w:tabs>
                <w:tab w:val="left" w:pos="7797"/>
              </w:tabs>
              <w:jc w:val="left"/>
              <w:rPr>
                <w:szCs w:val="22"/>
                <w:lang w:val="hr-HR"/>
              </w:rPr>
            </w:pPr>
            <w:r w:rsidRPr="007703FB">
              <w:rPr>
                <w:szCs w:val="22"/>
                <w:lang w:val="hr-HR"/>
              </w:rPr>
              <w:t>Veća vjerovatnoća akutnog napada kod pacijenata sa porfirijom</w:t>
            </w:r>
            <w:r w:rsidRPr="007703FB" w:rsidDel="00DE13DE">
              <w:rPr>
                <w:szCs w:val="22"/>
                <w:lang w:val="hr-HR"/>
              </w:rPr>
              <w:t xml:space="preserve"> </w:t>
            </w:r>
          </w:p>
        </w:tc>
      </w:tr>
      <w:tr w:rsidR="004E78AF" w:rsidRPr="007703FB" w14:paraId="5D51FD09" w14:textId="77777777" w:rsidTr="00847188">
        <w:trPr>
          <w:trHeight w:val="325"/>
        </w:trPr>
        <w:tc>
          <w:tcPr>
            <w:tcW w:w="2835" w:type="dxa"/>
            <w:vMerge w:val="restart"/>
            <w:tcBorders>
              <w:top w:val="single" w:sz="4" w:space="0" w:color="auto"/>
              <w:left w:val="single" w:sz="4" w:space="0" w:color="auto"/>
              <w:right w:val="single" w:sz="4" w:space="0" w:color="auto"/>
            </w:tcBorders>
          </w:tcPr>
          <w:p w14:paraId="388ED9E9" w14:textId="77777777" w:rsidR="004E78AF" w:rsidRPr="007703FB" w:rsidRDefault="004E78AF" w:rsidP="007703FB">
            <w:pPr>
              <w:tabs>
                <w:tab w:val="left" w:pos="7797"/>
              </w:tabs>
              <w:jc w:val="left"/>
              <w:rPr>
                <w:b/>
                <w:bCs/>
                <w:szCs w:val="22"/>
                <w:lang w:val="hr-HR"/>
              </w:rPr>
            </w:pPr>
            <w:r w:rsidRPr="007703FB">
              <w:rPr>
                <w:b/>
                <w:spacing w:val="-1"/>
                <w:szCs w:val="22"/>
                <w:lang w:val="hr-HR"/>
              </w:rPr>
              <w:t>Respiratorni,</w:t>
            </w:r>
            <w:r w:rsidRPr="007703FB">
              <w:rPr>
                <w:b/>
                <w:spacing w:val="-10"/>
                <w:szCs w:val="22"/>
                <w:lang w:val="hr-HR"/>
              </w:rPr>
              <w:t xml:space="preserve"> </w:t>
            </w:r>
            <w:r w:rsidRPr="007703FB">
              <w:rPr>
                <w:b/>
                <w:spacing w:val="-1"/>
                <w:szCs w:val="22"/>
                <w:lang w:val="hr-HR"/>
              </w:rPr>
              <w:t>torakalni</w:t>
            </w:r>
            <w:r w:rsidRPr="007703FB">
              <w:rPr>
                <w:b/>
                <w:spacing w:val="-10"/>
                <w:szCs w:val="22"/>
                <w:lang w:val="hr-HR"/>
              </w:rPr>
              <w:t xml:space="preserve"> </w:t>
            </w:r>
            <w:r w:rsidRPr="007703FB">
              <w:rPr>
                <w:b/>
                <w:szCs w:val="22"/>
                <w:lang w:val="hr-HR"/>
              </w:rPr>
              <w:t>i</w:t>
            </w:r>
            <w:r w:rsidRPr="007703FB">
              <w:rPr>
                <w:b/>
                <w:spacing w:val="-8"/>
                <w:szCs w:val="22"/>
                <w:lang w:val="hr-HR"/>
              </w:rPr>
              <w:t xml:space="preserve"> </w:t>
            </w:r>
            <w:r w:rsidRPr="007703FB">
              <w:rPr>
                <w:b/>
                <w:spacing w:val="-1"/>
                <w:szCs w:val="22"/>
                <w:lang w:val="hr-HR"/>
              </w:rPr>
              <w:t>medijastinalni</w:t>
            </w:r>
            <w:r w:rsidRPr="007703FB">
              <w:rPr>
                <w:b/>
                <w:szCs w:val="22"/>
                <w:lang w:val="hr-HR"/>
              </w:rPr>
              <w:t xml:space="preserve"> poremećaji</w:t>
            </w:r>
          </w:p>
        </w:tc>
        <w:tc>
          <w:tcPr>
            <w:tcW w:w="1560" w:type="dxa"/>
            <w:tcBorders>
              <w:top w:val="single" w:sz="4" w:space="0" w:color="auto"/>
              <w:left w:val="single" w:sz="4" w:space="0" w:color="auto"/>
              <w:bottom w:val="single" w:sz="4" w:space="0" w:color="auto"/>
              <w:right w:val="single" w:sz="4" w:space="0" w:color="auto"/>
            </w:tcBorders>
          </w:tcPr>
          <w:p w14:paraId="5B4A87CD" w14:textId="77777777" w:rsidR="004E78AF" w:rsidRPr="007703FB" w:rsidRDefault="004E78AF" w:rsidP="007703FB">
            <w:pPr>
              <w:tabs>
                <w:tab w:val="left" w:pos="7797"/>
              </w:tabs>
              <w:jc w:val="left"/>
              <w:rPr>
                <w:szCs w:val="22"/>
                <w:lang w:val="hr-HR"/>
              </w:rPr>
            </w:pPr>
            <w:r w:rsidRPr="007703FB">
              <w:rPr>
                <w:szCs w:val="22"/>
                <w:lang w:val="hr-HR"/>
              </w:rPr>
              <w:t>Česta</w:t>
            </w:r>
          </w:p>
        </w:tc>
        <w:tc>
          <w:tcPr>
            <w:tcW w:w="4065" w:type="dxa"/>
            <w:tcBorders>
              <w:top w:val="single" w:sz="4" w:space="0" w:color="auto"/>
              <w:left w:val="single" w:sz="4" w:space="0" w:color="auto"/>
              <w:right w:val="single" w:sz="4" w:space="0" w:color="auto"/>
            </w:tcBorders>
          </w:tcPr>
          <w:p w14:paraId="55489A3D" w14:textId="77777777" w:rsidR="004E78AF" w:rsidRPr="007703FB" w:rsidRDefault="004E78AF" w:rsidP="007703FB">
            <w:pPr>
              <w:tabs>
                <w:tab w:val="left" w:pos="7797"/>
              </w:tabs>
              <w:jc w:val="left"/>
              <w:rPr>
                <w:szCs w:val="22"/>
                <w:lang w:val="hr-HR"/>
              </w:rPr>
            </w:pPr>
            <w:r w:rsidRPr="007703FB">
              <w:rPr>
                <w:szCs w:val="22"/>
                <w:lang w:val="hr-HR"/>
              </w:rPr>
              <w:t xml:space="preserve">kašalj </w:t>
            </w:r>
          </w:p>
        </w:tc>
      </w:tr>
      <w:tr w:rsidR="004E78AF" w:rsidRPr="007703FB" w14:paraId="491BA0E7" w14:textId="77777777" w:rsidTr="00847188">
        <w:trPr>
          <w:trHeight w:val="340"/>
        </w:trPr>
        <w:tc>
          <w:tcPr>
            <w:tcW w:w="2835" w:type="dxa"/>
            <w:vMerge/>
            <w:tcBorders>
              <w:left w:val="single" w:sz="4" w:space="0" w:color="auto"/>
              <w:right w:val="single" w:sz="4" w:space="0" w:color="auto"/>
            </w:tcBorders>
          </w:tcPr>
          <w:p w14:paraId="2D652B2C" w14:textId="77777777" w:rsidR="004E78AF" w:rsidRPr="007703FB" w:rsidRDefault="004E78AF" w:rsidP="007703FB">
            <w:pPr>
              <w:tabs>
                <w:tab w:val="left" w:pos="7797"/>
              </w:tabs>
              <w:jc w:val="left"/>
              <w:rPr>
                <w:b/>
                <w:spacing w:val="-1"/>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1D35F5DA" w14:textId="77777777" w:rsidR="004E78AF" w:rsidRPr="007703FB" w:rsidRDefault="004E78AF" w:rsidP="007703FB">
            <w:pPr>
              <w:tabs>
                <w:tab w:val="left" w:pos="7797"/>
              </w:tabs>
              <w:jc w:val="left"/>
              <w:rPr>
                <w:szCs w:val="22"/>
                <w:lang w:val="hr-HR"/>
              </w:rPr>
            </w:pPr>
            <w:r w:rsidRPr="007703FB">
              <w:rPr>
                <w:szCs w:val="22"/>
                <w:lang w:val="hr-HR"/>
              </w:rPr>
              <w:t>Povremena</w:t>
            </w:r>
          </w:p>
        </w:tc>
        <w:tc>
          <w:tcPr>
            <w:tcW w:w="4065" w:type="dxa"/>
            <w:tcBorders>
              <w:left w:val="single" w:sz="4" w:space="0" w:color="auto"/>
              <w:right w:val="single" w:sz="4" w:space="0" w:color="auto"/>
            </w:tcBorders>
          </w:tcPr>
          <w:p w14:paraId="3A256EE2" w14:textId="77777777" w:rsidR="004E78AF" w:rsidRPr="007703FB" w:rsidRDefault="004E78AF" w:rsidP="007703FB">
            <w:pPr>
              <w:tabs>
                <w:tab w:val="left" w:pos="7797"/>
              </w:tabs>
              <w:jc w:val="left"/>
              <w:rPr>
                <w:szCs w:val="22"/>
                <w:lang w:val="hr-HR"/>
              </w:rPr>
            </w:pPr>
            <w:r w:rsidRPr="007703FB">
              <w:rPr>
                <w:szCs w:val="22"/>
                <w:lang w:val="hr-HR"/>
              </w:rPr>
              <w:t>dispneja</w:t>
            </w:r>
          </w:p>
        </w:tc>
      </w:tr>
      <w:tr w:rsidR="004E78AF" w:rsidRPr="002E7D92" w14:paraId="4036E53F" w14:textId="77777777" w:rsidTr="00847188">
        <w:trPr>
          <w:trHeight w:val="580"/>
        </w:trPr>
        <w:tc>
          <w:tcPr>
            <w:tcW w:w="2835" w:type="dxa"/>
            <w:vMerge/>
            <w:tcBorders>
              <w:left w:val="single" w:sz="4" w:space="0" w:color="auto"/>
              <w:bottom w:val="single" w:sz="4" w:space="0" w:color="auto"/>
              <w:right w:val="single" w:sz="4" w:space="0" w:color="auto"/>
            </w:tcBorders>
          </w:tcPr>
          <w:p w14:paraId="43F89EBA" w14:textId="77777777" w:rsidR="004E78AF" w:rsidRPr="007703FB" w:rsidRDefault="004E78AF" w:rsidP="007703FB">
            <w:pPr>
              <w:tabs>
                <w:tab w:val="left" w:pos="7797"/>
              </w:tabs>
              <w:jc w:val="left"/>
              <w:rPr>
                <w:b/>
                <w:spacing w:val="-1"/>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33EE131F"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left w:val="single" w:sz="4" w:space="0" w:color="auto"/>
              <w:bottom w:val="single" w:sz="4" w:space="0" w:color="auto"/>
              <w:right w:val="single" w:sz="4" w:space="0" w:color="auto"/>
            </w:tcBorders>
          </w:tcPr>
          <w:p w14:paraId="4F606606" w14:textId="77777777" w:rsidR="004E78AF" w:rsidRPr="007703FB" w:rsidRDefault="004E78AF" w:rsidP="007703FB">
            <w:pPr>
              <w:tabs>
                <w:tab w:val="left" w:pos="7797"/>
              </w:tabs>
              <w:jc w:val="left"/>
              <w:rPr>
                <w:szCs w:val="22"/>
                <w:lang w:val="hr-HR"/>
              </w:rPr>
            </w:pPr>
            <w:r w:rsidRPr="007703FB">
              <w:rPr>
                <w:szCs w:val="22"/>
                <w:lang w:val="hr-HR"/>
              </w:rPr>
              <w:t>intersticijalna bolest pluća</w:t>
            </w:r>
            <w:r w:rsidRPr="007703FB">
              <w:rPr>
                <w:szCs w:val="22"/>
                <w:vertAlign w:val="superscript"/>
                <w:lang w:val="hr-HR"/>
              </w:rPr>
              <w:t>*</w:t>
            </w:r>
            <w:r w:rsidRPr="007703FB">
              <w:rPr>
                <w:szCs w:val="22"/>
                <w:lang w:val="hr-HR"/>
              </w:rPr>
              <w:t>, infiltracija pluća eozinofilima, fibrozni alveolitis, orofaringealni bol</w:t>
            </w:r>
            <w:r w:rsidRPr="007703FB">
              <w:rPr>
                <w:rStyle w:val="TableText12"/>
                <w:sz w:val="22"/>
                <w:szCs w:val="22"/>
                <w:lang w:val="hr-HR"/>
              </w:rPr>
              <w:t>*</w:t>
            </w:r>
            <w:r w:rsidRPr="007703FB">
              <w:rPr>
                <w:rStyle w:val="TableText12"/>
                <w:sz w:val="22"/>
                <w:szCs w:val="22"/>
                <w:vertAlign w:val="superscript"/>
                <w:lang w:val="hr-HR"/>
              </w:rPr>
              <w:t>†</w:t>
            </w:r>
          </w:p>
        </w:tc>
      </w:tr>
      <w:tr w:rsidR="004E78AF" w:rsidRPr="007703FB" w14:paraId="079F60B5" w14:textId="77777777" w:rsidTr="00847188">
        <w:trPr>
          <w:trHeight w:val="292"/>
        </w:trPr>
        <w:tc>
          <w:tcPr>
            <w:tcW w:w="2835" w:type="dxa"/>
            <w:vMerge w:val="restart"/>
            <w:tcBorders>
              <w:top w:val="single" w:sz="4" w:space="0" w:color="auto"/>
              <w:left w:val="single" w:sz="4" w:space="0" w:color="auto"/>
              <w:right w:val="single" w:sz="4" w:space="0" w:color="auto"/>
            </w:tcBorders>
          </w:tcPr>
          <w:p w14:paraId="15057F66" w14:textId="77777777" w:rsidR="004E78AF" w:rsidRPr="007703FB" w:rsidRDefault="004E78AF" w:rsidP="007703FB">
            <w:pPr>
              <w:kinsoku w:val="0"/>
              <w:overflowPunct w:val="0"/>
              <w:autoSpaceDE w:val="0"/>
              <w:autoSpaceDN w:val="0"/>
              <w:adjustRightInd w:val="0"/>
              <w:spacing w:line="222" w:lineRule="exact"/>
              <w:jc w:val="left"/>
              <w:rPr>
                <w:b/>
                <w:bCs/>
                <w:szCs w:val="22"/>
                <w:lang w:val="hr-HR"/>
              </w:rPr>
            </w:pPr>
            <w:r w:rsidRPr="007703FB">
              <w:rPr>
                <w:b/>
                <w:szCs w:val="22"/>
                <w:lang w:val="hr-HR"/>
              </w:rPr>
              <w:t>Gastrointestinalni</w:t>
            </w:r>
            <w:r w:rsidRPr="007703FB">
              <w:rPr>
                <w:b/>
                <w:spacing w:val="-25"/>
                <w:szCs w:val="22"/>
                <w:lang w:val="hr-HR"/>
              </w:rPr>
              <w:t xml:space="preserve"> </w:t>
            </w:r>
            <w:r w:rsidRPr="007703FB">
              <w:rPr>
                <w:b/>
                <w:szCs w:val="22"/>
                <w:lang w:val="hr-HR"/>
              </w:rPr>
              <w:t>poremećaji</w:t>
            </w:r>
          </w:p>
        </w:tc>
        <w:tc>
          <w:tcPr>
            <w:tcW w:w="1560" w:type="dxa"/>
            <w:tcBorders>
              <w:top w:val="single" w:sz="4" w:space="0" w:color="auto"/>
              <w:left w:val="single" w:sz="4" w:space="0" w:color="auto"/>
              <w:bottom w:val="single" w:sz="4" w:space="0" w:color="auto"/>
              <w:right w:val="single" w:sz="4" w:space="0" w:color="auto"/>
            </w:tcBorders>
          </w:tcPr>
          <w:p w14:paraId="0EF539E9" w14:textId="77777777" w:rsidR="004E78AF" w:rsidRPr="007703FB" w:rsidRDefault="004E78AF" w:rsidP="007703FB">
            <w:pPr>
              <w:tabs>
                <w:tab w:val="left" w:pos="7797"/>
              </w:tabs>
              <w:jc w:val="left"/>
              <w:rPr>
                <w:szCs w:val="22"/>
                <w:lang w:val="hr-HR"/>
              </w:rPr>
            </w:pPr>
            <w:r w:rsidRPr="007703FB">
              <w:rPr>
                <w:szCs w:val="22"/>
                <w:lang w:val="hr-HR"/>
              </w:rPr>
              <w:t>Veoma česta</w:t>
            </w:r>
          </w:p>
        </w:tc>
        <w:tc>
          <w:tcPr>
            <w:tcW w:w="4065" w:type="dxa"/>
            <w:tcBorders>
              <w:top w:val="single" w:sz="4" w:space="0" w:color="auto"/>
              <w:left w:val="single" w:sz="4" w:space="0" w:color="auto"/>
              <w:right w:val="single" w:sz="4" w:space="0" w:color="auto"/>
            </w:tcBorders>
          </w:tcPr>
          <w:p w14:paraId="70BB488E" w14:textId="77777777" w:rsidR="004E78AF" w:rsidRPr="007703FB" w:rsidRDefault="004E78AF" w:rsidP="007703FB">
            <w:pPr>
              <w:tabs>
                <w:tab w:val="left" w:pos="7797"/>
              </w:tabs>
              <w:jc w:val="left"/>
              <w:rPr>
                <w:szCs w:val="22"/>
                <w:lang w:val="hr-HR"/>
              </w:rPr>
            </w:pPr>
            <w:r w:rsidRPr="007703FB">
              <w:rPr>
                <w:szCs w:val="22"/>
                <w:lang w:val="hr-HR"/>
              </w:rPr>
              <w:t>smetnje u želucu, mučnina</w:t>
            </w:r>
          </w:p>
          <w:p w14:paraId="5BDB502B" w14:textId="77777777" w:rsidR="004E78AF" w:rsidRPr="007703FB" w:rsidRDefault="004E78AF" w:rsidP="007703FB">
            <w:pPr>
              <w:tabs>
                <w:tab w:val="left" w:pos="7797"/>
              </w:tabs>
              <w:jc w:val="left"/>
              <w:rPr>
                <w:szCs w:val="22"/>
                <w:lang w:val="hr-HR"/>
              </w:rPr>
            </w:pPr>
          </w:p>
        </w:tc>
      </w:tr>
      <w:tr w:rsidR="004E78AF" w:rsidRPr="002E7D92" w14:paraId="00F557DE" w14:textId="77777777" w:rsidTr="00847188">
        <w:trPr>
          <w:trHeight w:val="320"/>
        </w:trPr>
        <w:tc>
          <w:tcPr>
            <w:tcW w:w="2835" w:type="dxa"/>
            <w:vMerge/>
            <w:tcBorders>
              <w:left w:val="single" w:sz="4" w:space="0" w:color="auto"/>
              <w:right w:val="single" w:sz="4" w:space="0" w:color="auto"/>
            </w:tcBorders>
          </w:tcPr>
          <w:p w14:paraId="084DC67D"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2AC46EDF" w14:textId="77777777" w:rsidR="004E78AF" w:rsidRPr="007703FB" w:rsidRDefault="004E78AF" w:rsidP="007703FB">
            <w:pPr>
              <w:tabs>
                <w:tab w:val="left" w:pos="7797"/>
              </w:tabs>
              <w:jc w:val="left"/>
              <w:rPr>
                <w:szCs w:val="22"/>
                <w:lang w:val="hr-HR"/>
              </w:rPr>
            </w:pPr>
            <w:r w:rsidRPr="007703FB">
              <w:rPr>
                <w:szCs w:val="22"/>
                <w:lang w:val="hr-HR"/>
              </w:rPr>
              <w:t>Česta</w:t>
            </w:r>
          </w:p>
        </w:tc>
        <w:tc>
          <w:tcPr>
            <w:tcW w:w="4065" w:type="dxa"/>
            <w:tcBorders>
              <w:left w:val="single" w:sz="4" w:space="0" w:color="auto"/>
              <w:right w:val="single" w:sz="4" w:space="0" w:color="auto"/>
            </w:tcBorders>
          </w:tcPr>
          <w:p w14:paraId="4CDE2319" w14:textId="77777777" w:rsidR="004E78AF" w:rsidRPr="007703FB" w:rsidRDefault="004E78AF" w:rsidP="007703FB">
            <w:pPr>
              <w:tabs>
                <w:tab w:val="left" w:pos="7797"/>
              </w:tabs>
              <w:jc w:val="left"/>
              <w:rPr>
                <w:szCs w:val="22"/>
                <w:lang w:val="hr-HR"/>
              </w:rPr>
            </w:pPr>
            <w:r w:rsidRPr="007703FB">
              <w:rPr>
                <w:szCs w:val="22"/>
                <w:lang w:val="hr-HR"/>
              </w:rPr>
              <w:t xml:space="preserve">bol u abdomenu, dijareja*, povraćanje* </w:t>
            </w:r>
          </w:p>
        </w:tc>
      </w:tr>
      <w:tr w:rsidR="004E78AF" w:rsidRPr="002E7D92" w14:paraId="6F937BB2" w14:textId="77777777" w:rsidTr="00847188">
        <w:trPr>
          <w:trHeight w:val="430"/>
        </w:trPr>
        <w:tc>
          <w:tcPr>
            <w:tcW w:w="2835" w:type="dxa"/>
            <w:vMerge/>
            <w:tcBorders>
              <w:left w:val="single" w:sz="4" w:space="0" w:color="auto"/>
              <w:bottom w:val="single" w:sz="4" w:space="0" w:color="auto"/>
              <w:right w:val="single" w:sz="4" w:space="0" w:color="auto"/>
            </w:tcBorders>
          </w:tcPr>
          <w:p w14:paraId="5F3894B2"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18AD6196" w14:textId="77777777" w:rsidR="004E78AF" w:rsidRPr="007703FB" w:rsidRDefault="004E78AF" w:rsidP="007703FB">
            <w:pPr>
              <w:tabs>
                <w:tab w:val="left" w:pos="7797"/>
              </w:tabs>
              <w:jc w:val="left"/>
              <w:rPr>
                <w:szCs w:val="22"/>
                <w:lang w:val="hr-HR"/>
              </w:rPr>
            </w:pPr>
            <w:r w:rsidRPr="007703FB">
              <w:rPr>
                <w:szCs w:val="22"/>
                <w:lang w:val="hr-HR"/>
              </w:rPr>
              <w:t>Nepoznata</w:t>
            </w:r>
            <w:r w:rsidRPr="007703FB" w:rsidDel="00137294">
              <w:rPr>
                <w:szCs w:val="22"/>
                <w:lang w:val="hr-HR"/>
              </w:rPr>
              <w:t xml:space="preserve"> </w:t>
            </w:r>
          </w:p>
        </w:tc>
        <w:tc>
          <w:tcPr>
            <w:tcW w:w="4065" w:type="dxa"/>
            <w:tcBorders>
              <w:left w:val="single" w:sz="4" w:space="0" w:color="auto"/>
              <w:bottom w:val="single" w:sz="4" w:space="0" w:color="auto"/>
              <w:right w:val="single" w:sz="4" w:space="0" w:color="auto"/>
            </w:tcBorders>
          </w:tcPr>
          <w:p w14:paraId="4E856C2B" w14:textId="77777777" w:rsidR="004E78AF" w:rsidRPr="007703FB" w:rsidRDefault="004E78AF" w:rsidP="007703FB">
            <w:pPr>
              <w:tabs>
                <w:tab w:val="left" w:pos="7797"/>
              </w:tabs>
              <w:jc w:val="left"/>
              <w:rPr>
                <w:szCs w:val="22"/>
                <w:lang w:val="hr-HR"/>
              </w:rPr>
            </w:pPr>
            <w:r w:rsidRPr="007703FB">
              <w:rPr>
                <w:szCs w:val="22"/>
                <w:lang w:val="hr-HR"/>
              </w:rPr>
              <w:t>pogoršanje ulceroznog kolitisa* pankreatitis, stomatitis</w:t>
            </w:r>
          </w:p>
        </w:tc>
      </w:tr>
      <w:tr w:rsidR="004E78AF" w:rsidRPr="007703FB" w14:paraId="25344D37" w14:textId="77777777" w:rsidTr="00847188">
        <w:trPr>
          <w:trHeight w:val="322"/>
        </w:trPr>
        <w:tc>
          <w:tcPr>
            <w:tcW w:w="2835" w:type="dxa"/>
            <w:vMerge w:val="restart"/>
            <w:tcBorders>
              <w:top w:val="single" w:sz="4" w:space="0" w:color="auto"/>
              <w:left w:val="single" w:sz="4" w:space="0" w:color="auto"/>
              <w:right w:val="single" w:sz="4" w:space="0" w:color="auto"/>
            </w:tcBorders>
          </w:tcPr>
          <w:p w14:paraId="07FD3FD9" w14:textId="77777777" w:rsidR="004E78AF" w:rsidRPr="007703FB" w:rsidRDefault="004E78AF" w:rsidP="007703FB">
            <w:pPr>
              <w:kinsoku w:val="0"/>
              <w:overflowPunct w:val="0"/>
              <w:autoSpaceDE w:val="0"/>
              <w:autoSpaceDN w:val="0"/>
              <w:adjustRightInd w:val="0"/>
              <w:spacing w:line="222" w:lineRule="exact"/>
              <w:jc w:val="left"/>
              <w:rPr>
                <w:b/>
                <w:bCs/>
                <w:szCs w:val="22"/>
                <w:lang w:val="hr-HR"/>
              </w:rPr>
            </w:pPr>
            <w:r w:rsidRPr="007703FB">
              <w:rPr>
                <w:b/>
                <w:szCs w:val="22"/>
                <w:lang w:val="hr-HR"/>
              </w:rPr>
              <w:t>Hepatobilijarni</w:t>
            </w:r>
            <w:r w:rsidRPr="007703FB">
              <w:rPr>
                <w:b/>
                <w:spacing w:val="-22"/>
                <w:szCs w:val="22"/>
                <w:lang w:val="hr-HR"/>
              </w:rPr>
              <w:t xml:space="preserve"> </w:t>
            </w:r>
            <w:r w:rsidRPr="007703FB">
              <w:rPr>
                <w:b/>
                <w:spacing w:val="-1"/>
                <w:szCs w:val="22"/>
                <w:lang w:val="hr-HR"/>
              </w:rPr>
              <w:t>poremećaji</w:t>
            </w:r>
          </w:p>
        </w:tc>
        <w:tc>
          <w:tcPr>
            <w:tcW w:w="1560" w:type="dxa"/>
            <w:tcBorders>
              <w:top w:val="single" w:sz="4" w:space="0" w:color="auto"/>
              <w:left w:val="single" w:sz="4" w:space="0" w:color="auto"/>
              <w:bottom w:val="single" w:sz="4" w:space="0" w:color="auto"/>
              <w:right w:val="single" w:sz="4" w:space="0" w:color="auto"/>
            </w:tcBorders>
          </w:tcPr>
          <w:p w14:paraId="198715C4" w14:textId="77777777" w:rsidR="004E78AF" w:rsidRPr="007703FB" w:rsidRDefault="004E78AF" w:rsidP="007703FB">
            <w:pPr>
              <w:tabs>
                <w:tab w:val="left" w:pos="7797"/>
              </w:tabs>
              <w:jc w:val="left"/>
              <w:rPr>
                <w:szCs w:val="22"/>
                <w:lang w:val="hr-HR"/>
              </w:rPr>
            </w:pPr>
            <w:r w:rsidRPr="007703FB">
              <w:rPr>
                <w:szCs w:val="22"/>
                <w:lang w:val="hr-HR"/>
              </w:rPr>
              <w:t>Povremena</w:t>
            </w:r>
          </w:p>
        </w:tc>
        <w:tc>
          <w:tcPr>
            <w:tcW w:w="4065" w:type="dxa"/>
            <w:tcBorders>
              <w:top w:val="single" w:sz="4" w:space="0" w:color="auto"/>
              <w:left w:val="single" w:sz="4" w:space="0" w:color="auto"/>
              <w:right w:val="single" w:sz="4" w:space="0" w:color="auto"/>
            </w:tcBorders>
          </w:tcPr>
          <w:p w14:paraId="6E5AC0F0" w14:textId="77777777" w:rsidR="004E78AF" w:rsidRPr="007703FB" w:rsidRDefault="004E78AF" w:rsidP="007703FB">
            <w:pPr>
              <w:tabs>
                <w:tab w:val="left" w:pos="7797"/>
              </w:tabs>
              <w:jc w:val="left"/>
              <w:rPr>
                <w:szCs w:val="22"/>
                <w:lang w:val="hr-HR"/>
              </w:rPr>
            </w:pPr>
            <w:r w:rsidRPr="007703FB">
              <w:rPr>
                <w:rStyle w:val="TableText12"/>
                <w:szCs w:val="22"/>
                <w:lang w:val="hr-HR"/>
              </w:rPr>
              <w:t>žutica*</w:t>
            </w:r>
            <w:r w:rsidRPr="007703FB">
              <w:rPr>
                <w:rStyle w:val="TableText12"/>
                <w:szCs w:val="22"/>
                <w:vertAlign w:val="superscript"/>
                <w:lang w:val="hr-HR"/>
              </w:rPr>
              <w:t>†</w:t>
            </w:r>
          </w:p>
          <w:p w14:paraId="2AA8B4FE" w14:textId="77777777" w:rsidR="004E78AF" w:rsidRPr="007703FB" w:rsidRDefault="004E78AF" w:rsidP="007703FB">
            <w:pPr>
              <w:tabs>
                <w:tab w:val="left" w:pos="7797"/>
              </w:tabs>
              <w:jc w:val="left"/>
              <w:rPr>
                <w:szCs w:val="22"/>
                <w:lang w:val="hr-HR"/>
              </w:rPr>
            </w:pPr>
          </w:p>
        </w:tc>
      </w:tr>
      <w:tr w:rsidR="004E78AF" w:rsidRPr="002E7D92" w14:paraId="460BA6F2" w14:textId="77777777" w:rsidTr="00847188">
        <w:trPr>
          <w:trHeight w:val="680"/>
        </w:trPr>
        <w:tc>
          <w:tcPr>
            <w:tcW w:w="2835" w:type="dxa"/>
            <w:vMerge/>
            <w:tcBorders>
              <w:left w:val="single" w:sz="4" w:space="0" w:color="auto"/>
              <w:bottom w:val="single" w:sz="4" w:space="0" w:color="auto"/>
              <w:right w:val="single" w:sz="4" w:space="0" w:color="auto"/>
            </w:tcBorders>
          </w:tcPr>
          <w:p w14:paraId="628301C2"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56E753F4"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left w:val="single" w:sz="4" w:space="0" w:color="auto"/>
              <w:bottom w:val="single" w:sz="4" w:space="0" w:color="auto"/>
              <w:right w:val="single" w:sz="4" w:space="0" w:color="auto"/>
            </w:tcBorders>
          </w:tcPr>
          <w:p w14:paraId="038CA7BD" w14:textId="75F75F2C" w:rsidR="004E78AF" w:rsidRPr="007703FB" w:rsidRDefault="00DE3331" w:rsidP="007703FB">
            <w:pPr>
              <w:tabs>
                <w:tab w:val="left" w:pos="7797"/>
              </w:tabs>
              <w:jc w:val="left"/>
              <w:rPr>
                <w:szCs w:val="22"/>
                <w:lang w:val="hr-HR"/>
              </w:rPr>
            </w:pPr>
            <w:r>
              <w:rPr>
                <w:szCs w:val="22"/>
                <w:lang w:val="hr-HR"/>
              </w:rPr>
              <w:t>insuficijencija</w:t>
            </w:r>
            <w:r w:rsidR="004E78AF" w:rsidRPr="007703FB">
              <w:rPr>
                <w:szCs w:val="22"/>
                <w:lang w:val="hr-HR"/>
              </w:rPr>
              <w:t xml:space="preserve"> jetre*, fulminantni hepatitis*, hepatitis†, holestatski hepatitis*, holestaza*</w:t>
            </w:r>
          </w:p>
        </w:tc>
      </w:tr>
      <w:tr w:rsidR="004E78AF" w:rsidRPr="007703FB" w14:paraId="7C929716" w14:textId="77777777" w:rsidTr="00847188">
        <w:trPr>
          <w:trHeight w:val="270"/>
        </w:trPr>
        <w:tc>
          <w:tcPr>
            <w:tcW w:w="2835" w:type="dxa"/>
            <w:vMerge w:val="restart"/>
            <w:tcBorders>
              <w:top w:val="single" w:sz="4" w:space="0" w:color="auto"/>
              <w:left w:val="single" w:sz="4" w:space="0" w:color="auto"/>
              <w:right w:val="single" w:sz="4" w:space="0" w:color="auto"/>
            </w:tcBorders>
          </w:tcPr>
          <w:p w14:paraId="48106EFA" w14:textId="77777777" w:rsidR="004E78AF" w:rsidRPr="007703FB" w:rsidRDefault="004E78AF" w:rsidP="007703FB">
            <w:pPr>
              <w:kinsoku w:val="0"/>
              <w:overflowPunct w:val="0"/>
              <w:autoSpaceDE w:val="0"/>
              <w:autoSpaceDN w:val="0"/>
              <w:adjustRightInd w:val="0"/>
              <w:spacing w:line="222" w:lineRule="exact"/>
              <w:jc w:val="left"/>
              <w:rPr>
                <w:b/>
                <w:bCs/>
                <w:szCs w:val="22"/>
                <w:lang w:val="hr-HR"/>
              </w:rPr>
            </w:pPr>
            <w:r w:rsidRPr="007703FB">
              <w:rPr>
                <w:b/>
                <w:szCs w:val="22"/>
                <w:lang w:val="hr-HR"/>
              </w:rPr>
              <w:t>Poremećaji</w:t>
            </w:r>
            <w:r w:rsidRPr="007703FB">
              <w:rPr>
                <w:b/>
                <w:spacing w:val="-8"/>
                <w:szCs w:val="22"/>
                <w:lang w:val="hr-HR"/>
              </w:rPr>
              <w:t xml:space="preserve"> </w:t>
            </w:r>
            <w:r w:rsidRPr="007703FB">
              <w:rPr>
                <w:b/>
                <w:szCs w:val="22"/>
                <w:lang w:val="hr-HR"/>
              </w:rPr>
              <w:t>kože</w:t>
            </w:r>
            <w:r w:rsidRPr="007703FB">
              <w:rPr>
                <w:b/>
                <w:spacing w:val="-6"/>
                <w:szCs w:val="22"/>
                <w:lang w:val="hr-HR"/>
              </w:rPr>
              <w:t xml:space="preserve"> </w:t>
            </w:r>
            <w:r w:rsidRPr="007703FB">
              <w:rPr>
                <w:b/>
                <w:szCs w:val="22"/>
                <w:lang w:val="hr-HR"/>
              </w:rPr>
              <w:t>i</w:t>
            </w:r>
            <w:r w:rsidRPr="007703FB">
              <w:rPr>
                <w:b/>
                <w:spacing w:val="-8"/>
                <w:szCs w:val="22"/>
                <w:lang w:val="hr-HR"/>
              </w:rPr>
              <w:t xml:space="preserve"> </w:t>
            </w:r>
            <w:r w:rsidRPr="007703FB">
              <w:rPr>
                <w:b/>
                <w:szCs w:val="22"/>
                <w:lang w:val="hr-HR"/>
              </w:rPr>
              <w:t>potkožnog</w:t>
            </w:r>
            <w:r w:rsidRPr="007703FB">
              <w:rPr>
                <w:b/>
                <w:spacing w:val="-7"/>
                <w:szCs w:val="22"/>
                <w:lang w:val="hr-HR"/>
              </w:rPr>
              <w:t xml:space="preserve"> </w:t>
            </w:r>
            <w:r w:rsidRPr="007703FB">
              <w:rPr>
                <w:b/>
                <w:spacing w:val="-1"/>
                <w:szCs w:val="22"/>
                <w:lang w:val="hr-HR"/>
              </w:rPr>
              <w:t>tkiva</w:t>
            </w:r>
          </w:p>
        </w:tc>
        <w:tc>
          <w:tcPr>
            <w:tcW w:w="1560" w:type="dxa"/>
            <w:tcBorders>
              <w:top w:val="single" w:sz="4" w:space="0" w:color="auto"/>
              <w:left w:val="single" w:sz="4" w:space="0" w:color="auto"/>
              <w:bottom w:val="single" w:sz="4" w:space="0" w:color="auto"/>
              <w:right w:val="single" w:sz="4" w:space="0" w:color="auto"/>
            </w:tcBorders>
          </w:tcPr>
          <w:p w14:paraId="397E373A" w14:textId="77777777" w:rsidR="004E78AF" w:rsidRPr="007703FB" w:rsidRDefault="004E78AF" w:rsidP="007703FB">
            <w:pPr>
              <w:tabs>
                <w:tab w:val="left" w:pos="7797"/>
              </w:tabs>
              <w:jc w:val="left"/>
              <w:rPr>
                <w:szCs w:val="22"/>
                <w:lang w:val="hr-HR"/>
              </w:rPr>
            </w:pPr>
            <w:r w:rsidRPr="007703FB">
              <w:rPr>
                <w:szCs w:val="22"/>
                <w:lang w:val="hr-HR"/>
              </w:rPr>
              <w:t>Česta</w:t>
            </w:r>
          </w:p>
        </w:tc>
        <w:tc>
          <w:tcPr>
            <w:tcW w:w="4065" w:type="dxa"/>
            <w:tcBorders>
              <w:top w:val="single" w:sz="4" w:space="0" w:color="auto"/>
              <w:left w:val="single" w:sz="4" w:space="0" w:color="auto"/>
              <w:right w:val="single" w:sz="4" w:space="0" w:color="auto"/>
            </w:tcBorders>
          </w:tcPr>
          <w:p w14:paraId="3A196DB5" w14:textId="77777777" w:rsidR="004E78AF" w:rsidRPr="007703FB" w:rsidRDefault="004E78AF" w:rsidP="007703FB">
            <w:pPr>
              <w:tabs>
                <w:tab w:val="left" w:pos="7797"/>
              </w:tabs>
              <w:jc w:val="left"/>
              <w:rPr>
                <w:szCs w:val="22"/>
                <w:lang w:val="hr-HR"/>
              </w:rPr>
            </w:pPr>
            <w:r w:rsidRPr="007703FB">
              <w:rPr>
                <w:szCs w:val="22"/>
                <w:lang w:val="hr-HR"/>
              </w:rPr>
              <w:t>purpura</w:t>
            </w:r>
            <w:r w:rsidRPr="007703FB">
              <w:rPr>
                <w:rStyle w:val="TableText12"/>
                <w:sz w:val="22"/>
                <w:szCs w:val="22"/>
                <w:vertAlign w:val="superscript"/>
                <w:lang w:val="hr-HR"/>
              </w:rPr>
              <w:t xml:space="preserve"> † </w:t>
            </w:r>
            <w:r w:rsidRPr="007703FB">
              <w:rPr>
                <w:szCs w:val="22"/>
                <w:lang w:val="hr-HR"/>
              </w:rPr>
              <w:t xml:space="preserve">pruritus </w:t>
            </w:r>
          </w:p>
        </w:tc>
      </w:tr>
      <w:tr w:rsidR="004E78AF" w:rsidRPr="007703FB" w14:paraId="163872B7" w14:textId="77777777" w:rsidTr="00847188">
        <w:trPr>
          <w:trHeight w:val="270"/>
        </w:trPr>
        <w:tc>
          <w:tcPr>
            <w:tcW w:w="2835" w:type="dxa"/>
            <w:vMerge/>
            <w:tcBorders>
              <w:left w:val="single" w:sz="4" w:space="0" w:color="auto"/>
              <w:right w:val="single" w:sz="4" w:space="0" w:color="auto"/>
            </w:tcBorders>
          </w:tcPr>
          <w:p w14:paraId="1EBB1B22"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0B0CAFD0" w14:textId="77777777" w:rsidR="004E78AF" w:rsidRPr="007703FB" w:rsidRDefault="004E78AF" w:rsidP="007703FB">
            <w:pPr>
              <w:tabs>
                <w:tab w:val="left" w:pos="7797"/>
              </w:tabs>
              <w:jc w:val="left"/>
              <w:rPr>
                <w:szCs w:val="22"/>
                <w:lang w:val="hr-HR"/>
              </w:rPr>
            </w:pPr>
            <w:r w:rsidRPr="007703FB">
              <w:rPr>
                <w:szCs w:val="22"/>
                <w:lang w:val="hr-HR"/>
              </w:rPr>
              <w:t>Povremena</w:t>
            </w:r>
            <w:r w:rsidRPr="007703FB" w:rsidDel="00622E1D">
              <w:rPr>
                <w:szCs w:val="22"/>
                <w:lang w:val="hr-HR"/>
              </w:rPr>
              <w:t xml:space="preserve"> </w:t>
            </w:r>
          </w:p>
        </w:tc>
        <w:tc>
          <w:tcPr>
            <w:tcW w:w="4065" w:type="dxa"/>
            <w:tcBorders>
              <w:left w:val="single" w:sz="4" w:space="0" w:color="auto"/>
              <w:bottom w:val="single" w:sz="4" w:space="0" w:color="auto"/>
              <w:right w:val="single" w:sz="4" w:space="0" w:color="auto"/>
            </w:tcBorders>
          </w:tcPr>
          <w:p w14:paraId="00C1647B" w14:textId="77777777" w:rsidR="004E78AF" w:rsidRPr="007703FB" w:rsidRDefault="004E78AF" w:rsidP="007703FB">
            <w:pPr>
              <w:tabs>
                <w:tab w:val="left" w:pos="7797"/>
              </w:tabs>
              <w:jc w:val="left"/>
              <w:rPr>
                <w:szCs w:val="22"/>
                <w:lang w:val="hr-HR"/>
              </w:rPr>
            </w:pPr>
            <w:r w:rsidRPr="007703FB">
              <w:rPr>
                <w:szCs w:val="22"/>
                <w:lang w:val="hr-HR"/>
              </w:rPr>
              <w:t>alopecija, urtikarija</w:t>
            </w:r>
          </w:p>
        </w:tc>
      </w:tr>
      <w:tr w:rsidR="004E78AF" w:rsidRPr="007703FB" w14:paraId="1BE9106A" w14:textId="77777777" w:rsidTr="00847188">
        <w:trPr>
          <w:trHeight w:val="231"/>
        </w:trPr>
        <w:tc>
          <w:tcPr>
            <w:tcW w:w="2835" w:type="dxa"/>
            <w:vMerge/>
            <w:tcBorders>
              <w:left w:val="single" w:sz="4" w:space="0" w:color="auto"/>
              <w:right w:val="single" w:sz="4" w:space="0" w:color="auto"/>
            </w:tcBorders>
          </w:tcPr>
          <w:p w14:paraId="0E959A85"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1C559C99" w14:textId="77777777" w:rsidR="004E78AF" w:rsidRPr="007703FB" w:rsidRDefault="004E78AF" w:rsidP="007703FB">
            <w:pPr>
              <w:tabs>
                <w:tab w:val="left" w:pos="7797"/>
              </w:tabs>
              <w:jc w:val="left"/>
              <w:rPr>
                <w:szCs w:val="22"/>
                <w:lang w:val="hr-HR"/>
              </w:rPr>
            </w:pPr>
            <w:r w:rsidRPr="007703FB">
              <w:rPr>
                <w:szCs w:val="22"/>
                <w:lang w:val="hr-HR"/>
              </w:rPr>
              <w:t>Veoma rijetka</w:t>
            </w:r>
          </w:p>
        </w:tc>
        <w:tc>
          <w:tcPr>
            <w:tcW w:w="4065" w:type="dxa"/>
            <w:tcBorders>
              <w:left w:val="single" w:sz="4" w:space="0" w:color="auto"/>
              <w:right w:val="single" w:sz="4" w:space="0" w:color="auto"/>
            </w:tcBorders>
          </w:tcPr>
          <w:p w14:paraId="1B65653A" w14:textId="4624881B" w:rsidR="004E78AF" w:rsidRPr="007703FB" w:rsidRDefault="004E78AF" w:rsidP="007703FB">
            <w:pPr>
              <w:tabs>
                <w:tab w:val="left" w:pos="7797"/>
              </w:tabs>
              <w:jc w:val="left"/>
              <w:rPr>
                <w:szCs w:val="22"/>
                <w:lang w:val="hr-HR"/>
              </w:rPr>
            </w:pPr>
            <w:r w:rsidRPr="007703FB">
              <w:rPr>
                <w:szCs w:val="22"/>
                <w:lang w:val="hr-HR"/>
              </w:rPr>
              <w:t xml:space="preserve">toksična epidermalna nekroliza </w:t>
            </w:r>
          </w:p>
        </w:tc>
      </w:tr>
      <w:tr w:rsidR="004E78AF" w:rsidRPr="002E7D92" w14:paraId="02C20928" w14:textId="77777777" w:rsidTr="00847188">
        <w:trPr>
          <w:trHeight w:val="1530"/>
        </w:trPr>
        <w:tc>
          <w:tcPr>
            <w:tcW w:w="2835" w:type="dxa"/>
            <w:vMerge/>
            <w:tcBorders>
              <w:left w:val="single" w:sz="4" w:space="0" w:color="auto"/>
              <w:bottom w:val="single" w:sz="4" w:space="0" w:color="auto"/>
              <w:right w:val="single" w:sz="4" w:space="0" w:color="auto"/>
            </w:tcBorders>
          </w:tcPr>
          <w:p w14:paraId="57278664"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225B7E4A"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left w:val="single" w:sz="4" w:space="0" w:color="auto"/>
              <w:bottom w:val="single" w:sz="4" w:space="0" w:color="auto"/>
              <w:right w:val="single" w:sz="4" w:space="0" w:color="auto"/>
            </w:tcBorders>
          </w:tcPr>
          <w:p w14:paraId="2B08917C" w14:textId="13155AF1" w:rsidR="004E78AF" w:rsidRPr="007703FB" w:rsidRDefault="00BA32D3" w:rsidP="00A93D82">
            <w:pPr>
              <w:tabs>
                <w:tab w:val="left" w:pos="7797"/>
              </w:tabs>
              <w:jc w:val="left"/>
              <w:rPr>
                <w:szCs w:val="22"/>
                <w:lang w:val="hr-HR"/>
              </w:rPr>
            </w:pPr>
            <w:r>
              <w:rPr>
                <w:szCs w:val="22"/>
                <w:lang w:val="hr-HR"/>
              </w:rPr>
              <w:t>reakcije na lijek</w:t>
            </w:r>
            <w:r w:rsidR="004E78AF" w:rsidRPr="007703FB">
              <w:rPr>
                <w:szCs w:val="22"/>
                <w:lang w:val="hr-HR"/>
              </w:rPr>
              <w:t xml:space="preserve"> sa eozinofilijom i sistemskim simptomima (DRESS)*</w:t>
            </w:r>
            <w:r w:rsidR="004E78AF" w:rsidRPr="00847188">
              <w:rPr>
                <w:szCs w:val="22"/>
                <w:vertAlign w:val="superscript"/>
                <w:lang w:val="hr-HR"/>
              </w:rPr>
              <w:t>†</w:t>
            </w:r>
            <w:r w:rsidR="004E78AF" w:rsidRPr="007703FB">
              <w:rPr>
                <w:szCs w:val="22"/>
                <w:lang w:val="hr-HR"/>
              </w:rPr>
              <w:t>, toksična epidermalna nekroliza (</w:t>
            </w:r>
            <w:r w:rsidR="004E78AF" w:rsidRPr="002E7D92">
              <w:rPr>
                <w:i/>
                <w:szCs w:val="22"/>
                <w:lang w:val="hr-HR"/>
              </w:rPr>
              <w:t>L</w:t>
            </w:r>
            <w:r w:rsidR="00A93D82" w:rsidRPr="002E7D92">
              <w:rPr>
                <w:i/>
                <w:szCs w:val="22"/>
                <w:lang w:val="hr-HR"/>
              </w:rPr>
              <w:t>yell</w:t>
            </w:r>
            <w:r w:rsidR="00A93D82">
              <w:rPr>
                <w:szCs w:val="22"/>
                <w:lang w:val="hr-HR"/>
              </w:rPr>
              <w:t>-</w:t>
            </w:r>
            <w:r w:rsidR="004E78AF" w:rsidRPr="007703FB">
              <w:rPr>
                <w:szCs w:val="22"/>
                <w:lang w:val="hr-HR"/>
              </w:rPr>
              <w:t>ov sindrom)</w:t>
            </w:r>
            <w:r w:rsidR="004E78AF" w:rsidRPr="00847188">
              <w:rPr>
                <w:szCs w:val="22"/>
                <w:vertAlign w:val="superscript"/>
                <w:lang w:val="hr-HR"/>
              </w:rPr>
              <w:t>†</w:t>
            </w:r>
            <w:r w:rsidR="004E78AF" w:rsidRPr="007703FB">
              <w:rPr>
                <w:szCs w:val="22"/>
                <w:lang w:val="hr-HR"/>
              </w:rPr>
              <w:t xml:space="preserve">, </w:t>
            </w:r>
            <w:r w:rsidR="004E78AF" w:rsidRPr="007B2EE6">
              <w:rPr>
                <w:i/>
                <w:szCs w:val="22"/>
                <w:lang w:val="hr-HR"/>
              </w:rPr>
              <w:t>St</w:t>
            </w:r>
            <w:r w:rsidR="00D677F6">
              <w:rPr>
                <w:i/>
                <w:szCs w:val="22"/>
                <w:lang w:val="hr-HR"/>
              </w:rPr>
              <w:t>e</w:t>
            </w:r>
            <w:r w:rsidR="004E78AF" w:rsidRPr="007B2EE6">
              <w:rPr>
                <w:i/>
                <w:szCs w:val="22"/>
                <w:lang w:val="hr-HR"/>
              </w:rPr>
              <w:t>vens-</w:t>
            </w:r>
            <w:r w:rsidR="00D677F6">
              <w:rPr>
                <w:i/>
                <w:szCs w:val="22"/>
                <w:lang w:val="hr-HR"/>
              </w:rPr>
              <w:t>Joh</w:t>
            </w:r>
            <w:r w:rsidR="004E78AF" w:rsidRPr="007B2EE6">
              <w:rPr>
                <w:i/>
                <w:szCs w:val="22"/>
                <w:lang w:val="hr-HR"/>
              </w:rPr>
              <w:t>nson</w:t>
            </w:r>
            <w:r w:rsidR="00D677F6">
              <w:rPr>
                <w:szCs w:val="22"/>
                <w:lang w:val="hr-HR"/>
              </w:rPr>
              <w:t>-</w:t>
            </w:r>
            <w:r w:rsidR="004E78AF" w:rsidRPr="007703FB">
              <w:rPr>
                <w:szCs w:val="22"/>
                <w:lang w:val="hr-HR"/>
              </w:rPr>
              <w:t>ov sindrom</w:t>
            </w:r>
            <w:r w:rsidR="004E78AF" w:rsidRPr="00847188">
              <w:rPr>
                <w:szCs w:val="22"/>
                <w:vertAlign w:val="superscript"/>
                <w:lang w:val="hr-HR"/>
              </w:rPr>
              <w:t>†</w:t>
            </w:r>
            <w:r w:rsidR="004E78AF" w:rsidRPr="007703FB">
              <w:rPr>
                <w:szCs w:val="22"/>
                <w:lang w:val="hr-HR"/>
              </w:rPr>
              <w:t>, egzantem, eksfolijativni dermatitis</w:t>
            </w:r>
            <w:r w:rsidR="004E78AF" w:rsidRPr="00847188">
              <w:rPr>
                <w:szCs w:val="22"/>
                <w:vertAlign w:val="superscript"/>
                <w:lang w:val="hr-HR"/>
              </w:rPr>
              <w:t>†</w:t>
            </w:r>
            <w:r w:rsidR="004E78AF" w:rsidRPr="007703FB">
              <w:rPr>
                <w:szCs w:val="22"/>
                <w:lang w:val="hr-HR"/>
              </w:rPr>
              <w:t xml:space="preserve">, angioedem*, </w:t>
            </w:r>
            <w:r w:rsidR="00DF674A" w:rsidRPr="007703FB">
              <w:rPr>
                <w:szCs w:val="22"/>
                <w:lang w:val="hr-HR"/>
              </w:rPr>
              <w:t xml:space="preserve">toksična </w:t>
            </w:r>
            <w:r w:rsidR="00C11ECF" w:rsidRPr="00C11ECF">
              <w:rPr>
                <w:szCs w:val="22"/>
                <w:lang w:val="hr-HR"/>
              </w:rPr>
              <w:t>pustuloderma</w:t>
            </w:r>
            <w:r w:rsidR="00DF674A" w:rsidRPr="007703FB">
              <w:rPr>
                <w:szCs w:val="22"/>
                <w:lang w:val="hr-HR"/>
              </w:rPr>
              <w:t xml:space="preserve">, </w:t>
            </w:r>
            <w:r w:rsidR="004E78AF" w:rsidRPr="007703FB">
              <w:rPr>
                <w:szCs w:val="22"/>
                <w:lang w:val="hr-HR"/>
              </w:rPr>
              <w:t>lihen planus, fotosenzitivnost, eritem, periorbitalni edem</w:t>
            </w:r>
            <w:r w:rsidR="004E78AF" w:rsidRPr="007703FB" w:rsidDel="00B504A1">
              <w:rPr>
                <w:szCs w:val="22"/>
                <w:lang w:val="hr-HR"/>
              </w:rPr>
              <w:t xml:space="preserve"> </w:t>
            </w:r>
          </w:p>
        </w:tc>
      </w:tr>
      <w:tr w:rsidR="004E78AF" w:rsidRPr="007703FB" w14:paraId="3A458E12" w14:textId="77777777" w:rsidTr="00847188">
        <w:trPr>
          <w:trHeight w:val="310"/>
        </w:trPr>
        <w:tc>
          <w:tcPr>
            <w:tcW w:w="2835" w:type="dxa"/>
            <w:vMerge w:val="restart"/>
            <w:tcBorders>
              <w:top w:val="single" w:sz="4" w:space="0" w:color="auto"/>
              <w:left w:val="single" w:sz="4" w:space="0" w:color="auto"/>
              <w:right w:val="single" w:sz="4" w:space="0" w:color="auto"/>
            </w:tcBorders>
          </w:tcPr>
          <w:p w14:paraId="68E60577" w14:textId="77777777" w:rsidR="004E78AF" w:rsidRPr="007703FB" w:rsidRDefault="004E78AF" w:rsidP="007703FB">
            <w:pPr>
              <w:kinsoku w:val="0"/>
              <w:overflowPunct w:val="0"/>
              <w:autoSpaceDE w:val="0"/>
              <w:autoSpaceDN w:val="0"/>
              <w:adjustRightInd w:val="0"/>
              <w:spacing w:line="222" w:lineRule="exact"/>
              <w:jc w:val="left"/>
              <w:rPr>
                <w:b/>
                <w:bCs/>
                <w:szCs w:val="22"/>
                <w:lang w:val="hr-HR"/>
              </w:rPr>
            </w:pPr>
            <w:r w:rsidRPr="007703FB">
              <w:rPr>
                <w:b/>
                <w:szCs w:val="22"/>
                <w:lang w:val="hr-HR"/>
              </w:rPr>
              <w:t>Poremećaji</w:t>
            </w:r>
            <w:r w:rsidRPr="007703FB">
              <w:rPr>
                <w:b/>
                <w:spacing w:val="-5"/>
                <w:szCs w:val="22"/>
                <w:lang w:val="hr-HR"/>
              </w:rPr>
              <w:t xml:space="preserve"> </w:t>
            </w:r>
            <w:r w:rsidRPr="007703FB">
              <w:rPr>
                <w:b/>
                <w:spacing w:val="-1"/>
                <w:szCs w:val="22"/>
                <w:lang w:val="hr-HR"/>
              </w:rPr>
              <w:t>mišićno-koštanog</w:t>
            </w:r>
            <w:r w:rsidRPr="007703FB">
              <w:rPr>
                <w:b/>
                <w:spacing w:val="-8"/>
                <w:szCs w:val="22"/>
                <w:lang w:val="hr-HR"/>
              </w:rPr>
              <w:t xml:space="preserve"> </w:t>
            </w:r>
            <w:r w:rsidRPr="007703FB">
              <w:rPr>
                <w:b/>
                <w:spacing w:val="-1"/>
                <w:szCs w:val="22"/>
                <w:lang w:val="hr-HR"/>
              </w:rPr>
              <w:t>sistema</w:t>
            </w:r>
            <w:r w:rsidRPr="007703FB">
              <w:rPr>
                <w:b/>
                <w:spacing w:val="-8"/>
                <w:szCs w:val="22"/>
                <w:lang w:val="hr-HR"/>
              </w:rPr>
              <w:t xml:space="preserve"> </w:t>
            </w:r>
            <w:r w:rsidRPr="007703FB">
              <w:rPr>
                <w:b/>
                <w:szCs w:val="22"/>
                <w:lang w:val="hr-HR"/>
              </w:rPr>
              <w:t>i</w:t>
            </w:r>
            <w:r w:rsidRPr="007703FB">
              <w:rPr>
                <w:b/>
                <w:spacing w:val="-9"/>
                <w:szCs w:val="22"/>
                <w:lang w:val="hr-HR"/>
              </w:rPr>
              <w:t xml:space="preserve"> </w:t>
            </w:r>
            <w:r w:rsidRPr="007703FB">
              <w:rPr>
                <w:b/>
                <w:szCs w:val="22"/>
                <w:lang w:val="hr-HR"/>
              </w:rPr>
              <w:t>vezivnog</w:t>
            </w:r>
            <w:r w:rsidRPr="007703FB">
              <w:rPr>
                <w:b/>
                <w:spacing w:val="-9"/>
                <w:szCs w:val="22"/>
                <w:lang w:val="hr-HR"/>
              </w:rPr>
              <w:t xml:space="preserve"> </w:t>
            </w:r>
            <w:r w:rsidRPr="007703FB">
              <w:rPr>
                <w:b/>
                <w:szCs w:val="22"/>
                <w:lang w:val="hr-HR"/>
              </w:rPr>
              <w:t>tkiva</w:t>
            </w:r>
          </w:p>
        </w:tc>
        <w:tc>
          <w:tcPr>
            <w:tcW w:w="1560" w:type="dxa"/>
            <w:tcBorders>
              <w:top w:val="single" w:sz="4" w:space="0" w:color="auto"/>
              <w:left w:val="single" w:sz="4" w:space="0" w:color="auto"/>
              <w:bottom w:val="single" w:sz="4" w:space="0" w:color="auto"/>
              <w:right w:val="single" w:sz="4" w:space="0" w:color="auto"/>
            </w:tcBorders>
          </w:tcPr>
          <w:p w14:paraId="5B6CA071" w14:textId="77777777" w:rsidR="004E78AF" w:rsidRPr="007703FB" w:rsidRDefault="004E78AF" w:rsidP="007703FB">
            <w:pPr>
              <w:tabs>
                <w:tab w:val="left" w:pos="7797"/>
              </w:tabs>
              <w:jc w:val="left"/>
              <w:rPr>
                <w:szCs w:val="22"/>
                <w:lang w:val="hr-HR"/>
              </w:rPr>
            </w:pPr>
            <w:r w:rsidRPr="007703FB">
              <w:rPr>
                <w:szCs w:val="22"/>
                <w:lang w:val="hr-HR"/>
              </w:rPr>
              <w:t>Česta</w:t>
            </w:r>
          </w:p>
        </w:tc>
        <w:tc>
          <w:tcPr>
            <w:tcW w:w="4065" w:type="dxa"/>
            <w:tcBorders>
              <w:top w:val="single" w:sz="4" w:space="0" w:color="auto"/>
              <w:left w:val="single" w:sz="4" w:space="0" w:color="auto"/>
              <w:right w:val="single" w:sz="4" w:space="0" w:color="auto"/>
            </w:tcBorders>
          </w:tcPr>
          <w:p w14:paraId="7153E358" w14:textId="77777777" w:rsidR="004E78AF" w:rsidRPr="007703FB" w:rsidRDefault="004E78AF" w:rsidP="007703FB">
            <w:pPr>
              <w:tabs>
                <w:tab w:val="left" w:pos="7797"/>
              </w:tabs>
              <w:jc w:val="left"/>
              <w:rPr>
                <w:szCs w:val="22"/>
                <w:lang w:val="hr-HR"/>
              </w:rPr>
            </w:pPr>
            <w:r w:rsidRPr="007703FB">
              <w:rPr>
                <w:szCs w:val="22"/>
                <w:lang w:val="hr-HR"/>
              </w:rPr>
              <w:t xml:space="preserve">artralgija </w:t>
            </w:r>
          </w:p>
        </w:tc>
      </w:tr>
      <w:tr w:rsidR="004E78AF" w:rsidRPr="007703FB" w14:paraId="287AA902" w14:textId="77777777" w:rsidTr="00847188">
        <w:trPr>
          <w:trHeight w:val="250"/>
        </w:trPr>
        <w:tc>
          <w:tcPr>
            <w:tcW w:w="2835" w:type="dxa"/>
            <w:vMerge/>
            <w:tcBorders>
              <w:left w:val="single" w:sz="4" w:space="0" w:color="auto"/>
              <w:right w:val="single" w:sz="4" w:space="0" w:color="auto"/>
            </w:tcBorders>
          </w:tcPr>
          <w:p w14:paraId="19681FFC"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4A9FB90C"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left w:val="single" w:sz="4" w:space="0" w:color="auto"/>
              <w:bottom w:val="single" w:sz="4" w:space="0" w:color="auto"/>
              <w:right w:val="single" w:sz="4" w:space="0" w:color="auto"/>
            </w:tcBorders>
          </w:tcPr>
          <w:p w14:paraId="6C8AEB88" w14:textId="2B8C5F15" w:rsidR="004E78AF" w:rsidRPr="007703FB" w:rsidRDefault="004E78AF" w:rsidP="007703FB">
            <w:pPr>
              <w:tabs>
                <w:tab w:val="left" w:pos="7797"/>
              </w:tabs>
              <w:jc w:val="left"/>
              <w:rPr>
                <w:szCs w:val="22"/>
                <w:lang w:val="hr-HR"/>
              </w:rPr>
            </w:pPr>
            <w:r w:rsidRPr="007703FB">
              <w:rPr>
                <w:szCs w:val="22"/>
                <w:lang w:val="hr-HR"/>
              </w:rPr>
              <w:t xml:space="preserve">sistemski eritemski lupus, </w:t>
            </w:r>
            <w:r w:rsidRPr="007B2EE6">
              <w:rPr>
                <w:i/>
                <w:szCs w:val="22"/>
                <w:lang w:val="hr-HR"/>
              </w:rPr>
              <w:t>Sjogren</w:t>
            </w:r>
            <w:r w:rsidR="00E612F8">
              <w:rPr>
                <w:szCs w:val="22"/>
                <w:lang w:val="hr-HR"/>
              </w:rPr>
              <w:t>-</w:t>
            </w:r>
            <w:r w:rsidRPr="007703FB">
              <w:rPr>
                <w:szCs w:val="22"/>
                <w:lang w:val="hr-HR"/>
              </w:rPr>
              <w:t>ov sindrom</w:t>
            </w:r>
          </w:p>
        </w:tc>
      </w:tr>
      <w:tr w:rsidR="004E78AF" w:rsidRPr="007703FB" w14:paraId="55B483F5" w14:textId="77777777" w:rsidTr="00847188">
        <w:trPr>
          <w:trHeight w:val="320"/>
        </w:trPr>
        <w:tc>
          <w:tcPr>
            <w:tcW w:w="2835" w:type="dxa"/>
            <w:vMerge w:val="restart"/>
            <w:tcBorders>
              <w:top w:val="single" w:sz="4" w:space="0" w:color="auto"/>
              <w:left w:val="single" w:sz="4" w:space="0" w:color="auto"/>
              <w:right w:val="single" w:sz="4" w:space="0" w:color="auto"/>
            </w:tcBorders>
          </w:tcPr>
          <w:p w14:paraId="6CA681E5" w14:textId="77777777" w:rsidR="004E78AF" w:rsidRPr="007703FB" w:rsidRDefault="004E78AF" w:rsidP="007703FB">
            <w:pPr>
              <w:kinsoku w:val="0"/>
              <w:overflowPunct w:val="0"/>
              <w:autoSpaceDE w:val="0"/>
              <w:autoSpaceDN w:val="0"/>
              <w:adjustRightInd w:val="0"/>
              <w:spacing w:line="222" w:lineRule="exact"/>
              <w:jc w:val="left"/>
              <w:rPr>
                <w:b/>
                <w:bCs/>
                <w:szCs w:val="22"/>
                <w:lang w:val="hr-HR"/>
              </w:rPr>
            </w:pPr>
            <w:r w:rsidRPr="007703FB">
              <w:rPr>
                <w:b/>
                <w:szCs w:val="22"/>
                <w:lang w:val="hr-HR"/>
              </w:rPr>
              <w:t>Poremećaji</w:t>
            </w:r>
            <w:r w:rsidRPr="007703FB">
              <w:rPr>
                <w:b/>
                <w:spacing w:val="-7"/>
                <w:szCs w:val="22"/>
                <w:lang w:val="hr-HR"/>
              </w:rPr>
              <w:t xml:space="preserve"> </w:t>
            </w:r>
            <w:r w:rsidRPr="007703FB">
              <w:rPr>
                <w:b/>
                <w:spacing w:val="-1"/>
                <w:szCs w:val="22"/>
                <w:lang w:val="hr-HR"/>
              </w:rPr>
              <w:t>bubrega</w:t>
            </w:r>
            <w:r w:rsidRPr="007703FB">
              <w:rPr>
                <w:b/>
                <w:spacing w:val="-8"/>
                <w:szCs w:val="22"/>
                <w:lang w:val="hr-HR"/>
              </w:rPr>
              <w:t xml:space="preserve"> </w:t>
            </w:r>
            <w:r w:rsidRPr="007703FB">
              <w:rPr>
                <w:b/>
                <w:szCs w:val="22"/>
                <w:lang w:val="hr-HR"/>
              </w:rPr>
              <w:t>i</w:t>
            </w:r>
            <w:r w:rsidRPr="007703FB">
              <w:rPr>
                <w:b/>
                <w:spacing w:val="-8"/>
                <w:szCs w:val="22"/>
                <w:lang w:val="hr-HR"/>
              </w:rPr>
              <w:t xml:space="preserve"> </w:t>
            </w:r>
            <w:r w:rsidRPr="007703FB">
              <w:rPr>
                <w:b/>
                <w:spacing w:val="-1"/>
                <w:szCs w:val="22"/>
                <w:lang w:val="hr-HR"/>
              </w:rPr>
              <w:t>urinarnog</w:t>
            </w:r>
            <w:r w:rsidRPr="007703FB">
              <w:rPr>
                <w:b/>
                <w:spacing w:val="-8"/>
                <w:szCs w:val="22"/>
                <w:lang w:val="hr-HR"/>
              </w:rPr>
              <w:t xml:space="preserve"> </w:t>
            </w:r>
            <w:r w:rsidRPr="007703FB">
              <w:rPr>
                <w:b/>
                <w:spacing w:val="-1"/>
                <w:szCs w:val="22"/>
                <w:lang w:val="hr-HR"/>
              </w:rPr>
              <w:t>trakta</w:t>
            </w:r>
          </w:p>
        </w:tc>
        <w:tc>
          <w:tcPr>
            <w:tcW w:w="1560" w:type="dxa"/>
            <w:tcBorders>
              <w:top w:val="single" w:sz="4" w:space="0" w:color="auto"/>
              <w:left w:val="single" w:sz="4" w:space="0" w:color="auto"/>
              <w:bottom w:val="single" w:sz="4" w:space="0" w:color="auto"/>
              <w:right w:val="single" w:sz="4" w:space="0" w:color="auto"/>
            </w:tcBorders>
          </w:tcPr>
          <w:p w14:paraId="4AD226D3" w14:textId="77777777" w:rsidR="004E78AF" w:rsidRPr="007703FB" w:rsidRDefault="004E78AF" w:rsidP="007703FB">
            <w:pPr>
              <w:tabs>
                <w:tab w:val="left" w:pos="7797"/>
              </w:tabs>
              <w:jc w:val="left"/>
              <w:rPr>
                <w:szCs w:val="22"/>
                <w:lang w:val="hr-HR"/>
              </w:rPr>
            </w:pPr>
            <w:r w:rsidRPr="007703FB">
              <w:rPr>
                <w:szCs w:val="22"/>
                <w:lang w:val="hr-HR"/>
              </w:rPr>
              <w:t>Česta</w:t>
            </w:r>
          </w:p>
        </w:tc>
        <w:tc>
          <w:tcPr>
            <w:tcW w:w="4065" w:type="dxa"/>
            <w:tcBorders>
              <w:top w:val="single" w:sz="4" w:space="0" w:color="auto"/>
              <w:left w:val="single" w:sz="4" w:space="0" w:color="auto"/>
              <w:right w:val="single" w:sz="4" w:space="0" w:color="auto"/>
            </w:tcBorders>
          </w:tcPr>
          <w:p w14:paraId="7B285792" w14:textId="77777777" w:rsidR="004E78AF" w:rsidRPr="007703FB" w:rsidRDefault="004E78AF" w:rsidP="007703FB">
            <w:pPr>
              <w:tabs>
                <w:tab w:val="left" w:pos="7797"/>
              </w:tabs>
              <w:jc w:val="left"/>
              <w:rPr>
                <w:szCs w:val="22"/>
                <w:lang w:val="hr-HR"/>
              </w:rPr>
            </w:pPr>
            <w:r w:rsidRPr="007703FB">
              <w:rPr>
                <w:szCs w:val="22"/>
                <w:lang w:val="hr-HR"/>
              </w:rPr>
              <w:t xml:space="preserve">proteinurija </w:t>
            </w:r>
          </w:p>
        </w:tc>
      </w:tr>
      <w:tr w:rsidR="004E78AF" w:rsidRPr="002E7D92" w14:paraId="5EB9F6BA" w14:textId="77777777" w:rsidTr="00847188">
        <w:trPr>
          <w:trHeight w:val="696"/>
        </w:trPr>
        <w:tc>
          <w:tcPr>
            <w:tcW w:w="2835" w:type="dxa"/>
            <w:vMerge/>
            <w:tcBorders>
              <w:left w:val="single" w:sz="4" w:space="0" w:color="auto"/>
              <w:bottom w:val="single" w:sz="4" w:space="0" w:color="auto"/>
              <w:right w:val="single" w:sz="4" w:space="0" w:color="auto"/>
            </w:tcBorders>
          </w:tcPr>
          <w:p w14:paraId="09373B07"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26E03A09"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left w:val="single" w:sz="4" w:space="0" w:color="auto"/>
              <w:bottom w:val="single" w:sz="4" w:space="0" w:color="auto"/>
              <w:right w:val="single" w:sz="4" w:space="0" w:color="auto"/>
            </w:tcBorders>
          </w:tcPr>
          <w:p w14:paraId="031F317B" w14:textId="77777777" w:rsidR="004E78AF" w:rsidRPr="007703FB" w:rsidRDefault="004E78AF" w:rsidP="007703FB">
            <w:pPr>
              <w:tabs>
                <w:tab w:val="left" w:pos="7797"/>
              </w:tabs>
              <w:jc w:val="left"/>
              <w:rPr>
                <w:szCs w:val="22"/>
                <w:lang w:val="hr-HR"/>
              </w:rPr>
            </w:pPr>
            <w:r w:rsidRPr="007703FB">
              <w:rPr>
                <w:szCs w:val="22"/>
                <w:lang w:val="hr-HR"/>
              </w:rPr>
              <w:t>nefrotski sindrom, intersticijalni nefritis, nefrolitijaza</w:t>
            </w:r>
            <w:r w:rsidRPr="007703FB">
              <w:rPr>
                <w:rStyle w:val="TableText12"/>
                <w:sz w:val="22"/>
                <w:szCs w:val="22"/>
                <w:lang w:val="hr-HR"/>
              </w:rPr>
              <w:t xml:space="preserve">*, </w:t>
            </w:r>
            <w:r w:rsidRPr="007703FB">
              <w:rPr>
                <w:szCs w:val="22"/>
                <w:lang w:val="hr-HR"/>
              </w:rPr>
              <w:t>hematurija, kristalurija</w:t>
            </w:r>
            <w:r w:rsidRPr="007703FB">
              <w:rPr>
                <w:szCs w:val="22"/>
                <w:vertAlign w:val="superscript"/>
                <w:lang w:val="hr-HR"/>
              </w:rPr>
              <w:t>†</w:t>
            </w:r>
          </w:p>
        </w:tc>
      </w:tr>
      <w:tr w:rsidR="004E78AF" w:rsidRPr="007703FB" w14:paraId="72E002DF" w14:textId="77777777" w:rsidTr="00847188">
        <w:trPr>
          <w:trHeight w:val="135"/>
        </w:trPr>
        <w:tc>
          <w:tcPr>
            <w:tcW w:w="2835" w:type="dxa"/>
            <w:tcBorders>
              <w:top w:val="single" w:sz="4" w:space="0" w:color="auto"/>
              <w:left w:val="single" w:sz="4" w:space="0" w:color="auto"/>
              <w:bottom w:val="single" w:sz="4" w:space="0" w:color="auto"/>
              <w:right w:val="single" w:sz="4" w:space="0" w:color="auto"/>
            </w:tcBorders>
          </w:tcPr>
          <w:p w14:paraId="1F3B1C82" w14:textId="77777777" w:rsidR="004E78AF" w:rsidRPr="007703FB" w:rsidRDefault="004E78AF" w:rsidP="007703FB">
            <w:pPr>
              <w:kinsoku w:val="0"/>
              <w:overflowPunct w:val="0"/>
              <w:autoSpaceDE w:val="0"/>
              <w:autoSpaceDN w:val="0"/>
              <w:adjustRightInd w:val="0"/>
              <w:spacing w:line="222" w:lineRule="exact"/>
              <w:jc w:val="left"/>
              <w:rPr>
                <w:b/>
                <w:bCs/>
                <w:szCs w:val="22"/>
                <w:lang w:val="hr-HR"/>
              </w:rPr>
            </w:pPr>
            <w:r w:rsidRPr="007703FB">
              <w:rPr>
                <w:b/>
                <w:szCs w:val="22"/>
                <w:lang w:val="hr-HR"/>
              </w:rPr>
              <w:t>Poremećaji</w:t>
            </w:r>
            <w:r w:rsidRPr="007703FB">
              <w:rPr>
                <w:b/>
                <w:spacing w:val="-9"/>
                <w:szCs w:val="22"/>
                <w:lang w:val="hr-HR"/>
              </w:rPr>
              <w:t xml:space="preserve"> </w:t>
            </w:r>
            <w:r w:rsidRPr="007703FB">
              <w:rPr>
                <w:b/>
                <w:spacing w:val="-1"/>
                <w:szCs w:val="22"/>
                <w:lang w:val="hr-HR"/>
              </w:rPr>
              <w:t>reproduktivnog</w:t>
            </w:r>
            <w:r w:rsidRPr="007703FB">
              <w:rPr>
                <w:b/>
                <w:spacing w:val="-9"/>
                <w:szCs w:val="22"/>
                <w:lang w:val="hr-HR"/>
              </w:rPr>
              <w:t xml:space="preserve"> </w:t>
            </w:r>
            <w:r w:rsidRPr="007703FB">
              <w:rPr>
                <w:b/>
                <w:spacing w:val="-1"/>
                <w:szCs w:val="22"/>
                <w:lang w:val="hr-HR"/>
              </w:rPr>
              <w:t>sistema</w:t>
            </w:r>
            <w:r w:rsidRPr="007703FB">
              <w:rPr>
                <w:b/>
                <w:spacing w:val="-8"/>
                <w:szCs w:val="22"/>
                <w:lang w:val="hr-HR"/>
              </w:rPr>
              <w:t xml:space="preserve"> </w:t>
            </w:r>
            <w:r w:rsidRPr="007703FB">
              <w:rPr>
                <w:b/>
                <w:szCs w:val="22"/>
                <w:lang w:val="hr-HR"/>
              </w:rPr>
              <w:t>i</w:t>
            </w:r>
            <w:r w:rsidRPr="007703FB">
              <w:rPr>
                <w:b/>
                <w:spacing w:val="-7"/>
                <w:szCs w:val="22"/>
                <w:lang w:val="hr-HR"/>
              </w:rPr>
              <w:t xml:space="preserve"> </w:t>
            </w:r>
            <w:r w:rsidRPr="007703FB">
              <w:rPr>
                <w:b/>
                <w:szCs w:val="22"/>
                <w:lang w:val="hr-HR"/>
              </w:rPr>
              <w:t>dojki</w:t>
            </w:r>
          </w:p>
        </w:tc>
        <w:tc>
          <w:tcPr>
            <w:tcW w:w="1560" w:type="dxa"/>
            <w:tcBorders>
              <w:top w:val="single" w:sz="4" w:space="0" w:color="auto"/>
              <w:left w:val="single" w:sz="4" w:space="0" w:color="auto"/>
              <w:bottom w:val="single" w:sz="4" w:space="0" w:color="auto"/>
              <w:right w:val="single" w:sz="4" w:space="0" w:color="auto"/>
            </w:tcBorders>
          </w:tcPr>
          <w:p w14:paraId="39C17707"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top w:val="single" w:sz="4" w:space="0" w:color="auto"/>
              <w:left w:val="single" w:sz="4" w:space="0" w:color="auto"/>
              <w:bottom w:val="single" w:sz="4" w:space="0" w:color="auto"/>
              <w:right w:val="single" w:sz="4" w:space="0" w:color="auto"/>
            </w:tcBorders>
          </w:tcPr>
          <w:p w14:paraId="4E000C2D" w14:textId="77777777" w:rsidR="004E78AF" w:rsidRPr="007703FB" w:rsidRDefault="004E78AF" w:rsidP="007703FB">
            <w:pPr>
              <w:tabs>
                <w:tab w:val="left" w:pos="7797"/>
              </w:tabs>
              <w:jc w:val="left"/>
              <w:rPr>
                <w:szCs w:val="22"/>
                <w:lang w:val="hr-HR"/>
              </w:rPr>
            </w:pPr>
            <w:r w:rsidRPr="007703FB">
              <w:rPr>
                <w:szCs w:val="22"/>
                <w:lang w:val="hr-HR"/>
              </w:rPr>
              <w:t>reverzibilna oligospermija</w:t>
            </w:r>
            <w:r w:rsidRPr="007703FB">
              <w:rPr>
                <w:rStyle w:val="TableText12"/>
                <w:sz w:val="22"/>
                <w:szCs w:val="22"/>
                <w:vertAlign w:val="superscript"/>
                <w:lang w:val="hr-HR"/>
              </w:rPr>
              <w:t>†</w:t>
            </w:r>
          </w:p>
        </w:tc>
      </w:tr>
      <w:tr w:rsidR="004E78AF" w:rsidRPr="007703FB" w14:paraId="121BB225" w14:textId="77777777" w:rsidTr="00847188">
        <w:trPr>
          <w:trHeight w:val="260"/>
        </w:trPr>
        <w:tc>
          <w:tcPr>
            <w:tcW w:w="2835" w:type="dxa"/>
            <w:vMerge w:val="restart"/>
            <w:tcBorders>
              <w:top w:val="single" w:sz="4" w:space="0" w:color="auto"/>
              <w:left w:val="single" w:sz="4" w:space="0" w:color="auto"/>
              <w:right w:val="single" w:sz="4" w:space="0" w:color="auto"/>
            </w:tcBorders>
          </w:tcPr>
          <w:p w14:paraId="16DB0DC4" w14:textId="77777777" w:rsidR="004E78AF" w:rsidRPr="007703FB" w:rsidRDefault="004E78AF" w:rsidP="007703FB">
            <w:pPr>
              <w:kinsoku w:val="0"/>
              <w:overflowPunct w:val="0"/>
              <w:autoSpaceDE w:val="0"/>
              <w:autoSpaceDN w:val="0"/>
              <w:adjustRightInd w:val="0"/>
              <w:spacing w:line="223" w:lineRule="exact"/>
              <w:jc w:val="left"/>
              <w:rPr>
                <w:b/>
                <w:bCs/>
                <w:szCs w:val="22"/>
                <w:lang w:val="hr-HR"/>
              </w:rPr>
            </w:pPr>
            <w:r w:rsidRPr="007703FB">
              <w:rPr>
                <w:b/>
                <w:szCs w:val="22"/>
                <w:lang w:val="hr-HR"/>
              </w:rPr>
              <w:t>Opšti</w:t>
            </w:r>
            <w:r w:rsidRPr="007703FB">
              <w:rPr>
                <w:b/>
                <w:spacing w:val="-7"/>
                <w:szCs w:val="22"/>
                <w:lang w:val="hr-HR"/>
              </w:rPr>
              <w:t xml:space="preserve"> </w:t>
            </w:r>
            <w:r w:rsidRPr="007703FB">
              <w:rPr>
                <w:b/>
                <w:szCs w:val="22"/>
                <w:lang w:val="hr-HR"/>
              </w:rPr>
              <w:t>poremećaji</w:t>
            </w:r>
            <w:r w:rsidRPr="007703FB">
              <w:rPr>
                <w:b/>
                <w:spacing w:val="-5"/>
                <w:szCs w:val="22"/>
                <w:lang w:val="hr-HR"/>
              </w:rPr>
              <w:t xml:space="preserve"> </w:t>
            </w:r>
            <w:r w:rsidRPr="007703FB">
              <w:rPr>
                <w:b/>
                <w:szCs w:val="22"/>
                <w:lang w:val="hr-HR"/>
              </w:rPr>
              <w:t>i</w:t>
            </w:r>
            <w:r w:rsidRPr="007703FB">
              <w:rPr>
                <w:b/>
                <w:spacing w:val="-6"/>
                <w:szCs w:val="22"/>
                <w:lang w:val="hr-HR"/>
              </w:rPr>
              <w:t xml:space="preserve"> </w:t>
            </w:r>
            <w:r w:rsidRPr="007703FB">
              <w:rPr>
                <w:b/>
                <w:szCs w:val="22"/>
                <w:lang w:val="hr-HR"/>
              </w:rPr>
              <w:t>reakcije</w:t>
            </w:r>
            <w:r w:rsidRPr="007703FB">
              <w:rPr>
                <w:b/>
                <w:spacing w:val="-6"/>
                <w:szCs w:val="22"/>
                <w:lang w:val="hr-HR"/>
              </w:rPr>
              <w:t xml:space="preserve"> </w:t>
            </w:r>
            <w:r w:rsidRPr="007703FB">
              <w:rPr>
                <w:b/>
                <w:spacing w:val="-1"/>
                <w:szCs w:val="22"/>
                <w:lang w:val="hr-HR"/>
              </w:rPr>
              <w:t>na</w:t>
            </w:r>
            <w:r w:rsidRPr="007703FB">
              <w:rPr>
                <w:b/>
                <w:spacing w:val="-5"/>
                <w:szCs w:val="22"/>
                <w:lang w:val="hr-HR"/>
              </w:rPr>
              <w:t xml:space="preserve"> </w:t>
            </w:r>
            <w:r w:rsidRPr="007703FB">
              <w:rPr>
                <w:b/>
                <w:spacing w:val="-1"/>
                <w:szCs w:val="22"/>
                <w:lang w:val="hr-HR"/>
              </w:rPr>
              <w:t>mjestu</w:t>
            </w:r>
            <w:r w:rsidRPr="007703FB">
              <w:rPr>
                <w:b/>
                <w:spacing w:val="-7"/>
                <w:szCs w:val="22"/>
                <w:lang w:val="hr-HR"/>
              </w:rPr>
              <w:t xml:space="preserve"> </w:t>
            </w:r>
            <w:r w:rsidRPr="007703FB">
              <w:rPr>
                <w:b/>
                <w:spacing w:val="-1"/>
                <w:szCs w:val="22"/>
                <w:lang w:val="hr-HR"/>
              </w:rPr>
              <w:t>primjene</w:t>
            </w:r>
          </w:p>
        </w:tc>
        <w:tc>
          <w:tcPr>
            <w:tcW w:w="1560" w:type="dxa"/>
            <w:tcBorders>
              <w:top w:val="single" w:sz="4" w:space="0" w:color="auto"/>
              <w:left w:val="single" w:sz="4" w:space="0" w:color="auto"/>
              <w:bottom w:val="single" w:sz="4" w:space="0" w:color="auto"/>
              <w:right w:val="single" w:sz="4" w:space="0" w:color="auto"/>
            </w:tcBorders>
          </w:tcPr>
          <w:p w14:paraId="6CABC947" w14:textId="77777777" w:rsidR="004E78AF" w:rsidRPr="007703FB" w:rsidRDefault="004E78AF" w:rsidP="007703FB">
            <w:pPr>
              <w:tabs>
                <w:tab w:val="left" w:pos="7797"/>
              </w:tabs>
              <w:jc w:val="left"/>
              <w:rPr>
                <w:szCs w:val="22"/>
                <w:lang w:val="hr-HR"/>
              </w:rPr>
            </w:pPr>
            <w:r w:rsidRPr="007703FB">
              <w:rPr>
                <w:szCs w:val="22"/>
                <w:lang w:val="hr-HR"/>
              </w:rPr>
              <w:t>Česta</w:t>
            </w:r>
          </w:p>
        </w:tc>
        <w:tc>
          <w:tcPr>
            <w:tcW w:w="4065" w:type="dxa"/>
            <w:tcBorders>
              <w:top w:val="single" w:sz="4" w:space="0" w:color="auto"/>
              <w:left w:val="single" w:sz="4" w:space="0" w:color="auto"/>
              <w:bottom w:val="single" w:sz="4" w:space="0" w:color="auto"/>
              <w:right w:val="single" w:sz="4" w:space="0" w:color="auto"/>
            </w:tcBorders>
          </w:tcPr>
          <w:p w14:paraId="1555A806" w14:textId="77777777" w:rsidR="004E78AF" w:rsidRPr="007703FB" w:rsidRDefault="004E78AF" w:rsidP="007703FB">
            <w:pPr>
              <w:tabs>
                <w:tab w:val="left" w:pos="7797"/>
              </w:tabs>
              <w:jc w:val="left"/>
              <w:rPr>
                <w:szCs w:val="22"/>
                <w:lang w:val="hr-HR"/>
              </w:rPr>
            </w:pPr>
            <w:r w:rsidRPr="007703FB">
              <w:rPr>
                <w:szCs w:val="22"/>
                <w:lang w:val="hr-HR"/>
              </w:rPr>
              <w:t>groznica</w:t>
            </w:r>
            <w:r w:rsidRPr="007703FB">
              <w:rPr>
                <w:rStyle w:val="TableText12"/>
                <w:sz w:val="22"/>
                <w:szCs w:val="22"/>
                <w:vertAlign w:val="superscript"/>
                <w:lang w:val="hr-HR"/>
              </w:rPr>
              <w:t xml:space="preserve">† </w:t>
            </w:r>
          </w:p>
        </w:tc>
      </w:tr>
      <w:tr w:rsidR="004E78AF" w:rsidRPr="007703FB" w14:paraId="0226F60A" w14:textId="77777777" w:rsidTr="00847188">
        <w:trPr>
          <w:trHeight w:val="252"/>
        </w:trPr>
        <w:tc>
          <w:tcPr>
            <w:tcW w:w="2835" w:type="dxa"/>
            <w:vMerge/>
            <w:tcBorders>
              <w:left w:val="single" w:sz="4" w:space="0" w:color="auto"/>
              <w:right w:val="single" w:sz="4" w:space="0" w:color="auto"/>
            </w:tcBorders>
          </w:tcPr>
          <w:p w14:paraId="4B8DDF40" w14:textId="77777777" w:rsidR="004E78AF" w:rsidRPr="007703FB" w:rsidRDefault="004E78AF" w:rsidP="007703FB">
            <w:pPr>
              <w:kinsoku w:val="0"/>
              <w:overflowPunct w:val="0"/>
              <w:autoSpaceDE w:val="0"/>
              <w:autoSpaceDN w:val="0"/>
              <w:adjustRightInd w:val="0"/>
              <w:spacing w:line="223"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1CBA81BA" w14:textId="77777777" w:rsidR="004E78AF" w:rsidRPr="007703FB" w:rsidRDefault="004E78AF" w:rsidP="007703FB">
            <w:pPr>
              <w:tabs>
                <w:tab w:val="left" w:pos="7797"/>
              </w:tabs>
              <w:jc w:val="left"/>
              <w:rPr>
                <w:szCs w:val="22"/>
                <w:lang w:val="hr-HR"/>
              </w:rPr>
            </w:pPr>
            <w:r w:rsidRPr="007703FB">
              <w:rPr>
                <w:szCs w:val="22"/>
                <w:lang w:val="hr-HR"/>
              </w:rPr>
              <w:t>Povremena</w:t>
            </w:r>
          </w:p>
        </w:tc>
        <w:tc>
          <w:tcPr>
            <w:tcW w:w="4065" w:type="dxa"/>
            <w:tcBorders>
              <w:top w:val="single" w:sz="4" w:space="0" w:color="auto"/>
              <w:left w:val="single" w:sz="4" w:space="0" w:color="auto"/>
              <w:bottom w:val="single" w:sz="4" w:space="0" w:color="auto"/>
              <w:right w:val="single" w:sz="4" w:space="0" w:color="auto"/>
            </w:tcBorders>
          </w:tcPr>
          <w:p w14:paraId="3A0F907E" w14:textId="77777777" w:rsidR="004E78AF" w:rsidRPr="007703FB" w:rsidRDefault="004E78AF" w:rsidP="007703FB">
            <w:pPr>
              <w:tabs>
                <w:tab w:val="left" w:pos="7797"/>
              </w:tabs>
              <w:jc w:val="left"/>
              <w:rPr>
                <w:szCs w:val="22"/>
                <w:lang w:val="hr-HR"/>
              </w:rPr>
            </w:pPr>
            <w:r w:rsidRPr="007703FB">
              <w:rPr>
                <w:szCs w:val="22"/>
                <w:lang w:val="hr-HR"/>
              </w:rPr>
              <w:t>edem lica</w:t>
            </w:r>
            <w:r w:rsidRPr="007703FB" w:rsidDel="004B2FFF">
              <w:rPr>
                <w:szCs w:val="22"/>
                <w:lang w:val="hr-HR"/>
              </w:rPr>
              <w:t xml:space="preserve"> </w:t>
            </w:r>
          </w:p>
        </w:tc>
      </w:tr>
      <w:tr w:rsidR="004E78AF" w:rsidRPr="002E7D92" w14:paraId="208122E7" w14:textId="77777777" w:rsidTr="00847188">
        <w:trPr>
          <w:trHeight w:val="750"/>
        </w:trPr>
        <w:tc>
          <w:tcPr>
            <w:tcW w:w="2835" w:type="dxa"/>
            <w:vMerge/>
            <w:tcBorders>
              <w:left w:val="single" w:sz="4" w:space="0" w:color="auto"/>
              <w:bottom w:val="single" w:sz="4" w:space="0" w:color="auto"/>
              <w:right w:val="single" w:sz="4" w:space="0" w:color="auto"/>
            </w:tcBorders>
          </w:tcPr>
          <w:p w14:paraId="2BB97CF4" w14:textId="77777777" w:rsidR="004E78AF" w:rsidRPr="007703FB" w:rsidRDefault="004E78AF" w:rsidP="007703FB">
            <w:pPr>
              <w:kinsoku w:val="0"/>
              <w:overflowPunct w:val="0"/>
              <w:autoSpaceDE w:val="0"/>
              <w:autoSpaceDN w:val="0"/>
              <w:adjustRightInd w:val="0"/>
              <w:spacing w:line="223"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05FB73A3"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top w:val="single" w:sz="4" w:space="0" w:color="auto"/>
              <w:left w:val="single" w:sz="4" w:space="0" w:color="auto"/>
              <w:bottom w:val="single" w:sz="4" w:space="0" w:color="auto"/>
              <w:right w:val="single" w:sz="4" w:space="0" w:color="auto"/>
            </w:tcBorders>
          </w:tcPr>
          <w:p w14:paraId="1A8FFA47" w14:textId="77777777" w:rsidR="004E78AF" w:rsidRPr="007703FB" w:rsidRDefault="004E78AF" w:rsidP="007703FB">
            <w:pPr>
              <w:tabs>
                <w:tab w:val="left" w:pos="7797"/>
              </w:tabs>
              <w:jc w:val="left"/>
              <w:rPr>
                <w:szCs w:val="22"/>
                <w:lang w:val="hr-HR"/>
              </w:rPr>
            </w:pPr>
            <w:r w:rsidRPr="007703FB">
              <w:rPr>
                <w:szCs w:val="22"/>
                <w:lang w:val="hr-HR"/>
              </w:rPr>
              <w:t>žuta prebojenost kože i tjelesnih tečnosti*, medikamentozna groznica, generalizovane kožne erupcije</w:t>
            </w:r>
            <w:r w:rsidRPr="007703FB" w:rsidDel="004B2FFF">
              <w:rPr>
                <w:szCs w:val="22"/>
                <w:lang w:val="hr-HR"/>
              </w:rPr>
              <w:t xml:space="preserve"> </w:t>
            </w:r>
          </w:p>
        </w:tc>
      </w:tr>
      <w:tr w:rsidR="004E78AF" w:rsidRPr="007703FB" w14:paraId="311A40AB" w14:textId="77777777" w:rsidTr="00847188">
        <w:trPr>
          <w:trHeight w:val="190"/>
        </w:trPr>
        <w:tc>
          <w:tcPr>
            <w:tcW w:w="2835" w:type="dxa"/>
            <w:vMerge w:val="restart"/>
            <w:tcBorders>
              <w:top w:val="single" w:sz="4" w:space="0" w:color="auto"/>
              <w:left w:val="single" w:sz="4" w:space="0" w:color="auto"/>
              <w:right w:val="single" w:sz="4" w:space="0" w:color="auto"/>
            </w:tcBorders>
          </w:tcPr>
          <w:p w14:paraId="1524B8BC"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r w:rsidRPr="007703FB">
              <w:rPr>
                <w:b/>
                <w:szCs w:val="22"/>
                <w:lang w:val="hr-HR"/>
              </w:rPr>
              <w:t>Ispitivanja</w:t>
            </w:r>
          </w:p>
        </w:tc>
        <w:tc>
          <w:tcPr>
            <w:tcW w:w="1560" w:type="dxa"/>
            <w:tcBorders>
              <w:top w:val="single" w:sz="4" w:space="0" w:color="auto"/>
              <w:left w:val="single" w:sz="4" w:space="0" w:color="auto"/>
              <w:bottom w:val="single" w:sz="4" w:space="0" w:color="auto"/>
              <w:right w:val="single" w:sz="4" w:space="0" w:color="auto"/>
            </w:tcBorders>
          </w:tcPr>
          <w:p w14:paraId="3CCFBC58" w14:textId="77777777" w:rsidR="004E78AF" w:rsidRPr="007703FB" w:rsidRDefault="004E78AF" w:rsidP="007703FB">
            <w:pPr>
              <w:tabs>
                <w:tab w:val="left" w:pos="7797"/>
              </w:tabs>
              <w:jc w:val="left"/>
              <w:rPr>
                <w:szCs w:val="22"/>
                <w:lang w:val="hr-HR"/>
              </w:rPr>
            </w:pPr>
            <w:r w:rsidRPr="007703FB">
              <w:rPr>
                <w:szCs w:val="22"/>
                <w:lang w:val="hr-HR"/>
              </w:rPr>
              <w:t>Povremena</w:t>
            </w:r>
          </w:p>
        </w:tc>
        <w:tc>
          <w:tcPr>
            <w:tcW w:w="4065" w:type="dxa"/>
            <w:tcBorders>
              <w:top w:val="single" w:sz="4" w:space="0" w:color="auto"/>
              <w:left w:val="single" w:sz="4" w:space="0" w:color="auto"/>
              <w:bottom w:val="single" w:sz="4" w:space="0" w:color="auto"/>
              <w:right w:val="single" w:sz="4" w:space="0" w:color="auto"/>
            </w:tcBorders>
          </w:tcPr>
          <w:p w14:paraId="087950B7" w14:textId="77777777" w:rsidR="004E78AF" w:rsidRPr="007703FB" w:rsidRDefault="004E78AF" w:rsidP="007703FB">
            <w:pPr>
              <w:tabs>
                <w:tab w:val="left" w:pos="7797"/>
              </w:tabs>
              <w:jc w:val="left"/>
              <w:rPr>
                <w:szCs w:val="22"/>
                <w:lang w:val="hr-HR"/>
              </w:rPr>
            </w:pPr>
            <w:r w:rsidRPr="007703FB">
              <w:rPr>
                <w:szCs w:val="22"/>
                <w:lang w:val="hr-HR"/>
              </w:rPr>
              <w:t xml:space="preserve">povećanje vrijednosti enzima jetre </w:t>
            </w:r>
          </w:p>
        </w:tc>
      </w:tr>
      <w:tr w:rsidR="004E78AF" w:rsidRPr="007703FB" w14:paraId="773CA400" w14:textId="77777777" w:rsidTr="00847188">
        <w:trPr>
          <w:trHeight w:val="395"/>
        </w:trPr>
        <w:tc>
          <w:tcPr>
            <w:tcW w:w="2835" w:type="dxa"/>
            <w:vMerge/>
            <w:tcBorders>
              <w:left w:val="single" w:sz="4" w:space="0" w:color="auto"/>
              <w:right w:val="single" w:sz="4" w:space="0" w:color="auto"/>
            </w:tcBorders>
          </w:tcPr>
          <w:p w14:paraId="572F9ED6" w14:textId="77777777" w:rsidR="004E78AF" w:rsidRPr="007703FB" w:rsidRDefault="004E78AF" w:rsidP="007703FB">
            <w:pPr>
              <w:kinsoku w:val="0"/>
              <w:overflowPunct w:val="0"/>
              <w:autoSpaceDE w:val="0"/>
              <w:autoSpaceDN w:val="0"/>
              <w:adjustRightInd w:val="0"/>
              <w:spacing w:line="222" w:lineRule="exact"/>
              <w:jc w:val="left"/>
              <w:rPr>
                <w:b/>
                <w:szCs w:val="22"/>
                <w:lang w:val="hr-HR"/>
              </w:rPr>
            </w:pPr>
          </w:p>
        </w:tc>
        <w:tc>
          <w:tcPr>
            <w:tcW w:w="1560" w:type="dxa"/>
            <w:tcBorders>
              <w:top w:val="single" w:sz="4" w:space="0" w:color="auto"/>
              <w:left w:val="single" w:sz="4" w:space="0" w:color="auto"/>
              <w:bottom w:val="single" w:sz="4" w:space="0" w:color="auto"/>
              <w:right w:val="single" w:sz="4" w:space="0" w:color="auto"/>
            </w:tcBorders>
          </w:tcPr>
          <w:p w14:paraId="58ED52DB" w14:textId="77777777" w:rsidR="004E78AF" w:rsidRPr="007703FB" w:rsidRDefault="004E78AF" w:rsidP="007703FB">
            <w:pPr>
              <w:tabs>
                <w:tab w:val="left" w:pos="7797"/>
              </w:tabs>
              <w:jc w:val="left"/>
              <w:rPr>
                <w:szCs w:val="22"/>
                <w:lang w:val="hr-HR"/>
              </w:rPr>
            </w:pPr>
            <w:r w:rsidRPr="007703FB">
              <w:rPr>
                <w:szCs w:val="22"/>
                <w:lang w:val="hr-HR"/>
              </w:rPr>
              <w:t>Nepoznata</w:t>
            </w:r>
          </w:p>
        </w:tc>
        <w:tc>
          <w:tcPr>
            <w:tcW w:w="4065" w:type="dxa"/>
            <w:tcBorders>
              <w:top w:val="single" w:sz="4" w:space="0" w:color="auto"/>
              <w:left w:val="single" w:sz="4" w:space="0" w:color="auto"/>
              <w:bottom w:val="single" w:sz="4" w:space="0" w:color="auto"/>
              <w:right w:val="single" w:sz="4" w:space="0" w:color="auto"/>
            </w:tcBorders>
          </w:tcPr>
          <w:p w14:paraId="2390709B" w14:textId="77777777" w:rsidR="004E78AF" w:rsidRPr="007703FB" w:rsidRDefault="004E78AF" w:rsidP="007703FB">
            <w:pPr>
              <w:tabs>
                <w:tab w:val="left" w:pos="7797"/>
              </w:tabs>
              <w:jc w:val="left"/>
              <w:rPr>
                <w:szCs w:val="22"/>
                <w:lang w:val="hr-HR"/>
              </w:rPr>
            </w:pPr>
            <w:r w:rsidRPr="007703FB">
              <w:rPr>
                <w:szCs w:val="22"/>
                <w:lang w:val="hr-HR"/>
              </w:rPr>
              <w:t>indukcija autoantitijela</w:t>
            </w:r>
          </w:p>
        </w:tc>
      </w:tr>
      <w:tr w:rsidR="00AD5BE0" w:rsidRPr="002E7D92" w14:paraId="3FBCE675" w14:textId="77777777" w:rsidTr="00847188">
        <w:trPr>
          <w:trHeight w:val="698"/>
        </w:trPr>
        <w:tc>
          <w:tcPr>
            <w:tcW w:w="8460" w:type="dxa"/>
            <w:gridSpan w:val="3"/>
            <w:tcBorders>
              <w:left w:val="single" w:sz="4" w:space="0" w:color="auto"/>
              <w:right w:val="single" w:sz="4" w:space="0" w:color="auto"/>
            </w:tcBorders>
          </w:tcPr>
          <w:p w14:paraId="2AF664C0" w14:textId="77777777" w:rsidR="00AD5BE0" w:rsidRPr="007703FB" w:rsidRDefault="00AD5BE0" w:rsidP="00AD5BE0">
            <w:pPr>
              <w:pStyle w:val="Header"/>
              <w:tabs>
                <w:tab w:val="left" w:pos="284"/>
              </w:tabs>
              <w:spacing w:before="60" w:after="60"/>
              <w:jc w:val="left"/>
              <w:rPr>
                <w:bCs/>
                <w:sz w:val="20"/>
                <w:szCs w:val="20"/>
                <w:lang w:val="hr-HR"/>
              </w:rPr>
            </w:pPr>
            <w:r w:rsidRPr="007703FB">
              <w:rPr>
                <w:bCs/>
                <w:sz w:val="20"/>
                <w:szCs w:val="20"/>
                <w:lang w:val="hr-HR"/>
              </w:rPr>
              <w:t>* neželjena dejstva koja su identifikovana nakon stavljanja lijeka u promet</w:t>
            </w:r>
          </w:p>
          <w:p w14:paraId="4983DAF0" w14:textId="7257222D" w:rsidR="00AD5BE0" w:rsidRPr="007703FB" w:rsidRDefault="00AD5BE0" w:rsidP="00AD5BE0">
            <w:pPr>
              <w:pStyle w:val="Header"/>
              <w:tabs>
                <w:tab w:val="left" w:pos="284"/>
              </w:tabs>
              <w:spacing w:before="60" w:after="60"/>
              <w:jc w:val="left"/>
              <w:rPr>
                <w:sz w:val="20"/>
                <w:szCs w:val="20"/>
                <w:lang w:val="hr-HR"/>
              </w:rPr>
            </w:pPr>
            <w:r w:rsidRPr="007703FB">
              <w:rPr>
                <w:sz w:val="20"/>
                <w:szCs w:val="20"/>
                <w:vertAlign w:val="superscript"/>
                <w:lang w:val="hr-HR"/>
              </w:rPr>
              <w:t>†</w:t>
            </w:r>
            <w:r w:rsidRPr="007703FB">
              <w:rPr>
                <w:sz w:val="20"/>
                <w:szCs w:val="20"/>
                <w:lang w:val="hr-HR"/>
              </w:rPr>
              <w:t xml:space="preserve"> vidjeti </w:t>
            </w:r>
            <w:r w:rsidR="009A4AA1">
              <w:rPr>
                <w:sz w:val="20"/>
                <w:szCs w:val="20"/>
                <w:lang w:val="hr-HR"/>
              </w:rPr>
              <w:t>di</w:t>
            </w:r>
            <w:r w:rsidRPr="007703FB">
              <w:rPr>
                <w:sz w:val="20"/>
                <w:szCs w:val="20"/>
                <w:lang w:val="hr-HR"/>
              </w:rPr>
              <w:t>o 4.4 Posebna upozorenja i mjere opreza pri upotrebi lijeka</w:t>
            </w:r>
          </w:p>
          <w:p w14:paraId="39F67A41" w14:textId="77777777" w:rsidR="00AD5BE0" w:rsidRPr="007703FB" w:rsidRDefault="00AD5BE0" w:rsidP="007703FB">
            <w:pPr>
              <w:tabs>
                <w:tab w:val="left" w:pos="7797"/>
              </w:tabs>
              <w:jc w:val="left"/>
              <w:rPr>
                <w:szCs w:val="22"/>
                <w:lang w:val="hr-HR"/>
              </w:rPr>
            </w:pPr>
          </w:p>
        </w:tc>
      </w:tr>
    </w:tbl>
    <w:p w14:paraId="45312D77" w14:textId="77777777" w:rsidR="00763457" w:rsidRPr="007703FB" w:rsidRDefault="00763457" w:rsidP="00763457">
      <w:pPr>
        <w:rPr>
          <w:color w:val="FF0000"/>
          <w:szCs w:val="22"/>
          <w:u w:val="single"/>
          <w:lang w:val="hr-HR"/>
        </w:rPr>
      </w:pPr>
    </w:p>
    <w:p w14:paraId="0AAA1782" w14:textId="77777777" w:rsidR="00E85184" w:rsidRPr="007703FB" w:rsidRDefault="00E85184" w:rsidP="00E85184">
      <w:pPr>
        <w:spacing w:after="200" w:line="276" w:lineRule="auto"/>
        <w:rPr>
          <w:rFonts w:eastAsia="Calibri"/>
          <w:szCs w:val="22"/>
          <w:u w:val="single"/>
          <w:lang w:val="hr-HR"/>
        </w:rPr>
      </w:pPr>
      <w:r w:rsidRPr="007703FB">
        <w:rPr>
          <w:rFonts w:eastAsia="Calibri"/>
          <w:szCs w:val="22"/>
          <w:u w:val="single"/>
          <w:lang w:val="hr-HR"/>
        </w:rPr>
        <w:t>Prijavljivanje sumnji na neželjena dejstva</w:t>
      </w:r>
    </w:p>
    <w:p w14:paraId="3A549192" w14:textId="26A16378" w:rsidR="00E85184" w:rsidRPr="007703FB" w:rsidRDefault="00E85184" w:rsidP="00AD5BE0">
      <w:pPr>
        <w:keepNext/>
        <w:keepLines/>
        <w:rPr>
          <w:szCs w:val="20"/>
          <w:lang w:val="hr-HR"/>
        </w:rPr>
      </w:pPr>
      <w:r w:rsidRPr="007703FB">
        <w:rPr>
          <w:rFonts w:eastAsia="Calibri"/>
          <w:szCs w:val="22"/>
          <w:lang w:val="hr-HR"/>
        </w:rPr>
        <w:t xml:space="preserve">Prijavljivanje neželjenih dejstava nakon dobijanja dozvole je od velikog značaja jer obezbjeđuje kontinuirano praćenje odnosa korist/rizik primjene lijeka. Zdravstveni radnici treba da prijave svaku sumnju na neželjeno dejstvo ovog lijeka </w:t>
      </w:r>
      <w:r w:rsidR="00AD5BE0" w:rsidRPr="007703FB">
        <w:rPr>
          <w:lang w:val="hr-HR"/>
        </w:rPr>
        <w:t>Institutu za ljekove i medicinska sredstva (CInMED):</w:t>
      </w:r>
    </w:p>
    <w:p w14:paraId="40F83B29" w14:textId="77777777" w:rsidR="00AD5BE0" w:rsidRPr="00847188" w:rsidRDefault="00AD5BE0" w:rsidP="00847188">
      <w:pPr>
        <w:keepNext/>
        <w:keepLines/>
        <w:rPr>
          <w:szCs w:val="20"/>
          <w:lang w:val="hr-HR"/>
        </w:rPr>
      </w:pPr>
    </w:p>
    <w:p w14:paraId="5F24B750" w14:textId="77777777" w:rsidR="00AD5BE0" w:rsidRPr="007703FB" w:rsidRDefault="00AD5BE0" w:rsidP="00AD5BE0">
      <w:pPr>
        <w:tabs>
          <w:tab w:val="center" w:pos="4536"/>
          <w:tab w:val="right" w:pos="9072"/>
        </w:tabs>
        <w:spacing w:before="120"/>
        <w:rPr>
          <w:bCs/>
          <w:szCs w:val="22"/>
          <w:lang w:val="hr-HR"/>
        </w:rPr>
      </w:pPr>
      <w:r w:rsidRPr="007703FB">
        <w:rPr>
          <w:lang w:val="hr-HR"/>
        </w:rPr>
        <w:t xml:space="preserve">Institut za ljekove i medicinska sredstva </w:t>
      </w:r>
    </w:p>
    <w:p w14:paraId="080BFDBA" w14:textId="77777777" w:rsidR="00E85184" w:rsidRPr="007703FB" w:rsidRDefault="00E85184" w:rsidP="00E85184">
      <w:pPr>
        <w:pStyle w:val="NoSpacing"/>
        <w:jc w:val="both"/>
        <w:rPr>
          <w:rFonts w:eastAsia="Calibri"/>
          <w:sz w:val="22"/>
          <w:lang w:val="hr-HR"/>
        </w:rPr>
      </w:pPr>
      <w:r w:rsidRPr="007703FB">
        <w:rPr>
          <w:rFonts w:eastAsia="Calibri"/>
          <w:sz w:val="22"/>
          <w:lang w:val="hr-HR"/>
        </w:rPr>
        <w:t>Odjeljenje za farmakovigilancu</w:t>
      </w:r>
    </w:p>
    <w:p w14:paraId="4F117168" w14:textId="77777777" w:rsidR="00E85184" w:rsidRPr="007703FB" w:rsidRDefault="00E85184" w:rsidP="00E85184">
      <w:pPr>
        <w:pStyle w:val="NoSpacing"/>
        <w:jc w:val="both"/>
        <w:rPr>
          <w:rFonts w:eastAsia="Calibri"/>
          <w:sz w:val="22"/>
          <w:lang w:val="hr-HR"/>
        </w:rPr>
      </w:pPr>
      <w:r w:rsidRPr="007703FB">
        <w:rPr>
          <w:rFonts w:eastAsia="Calibri"/>
          <w:sz w:val="22"/>
          <w:lang w:val="hr-HR"/>
        </w:rPr>
        <w:t>Bulevar Ivana Crnojevića 64a, 81000 Podgorica</w:t>
      </w:r>
    </w:p>
    <w:p w14:paraId="6B387C65" w14:textId="77777777" w:rsidR="00E85184" w:rsidRPr="007703FB" w:rsidRDefault="00E85184" w:rsidP="00E85184">
      <w:pPr>
        <w:pStyle w:val="NoSpacing"/>
        <w:rPr>
          <w:rFonts w:eastAsia="Calibri"/>
          <w:sz w:val="22"/>
          <w:lang w:val="hr-HR"/>
        </w:rPr>
      </w:pPr>
    </w:p>
    <w:p w14:paraId="710911D2" w14:textId="77777777" w:rsidR="00E85184" w:rsidRPr="007703FB" w:rsidRDefault="00E85184" w:rsidP="00E85184">
      <w:pPr>
        <w:pStyle w:val="NoSpacing"/>
        <w:jc w:val="both"/>
        <w:rPr>
          <w:rFonts w:eastAsia="Calibri"/>
          <w:sz w:val="22"/>
          <w:lang w:val="hr-HR"/>
        </w:rPr>
      </w:pPr>
      <w:r w:rsidRPr="007703FB">
        <w:rPr>
          <w:rFonts w:eastAsia="Calibri"/>
          <w:sz w:val="22"/>
          <w:lang w:val="hr-HR"/>
        </w:rPr>
        <w:t>tel: +382 (0) 20 310 280</w:t>
      </w:r>
    </w:p>
    <w:p w14:paraId="03FD8B1F" w14:textId="77777777" w:rsidR="00E85184" w:rsidRPr="007703FB" w:rsidRDefault="00E85184" w:rsidP="00E85184">
      <w:pPr>
        <w:pStyle w:val="NoSpacing"/>
        <w:jc w:val="both"/>
        <w:rPr>
          <w:rFonts w:eastAsia="Calibri"/>
          <w:sz w:val="22"/>
          <w:lang w:val="hr-HR"/>
        </w:rPr>
      </w:pPr>
      <w:r w:rsidRPr="007703FB">
        <w:rPr>
          <w:rFonts w:eastAsia="Calibri"/>
          <w:sz w:val="22"/>
          <w:lang w:val="hr-HR"/>
        </w:rPr>
        <w:t>fax: +382 (0) 20 310 581</w:t>
      </w:r>
    </w:p>
    <w:p w14:paraId="3B2BB545" w14:textId="77777777" w:rsidR="00AD5BE0" w:rsidRPr="007703FB" w:rsidRDefault="009A092C" w:rsidP="00AD5BE0">
      <w:pPr>
        <w:pStyle w:val="NoSpacing"/>
        <w:jc w:val="both"/>
        <w:rPr>
          <w:rFonts w:eastAsia="Calibri"/>
          <w:sz w:val="22"/>
          <w:szCs w:val="22"/>
          <w:lang w:val="hr-HR"/>
        </w:rPr>
      </w:pPr>
      <w:hyperlink r:id="rId8" w:history="1">
        <w:r w:rsidR="00AD5BE0" w:rsidRPr="007703FB">
          <w:rPr>
            <w:rStyle w:val="Hyperlink"/>
            <w:sz w:val="22"/>
            <w:lang w:val="hr-HR"/>
          </w:rPr>
          <w:t>www.cinmed.me</w:t>
        </w:r>
      </w:hyperlink>
    </w:p>
    <w:p w14:paraId="16D5EC24" w14:textId="77777777" w:rsidR="00AD5BE0" w:rsidRPr="007703FB" w:rsidRDefault="009A092C" w:rsidP="00AD5BE0">
      <w:pPr>
        <w:pStyle w:val="NoSpacing"/>
        <w:jc w:val="both"/>
        <w:rPr>
          <w:rFonts w:eastAsia="Calibri"/>
          <w:color w:val="0000FF"/>
          <w:sz w:val="22"/>
          <w:szCs w:val="22"/>
          <w:u w:val="single"/>
          <w:lang w:val="hr-HR"/>
        </w:rPr>
      </w:pPr>
      <w:hyperlink r:id="rId9" w:history="1">
        <w:r w:rsidR="00AD5BE0" w:rsidRPr="007703FB">
          <w:rPr>
            <w:rStyle w:val="Hyperlink"/>
            <w:sz w:val="22"/>
            <w:lang w:val="hr-HR"/>
          </w:rPr>
          <w:t>nezeljenadejstva@cinmed.me</w:t>
        </w:r>
      </w:hyperlink>
    </w:p>
    <w:p w14:paraId="479E0994" w14:textId="179A874E" w:rsidR="00E85184" w:rsidRDefault="00E85184" w:rsidP="00E85184">
      <w:pPr>
        <w:pStyle w:val="NoSpacing"/>
        <w:jc w:val="both"/>
        <w:rPr>
          <w:rFonts w:eastAsia="Calibri"/>
          <w:sz w:val="22"/>
          <w:lang w:val="hr-HR"/>
        </w:rPr>
      </w:pPr>
      <w:r w:rsidRPr="007703FB">
        <w:rPr>
          <w:rFonts w:eastAsia="Calibri"/>
          <w:sz w:val="22"/>
          <w:lang w:val="hr-HR"/>
        </w:rPr>
        <w:t>putem IS zdravstvene zaštite</w:t>
      </w:r>
    </w:p>
    <w:p w14:paraId="0766BD39" w14:textId="267A347A" w:rsidR="00490856" w:rsidRDefault="00490856" w:rsidP="00490856">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393BE185" w14:textId="77777777" w:rsidR="00490856" w:rsidRDefault="00490856" w:rsidP="00490856">
      <w:pPr>
        <w:pStyle w:val="NoSpacing"/>
        <w:jc w:val="both"/>
        <w:rPr>
          <w:rFonts w:eastAsia="Calibri"/>
          <w:sz w:val="22"/>
          <w:szCs w:val="22"/>
          <w:lang w:val="sr-Latn-RS"/>
        </w:rPr>
      </w:pPr>
    </w:p>
    <w:p w14:paraId="1E458092" w14:textId="354E9B01" w:rsidR="00490856" w:rsidRPr="007703FB" w:rsidRDefault="00A7115E" w:rsidP="00E85184">
      <w:pPr>
        <w:pStyle w:val="NoSpacing"/>
        <w:jc w:val="both"/>
        <w:rPr>
          <w:rFonts w:eastAsia="Calibri"/>
          <w:sz w:val="22"/>
          <w:lang w:val="hr-HR"/>
        </w:rPr>
      </w:pPr>
      <w:r w:rsidRPr="00A7115E">
        <w:rPr>
          <w:b/>
          <w:bCs/>
          <w:noProof/>
          <w:sz w:val="22"/>
          <w:szCs w:val="22"/>
        </w:rPr>
        <w:drawing>
          <wp:inline distT="0" distB="0" distL="0" distR="0" wp14:anchorId="6A7EFF2F" wp14:editId="2510940E">
            <wp:extent cx="980796" cy="97200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4E24AE2" w14:textId="49479DBA" w:rsidR="00CE09F3" w:rsidRDefault="00CE09F3" w:rsidP="00923865">
      <w:pPr>
        <w:rPr>
          <w:color w:val="FF0000"/>
          <w:szCs w:val="22"/>
          <w:lang w:val="hr-HR"/>
        </w:rPr>
      </w:pPr>
    </w:p>
    <w:p w14:paraId="5B7ABEF6" w14:textId="4DFA62C8" w:rsidR="00513268" w:rsidRDefault="00513268" w:rsidP="00923865">
      <w:pPr>
        <w:rPr>
          <w:color w:val="FF0000"/>
          <w:szCs w:val="22"/>
          <w:lang w:val="hr-HR"/>
        </w:rPr>
      </w:pPr>
    </w:p>
    <w:p w14:paraId="19AC6202" w14:textId="77777777" w:rsidR="00513268" w:rsidRPr="007703FB" w:rsidRDefault="00513268" w:rsidP="00923865">
      <w:pPr>
        <w:rPr>
          <w:color w:val="FF0000"/>
          <w:szCs w:val="22"/>
          <w:lang w:val="hr-HR"/>
        </w:rPr>
      </w:pPr>
    </w:p>
    <w:p w14:paraId="485F8AF4" w14:textId="095404BE" w:rsidR="00CE09F3" w:rsidRPr="007703FB" w:rsidRDefault="00CE09F3" w:rsidP="00923865">
      <w:pPr>
        <w:rPr>
          <w:b/>
          <w:bCs/>
          <w:szCs w:val="22"/>
          <w:lang w:val="hr-HR"/>
        </w:rPr>
      </w:pPr>
      <w:r w:rsidRPr="007703FB">
        <w:rPr>
          <w:b/>
          <w:bCs/>
          <w:szCs w:val="22"/>
          <w:lang w:val="hr-HR"/>
        </w:rPr>
        <w:lastRenderedPageBreak/>
        <w:t xml:space="preserve">4.9. </w:t>
      </w:r>
      <w:r w:rsidR="00AD5BE0" w:rsidRPr="007703FB">
        <w:rPr>
          <w:b/>
          <w:bCs/>
          <w:szCs w:val="22"/>
          <w:lang w:val="hr-HR"/>
        </w:rPr>
        <w:tab/>
      </w:r>
      <w:r w:rsidRPr="007703FB">
        <w:rPr>
          <w:b/>
          <w:bCs/>
          <w:szCs w:val="22"/>
          <w:lang w:val="hr-HR"/>
        </w:rPr>
        <w:t>Predoziranje</w:t>
      </w:r>
    </w:p>
    <w:p w14:paraId="14629E17" w14:textId="77777777" w:rsidR="00CE09F3" w:rsidRPr="007703FB" w:rsidRDefault="00CE09F3" w:rsidP="00923865">
      <w:pPr>
        <w:rPr>
          <w:color w:val="FF0000"/>
          <w:szCs w:val="22"/>
          <w:lang w:val="hr-HR"/>
        </w:rPr>
      </w:pPr>
    </w:p>
    <w:p w14:paraId="0E5C4E1C" w14:textId="239D4BD5" w:rsidR="00AD5BE0" w:rsidRPr="007703FB" w:rsidRDefault="00AD5BE0" w:rsidP="00AD5BE0">
      <w:pPr>
        <w:pStyle w:val="Default"/>
        <w:jc w:val="both"/>
        <w:rPr>
          <w:color w:val="auto"/>
          <w:sz w:val="22"/>
          <w:szCs w:val="22"/>
          <w:lang w:val="hr-HR"/>
        </w:rPr>
      </w:pPr>
      <w:r w:rsidRPr="007703FB">
        <w:rPr>
          <w:color w:val="auto"/>
          <w:sz w:val="22"/>
          <w:szCs w:val="22"/>
          <w:lang w:val="hr-HR"/>
        </w:rPr>
        <w:t xml:space="preserve">Najčešći simptomi predoziranja, slično kao i kod drugih sulfonamida, su mučnina i povraćanje. Pacijenti sa oštećenom funkcijom bubrega izloženi su većem riziku od ozbiljne toksičnosti. Liječenje je simptomatsko i treba da bude </w:t>
      </w:r>
      <w:r w:rsidR="00BA32D3">
        <w:rPr>
          <w:color w:val="auto"/>
          <w:sz w:val="22"/>
          <w:szCs w:val="22"/>
          <w:lang w:val="hr-HR"/>
        </w:rPr>
        <w:t>suportivno</w:t>
      </w:r>
      <w:r w:rsidRPr="007703FB">
        <w:rPr>
          <w:color w:val="auto"/>
          <w:sz w:val="22"/>
          <w:szCs w:val="22"/>
          <w:lang w:val="hr-HR"/>
        </w:rPr>
        <w:t>, uključujući alkalizaciju urina.</w:t>
      </w:r>
    </w:p>
    <w:p w14:paraId="062D32A9" w14:textId="77777777" w:rsidR="00AD5BE0" w:rsidRPr="007703FB" w:rsidRDefault="00AD5BE0" w:rsidP="00AD5BE0">
      <w:pPr>
        <w:pStyle w:val="Default"/>
        <w:jc w:val="both"/>
        <w:rPr>
          <w:color w:val="auto"/>
          <w:sz w:val="22"/>
          <w:szCs w:val="22"/>
          <w:lang w:val="hr-HR"/>
        </w:rPr>
      </w:pPr>
    </w:p>
    <w:p w14:paraId="0EFD3080" w14:textId="6472F561" w:rsidR="00AD5BE0" w:rsidRPr="007703FB" w:rsidRDefault="00AD5BE0">
      <w:pPr>
        <w:pStyle w:val="Default"/>
        <w:jc w:val="both"/>
        <w:rPr>
          <w:color w:val="auto"/>
          <w:sz w:val="22"/>
          <w:szCs w:val="22"/>
          <w:lang w:val="hr-HR"/>
        </w:rPr>
      </w:pPr>
      <w:r w:rsidRPr="007703FB">
        <w:rPr>
          <w:color w:val="auto"/>
          <w:sz w:val="22"/>
          <w:szCs w:val="22"/>
          <w:lang w:val="hr-HR"/>
        </w:rPr>
        <w:t>Pacijente treba p</w:t>
      </w:r>
      <w:r w:rsidR="00BA32D3">
        <w:rPr>
          <w:color w:val="auto"/>
          <w:sz w:val="22"/>
          <w:szCs w:val="22"/>
          <w:lang w:val="hr-HR"/>
        </w:rPr>
        <w:t>ratit</w:t>
      </w:r>
      <w:r w:rsidRPr="007703FB">
        <w:rPr>
          <w:color w:val="auto"/>
          <w:sz w:val="22"/>
          <w:szCs w:val="22"/>
          <w:lang w:val="hr-HR"/>
        </w:rPr>
        <w:t>i radi razvoja methemoglobinemije ili sulfahemoglobinemije. Ako dođe do ovih pojava, treba sprovesti odgovarajuće liječenje.</w:t>
      </w:r>
    </w:p>
    <w:p w14:paraId="58F3A874" w14:textId="04929A32" w:rsidR="00CF3B69" w:rsidRDefault="00CF3B69">
      <w:pPr>
        <w:pStyle w:val="CNaslov12boldlevi"/>
        <w:tabs>
          <w:tab w:val="left" w:pos="-720"/>
        </w:tabs>
        <w:suppressAutoHyphens/>
        <w:spacing w:after="0" w:line="240" w:lineRule="auto"/>
        <w:rPr>
          <w:rFonts w:ascii="Times New Roman" w:hAnsi="Times New Roman"/>
          <w:b w:val="0"/>
          <w:bCs/>
          <w:sz w:val="22"/>
          <w:szCs w:val="22"/>
          <w:lang w:val="hr-HR"/>
        </w:rPr>
      </w:pPr>
    </w:p>
    <w:p w14:paraId="0732181B" w14:textId="77777777" w:rsidR="00513268" w:rsidRPr="002E7D92" w:rsidRDefault="00513268" w:rsidP="002E7D92">
      <w:pPr>
        <w:rPr>
          <w:b/>
          <w:lang w:val="hr-HR"/>
        </w:rPr>
      </w:pPr>
    </w:p>
    <w:p w14:paraId="16925ECF" w14:textId="57B1DDED" w:rsidR="00CE09F3" w:rsidRPr="007703FB" w:rsidRDefault="00CE09F3" w:rsidP="002E7D92">
      <w:pPr>
        <w:pStyle w:val="NASLOV123"/>
        <w:tabs>
          <w:tab w:val="clear" w:pos="284"/>
          <w:tab w:val="left" w:pos="567"/>
        </w:tabs>
        <w:spacing w:before="0" w:after="0"/>
        <w:rPr>
          <w:lang w:val="hr-HR"/>
        </w:rPr>
      </w:pPr>
      <w:r w:rsidRPr="007703FB">
        <w:rPr>
          <w:lang w:val="hr-HR"/>
        </w:rPr>
        <w:t xml:space="preserve">5. </w:t>
      </w:r>
      <w:r w:rsidR="00AD5BE0" w:rsidRPr="007703FB">
        <w:rPr>
          <w:lang w:val="hr-HR"/>
        </w:rPr>
        <w:tab/>
      </w:r>
      <w:r w:rsidRPr="007703FB">
        <w:rPr>
          <w:lang w:val="hr-HR"/>
        </w:rPr>
        <w:t>FARMAKOLOŠKI PODACI</w:t>
      </w:r>
    </w:p>
    <w:p w14:paraId="7536F3E6" w14:textId="77777777" w:rsidR="00513268" w:rsidRDefault="00513268" w:rsidP="00AD5BE0">
      <w:pPr>
        <w:tabs>
          <w:tab w:val="left" w:pos="567"/>
        </w:tabs>
        <w:rPr>
          <w:b/>
          <w:bCs/>
          <w:szCs w:val="22"/>
          <w:lang w:val="hr-HR"/>
        </w:rPr>
      </w:pPr>
    </w:p>
    <w:p w14:paraId="084BD78F" w14:textId="776B94C3" w:rsidR="00CE09F3" w:rsidRPr="007703FB" w:rsidRDefault="00CE09F3" w:rsidP="00AD5BE0">
      <w:pPr>
        <w:tabs>
          <w:tab w:val="left" w:pos="567"/>
        </w:tabs>
        <w:rPr>
          <w:b/>
          <w:bCs/>
          <w:szCs w:val="22"/>
          <w:lang w:val="hr-HR"/>
        </w:rPr>
      </w:pPr>
      <w:r w:rsidRPr="007703FB">
        <w:rPr>
          <w:b/>
          <w:bCs/>
          <w:szCs w:val="22"/>
          <w:lang w:val="hr-HR"/>
        </w:rPr>
        <w:t xml:space="preserve">5.1. </w:t>
      </w:r>
      <w:r w:rsidR="00AD5BE0" w:rsidRPr="007703FB">
        <w:rPr>
          <w:b/>
          <w:bCs/>
          <w:szCs w:val="22"/>
          <w:lang w:val="hr-HR"/>
        </w:rPr>
        <w:tab/>
      </w:r>
      <w:r w:rsidRPr="007703FB">
        <w:rPr>
          <w:b/>
          <w:bCs/>
          <w:szCs w:val="22"/>
          <w:lang w:val="hr-HR"/>
        </w:rPr>
        <w:t>Farmakodinamski podaci</w:t>
      </w:r>
    </w:p>
    <w:p w14:paraId="609950CE" w14:textId="77777777" w:rsidR="00B07542" w:rsidRPr="007703FB" w:rsidRDefault="00B07542" w:rsidP="00923865">
      <w:pPr>
        <w:rPr>
          <w:b/>
          <w:bCs/>
          <w:szCs w:val="22"/>
          <w:lang w:val="hr-HR"/>
        </w:rPr>
      </w:pPr>
    </w:p>
    <w:p w14:paraId="74BDD017" w14:textId="77777777" w:rsidR="00CE09F3" w:rsidRPr="007703FB" w:rsidRDefault="00CE09F3" w:rsidP="00923865">
      <w:pPr>
        <w:rPr>
          <w:bCs/>
          <w:szCs w:val="22"/>
          <w:lang w:val="hr-HR"/>
        </w:rPr>
      </w:pPr>
      <w:r w:rsidRPr="00847188">
        <w:rPr>
          <w:szCs w:val="22"/>
          <w:lang w:val="hr-HR"/>
        </w:rPr>
        <w:t>Farmakoterapijska</w:t>
      </w:r>
      <w:r w:rsidRPr="007703FB">
        <w:rPr>
          <w:b/>
          <w:bCs/>
          <w:szCs w:val="22"/>
          <w:lang w:val="hr-HR"/>
        </w:rPr>
        <w:t xml:space="preserve"> </w:t>
      </w:r>
      <w:r w:rsidRPr="00847188">
        <w:rPr>
          <w:szCs w:val="22"/>
          <w:lang w:val="hr-HR"/>
        </w:rPr>
        <w:t>grupa:</w:t>
      </w:r>
      <w:r w:rsidR="006E1250" w:rsidRPr="007703FB">
        <w:rPr>
          <w:b/>
          <w:bCs/>
          <w:szCs w:val="22"/>
          <w:lang w:val="hr-HR"/>
        </w:rPr>
        <w:t xml:space="preserve"> </w:t>
      </w:r>
      <w:r w:rsidR="00847DE6" w:rsidRPr="007703FB">
        <w:rPr>
          <w:bCs/>
          <w:szCs w:val="22"/>
          <w:lang w:val="hr-HR"/>
        </w:rPr>
        <w:t>Intestinalni antiinflamatorni l</w:t>
      </w:r>
      <w:r w:rsidR="00580D68" w:rsidRPr="007703FB">
        <w:rPr>
          <w:bCs/>
          <w:szCs w:val="22"/>
          <w:lang w:val="hr-HR"/>
        </w:rPr>
        <w:t>j</w:t>
      </w:r>
      <w:r w:rsidR="00847DE6" w:rsidRPr="007703FB">
        <w:rPr>
          <w:bCs/>
          <w:szCs w:val="22"/>
          <w:lang w:val="hr-HR"/>
        </w:rPr>
        <w:t xml:space="preserve">ekovi, </w:t>
      </w:r>
      <w:r w:rsidR="00114357" w:rsidRPr="007703FB">
        <w:rPr>
          <w:spacing w:val="-3"/>
          <w:szCs w:val="22"/>
          <w:lang w:val="hr-HR"/>
        </w:rPr>
        <w:t>a</w:t>
      </w:r>
      <w:r w:rsidR="00026FDC" w:rsidRPr="007703FB">
        <w:rPr>
          <w:spacing w:val="-3"/>
          <w:szCs w:val="22"/>
          <w:lang w:val="hr-HR"/>
        </w:rPr>
        <w:t xml:space="preserve">minosalicilna kiselina i slični </w:t>
      </w:r>
      <w:r w:rsidR="00114357" w:rsidRPr="007703FB">
        <w:rPr>
          <w:spacing w:val="-3"/>
          <w:szCs w:val="22"/>
          <w:lang w:val="hr-HR"/>
        </w:rPr>
        <w:t>preparati</w:t>
      </w:r>
    </w:p>
    <w:p w14:paraId="30E4F9B8" w14:textId="77777777" w:rsidR="00CE09F3" w:rsidRPr="007703FB" w:rsidRDefault="00CE09F3" w:rsidP="00923865">
      <w:pPr>
        <w:rPr>
          <w:szCs w:val="22"/>
          <w:lang w:val="hr-HR"/>
        </w:rPr>
      </w:pPr>
    </w:p>
    <w:p w14:paraId="5B4CC8F5" w14:textId="77777777" w:rsidR="00CE09F3" w:rsidRPr="007703FB" w:rsidRDefault="0004172D" w:rsidP="00923865">
      <w:pPr>
        <w:rPr>
          <w:b/>
          <w:bCs/>
          <w:szCs w:val="22"/>
          <w:lang w:val="hr-HR"/>
        </w:rPr>
      </w:pPr>
      <w:r w:rsidRPr="00847188">
        <w:rPr>
          <w:szCs w:val="22"/>
          <w:lang w:val="hr-HR"/>
        </w:rPr>
        <w:t>ATC kod</w:t>
      </w:r>
      <w:r w:rsidR="00CE09F3" w:rsidRPr="00847188">
        <w:rPr>
          <w:szCs w:val="22"/>
          <w:lang w:val="hr-HR"/>
        </w:rPr>
        <w:t>:</w:t>
      </w:r>
      <w:r w:rsidR="00B07542" w:rsidRPr="007703FB">
        <w:rPr>
          <w:spacing w:val="-3"/>
          <w:szCs w:val="22"/>
          <w:lang w:val="hr-HR"/>
        </w:rPr>
        <w:t xml:space="preserve"> A07EC01</w:t>
      </w:r>
    </w:p>
    <w:p w14:paraId="2BC632ED" w14:textId="77777777" w:rsidR="00CE09F3" w:rsidRPr="007703FB" w:rsidRDefault="00CE09F3" w:rsidP="00754D73">
      <w:pPr>
        <w:rPr>
          <w:color w:val="FF0000"/>
          <w:szCs w:val="22"/>
          <w:lang w:val="hr-HR"/>
        </w:rPr>
      </w:pPr>
    </w:p>
    <w:p w14:paraId="6D9C725B" w14:textId="77777777" w:rsidR="00B07542" w:rsidRPr="007703FB" w:rsidRDefault="00B07542" w:rsidP="00754D73">
      <w:pPr>
        <w:tabs>
          <w:tab w:val="left" w:pos="-720"/>
        </w:tabs>
        <w:suppressAutoHyphens/>
        <w:rPr>
          <w:szCs w:val="22"/>
          <w:lang w:val="hr-HR"/>
        </w:rPr>
      </w:pPr>
      <w:r w:rsidRPr="007703FB">
        <w:rPr>
          <w:szCs w:val="22"/>
          <w:lang w:val="hr-HR"/>
        </w:rPr>
        <w:t>Sulfasalazin pos</w:t>
      </w:r>
      <w:r w:rsidR="00580D68" w:rsidRPr="007703FB">
        <w:rPr>
          <w:szCs w:val="22"/>
          <w:lang w:val="hr-HR"/>
        </w:rPr>
        <w:t>j</w:t>
      </w:r>
      <w:r w:rsidRPr="007703FB">
        <w:rPr>
          <w:szCs w:val="22"/>
          <w:lang w:val="hr-HR"/>
        </w:rPr>
        <w:t>eduje antiinflamatorn</w:t>
      </w:r>
      <w:r w:rsidR="00B557BD" w:rsidRPr="007703FB">
        <w:rPr>
          <w:szCs w:val="22"/>
          <w:lang w:val="hr-HR"/>
        </w:rPr>
        <w:t>o</w:t>
      </w:r>
      <w:r w:rsidRPr="007703FB">
        <w:rPr>
          <w:szCs w:val="22"/>
          <w:lang w:val="hr-HR"/>
        </w:rPr>
        <w:t>, imunosupresivn</w:t>
      </w:r>
      <w:r w:rsidR="00B557BD" w:rsidRPr="007703FB">
        <w:rPr>
          <w:szCs w:val="22"/>
          <w:lang w:val="hr-HR"/>
        </w:rPr>
        <w:t>o</w:t>
      </w:r>
      <w:r w:rsidRPr="007703FB">
        <w:rPr>
          <w:szCs w:val="22"/>
          <w:lang w:val="hr-HR"/>
        </w:rPr>
        <w:t xml:space="preserve"> i antibakterijsk</w:t>
      </w:r>
      <w:r w:rsidR="00B557BD" w:rsidRPr="007703FB">
        <w:rPr>
          <w:szCs w:val="22"/>
          <w:lang w:val="hr-HR"/>
        </w:rPr>
        <w:t>o</w:t>
      </w:r>
      <w:r w:rsidRPr="007703FB">
        <w:rPr>
          <w:szCs w:val="22"/>
          <w:lang w:val="hr-HR"/>
        </w:rPr>
        <w:t xml:space="preserve"> </w:t>
      </w:r>
      <w:r w:rsidR="00B557BD" w:rsidRPr="007703FB">
        <w:rPr>
          <w:szCs w:val="22"/>
          <w:lang w:val="hr-HR"/>
        </w:rPr>
        <w:t>dejstvo</w:t>
      </w:r>
      <w:r w:rsidRPr="007703FB">
        <w:rPr>
          <w:szCs w:val="22"/>
          <w:lang w:val="hr-HR"/>
        </w:rPr>
        <w:t xml:space="preserve"> i stoga se koristi za l</w:t>
      </w:r>
      <w:r w:rsidR="00580D68" w:rsidRPr="007703FB">
        <w:rPr>
          <w:szCs w:val="22"/>
          <w:lang w:val="hr-HR"/>
        </w:rPr>
        <w:t>ij</w:t>
      </w:r>
      <w:r w:rsidRPr="007703FB">
        <w:rPr>
          <w:szCs w:val="22"/>
          <w:lang w:val="hr-HR"/>
        </w:rPr>
        <w:t>ečenje zapaljenskih stanja, posebno mukoze cr</w:t>
      </w:r>
      <w:r w:rsidR="00580D68" w:rsidRPr="007703FB">
        <w:rPr>
          <w:szCs w:val="22"/>
          <w:lang w:val="hr-HR"/>
        </w:rPr>
        <w:t>ij</w:t>
      </w:r>
      <w:r w:rsidRPr="007703FB">
        <w:rPr>
          <w:szCs w:val="22"/>
          <w:lang w:val="hr-HR"/>
        </w:rPr>
        <w:t>eva i za terapiju aktivnog reumatoidnog artritisa.</w:t>
      </w:r>
    </w:p>
    <w:p w14:paraId="25DBF91B" w14:textId="77777777" w:rsidR="00B07542" w:rsidRPr="007703FB" w:rsidRDefault="00B07542" w:rsidP="00754D73">
      <w:pPr>
        <w:tabs>
          <w:tab w:val="left" w:pos="-720"/>
        </w:tabs>
        <w:suppressAutoHyphens/>
        <w:rPr>
          <w:color w:val="FF0000"/>
          <w:szCs w:val="22"/>
          <w:lang w:val="hr-HR"/>
        </w:rPr>
      </w:pPr>
    </w:p>
    <w:p w14:paraId="02F057F4" w14:textId="77777777" w:rsidR="00B07542" w:rsidRPr="007703FB" w:rsidRDefault="00B07542" w:rsidP="00754D73">
      <w:pPr>
        <w:widowControl w:val="0"/>
        <w:tabs>
          <w:tab w:val="clear" w:pos="284"/>
          <w:tab w:val="left" w:pos="-720"/>
        </w:tabs>
        <w:suppressAutoHyphens/>
        <w:rPr>
          <w:szCs w:val="22"/>
          <w:lang w:val="hr-HR"/>
        </w:rPr>
      </w:pPr>
      <w:r w:rsidRPr="007703FB">
        <w:rPr>
          <w:szCs w:val="22"/>
          <w:lang w:val="hr-HR"/>
        </w:rPr>
        <w:t>Mehanizam dejstva kod z</w:t>
      </w:r>
      <w:r w:rsidR="004A4CEA" w:rsidRPr="007703FB">
        <w:rPr>
          <w:szCs w:val="22"/>
          <w:lang w:val="hr-HR"/>
        </w:rPr>
        <w:t>apaljen</w:t>
      </w:r>
      <w:r w:rsidRPr="007703FB">
        <w:rPr>
          <w:szCs w:val="22"/>
          <w:lang w:val="hr-HR"/>
        </w:rPr>
        <w:t>skih bolesti cr</w:t>
      </w:r>
      <w:r w:rsidR="00580D68" w:rsidRPr="007703FB">
        <w:rPr>
          <w:szCs w:val="22"/>
          <w:lang w:val="hr-HR"/>
        </w:rPr>
        <w:t>ij</w:t>
      </w:r>
      <w:r w:rsidRPr="007703FB">
        <w:rPr>
          <w:szCs w:val="22"/>
          <w:lang w:val="hr-HR"/>
        </w:rPr>
        <w:t xml:space="preserve">eva: </w:t>
      </w:r>
      <w:r w:rsidR="00B557BD" w:rsidRPr="007703FB">
        <w:rPr>
          <w:szCs w:val="22"/>
          <w:lang w:val="hr-HR"/>
        </w:rPr>
        <w:t>g</w:t>
      </w:r>
      <w:r w:rsidRPr="007703FB">
        <w:rPr>
          <w:szCs w:val="22"/>
          <w:lang w:val="hr-HR"/>
        </w:rPr>
        <w:t>lavn</w:t>
      </w:r>
      <w:r w:rsidR="00B557BD" w:rsidRPr="007703FB">
        <w:rPr>
          <w:szCs w:val="22"/>
          <w:lang w:val="hr-HR"/>
        </w:rPr>
        <w:t>o</w:t>
      </w:r>
      <w:r w:rsidRPr="007703FB">
        <w:rPr>
          <w:szCs w:val="22"/>
          <w:lang w:val="hr-HR"/>
        </w:rPr>
        <w:t xml:space="preserve"> </w:t>
      </w:r>
      <w:r w:rsidR="00B557BD" w:rsidRPr="007703FB">
        <w:rPr>
          <w:szCs w:val="22"/>
          <w:lang w:val="hr-HR"/>
        </w:rPr>
        <w:t>dejstvo</w:t>
      </w:r>
      <w:r w:rsidRPr="007703FB">
        <w:rPr>
          <w:szCs w:val="22"/>
          <w:lang w:val="hr-HR"/>
        </w:rPr>
        <w:t xml:space="preserve"> sulfasalazina je antizapaljensk</w:t>
      </w:r>
      <w:r w:rsidR="00B557BD" w:rsidRPr="007703FB">
        <w:rPr>
          <w:szCs w:val="22"/>
          <w:lang w:val="hr-HR"/>
        </w:rPr>
        <w:t>o</w:t>
      </w:r>
      <w:r w:rsidRPr="007703FB">
        <w:rPr>
          <w:szCs w:val="22"/>
          <w:lang w:val="hr-HR"/>
        </w:rPr>
        <w:t xml:space="preserve"> zahvaljujući lokalno stvorenom mesalazinu. Dodatno, imunosupresivn</w:t>
      </w:r>
      <w:r w:rsidR="00B557BD" w:rsidRPr="007703FB">
        <w:rPr>
          <w:szCs w:val="22"/>
          <w:lang w:val="hr-HR"/>
        </w:rPr>
        <w:t>o dejstvo</w:t>
      </w:r>
      <w:r w:rsidRPr="007703FB">
        <w:rPr>
          <w:szCs w:val="22"/>
          <w:lang w:val="hr-HR"/>
        </w:rPr>
        <w:t xml:space="preserve"> je rezultat inhibicije metabolizma limfocita i granulocita isto kao i inhibicije različitih enzimskih sistema od strane sve tri komponente (sulfasalazin, sulfapiridin, mesalazin). Bakteriostatska aktivnost sulfapiridina koji se stvara lokalno u cr</w:t>
      </w:r>
      <w:r w:rsidR="00580D68" w:rsidRPr="007703FB">
        <w:rPr>
          <w:szCs w:val="22"/>
          <w:lang w:val="hr-HR"/>
        </w:rPr>
        <w:t>ij</w:t>
      </w:r>
      <w:r w:rsidRPr="007703FB">
        <w:rPr>
          <w:szCs w:val="22"/>
          <w:lang w:val="hr-HR"/>
        </w:rPr>
        <w:t>ev</w:t>
      </w:r>
      <w:r w:rsidR="00EC5F60" w:rsidRPr="007703FB">
        <w:rPr>
          <w:szCs w:val="22"/>
          <w:lang w:val="hr-HR"/>
        </w:rPr>
        <w:t>ima</w:t>
      </w:r>
      <w:r w:rsidRPr="007703FB">
        <w:rPr>
          <w:szCs w:val="22"/>
          <w:lang w:val="hr-HR"/>
        </w:rPr>
        <w:t xml:space="preserve"> takođe doprinosi ukupnom kliničkom </w:t>
      </w:r>
      <w:r w:rsidR="00B557BD" w:rsidRPr="007703FB">
        <w:rPr>
          <w:szCs w:val="22"/>
          <w:lang w:val="hr-HR"/>
        </w:rPr>
        <w:t>dejstvu</w:t>
      </w:r>
      <w:r w:rsidRPr="007703FB">
        <w:rPr>
          <w:szCs w:val="22"/>
          <w:lang w:val="hr-HR"/>
        </w:rPr>
        <w:t xml:space="preserve">. </w:t>
      </w:r>
      <w:r w:rsidR="00EC5F60" w:rsidRPr="007703FB">
        <w:rPr>
          <w:szCs w:val="22"/>
          <w:lang w:val="hr-HR"/>
        </w:rPr>
        <w:t>L</w:t>
      </w:r>
      <w:r w:rsidR="00580D68" w:rsidRPr="007703FB">
        <w:rPr>
          <w:szCs w:val="22"/>
          <w:lang w:val="hr-HR"/>
        </w:rPr>
        <w:t>ij</w:t>
      </w:r>
      <w:r w:rsidR="00EC5F60" w:rsidRPr="007703FB">
        <w:rPr>
          <w:szCs w:val="22"/>
          <w:lang w:val="hr-HR"/>
        </w:rPr>
        <w:t>ek</w:t>
      </w:r>
      <w:r w:rsidRPr="007703FB">
        <w:rPr>
          <w:szCs w:val="22"/>
          <w:lang w:val="hr-HR"/>
        </w:rPr>
        <w:t xml:space="preserve"> d</w:t>
      </w:r>
      <w:r w:rsidR="00580D68" w:rsidRPr="007703FB">
        <w:rPr>
          <w:szCs w:val="22"/>
          <w:lang w:val="hr-HR"/>
        </w:rPr>
        <w:t>j</w:t>
      </w:r>
      <w:r w:rsidRPr="007703FB">
        <w:rPr>
          <w:szCs w:val="22"/>
          <w:lang w:val="hr-HR"/>
        </w:rPr>
        <w:t>eluje kako na aerobnu tako i na anaerobnu bakterijsku floru.</w:t>
      </w:r>
    </w:p>
    <w:p w14:paraId="756B6325" w14:textId="77777777" w:rsidR="00AE064D" w:rsidRPr="007703FB" w:rsidRDefault="00B07542" w:rsidP="00754D73">
      <w:pPr>
        <w:pStyle w:val="Default"/>
        <w:jc w:val="both"/>
        <w:rPr>
          <w:color w:val="FF0000"/>
          <w:sz w:val="22"/>
          <w:szCs w:val="22"/>
          <w:lang w:val="hr-HR"/>
        </w:rPr>
      </w:pPr>
      <w:r w:rsidRPr="007703FB">
        <w:rPr>
          <w:color w:val="auto"/>
          <w:sz w:val="22"/>
          <w:szCs w:val="22"/>
          <w:lang w:val="hr-HR"/>
        </w:rPr>
        <w:t>Mehanizam dejstva kod reumatoidnog artritisa</w:t>
      </w:r>
      <w:r w:rsidR="00EC5F60" w:rsidRPr="007703FB">
        <w:rPr>
          <w:color w:val="auto"/>
          <w:sz w:val="22"/>
          <w:szCs w:val="22"/>
          <w:lang w:val="hr-HR"/>
        </w:rPr>
        <w:t xml:space="preserve"> n</w:t>
      </w:r>
      <w:r w:rsidRPr="007703FB">
        <w:rPr>
          <w:color w:val="auto"/>
          <w:sz w:val="22"/>
          <w:szCs w:val="22"/>
          <w:lang w:val="hr-HR"/>
        </w:rPr>
        <w:t>ije ustanovljen.</w:t>
      </w:r>
    </w:p>
    <w:p w14:paraId="33C7808C" w14:textId="77777777" w:rsidR="00AE064D" w:rsidRPr="007703FB" w:rsidRDefault="00AE064D" w:rsidP="00754D73">
      <w:pPr>
        <w:rPr>
          <w:color w:val="FF0000"/>
          <w:szCs w:val="22"/>
          <w:lang w:val="hr-HR"/>
        </w:rPr>
      </w:pPr>
    </w:p>
    <w:p w14:paraId="079B4950" w14:textId="3AFADF31" w:rsidR="00CE09F3" w:rsidRPr="007703FB" w:rsidRDefault="00CE09F3" w:rsidP="00923865">
      <w:pPr>
        <w:rPr>
          <w:b/>
          <w:bCs/>
          <w:szCs w:val="22"/>
          <w:lang w:val="hr-HR"/>
        </w:rPr>
      </w:pPr>
      <w:r w:rsidRPr="007703FB">
        <w:rPr>
          <w:b/>
          <w:bCs/>
          <w:szCs w:val="22"/>
          <w:lang w:val="hr-HR"/>
        </w:rPr>
        <w:t xml:space="preserve">5.2. </w:t>
      </w:r>
      <w:r w:rsidR="00AD5BE0" w:rsidRPr="007703FB">
        <w:rPr>
          <w:b/>
          <w:bCs/>
          <w:szCs w:val="22"/>
          <w:lang w:val="hr-HR"/>
        </w:rPr>
        <w:tab/>
      </w:r>
      <w:r w:rsidRPr="007703FB">
        <w:rPr>
          <w:b/>
          <w:bCs/>
          <w:szCs w:val="22"/>
          <w:lang w:val="hr-HR"/>
        </w:rPr>
        <w:t>Farmakokinetički podaci</w:t>
      </w:r>
    </w:p>
    <w:p w14:paraId="6B583C5B" w14:textId="77777777" w:rsidR="00D8713D" w:rsidRPr="007703FB" w:rsidRDefault="00D8713D" w:rsidP="00754D73">
      <w:pPr>
        <w:pStyle w:val="Default"/>
        <w:rPr>
          <w:color w:val="FF0000"/>
          <w:sz w:val="22"/>
          <w:szCs w:val="22"/>
          <w:lang w:val="hr-HR"/>
        </w:rPr>
      </w:pPr>
    </w:p>
    <w:p w14:paraId="3310550A" w14:textId="3CB4DB41" w:rsidR="00B07542" w:rsidRPr="007703FB" w:rsidRDefault="00B07542" w:rsidP="00754D73">
      <w:pPr>
        <w:tabs>
          <w:tab w:val="left" w:pos="-720"/>
          <w:tab w:val="left" w:pos="0"/>
        </w:tabs>
        <w:spacing w:line="264" w:lineRule="atLeast"/>
        <w:rPr>
          <w:szCs w:val="22"/>
          <w:lang w:val="hr-HR"/>
        </w:rPr>
      </w:pPr>
      <w:r w:rsidRPr="007703FB">
        <w:rPr>
          <w:szCs w:val="22"/>
          <w:lang w:val="hr-HR"/>
        </w:rPr>
        <w:t>Posle oralne prim</w:t>
      </w:r>
      <w:r w:rsidR="0077466B" w:rsidRPr="007703FB">
        <w:rPr>
          <w:szCs w:val="22"/>
          <w:lang w:val="hr-HR"/>
        </w:rPr>
        <w:t>j</w:t>
      </w:r>
      <w:r w:rsidRPr="007703FB">
        <w:rPr>
          <w:szCs w:val="22"/>
          <w:lang w:val="hr-HR"/>
        </w:rPr>
        <w:t>ene l</w:t>
      </w:r>
      <w:r w:rsidR="0077466B" w:rsidRPr="007703FB">
        <w:rPr>
          <w:szCs w:val="22"/>
          <w:lang w:val="hr-HR"/>
        </w:rPr>
        <w:t>ij</w:t>
      </w:r>
      <w:r w:rsidRPr="007703FB">
        <w:rPr>
          <w:szCs w:val="22"/>
          <w:lang w:val="hr-HR"/>
        </w:rPr>
        <w:t>ek se samo d</w:t>
      </w:r>
      <w:r w:rsidR="0077466B" w:rsidRPr="007703FB">
        <w:rPr>
          <w:szCs w:val="22"/>
          <w:lang w:val="hr-HR"/>
        </w:rPr>
        <w:t>j</w:t>
      </w:r>
      <w:r w:rsidRPr="007703FB">
        <w:rPr>
          <w:szCs w:val="22"/>
          <w:lang w:val="hr-HR"/>
        </w:rPr>
        <w:t>elimično resorbuje u tankom cr</w:t>
      </w:r>
      <w:r w:rsidR="0077466B" w:rsidRPr="007703FB">
        <w:rPr>
          <w:szCs w:val="22"/>
          <w:lang w:val="hr-HR"/>
        </w:rPr>
        <w:t>ij</w:t>
      </w:r>
      <w:r w:rsidRPr="007703FB">
        <w:rPr>
          <w:szCs w:val="22"/>
          <w:lang w:val="hr-HR"/>
        </w:rPr>
        <w:t>evu (</w:t>
      </w:r>
      <w:r w:rsidR="00497EDB" w:rsidRPr="007703FB">
        <w:rPr>
          <w:szCs w:val="22"/>
          <w:lang w:val="hr-HR"/>
        </w:rPr>
        <w:t xml:space="preserve">približno </w:t>
      </w:r>
      <w:r w:rsidRPr="007703FB">
        <w:rPr>
          <w:szCs w:val="22"/>
          <w:lang w:val="hr-HR"/>
        </w:rPr>
        <w:t>20% od date doze), a zatim se izlučuje putem enterohepatične cirkulacije. Maksimalna koncentracija l</w:t>
      </w:r>
      <w:r w:rsidR="0077466B" w:rsidRPr="007703FB">
        <w:rPr>
          <w:szCs w:val="22"/>
          <w:lang w:val="hr-HR"/>
        </w:rPr>
        <w:t>ij</w:t>
      </w:r>
      <w:r w:rsidRPr="007703FB">
        <w:rPr>
          <w:szCs w:val="22"/>
          <w:lang w:val="hr-HR"/>
        </w:rPr>
        <w:t xml:space="preserve">eka u </w:t>
      </w:r>
      <w:r w:rsidR="00497EDB" w:rsidRPr="007703FB">
        <w:rPr>
          <w:szCs w:val="22"/>
          <w:lang w:val="hr-HR"/>
        </w:rPr>
        <w:t>serumu</w:t>
      </w:r>
      <w:r w:rsidRPr="007703FB">
        <w:rPr>
          <w:szCs w:val="22"/>
          <w:lang w:val="hr-HR"/>
        </w:rPr>
        <w:t xml:space="preserve"> se postiže za 3 do 6 sati</w:t>
      </w:r>
      <w:r w:rsidR="00497EDB" w:rsidRPr="007703FB">
        <w:rPr>
          <w:szCs w:val="22"/>
          <w:lang w:val="hr-HR"/>
        </w:rPr>
        <w:t>, sa vezivanjem za proteine plazme od oko 99%.</w:t>
      </w:r>
      <w:r w:rsidRPr="007703FB">
        <w:rPr>
          <w:szCs w:val="22"/>
          <w:lang w:val="hr-HR"/>
        </w:rPr>
        <w:t xml:space="preserve"> Individualne razlike kada se upoređuju koncentracije l</w:t>
      </w:r>
      <w:r w:rsidR="0077466B" w:rsidRPr="007703FB">
        <w:rPr>
          <w:szCs w:val="22"/>
          <w:lang w:val="hr-HR"/>
        </w:rPr>
        <w:t>ij</w:t>
      </w:r>
      <w:r w:rsidRPr="007703FB">
        <w:rPr>
          <w:szCs w:val="22"/>
          <w:lang w:val="hr-HR"/>
        </w:rPr>
        <w:t>eka u serumu su velike. L</w:t>
      </w:r>
      <w:r w:rsidR="0077466B" w:rsidRPr="007703FB">
        <w:rPr>
          <w:szCs w:val="22"/>
          <w:lang w:val="hr-HR"/>
        </w:rPr>
        <w:t>ij</w:t>
      </w:r>
      <w:r w:rsidRPr="007703FB">
        <w:rPr>
          <w:szCs w:val="22"/>
          <w:lang w:val="hr-HR"/>
        </w:rPr>
        <w:t>ek ima relativno mali potencijal akumulacije u organizmu, tako da se 24 sata posl</w:t>
      </w:r>
      <w:r w:rsidR="00BA32D3">
        <w:rPr>
          <w:szCs w:val="22"/>
          <w:lang w:val="hr-HR"/>
        </w:rPr>
        <w:t>ij</w:t>
      </w:r>
      <w:r w:rsidRPr="007703FB">
        <w:rPr>
          <w:szCs w:val="22"/>
          <w:lang w:val="hr-HR"/>
        </w:rPr>
        <w:t>e pojedinačne prim</w:t>
      </w:r>
      <w:r w:rsidR="0077466B" w:rsidRPr="007703FB">
        <w:rPr>
          <w:szCs w:val="22"/>
          <w:lang w:val="hr-HR"/>
        </w:rPr>
        <w:t>j</w:t>
      </w:r>
      <w:r w:rsidRPr="007703FB">
        <w:rPr>
          <w:szCs w:val="22"/>
          <w:lang w:val="hr-HR"/>
        </w:rPr>
        <w:t xml:space="preserve">ene </w:t>
      </w:r>
      <w:r w:rsidR="00DE2BEC" w:rsidRPr="007703FB">
        <w:rPr>
          <w:szCs w:val="22"/>
          <w:lang w:val="hr-HR"/>
        </w:rPr>
        <w:t xml:space="preserve">sulfasalazina </w:t>
      </w:r>
      <w:r w:rsidRPr="007703FB">
        <w:rPr>
          <w:szCs w:val="22"/>
          <w:lang w:val="hr-HR"/>
        </w:rPr>
        <w:t>mogu registrovati samo minimalne koncentracije l</w:t>
      </w:r>
      <w:r w:rsidR="0077466B" w:rsidRPr="007703FB">
        <w:rPr>
          <w:szCs w:val="22"/>
          <w:lang w:val="hr-HR"/>
        </w:rPr>
        <w:t>ij</w:t>
      </w:r>
      <w:r w:rsidRPr="007703FB">
        <w:rPr>
          <w:szCs w:val="22"/>
          <w:lang w:val="hr-HR"/>
        </w:rPr>
        <w:t>eka u serumu. Samo mali procent pojedinačne doze se izlučuje urinom.</w:t>
      </w:r>
    </w:p>
    <w:p w14:paraId="149B1C5B" w14:textId="77777777" w:rsidR="00B07542" w:rsidRPr="007703FB" w:rsidRDefault="00B07542" w:rsidP="00754D73">
      <w:pPr>
        <w:tabs>
          <w:tab w:val="left" w:pos="-720"/>
          <w:tab w:val="left" w:pos="0"/>
        </w:tabs>
        <w:rPr>
          <w:szCs w:val="22"/>
          <w:lang w:val="hr-HR"/>
        </w:rPr>
      </w:pPr>
    </w:p>
    <w:p w14:paraId="1D9B799F" w14:textId="571367C7" w:rsidR="00B07542" w:rsidRPr="007703FB" w:rsidRDefault="00B07542" w:rsidP="00754D73">
      <w:pPr>
        <w:tabs>
          <w:tab w:val="left" w:pos="-720"/>
          <w:tab w:val="left" w:pos="0"/>
        </w:tabs>
        <w:spacing w:line="264" w:lineRule="atLeast"/>
        <w:rPr>
          <w:szCs w:val="22"/>
          <w:lang w:val="hr-HR"/>
        </w:rPr>
      </w:pPr>
      <w:r w:rsidRPr="007703FB">
        <w:rPr>
          <w:szCs w:val="22"/>
          <w:lang w:val="hr-HR"/>
        </w:rPr>
        <w:t>Sulfasalazin se uz pomoć cr</w:t>
      </w:r>
      <w:r w:rsidR="0077466B" w:rsidRPr="007703FB">
        <w:rPr>
          <w:szCs w:val="22"/>
          <w:lang w:val="hr-HR"/>
        </w:rPr>
        <w:t>ij</w:t>
      </w:r>
      <w:r w:rsidRPr="007703FB">
        <w:rPr>
          <w:szCs w:val="22"/>
          <w:lang w:val="hr-HR"/>
        </w:rPr>
        <w:t>evnih bakterija kolona razgrađuje na dva glavna metabolita, sulfapiridin i mesalazin (5-aminosalicilna kiselina). Sulfapiridin se brzo resorbuje, d</w:t>
      </w:r>
      <w:r w:rsidR="0077466B" w:rsidRPr="007703FB">
        <w:rPr>
          <w:szCs w:val="22"/>
          <w:lang w:val="hr-HR"/>
        </w:rPr>
        <w:t>j</w:t>
      </w:r>
      <w:r w:rsidRPr="007703FB">
        <w:rPr>
          <w:szCs w:val="22"/>
          <w:lang w:val="hr-HR"/>
        </w:rPr>
        <w:t>elimično metaboliše u jetri do neaktivnog acetilsulfapiridina i u najvećoj m</w:t>
      </w:r>
      <w:r w:rsidR="0077466B" w:rsidRPr="007703FB">
        <w:rPr>
          <w:szCs w:val="22"/>
          <w:lang w:val="hr-HR"/>
        </w:rPr>
        <w:t>j</w:t>
      </w:r>
      <w:r w:rsidRPr="007703FB">
        <w:rPr>
          <w:szCs w:val="22"/>
          <w:lang w:val="hr-HR"/>
        </w:rPr>
        <w:t>eri izlučuje urinom. Neacetilovani sulfapiridin se d</w:t>
      </w:r>
      <w:r w:rsidR="0077466B" w:rsidRPr="007703FB">
        <w:rPr>
          <w:szCs w:val="22"/>
          <w:lang w:val="hr-HR"/>
        </w:rPr>
        <w:t>j</w:t>
      </w:r>
      <w:r w:rsidRPr="007703FB">
        <w:rPr>
          <w:szCs w:val="22"/>
          <w:lang w:val="hr-HR"/>
        </w:rPr>
        <w:t>elimično veže za proteine seruma i dostiže maksimalne koncentracije u serumu posle 12 sati. Sulfapiridin ispoljava izv</w:t>
      </w:r>
      <w:r w:rsidR="00BA32D3">
        <w:rPr>
          <w:szCs w:val="22"/>
          <w:lang w:val="hr-HR"/>
        </w:rPr>
        <w:t>j</w:t>
      </w:r>
      <w:r w:rsidRPr="007703FB">
        <w:rPr>
          <w:szCs w:val="22"/>
          <w:lang w:val="hr-HR"/>
        </w:rPr>
        <w:t>esne tendencije ka akumulaciji tako da</w:t>
      </w:r>
      <w:r w:rsidR="00C02057" w:rsidRPr="007703FB">
        <w:rPr>
          <w:szCs w:val="22"/>
          <w:lang w:val="hr-HR"/>
        </w:rPr>
        <w:t xml:space="preserve"> tek</w:t>
      </w:r>
      <w:r w:rsidRPr="007703FB">
        <w:rPr>
          <w:szCs w:val="22"/>
          <w:lang w:val="hr-HR"/>
        </w:rPr>
        <w:t xml:space="preserve"> 3. dana po prestanku uzimanja</w:t>
      </w:r>
      <w:r w:rsidR="00C02057" w:rsidRPr="007703FB">
        <w:rPr>
          <w:szCs w:val="22"/>
          <w:lang w:val="hr-HR"/>
        </w:rPr>
        <w:t xml:space="preserve"> </w:t>
      </w:r>
      <w:r w:rsidR="007D4F60" w:rsidRPr="007703FB">
        <w:rPr>
          <w:szCs w:val="22"/>
          <w:lang w:val="hr-HR"/>
        </w:rPr>
        <w:t xml:space="preserve">potpuno </w:t>
      </w:r>
      <w:r w:rsidR="00C02057" w:rsidRPr="007703FB">
        <w:rPr>
          <w:szCs w:val="22"/>
          <w:lang w:val="hr-HR"/>
        </w:rPr>
        <w:t>nestaju koncentracije l</w:t>
      </w:r>
      <w:r w:rsidR="0077466B" w:rsidRPr="007703FB">
        <w:rPr>
          <w:szCs w:val="22"/>
          <w:lang w:val="hr-HR"/>
        </w:rPr>
        <w:t>ij</w:t>
      </w:r>
      <w:r w:rsidR="00C02057" w:rsidRPr="007703FB">
        <w:rPr>
          <w:szCs w:val="22"/>
          <w:lang w:val="hr-HR"/>
        </w:rPr>
        <w:t>eka u serumu</w:t>
      </w:r>
      <w:r w:rsidRPr="007703FB">
        <w:rPr>
          <w:szCs w:val="22"/>
          <w:lang w:val="hr-HR"/>
        </w:rPr>
        <w:t>.</w:t>
      </w:r>
    </w:p>
    <w:p w14:paraId="709582D4" w14:textId="77777777" w:rsidR="00B07542" w:rsidRPr="007703FB" w:rsidRDefault="00B07542" w:rsidP="00754D73">
      <w:pPr>
        <w:tabs>
          <w:tab w:val="left" w:pos="-720"/>
          <w:tab w:val="left" w:pos="0"/>
        </w:tabs>
        <w:spacing w:line="264" w:lineRule="atLeast"/>
        <w:rPr>
          <w:color w:val="FF0000"/>
          <w:szCs w:val="22"/>
          <w:lang w:val="hr-HR"/>
        </w:rPr>
      </w:pPr>
    </w:p>
    <w:p w14:paraId="32C8F674" w14:textId="77777777" w:rsidR="000D7CD4" w:rsidRPr="007703FB" w:rsidRDefault="00B07542" w:rsidP="00754D73">
      <w:pPr>
        <w:pStyle w:val="Default"/>
        <w:jc w:val="both"/>
        <w:rPr>
          <w:color w:val="auto"/>
          <w:sz w:val="22"/>
          <w:szCs w:val="22"/>
          <w:lang w:val="hr-HR"/>
        </w:rPr>
      </w:pPr>
      <w:r w:rsidRPr="007703FB">
        <w:rPr>
          <w:color w:val="auto"/>
          <w:sz w:val="22"/>
          <w:szCs w:val="22"/>
          <w:lang w:val="hr-HR"/>
        </w:rPr>
        <w:t xml:space="preserve">Stepen acetilacije sulfapiridina je genetski uslovljen. Pacijenti sa sporom acetilacijom imaju </w:t>
      </w:r>
      <w:r w:rsidR="000D7CD4" w:rsidRPr="007703FB">
        <w:rPr>
          <w:color w:val="auto"/>
          <w:sz w:val="22"/>
          <w:szCs w:val="22"/>
          <w:lang w:val="hr-HR"/>
        </w:rPr>
        <w:t>veće</w:t>
      </w:r>
      <w:r w:rsidRPr="007703FB">
        <w:rPr>
          <w:color w:val="auto"/>
          <w:sz w:val="22"/>
          <w:szCs w:val="22"/>
          <w:lang w:val="hr-HR"/>
        </w:rPr>
        <w:t xml:space="preserve"> koncentracije slobodnog sulfapiridina u serumu i stoga imaju veću tendenciju ka ispoljavanju neželjenih dejsta</w:t>
      </w:r>
      <w:r w:rsidR="00754D73" w:rsidRPr="007703FB">
        <w:rPr>
          <w:color w:val="auto"/>
          <w:sz w:val="22"/>
          <w:szCs w:val="22"/>
          <w:lang w:val="hr-HR"/>
        </w:rPr>
        <w:t xml:space="preserve">va. </w:t>
      </w:r>
    </w:p>
    <w:p w14:paraId="62A3884B" w14:textId="77777777" w:rsidR="000D7CD4" w:rsidRPr="007703FB" w:rsidRDefault="000D7CD4" w:rsidP="00754D73">
      <w:pPr>
        <w:pStyle w:val="Default"/>
        <w:jc w:val="both"/>
        <w:rPr>
          <w:color w:val="auto"/>
          <w:sz w:val="22"/>
          <w:szCs w:val="22"/>
          <w:lang w:val="hr-HR"/>
        </w:rPr>
      </w:pPr>
    </w:p>
    <w:p w14:paraId="36B0A261" w14:textId="293C83A0" w:rsidR="00D8713D" w:rsidRPr="007703FB" w:rsidRDefault="00B07542" w:rsidP="00754D73">
      <w:pPr>
        <w:pStyle w:val="Default"/>
        <w:jc w:val="both"/>
        <w:rPr>
          <w:color w:val="auto"/>
          <w:sz w:val="22"/>
          <w:szCs w:val="22"/>
          <w:lang w:val="hr-HR"/>
        </w:rPr>
      </w:pPr>
      <w:r w:rsidRPr="007703FB">
        <w:rPr>
          <w:color w:val="auto"/>
          <w:sz w:val="22"/>
          <w:szCs w:val="22"/>
          <w:lang w:val="hr-HR"/>
        </w:rPr>
        <w:t xml:space="preserve">Mesalazin (5-aminosalicilna kiselina) se resorbuje u manjem stepenu, a koncentracije u serumu iznose približno 1 </w:t>
      </w:r>
      <w:r w:rsidR="000D7CD4" w:rsidRPr="007703FB">
        <w:rPr>
          <w:color w:val="auto"/>
          <w:sz w:val="22"/>
          <w:szCs w:val="22"/>
          <w:lang w:val="hr-HR"/>
        </w:rPr>
        <w:t>mikrogram</w:t>
      </w:r>
      <w:r w:rsidR="0077466B" w:rsidRPr="007703FB">
        <w:rPr>
          <w:color w:val="auto"/>
          <w:sz w:val="22"/>
          <w:szCs w:val="22"/>
          <w:lang w:val="hr-HR"/>
        </w:rPr>
        <w:t>/ml</w:t>
      </w:r>
      <w:r w:rsidRPr="007703FB">
        <w:rPr>
          <w:color w:val="auto"/>
          <w:sz w:val="22"/>
          <w:szCs w:val="22"/>
          <w:lang w:val="hr-HR"/>
        </w:rPr>
        <w:t xml:space="preserve">. </w:t>
      </w:r>
      <w:r w:rsidR="00EC5F60" w:rsidRPr="007703FB">
        <w:rPr>
          <w:color w:val="auto"/>
          <w:sz w:val="22"/>
          <w:szCs w:val="22"/>
          <w:lang w:val="hr-HR"/>
        </w:rPr>
        <w:t>Petnaest procenata (</w:t>
      </w:r>
      <w:r w:rsidRPr="007703FB">
        <w:rPr>
          <w:color w:val="auto"/>
          <w:sz w:val="22"/>
          <w:szCs w:val="22"/>
          <w:lang w:val="hr-HR"/>
        </w:rPr>
        <w:t>15%</w:t>
      </w:r>
      <w:r w:rsidR="00EC5F60" w:rsidRPr="007703FB">
        <w:rPr>
          <w:color w:val="auto"/>
          <w:sz w:val="22"/>
          <w:szCs w:val="22"/>
          <w:lang w:val="hr-HR"/>
        </w:rPr>
        <w:t>)</w:t>
      </w:r>
      <w:r w:rsidRPr="007703FB">
        <w:rPr>
          <w:color w:val="auto"/>
          <w:sz w:val="22"/>
          <w:szCs w:val="22"/>
          <w:lang w:val="hr-HR"/>
        </w:rPr>
        <w:t xml:space="preserve"> od unete doze se eliminiše urinom. Glavni d</w:t>
      </w:r>
      <w:r w:rsidR="00BA32D3">
        <w:rPr>
          <w:color w:val="auto"/>
          <w:sz w:val="22"/>
          <w:szCs w:val="22"/>
          <w:lang w:val="hr-HR"/>
        </w:rPr>
        <w:t>i</w:t>
      </w:r>
      <w:r w:rsidRPr="007703FB">
        <w:rPr>
          <w:color w:val="auto"/>
          <w:sz w:val="22"/>
          <w:szCs w:val="22"/>
          <w:lang w:val="hr-HR"/>
        </w:rPr>
        <w:t>o, 75%</w:t>
      </w:r>
      <w:r w:rsidR="00C110BE" w:rsidRPr="007703FB">
        <w:rPr>
          <w:color w:val="auto"/>
          <w:sz w:val="22"/>
          <w:szCs w:val="22"/>
          <w:lang w:val="hr-HR"/>
        </w:rPr>
        <w:t>,</w:t>
      </w:r>
      <w:r w:rsidRPr="007703FB">
        <w:rPr>
          <w:color w:val="auto"/>
          <w:sz w:val="22"/>
          <w:szCs w:val="22"/>
          <w:lang w:val="hr-HR"/>
        </w:rPr>
        <w:t xml:space="preserve"> ostaje u lumenu cr</w:t>
      </w:r>
      <w:r w:rsidR="0077466B" w:rsidRPr="007703FB">
        <w:rPr>
          <w:color w:val="auto"/>
          <w:sz w:val="22"/>
          <w:szCs w:val="22"/>
          <w:lang w:val="hr-HR"/>
        </w:rPr>
        <w:t>ij</w:t>
      </w:r>
      <w:r w:rsidRPr="007703FB">
        <w:rPr>
          <w:color w:val="auto"/>
          <w:sz w:val="22"/>
          <w:szCs w:val="22"/>
          <w:lang w:val="hr-HR"/>
        </w:rPr>
        <w:t>eva i u formi 5-aminosalicilne kiseline izlučuje se putem fecesa.</w:t>
      </w:r>
    </w:p>
    <w:p w14:paraId="315223C1" w14:textId="77777777" w:rsidR="00B07542" w:rsidRPr="007703FB" w:rsidRDefault="00B07542" w:rsidP="00754D73">
      <w:pPr>
        <w:pStyle w:val="Default"/>
        <w:rPr>
          <w:color w:val="FF0000"/>
          <w:sz w:val="22"/>
          <w:szCs w:val="22"/>
          <w:lang w:val="hr-HR"/>
        </w:rPr>
      </w:pPr>
    </w:p>
    <w:p w14:paraId="373265A7" w14:textId="66C130FD" w:rsidR="00CE09F3" w:rsidRPr="007703FB" w:rsidRDefault="00CE09F3" w:rsidP="00923865">
      <w:pPr>
        <w:rPr>
          <w:b/>
          <w:bCs/>
          <w:color w:val="FF0000"/>
          <w:szCs w:val="22"/>
          <w:lang w:val="hr-HR"/>
        </w:rPr>
      </w:pPr>
      <w:r w:rsidRPr="007703FB">
        <w:rPr>
          <w:b/>
          <w:bCs/>
          <w:szCs w:val="22"/>
          <w:lang w:val="hr-HR"/>
        </w:rPr>
        <w:t xml:space="preserve">5.3. </w:t>
      </w:r>
      <w:r w:rsidR="00AD5BE0" w:rsidRPr="007703FB">
        <w:rPr>
          <w:b/>
          <w:bCs/>
          <w:szCs w:val="22"/>
          <w:lang w:val="hr-HR"/>
        </w:rPr>
        <w:tab/>
      </w:r>
      <w:r w:rsidRPr="007703FB">
        <w:rPr>
          <w:b/>
          <w:bCs/>
          <w:szCs w:val="22"/>
          <w:lang w:val="hr-HR"/>
        </w:rPr>
        <w:t>Pretklinički podaci o bezb</w:t>
      </w:r>
      <w:r w:rsidR="0004172D" w:rsidRPr="007703FB">
        <w:rPr>
          <w:b/>
          <w:bCs/>
          <w:szCs w:val="22"/>
          <w:lang w:val="hr-HR"/>
        </w:rPr>
        <w:t>j</w:t>
      </w:r>
      <w:r w:rsidRPr="007703FB">
        <w:rPr>
          <w:b/>
          <w:bCs/>
          <w:szCs w:val="22"/>
          <w:lang w:val="hr-HR"/>
        </w:rPr>
        <w:t xml:space="preserve">ednosti </w:t>
      </w:r>
    </w:p>
    <w:p w14:paraId="23727689" w14:textId="77777777" w:rsidR="00CE09F3" w:rsidRPr="007703FB" w:rsidRDefault="00CE09F3" w:rsidP="00754D73">
      <w:pPr>
        <w:widowControl w:val="0"/>
        <w:rPr>
          <w:color w:val="FF0000"/>
          <w:szCs w:val="22"/>
          <w:lang w:val="hr-HR"/>
        </w:rPr>
      </w:pPr>
    </w:p>
    <w:p w14:paraId="793A2874" w14:textId="77777777" w:rsidR="00B07542" w:rsidRPr="007B2EE6" w:rsidRDefault="00B07542" w:rsidP="00754D73">
      <w:pPr>
        <w:pStyle w:val="Heading5"/>
        <w:keepNext w:val="0"/>
        <w:keepLines w:val="0"/>
        <w:widowControl w:val="0"/>
        <w:spacing w:before="0"/>
        <w:rPr>
          <w:rFonts w:ascii="Times New Roman" w:hAnsi="Times New Roman" w:cs="Times New Roman"/>
          <w:bCs/>
          <w:iCs/>
          <w:color w:val="auto"/>
          <w:spacing w:val="-4"/>
          <w:szCs w:val="22"/>
          <w:u w:val="single"/>
          <w:lang w:val="hr-HR"/>
        </w:rPr>
      </w:pPr>
      <w:r w:rsidRPr="007B2EE6">
        <w:rPr>
          <w:rFonts w:ascii="Times New Roman" w:hAnsi="Times New Roman" w:cs="Times New Roman"/>
          <w:bCs/>
          <w:iCs/>
          <w:color w:val="auto"/>
          <w:spacing w:val="-4"/>
          <w:szCs w:val="22"/>
          <w:u w:val="single"/>
          <w:lang w:val="hr-HR"/>
        </w:rPr>
        <w:t>Akutna toksičnost</w:t>
      </w:r>
    </w:p>
    <w:p w14:paraId="472EDD4E" w14:textId="01F21320" w:rsidR="00B07542" w:rsidRPr="007703FB" w:rsidRDefault="00B07542" w:rsidP="00754D73">
      <w:pPr>
        <w:widowControl w:val="0"/>
        <w:tabs>
          <w:tab w:val="left" w:pos="-720"/>
        </w:tabs>
        <w:spacing w:line="263" w:lineRule="auto"/>
        <w:outlineLvl w:val="0"/>
        <w:rPr>
          <w:spacing w:val="-4"/>
          <w:szCs w:val="22"/>
          <w:lang w:val="hr-HR"/>
        </w:rPr>
      </w:pPr>
      <w:r w:rsidRPr="007703FB">
        <w:rPr>
          <w:spacing w:val="-4"/>
          <w:szCs w:val="22"/>
          <w:lang w:val="hr-HR"/>
        </w:rPr>
        <w:lastRenderedPageBreak/>
        <w:t>Akutna toksičnost izgleda da nije sistematski proučavana. Oskudni literaturni podaci ukazuju da je srednja letalna doza (LD50) kod ljudi posl</w:t>
      </w:r>
      <w:r w:rsidR="00BA32D3">
        <w:rPr>
          <w:spacing w:val="-4"/>
          <w:szCs w:val="22"/>
          <w:lang w:val="hr-HR"/>
        </w:rPr>
        <w:t>ij</w:t>
      </w:r>
      <w:r w:rsidRPr="007703FB">
        <w:rPr>
          <w:spacing w:val="-4"/>
          <w:szCs w:val="22"/>
          <w:lang w:val="hr-HR"/>
        </w:rPr>
        <w:t>e oralne prim</w:t>
      </w:r>
      <w:r w:rsidR="0070584F" w:rsidRPr="007703FB">
        <w:rPr>
          <w:spacing w:val="-4"/>
          <w:szCs w:val="22"/>
          <w:lang w:val="hr-HR"/>
        </w:rPr>
        <w:t>j</w:t>
      </w:r>
      <w:r w:rsidRPr="007703FB">
        <w:rPr>
          <w:spacing w:val="-4"/>
          <w:szCs w:val="22"/>
          <w:lang w:val="hr-HR"/>
        </w:rPr>
        <w:t xml:space="preserve">ene 3200 mg/kg. </w:t>
      </w:r>
    </w:p>
    <w:p w14:paraId="6BECDA37" w14:textId="77777777" w:rsidR="00754D73" w:rsidRPr="007703FB" w:rsidRDefault="00754D73" w:rsidP="00754D73">
      <w:pPr>
        <w:pStyle w:val="Heading5"/>
        <w:keepNext w:val="0"/>
        <w:keepLines w:val="0"/>
        <w:widowControl w:val="0"/>
        <w:spacing w:before="0"/>
        <w:rPr>
          <w:rFonts w:ascii="Times New Roman" w:hAnsi="Times New Roman" w:cs="Times New Roman"/>
          <w:bCs/>
          <w:iCs/>
          <w:color w:val="auto"/>
          <w:spacing w:val="-4"/>
          <w:szCs w:val="22"/>
          <w:u w:val="single"/>
          <w:lang w:val="hr-HR"/>
        </w:rPr>
      </w:pPr>
    </w:p>
    <w:p w14:paraId="787C6ADC" w14:textId="77777777" w:rsidR="00B07542" w:rsidRPr="007B2EE6" w:rsidRDefault="00B07542" w:rsidP="00754D73">
      <w:pPr>
        <w:pStyle w:val="Heading5"/>
        <w:keepNext w:val="0"/>
        <w:keepLines w:val="0"/>
        <w:widowControl w:val="0"/>
        <w:spacing w:before="0"/>
        <w:rPr>
          <w:rFonts w:ascii="Times New Roman" w:hAnsi="Times New Roman" w:cs="Times New Roman"/>
          <w:bCs/>
          <w:iCs/>
          <w:color w:val="auto"/>
          <w:spacing w:val="-4"/>
          <w:szCs w:val="22"/>
          <w:u w:val="single"/>
          <w:lang w:val="hr-HR"/>
        </w:rPr>
      </w:pPr>
      <w:r w:rsidRPr="007B2EE6">
        <w:rPr>
          <w:rFonts w:ascii="Times New Roman" w:hAnsi="Times New Roman" w:cs="Times New Roman"/>
          <w:bCs/>
          <w:iCs/>
          <w:color w:val="auto"/>
          <w:spacing w:val="-4"/>
          <w:szCs w:val="22"/>
          <w:u w:val="single"/>
          <w:lang w:val="hr-HR"/>
        </w:rPr>
        <w:t>Reproduktivna toksičnost</w:t>
      </w:r>
    </w:p>
    <w:p w14:paraId="581C75ED" w14:textId="77777777" w:rsidR="00B07542" w:rsidRPr="007703FB" w:rsidRDefault="00B07542" w:rsidP="00754D73">
      <w:pPr>
        <w:widowControl w:val="0"/>
        <w:tabs>
          <w:tab w:val="left" w:pos="-720"/>
          <w:tab w:val="left" w:pos="0"/>
        </w:tabs>
        <w:spacing w:line="264" w:lineRule="atLeast"/>
        <w:rPr>
          <w:spacing w:val="-4"/>
          <w:szCs w:val="22"/>
          <w:lang w:val="hr-HR"/>
        </w:rPr>
      </w:pPr>
      <w:r w:rsidRPr="007703FB">
        <w:rPr>
          <w:spacing w:val="-4"/>
          <w:szCs w:val="22"/>
          <w:lang w:val="hr-HR"/>
        </w:rPr>
        <w:t>Nije potvrđena.</w:t>
      </w:r>
    </w:p>
    <w:p w14:paraId="56E4F69D" w14:textId="77777777" w:rsidR="00754D73" w:rsidRPr="007703FB" w:rsidRDefault="00754D73" w:rsidP="00754D73">
      <w:pPr>
        <w:pStyle w:val="Heading5"/>
        <w:keepNext w:val="0"/>
        <w:keepLines w:val="0"/>
        <w:widowControl w:val="0"/>
        <w:spacing w:before="0"/>
        <w:rPr>
          <w:rFonts w:ascii="Times New Roman" w:hAnsi="Times New Roman" w:cs="Times New Roman"/>
          <w:bCs/>
          <w:iCs/>
          <w:color w:val="auto"/>
          <w:spacing w:val="-4"/>
          <w:szCs w:val="22"/>
          <w:u w:val="single"/>
          <w:lang w:val="hr-HR"/>
        </w:rPr>
      </w:pPr>
    </w:p>
    <w:p w14:paraId="28D5C5FE" w14:textId="77777777" w:rsidR="00B07542" w:rsidRPr="007B2EE6" w:rsidRDefault="00B07542" w:rsidP="00754D73">
      <w:pPr>
        <w:pStyle w:val="Heading5"/>
        <w:keepNext w:val="0"/>
        <w:keepLines w:val="0"/>
        <w:widowControl w:val="0"/>
        <w:spacing w:before="0"/>
        <w:rPr>
          <w:rFonts w:ascii="Times New Roman" w:hAnsi="Times New Roman" w:cs="Times New Roman"/>
          <w:bCs/>
          <w:iCs/>
          <w:color w:val="auto"/>
          <w:spacing w:val="-4"/>
          <w:szCs w:val="22"/>
          <w:u w:val="single"/>
          <w:lang w:val="hr-HR"/>
        </w:rPr>
      </w:pPr>
      <w:r w:rsidRPr="007B2EE6">
        <w:rPr>
          <w:rFonts w:ascii="Times New Roman" w:hAnsi="Times New Roman" w:cs="Times New Roman"/>
          <w:bCs/>
          <w:iCs/>
          <w:color w:val="auto"/>
          <w:spacing w:val="-4"/>
          <w:szCs w:val="22"/>
          <w:u w:val="single"/>
          <w:lang w:val="hr-HR"/>
        </w:rPr>
        <w:t>Embrio-fetalna i perinatalna toksičnost</w:t>
      </w:r>
    </w:p>
    <w:p w14:paraId="2C197CC3" w14:textId="77777777" w:rsidR="00B07542" w:rsidRPr="007703FB" w:rsidRDefault="00B07542" w:rsidP="00754D73">
      <w:pPr>
        <w:widowControl w:val="0"/>
        <w:tabs>
          <w:tab w:val="left" w:pos="-720"/>
          <w:tab w:val="left" w:pos="0"/>
        </w:tabs>
        <w:spacing w:line="264" w:lineRule="atLeast"/>
        <w:rPr>
          <w:spacing w:val="-4"/>
          <w:szCs w:val="22"/>
          <w:lang w:val="hr-HR"/>
        </w:rPr>
      </w:pPr>
      <w:r w:rsidRPr="007703FB">
        <w:rPr>
          <w:spacing w:val="-4"/>
          <w:szCs w:val="22"/>
          <w:lang w:val="hr-HR"/>
        </w:rPr>
        <w:t>Nije potvrđena.</w:t>
      </w:r>
    </w:p>
    <w:p w14:paraId="68D4165C" w14:textId="77777777" w:rsidR="00754D73" w:rsidRPr="007703FB" w:rsidRDefault="00754D73" w:rsidP="00754D73">
      <w:pPr>
        <w:pStyle w:val="Heading5"/>
        <w:keepNext w:val="0"/>
        <w:keepLines w:val="0"/>
        <w:widowControl w:val="0"/>
        <w:spacing w:before="0"/>
        <w:rPr>
          <w:rFonts w:ascii="Times New Roman" w:hAnsi="Times New Roman" w:cs="Times New Roman"/>
          <w:bCs/>
          <w:iCs/>
          <w:color w:val="auto"/>
          <w:spacing w:val="-4"/>
          <w:szCs w:val="22"/>
          <w:u w:val="single"/>
          <w:lang w:val="hr-HR"/>
        </w:rPr>
      </w:pPr>
    </w:p>
    <w:p w14:paraId="2B6AB93D" w14:textId="77777777" w:rsidR="00B07542" w:rsidRPr="007B2EE6" w:rsidRDefault="00B07542" w:rsidP="00754D73">
      <w:pPr>
        <w:pStyle w:val="Heading5"/>
        <w:keepNext w:val="0"/>
        <w:keepLines w:val="0"/>
        <w:widowControl w:val="0"/>
        <w:spacing w:before="0"/>
        <w:rPr>
          <w:rFonts w:ascii="Times New Roman" w:hAnsi="Times New Roman" w:cs="Times New Roman"/>
          <w:bCs/>
          <w:iCs/>
          <w:color w:val="auto"/>
          <w:spacing w:val="-4"/>
          <w:szCs w:val="22"/>
          <w:u w:val="single"/>
          <w:lang w:val="hr-HR"/>
        </w:rPr>
      </w:pPr>
      <w:r w:rsidRPr="007B2EE6">
        <w:rPr>
          <w:rFonts w:ascii="Times New Roman" w:hAnsi="Times New Roman" w:cs="Times New Roman"/>
          <w:bCs/>
          <w:iCs/>
          <w:color w:val="auto"/>
          <w:spacing w:val="-4"/>
          <w:szCs w:val="22"/>
          <w:u w:val="single"/>
          <w:lang w:val="hr-HR"/>
        </w:rPr>
        <w:t>Mutagenost, teratogenost</w:t>
      </w:r>
    </w:p>
    <w:p w14:paraId="38512FA1" w14:textId="77777777" w:rsidR="00B07542" w:rsidRPr="007703FB" w:rsidRDefault="00B07542" w:rsidP="00754D73">
      <w:pPr>
        <w:widowControl w:val="0"/>
        <w:tabs>
          <w:tab w:val="left" w:pos="-720"/>
          <w:tab w:val="left" w:pos="0"/>
        </w:tabs>
        <w:spacing w:line="264" w:lineRule="atLeast"/>
        <w:rPr>
          <w:spacing w:val="-4"/>
          <w:szCs w:val="22"/>
          <w:lang w:val="hr-HR"/>
        </w:rPr>
      </w:pPr>
      <w:r w:rsidRPr="007703FB">
        <w:rPr>
          <w:spacing w:val="-4"/>
          <w:szCs w:val="22"/>
          <w:lang w:val="hr-HR"/>
        </w:rPr>
        <w:t>Nije potvrđena.</w:t>
      </w:r>
    </w:p>
    <w:p w14:paraId="1D9CFE7E" w14:textId="77777777" w:rsidR="00754D73" w:rsidRPr="007703FB" w:rsidRDefault="00754D73" w:rsidP="00754D73">
      <w:pPr>
        <w:pStyle w:val="Heading5"/>
        <w:keepNext w:val="0"/>
        <w:keepLines w:val="0"/>
        <w:widowControl w:val="0"/>
        <w:spacing w:before="0"/>
        <w:rPr>
          <w:rFonts w:ascii="Times New Roman" w:hAnsi="Times New Roman" w:cs="Times New Roman"/>
          <w:bCs/>
          <w:iCs/>
          <w:color w:val="auto"/>
          <w:spacing w:val="-4"/>
          <w:szCs w:val="22"/>
          <w:u w:val="single"/>
          <w:lang w:val="hr-HR"/>
        </w:rPr>
      </w:pPr>
    </w:p>
    <w:p w14:paraId="2ADBFACC" w14:textId="77777777" w:rsidR="00B07542" w:rsidRPr="007B2EE6" w:rsidRDefault="00B07542">
      <w:pPr>
        <w:pStyle w:val="Heading5"/>
        <w:keepNext w:val="0"/>
        <w:keepLines w:val="0"/>
        <w:widowControl w:val="0"/>
        <w:spacing w:before="0"/>
        <w:rPr>
          <w:rFonts w:ascii="Times New Roman" w:hAnsi="Times New Roman" w:cs="Times New Roman"/>
          <w:bCs/>
          <w:iCs/>
          <w:color w:val="auto"/>
          <w:spacing w:val="-4"/>
          <w:szCs w:val="22"/>
          <w:u w:val="single"/>
          <w:lang w:val="hr-HR"/>
        </w:rPr>
      </w:pPr>
      <w:r w:rsidRPr="007B2EE6">
        <w:rPr>
          <w:rFonts w:ascii="Times New Roman" w:hAnsi="Times New Roman" w:cs="Times New Roman"/>
          <w:bCs/>
          <w:iCs/>
          <w:color w:val="auto"/>
          <w:spacing w:val="-4"/>
          <w:szCs w:val="22"/>
          <w:u w:val="single"/>
          <w:lang w:val="hr-HR"/>
        </w:rPr>
        <w:t>Onkogenost/ka</w:t>
      </w:r>
      <w:r w:rsidR="00EC5F60" w:rsidRPr="007B2EE6">
        <w:rPr>
          <w:rFonts w:ascii="Times New Roman" w:hAnsi="Times New Roman" w:cs="Times New Roman"/>
          <w:bCs/>
          <w:iCs/>
          <w:color w:val="auto"/>
          <w:spacing w:val="-4"/>
          <w:szCs w:val="22"/>
          <w:u w:val="single"/>
          <w:lang w:val="hr-HR"/>
        </w:rPr>
        <w:t>rcino</w:t>
      </w:r>
      <w:r w:rsidRPr="007B2EE6">
        <w:rPr>
          <w:rFonts w:ascii="Times New Roman" w:hAnsi="Times New Roman" w:cs="Times New Roman"/>
          <w:bCs/>
          <w:iCs/>
          <w:color w:val="auto"/>
          <w:spacing w:val="-4"/>
          <w:szCs w:val="22"/>
          <w:u w:val="single"/>
          <w:lang w:val="hr-HR"/>
        </w:rPr>
        <w:t>genost</w:t>
      </w:r>
    </w:p>
    <w:p w14:paraId="5431217A" w14:textId="77777777" w:rsidR="000A5E1A" w:rsidRPr="007703FB" w:rsidRDefault="00B07542">
      <w:pPr>
        <w:pStyle w:val="Default"/>
        <w:widowControl w:val="0"/>
        <w:rPr>
          <w:color w:val="auto"/>
          <w:sz w:val="22"/>
          <w:szCs w:val="22"/>
          <w:lang w:val="hr-HR"/>
        </w:rPr>
      </w:pPr>
      <w:r w:rsidRPr="007703FB">
        <w:rPr>
          <w:color w:val="auto"/>
          <w:sz w:val="22"/>
          <w:szCs w:val="22"/>
          <w:lang w:val="hr-HR"/>
        </w:rPr>
        <w:t>L</w:t>
      </w:r>
      <w:r w:rsidR="0070584F" w:rsidRPr="007703FB">
        <w:rPr>
          <w:color w:val="auto"/>
          <w:sz w:val="22"/>
          <w:szCs w:val="22"/>
          <w:lang w:val="hr-HR"/>
        </w:rPr>
        <w:t>ij</w:t>
      </w:r>
      <w:r w:rsidRPr="007703FB">
        <w:rPr>
          <w:color w:val="auto"/>
          <w:sz w:val="22"/>
          <w:szCs w:val="22"/>
          <w:lang w:val="hr-HR"/>
        </w:rPr>
        <w:t>ek ne poseduje ka</w:t>
      </w:r>
      <w:r w:rsidR="00EC5F60" w:rsidRPr="007703FB">
        <w:rPr>
          <w:color w:val="auto"/>
          <w:sz w:val="22"/>
          <w:szCs w:val="22"/>
          <w:lang w:val="hr-HR"/>
        </w:rPr>
        <w:t>rcino</w:t>
      </w:r>
      <w:r w:rsidRPr="007703FB">
        <w:rPr>
          <w:color w:val="auto"/>
          <w:sz w:val="22"/>
          <w:szCs w:val="22"/>
          <w:lang w:val="hr-HR"/>
        </w:rPr>
        <w:t xml:space="preserve">geni potencijal. </w:t>
      </w:r>
    </w:p>
    <w:p w14:paraId="78E3255F" w14:textId="77777777" w:rsidR="00513268" w:rsidRDefault="00513268" w:rsidP="002E7D92">
      <w:pPr>
        <w:pStyle w:val="NASLOV123"/>
        <w:keepNext/>
        <w:tabs>
          <w:tab w:val="clear" w:pos="284"/>
          <w:tab w:val="left" w:pos="567"/>
        </w:tabs>
        <w:spacing w:before="0" w:after="0"/>
        <w:rPr>
          <w:lang w:val="hr-HR"/>
        </w:rPr>
      </w:pPr>
    </w:p>
    <w:p w14:paraId="32455F17" w14:textId="77777777" w:rsidR="00513268" w:rsidRDefault="00513268" w:rsidP="002E7D92">
      <w:pPr>
        <w:pStyle w:val="NASLOV123"/>
        <w:keepNext/>
        <w:tabs>
          <w:tab w:val="clear" w:pos="284"/>
          <w:tab w:val="left" w:pos="567"/>
        </w:tabs>
        <w:spacing w:before="0" w:after="0"/>
        <w:rPr>
          <w:lang w:val="hr-HR"/>
        </w:rPr>
      </w:pPr>
    </w:p>
    <w:p w14:paraId="7BDE1617" w14:textId="6CC3E56C" w:rsidR="00CE09F3" w:rsidRPr="007703FB" w:rsidRDefault="00CE09F3" w:rsidP="002E7D92">
      <w:pPr>
        <w:pStyle w:val="NASLOV123"/>
        <w:keepNext/>
        <w:tabs>
          <w:tab w:val="clear" w:pos="284"/>
          <w:tab w:val="left" w:pos="567"/>
        </w:tabs>
        <w:spacing w:before="0" w:after="0"/>
        <w:rPr>
          <w:lang w:val="hr-HR"/>
        </w:rPr>
      </w:pPr>
      <w:r w:rsidRPr="007703FB">
        <w:rPr>
          <w:lang w:val="hr-HR"/>
        </w:rPr>
        <w:t xml:space="preserve">6. </w:t>
      </w:r>
      <w:r w:rsidR="00AD5BE0" w:rsidRPr="007703FB">
        <w:rPr>
          <w:lang w:val="hr-HR"/>
        </w:rPr>
        <w:tab/>
      </w:r>
      <w:r w:rsidRPr="007703FB">
        <w:rPr>
          <w:lang w:val="hr-HR"/>
        </w:rPr>
        <w:t>FARMACEUTSKI PODACI</w:t>
      </w:r>
    </w:p>
    <w:p w14:paraId="42744C7D" w14:textId="77777777" w:rsidR="00513268" w:rsidRDefault="00513268" w:rsidP="00CB4F73">
      <w:pPr>
        <w:keepNext/>
        <w:tabs>
          <w:tab w:val="left" w:pos="567"/>
        </w:tabs>
        <w:rPr>
          <w:b/>
          <w:bCs/>
          <w:szCs w:val="22"/>
          <w:lang w:val="hr-HR"/>
        </w:rPr>
      </w:pPr>
    </w:p>
    <w:p w14:paraId="12026938" w14:textId="2A816E61" w:rsidR="00CE09F3" w:rsidRPr="007703FB" w:rsidRDefault="00CE09F3" w:rsidP="00CB4F73">
      <w:pPr>
        <w:keepNext/>
        <w:tabs>
          <w:tab w:val="left" w:pos="567"/>
        </w:tabs>
        <w:rPr>
          <w:b/>
          <w:bCs/>
          <w:szCs w:val="22"/>
          <w:lang w:val="hr-HR"/>
        </w:rPr>
      </w:pPr>
      <w:r w:rsidRPr="007703FB">
        <w:rPr>
          <w:b/>
          <w:bCs/>
          <w:szCs w:val="22"/>
          <w:lang w:val="hr-HR"/>
        </w:rPr>
        <w:t xml:space="preserve">6.1. </w:t>
      </w:r>
      <w:r w:rsidR="00AD5BE0" w:rsidRPr="007703FB">
        <w:rPr>
          <w:b/>
          <w:bCs/>
          <w:szCs w:val="22"/>
          <w:lang w:val="hr-HR"/>
        </w:rPr>
        <w:tab/>
      </w:r>
      <w:r w:rsidRPr="007703FB">
        <w:rPr>
          <w:b/>
          <w:bCs/>
          <w:szCs w:val="22"/>
          <w:lang w:val="hr-HR"/>
        </w:rPr>
        <w:t>Lista pomoćnih supstanci</w:t>
      </w:r>
      <w:r w:rsidR="00BF1F59">
        <w:rPr>
          <w:b/>
          <w:bCs/>
          <w:szCs w:val="22"/>
          <w:lang w:val="hr-HR"/>
        </w:rPr>
        <w:t xml:space="preserve"> (ekscipijenasa)</w:t>
      </w:r>
    </w:p>
    <w:p w14:paraId="018B3C60" w14:textId="77777777" w:rsidR="00754D73" w:rsidRPr="007703FB" w:rsidRDefault="00754D73" w:rsidP="006124C7">
      <w:pPr>
        <w:keepNext/>
        <w:tabs>
          <w:tab w:val="left" w:pos="-720"/>
        </w:tabs>
        <w:suppressAutoHyphens/>
        <w:rPr>
          <w:color w:val="FF0000"/>
          <w:szCs w:val="22"/>
          <w:lang w:val="hr-HR"/>
        </w:rPr>
      </w:pPr>
    </w:p>
    <w:p w14:paraId="5597D6BC" w14:textId="77777777" w:rsidR="00BA0CD3" w:rsidRPr="007703FB" w:rsidRDefault="00BA0CD3" w:rsidP="00754D73">
      <w:pPr>
        <w:tabs>
          <w:tab w:val="left" w:pos="-720"/>
        </w:tabs>
        <w:suppressAutoHyphens/>
        <w:rPr>
          <w:i/>
          <w:szCs w:val="22"/>
          <w:lang w:val="hr-HR"/>
        </w:rPr>
      </w:pPr>
      <w:r w:rsidRPr="007703FB">
        <w:rPr>
          <w:i/>
          <w:szCs w:val="22"/>
          <w:lang w:val="hr-HR"/>
        </w:rPr>
        <w:t>Jezgro tablete:</w:t>
      </w:r>
    </w:p>
    <w:p w14:paraId="3D15DC6A" w14:textId="77777777" w:rsidR="00B07542" w:rsidRPr="007703FB" w:rsidDel="00BA0CD3" w:rsidRDefault="00B07542" w:rsidP="00754D73">
      <w:pPr>
        <w:tabs>
          <w:tab w:val="left" w:pos="-720"/>
        </w:tabs>
        <w:suppressAutoHyphens/>
        <w:rPr>
          <w:szCs w:val="22"/>
          <w:lang w:val="hr-HR"/>
        </w:rPr>
      </w:pPr>
      <w:r w:rsidRPr="007703FB" w:rsidDel="00BA0CD3">
        <w:rPr>
          <w:szCs w:val="22"/>
          <w:lang w:val="hr-HR"/>
        </w:rPr>
        <w:t>Povidon</w:t>
      </w:r>
    </w:p>
    <w:p w14:paraId="0AB5A5F4" w14:textId="77777777" w:rsidR="00B07542" w:rsidRPr="007703FB" w:rsidRDefault="00237816" w:rsidP="00754D73">
      <w:pPr>
        <w:tabs>
          <w:tab w:val="left" w:pos="-720"/>
        </w:tabs>
        <w:suppressAutoHyphens/>
        <w:rPr>
          <w:szCs w:val="22"/>
          <w:lang w:val="hr-HR"/>
        </w:rPr>
      </w:pPr>
      <w:r w:rsidRPr="007703FB">
        <w:rPr>
          <w:szCs w:val="22"/>
          <w:lang w:val="hr-HR"/>
        </w:rPr>
        <w:t>S</w:t>
      </w:r>
      <w:r w:rsidR="00B07542" w:rsidRPr="007703FB">
        <w:rPr>
          <w:szCs w:val="22"/>
          <w:lang w:val="hr-HR"/>
        </w:rPr>
        <w:t xml:space="preserve">krob, </w:t>
      </w:r>
      <w:r w:rsidRPr="007703FB">
        <w:rPr>
          <w:szCs w:val="22"/>
          <w:lang w:val="hr-HR"/>
        </w:rPr>
        <w:t>preželatinizovan</w:t>
      </w:r>
    </w:p>
    <w:p w14:paraId="75AC3424" w14:textId="77777777" w:rsidR="00B07542" w:rsidRPr="007703FB" w:rsidRDefault="00277D7D" w:rsidP="00754D73">
      <w:pPr>
        <w:widowControl w:val="0"/>
        <w:tabs>
          <w:tab w:val="clear" w:pos="284"/>
          <w:tab w:val="left" w:pos="-720"/>
        </w:tabs>
        <w:suppressAutoHyphens/>
        <w:rPr>
          <w:snapToGrid w:val="0"/>
          <w:szCs w:val="22"/>
          <w:lang w:val="hr-HR"/>
        </w:rPr>
      </w:pPr>
      <w:r w:rsidRPr="007703FB">
        <w:rPr>
          <w:snapToGrid w:val="0"/>
          <w:szCs w:val="22"/>
          <w:lang w:val="hr-HR"/>
        </w:rPr>
        <w:t xml:space="preserve">Magnezijum </w:t>
      </w:r>
      <w:r w:rsidR="00B07542" w:rsidRPr="007703FB">
        <w:rPr>
          <w:snapToGrid w:val="0"/>
          <w:szCs w:val="22"/>
          <w:lang w:val="hr-HR"/>
        </w:rPr>
        <w:t>stearat</w:t>
      </w:r>
    </w:p>
    <w:p w14:paraId="6A593340" w14:textId="77777777" w:rsidR="00B07542" w:rsidRPr="007703FB" w:rsidRDefault="00277D7D" w:rsidP="00754D73">
      <w:pPr>
        <w:tabs>
          <w:tab w:val="left" w:pos="-720"/>
        </w:tabs>
        <w:suppressAutoHyphens/>
        <w:rPr>
          <w:szCs w:val="22"/>
          <w:lang w:val="hr-HR"/>
        </w:rPr>
      </w:pPr>
      <w:r w:rsidRPr="007703FB">
        <w:rPr>
          <w:szCs w:val="22"/>
          <w:lang w:val="hr-HR"/>
        </w:rPr>
        <w:t xml:space="preserve">Silicijum </w:t>
      </w:r>
      <w:r w:rsidR="00B07542" w:rsidRPr="007703FB">
        <w:rPr>
          <w:szCs w:val="22"/>
          <w:lang w:val="hr-HR"/>
        </w:rPr>
        <w:t>dioksid, koloidni, bezvodni</w:t>
      </w:r>
    </w:p>
    <w:p w14:paraId="7B1006EC" w14:textId="77777777" w:rsidR="008E1E45" w:rsidRPr="007703FB" w:rsidRDefault="008E1E45" w:rsidP="00754D73">
      <w:pPr>
        <w:widowControl w:val="0"/>
        <w:tabs>
          <w:tab w:val="clear" w:pos="284"/>
          <w:tab w:val="left" w:pos="-720"/>
        </w:tabs>
        <w:suppressAutoHyphens/>
        <w:rPr>
          <w:snapToGrid w:val="0"/>
          <w:szCs w:val="22"/>
          <w:lang w:val="hr-HR"/>
        </w:rPr>
      </w:pPr>
    </w:p>
    <w:p w14:paraId="30E6826C" w14:textId="77777777" w:rsidR="008E1E45" w:rsidRPr="007703FB" w:rsidRDefault="008E1E45" w:rsidP="00754D73">
      <w:pPr>
        <w:widowControl w:val="0"/>
        <w:tabs>
          <w:tab w:val="clear" w:pos="284"/>
          <w:tab w:val="left" w:pos="-720"/>
        </w:tabs>
        <w:suppressAutoHyphens/>
        <w:rPr>
          <w:i/>
          <w:snapToGrid w:val="0"/>
          <w:szCs w:val="22"/>
          <w:lang w:val="hr-HR"/>
        </w:rPr>
      </w:pPr>
      <w:r w:rsidRPr="007703FB">
        <w:rPr>
          <w:i/>
          <w:snapToGrid w:val="0"/>
          <w:szCs w:val="22"/>
          <w:lang w:val="hr-HR"/>
        </w:rPr>
        <w:t>Obloga tablete:</w:t>
      </w:r>
    </w:p>
    <w:p w14:paraId="16263849" w14:textId="06F3748C" w:rsidR="00B07542" w:rsidRPr="007703FB" w:rsidRDefault="00B07542" w:rsidP="00754D73">
      <w:pPr>
        <w:widowControl w:val="0"/>
        <w:tabs>
          <w:tab w:val="clear" w:pos="284"/>
          <w:tab w:val="left" w:pos="-720"/>
        </w:tabs>
        <w:suppressAutoHyphens/>
        <w:rPr>
          <w:snapToGrid w:val="0"/>
          <w:szCs w:val="22"/>
          <w:lang w:val="hr-HR"/>
        </w:rPr>
      </w:pPr>
      <w:r w:rsidRPr="007703FB">
        <w:rPr>
          <w:snapToGrid w:val="0"/>
          <w:szCs w:val="22"/>
          <w:lang w:val="hr-HR"/>
        </w:rPr>
        <w:t>Celuloza</w:t>
      </w:r>
      <w:r w:rsidR="00513268">
        <w:rPr>
          <w:snapToGrid w:val="0"/>
          <w:szCs w:val="22"/>
          <w:lang w:val="hr-HR"/>
        </w:rPr>
        <w:t xml:space="preserve"> </w:t>
      </w:r>
      <w:r w:rsidRPr="007703FB">
        <w:rPr>
          <w:snapToGrid w:val="0"/>
          <w:szCs w:val="22"/>
          <w:lang w:val="hr-HR"/>
        </w:rPr>
        <w:t>acetat</w:t>
      </w:r>
      <w:r w:rsidR="00513268">
        <w:rPr>
          <w:snapToGrid w:val="0"/>
          <w:szCs w:val="22"/>
          <w:lang w:val="hr-HR"/>
        </w:rPr>
        <w:t xml:space="preserve"> </w:t>
      </w:r>
      <w:r w:rsidRPr="007703FB">
        <w:rPr>
          <w:snapToGrid w:val="0"/>
          <w:szCs w:val="22"/>
          <w:lang w:val="hr-HR"/>
        </w:rPr>
        <w:t>ftalat</w:t>
      </w:r>
    </w:p>
    <w:p w14:paraId="534A1432" w14:textId="25E5A7E3" w:rsidR="00B07542" w:rsidRPr="007703FB" w:rsidRDefault="00B07542" w:rsidP="00754D73">
      <w:pPr>
        <w:widowControl w:val="0"/>
        <w:tabs>
          <w:tab w:val="clear" w:pos="284"/>
          <w:tab w:val="left" w:pos="-720"/>
        </w:tabs>
        <w:suppressAutoHyphens/>
        <w:rPr>
          <w:snapToGrid w:val="0"/>
          <w:szCs w:val="22"/>
          <w:lang w:val="hr-HR"/>
        </w:rPr>
      </w:pPr>
      <w:r w:rsidRPr="007703FB">
        <w:rPr>
          <w:snapToGrid w:val="0"/>
          <w:szCs w:val="22"/>
          <w:lang w:val="hr-HR"/>
        </w:rPr>
        <w:t>Propilen</w:t>
      </w:r>
      <w:r w:rsidR="00513268">
        <w:rPr>
          <w:snapToGrid w:val="0"/>
          <w:szCs w:val="22"/>
          <w:lang w:val="hr-HR"/>
        </w:rPr>
        <w:t xml:space="preserve"> </w:t>
      </w:r>
      <w:r w:rsidRPr="007703FB">
        <w:rPr>
          <w:snapToGrid w:val="0"/>
          <w:szCs w:val="22"/>
          <w:lang w:val="hr-HR"/>
        </w:rPr>
        <w:t>glikol</w:t>
      </w:r>
    </w:p>
    <w:p w14:paraId="5BF5AD89" w14:textId="2B86B55B" w:rsidR="00B07542" w:rsidRPr="007703FB" w:rsidRDefault="00E879DE" w:rsidP="00754D73">
      <w:pPr>
        <w:widowControl w:val="0"/>
        <w:tabs>
          <w:tab w:val="clear" w:pos="284"/>
          <w:tab w:val="left" w:pos="-720"/>
        </w:tabs>
        <w:suppressAutoHyphens/>
        <w:rPr>
          <w:snapToGrid w:val="0"/>
          <w:szCs w:val="22"/>
          <w:lang w:val="hr-HR"/>
        </w:rPr>
      </w:pPr>
      <w:r>
        <w:rPr>
          <w:snapToGrid w:val="0"/>
          <w:szCs w:val="22"/>
          <w:lang w:val="hr-HR"/>
        </w:rPr>
        <w:t>P</w:t>
      </w:r>
      <w:r w:rsidR="00B07542" w:rsidRPr="007703FB">
        <w:rPr>
          <w:snapToGrid w:val="0"/>
          <w:szCs w:val="22"/>
          <w:lang w:val="hr-HR"/>
        </w:rPr>
        <w:t>čelinji vosak</w:t>
      </w:r>
      <w:r>
        <w:rPr>
          <w:snapToGrid w:val="0"/>
          <w:szCs w:val="22"/>
          <w:lang w:val="hr-HR"/>
        </w:rPr>
        <w:t>, bijeli</w:t>
      </w:r>
    </w:p>
    <w:p w14:paraId="7B0F45C5" w14:textId="77777777" w:rsidR="00B07542" w:rsidRPr="007703FB" w:rsidRDefault="00B07542" w:rsidP="00754D73">
      <w:pPr>
        <w:widowControl w:val="0"/>
        <w:tabs>
          <w:tab w:val="clear" w:pos="284"/>
          <w:tab w:val="left" w:pos="-720"/>
        </w:tabs>
        <w:suppressAutoHyphens/>
        <w:rPr>
          <w:snapToGrid w:val="0"/>
          <w:szCs w:val="22"/>
          <w:lang w:val="hr-HR"/>
        </w:rPr>
      </w:pPr>
      <w:r w:rsidRPr="007703FB">
        <w:rPr>
          <w:snapToGrid w:val="0"/>
          <w:szCs w:val="22"/>
          <w:lang w:val="hr-HR"/>
        </w:rPr>
        <w:t>Karnauba vosak</w:t>
      </w:r>
    </w:p>
    <w:p w14:paraId="13F49114" w14:textId="33E00063" w:rsidR="00B07542" w:rsidRPr="007703FB" w:rsidRDefault="00B07542" w:rsidP="00754D73">
      <w:pPr>
        <w:widowControl w:val="0"/>
        <w:tabs>
          <w:tab w:val="clear" w:pos="284"/>
          <w:tab w:val="left" w:pos="-720"/>
        </w:tabs>
        <w:suppressAutoHyphens/>
        <w:rPr>
          <w:snapToGrid w:val="0"/>
          <w:szCs w:val="22"/>
          <w:lang w:val="hr-HR"/>
        </w:rPr>
      </w:pPr>
      <w:r w:rsidRPr="007703FB">
        <w:rPr>
          <w:snapToGrid w:val="0"/>
          <w:szCs w:val="22"/>
          <w:lang w:val="hr-HR"/>
        </w:rPr>
        <w:t>Glicer</w:t>
      </w:r>
      <w:r w:rsidR="00237816" w:rsidRPr="007703FB">
        <w:rPr>
          <w:snapToGrid w:val="0"/>
          <w:szCs w:val="22"/>
          <w:lang w:val="hr-HR"/>
        </w:rPr>
        <w:t>i</w:t>
      </w:r>
      <w:r w:rsidRPr="007703FB">
        <w:rPr>
          <w:snapToGrid w:val="0"/>
          <w:szCs w:val="22"/>
          <w:lang w:val="hr-HR"/>
        </w:rPr>
        <w:t>l</w:t>
      </w:r>
      <w:r w:rsidR="00513268">
        <w:rPr>
          <w:snapToGrid w:val="0"/>
          <w:szCs w:val="22"/>
          <w:lang w:val="hr-HR"/>
        </w:rPr>
        <w:t xml:space="preserve"> </w:t>
      </w:r>
      <w:r w:rsidRPr="007703FB">
        <w:rPr>
          <w:snapToGrid w:val="0"/>
          <w:szCs w:val="22"/>
          <w:lang w:val="hr-HR"/>
        </w:rPr>
        <w:t>monostearat</w:t>
      </w:r>
      <w:r w:rsidR="006124C7" w:rsidRPr="007703FB">
        <w:rPr>
          <w:snapToGrid w:val="0"/>
          <w:szCs w:val="22"/>
          <w:lang w:val="hr-HR"/>
        </w:rPr>
        <w:t>, samoemulgujući</w:t>
      </w:r>
    </w:p>
    <w:p w14:paraId="286E5F25" w14:textId="77777777" w:rsidR="00B07542" w:rsidRPr="007703FB" w:rsidRDefault="00B07542" w:rsidP="00754D73">
      <w:pPr>
        <w:widowControl w:val="0"/>
        <w:tabs>
          <w:tab w:val="clear" w:pos="284"/>
          <w:tab w:val="left" w:pos="-720"/>
        </w:tabs>
        <w:suppressAutoHyphens/>
        <w:rPr>
          <w:snapToGrid w:val="0"/>
          <w:szCs w:val="22"/>
          <w:lang w:val="hr-HR"/>
        </w:rPr>
      </w:pPr>
      <w:r w:rsidRPr="007703FB">
        <w:rPr>
          <w:snapToGrid w:val="0"/>
          <w:szCs w:val="22"/>
          <w:lang w:val="hr-HR"/>
        </w:rPr>
        <w:t>Makrogol 20000</w:t>
      </w:r>
    </w:p>
    <w:p w14:paraId="2D44CEBB" w14:textId="77777777" w:rsidR="00CE09F3" w:rsidRPr="007703FB" w:rsidRDefault="00B07542" w:rsidP="00754D73">
      <w:pPr>
        <w:rPr>
          <w:szCs w:val="22"/>
          <w:lang w:val="hr-HR"/>
        </w:rPr>
      </w:pPr>
      <w:r w:rsidRPr="007703FB">
        <w:rPr>
          <w:snapToGrid w:val="0"/>
          <w:szCs w:val="22"/>
          <w:lang w:val="hr-HR"/>
        </w:rPr>
        <w:t>Talk</w:t>
      </w:r>
    </w:p>
    <w:p w14:paraId="43BBAFEE" w14:textId="77777777" w:rsidR="00CE09F3" w:rsidRPr="007703FB" w:rsidRDefault="00CE09F3" w:rsidP="00923865">
      <w:pPr>
        <w:rPr>
          <w:color w:val="FF0000"/>
          <w:szCs w:val="22"/>
          <w:lang w:val="hr-HR"/>
        </w:rPr>
      </w:pPr>
    </w:p>
    <w:p w14:paraId="125908B1" w14:textId="78C1DA5E" w:rsidR="00CE09F3" w:rsidRPr="007703FB" w:rsidRDefault="00CE09F3" w:rsidP="00923865">
      <w:pPr>
        <w:rPr>
          <w:b/>
          <w:bCs/>
          <w:szCs w:val="22"/>
          <w:lang w:val="hr-HR"/>
        </w:rPr>
      </w:pPr>
      <w:r w:rsidRPr="007703FB">
        <w:rPr>
          <w:b/>
          <w:bCs/>
          <w:szCs w:val="22"/>
          <w:lang w:val="hr-HR"/>
        </w:rPr>
        <w:t xml:space="preserve">6.2. </w:t>
      </w:r>
      <w:r w:rsidR="00AD5BE0" w:rsidRPr="007703FB">
        <w:rPr>
          <w:b/>
          <w:bCs/>
          <w:szCs w:val="22"/>
          <w:lang w:val="hr-HR"/>
        </w:rPr>
        <w:tab/>
      </w:r>
      <w:r w:rsidRPr="007703FB">
        <w:rPr>
          <w:b/>
          <w:bCs/>
          <w:szCs w:val="22"/>
          <w:lang w:val="hr-HR"/>
        </w:rPr>
        <w:t>Inkompatibilnost</w:t>
      </w:r>
      <w:r w:rsidR="0056331F" w:rsidRPr="007703FB">
        <w:rPr>
          <w:b/>
          <w:bCs/>
          <w:szCs w:val="22"/>
          <w:lang w:val="hr-HR"/>
        </w:rPr>
        <w:t>i</w:t>
      </w:r>
    </w:p>
    <w:p w14:paraId="7CAF2FDC" w14:textId="77777777" w:rsidR="00CE09F3" w:rsidRPr="007703FB" w:rsidRDefault="00CE09F3" w:rsidP="00923865">
      <w:pPr>
        <w:rPr>
          <w:color w:val="FF0000"/>
          <w:szCs w:val="22"/>
          <w:lang w:val="hr-HR"/>
        </w:rPr>
      </w:pPr>
    </w:p>
    <w:p w14:paraId="67CC08A6" w14:textId="77777777" w:rsidR="00E84404" w:rsidRPr="007703FB" w:rsidRDefault="00847DE6" w:rsidP="00E84404">
      <w:pPr>
        <w:pStyle w:val="Default"/>
        <w:rPr>
          <w:color w:val="FF0000"/>
          <w:sz w:val="22"/>
          <w:szCs w:val="22"/>
          <w:lang w:val="hr-HR"/>
        </w:rPr>
      </w:pPr>
      <w:r w:rsidRPr="007703FB">
        <w:rPr>
          <w:color w:val="auto"/>
          <w:sz w:val="22"/>
          <w:szCs w:val="22"/>
          <w:lang w:val="hr-HR"/>
        </w:rPr>
        <w:t>Nije prim</w:t>
      </w:r>
      <w:r w:rsidR="005178A6" w:rsidRPr="007703FB">
        <w:rPr>
          <w:color w:val="auto"/>
          <w:sz w:val="22"/>
          <w:szCs w:val="22"/>
          <w:lang w:val="hr-HR"/>
        </w:rPr>
        <w:t>j</w:t>
      </w:r>
      <w:r w:rsidRPr="007703FB">
        <w:rPr>
          <w:color w:val="auto"/>
          <w:sz w:val="22"/>
          <w:szCs w:val="22"/>
          <w:lang w:val="hr-HR"/>
        </w:rPr>
        <w:t xml:space="preserve">enljivo.  </w:t>
      </w:r>
    </w:p>
    <w:p w14:paraId="1974C0B8" w14:textId="77777777" w:rsidR="00E84404" w:rsidRPr="007703FB" w:rsidRDefault="00E84404" w:rsidP="00E84404">
      <w:pPr>
        <w:pStyle w:val="Default"/>
        <w:rPr>
          <w:color w:val="FF0000"/>
          <w:sz w:val="22"/>
          <w:szCs w:val="22"/>
          <w:lang w:val="hr-HR"/>
        </w:rPr>
      </w:pPr>
    </w:p>
    <w:p w14:paraId="2F12025A" w14:textId="7A44CDF6" w:rsidR="00CE09F3" w:rsidRPr="007703FB" w:rsidRDefault="00026FDC" w:rsidP="00923865">
      <w:pPr>
        <w:rPr>
          <w:b/>
          <w:bCs/>
          <w:szCs w:val="22"/>
          <w:lang w:val="hr-HR"/>
        </w:rPr>
      </w:pPr>
      <w:r w:rsidRPr="007703FB">
        <w:rPr>
          <w:b/>
          <w:bCs/>
          <w:szCs w:val="22"/>
          <w:lang w:val="hr-HR"/>
        </w:rPr>
        <w:t xml:space="preserve">6.3. </w:t>
      </w:r>
      <w:r w:rsidR="00AD5BE0" w:rsidRPr="007703FB">
        <w:rPr>
          <w:b/>
          <w:bCs/>
          <w:szCs w:val="22"/>
          <w:lang w:val="hr-HR"/>
        </w:rPr>
        <w:tab/>
      </w:r>
      <w:r w:rsidRPr="007703FB">
        <w:rPr>
          <w:b/>
          <w:bCs/>
          <w:szCs w:val="22"/>
          <w:lang w:val="hr-HR"/>
        </w:rPr>
        <w:t>Rok upotrebe</w:t>
      </w:r>
    </w:p>
    <w:p w14:paraId="60F0F050" w14:textId="77777777" w:rsidR="00CE09F3" w:rsidRPr="007703FB" w:rsidRDefault="00CE09F3" w:rsidP="00923865">
      <w:pPr>
        <w:rPr>
          <w:color w:val="FF0000"/>
          <w:szCs w:val="22"/>
          <w:lang w:val="hr-HR"/>
        </w:rPr>
      </w:pPr>
    </w:p>
    <w:p w14:paraId="1640210E" w14:textId="77777777" w:rsidR="00CE09F3" w:rsidRPr="007703FB" w:rsidRDefault="00B07542" w:rsidP="00923865">
      <w:pPr>
        <w:rPr>
          <w:spacing w:val="-3"/>
          <w:szCs w:val="22"/>
          <w:lang w:val="hr-HR"/>
        </w:rPr>
      </w:pPr>
      <w:r w:rsidRPr="007703FB">
        <w:rPr>
          <w:spacing w:val="-3"/>
          <w:szCs w:val="22"/>
          <w:lang w:val="hr-HR"/>
        </w:rPr>
        <w:t xml:space="preserve">Pet (5) </w:t>
      </w:r>
      <w:r w:rsidRPr="007703FB">
        <w:rPr>
          <w:szCs w:val="22"/>
          <w:lang w:val="hr-HR"/>
        </w:rPr>
        <w:t>godina</w:t>
      </w:r>
      <w:r w:rsidRPr="007703FB">
        <w:rPr>
          <w:spacing w:val="-3"/>
          <w:szCs w:val="22"/>
          <w:lang w:val="hr-HR"/>
        </w:rPr>
        <w:t>.</w:t>
      </w:r>
    </w:p>
    <w:p w14:paraId="3540D075" w14:textId="77777777" w:rsidR="00B07542" w:rsidRPr="007703FB" w:rsidRDefault="00B07542" w:rsidP="00923865">
      <w:pPr>
        <w:rPr>
          <w:szCs w:val="22"/>
          <w:lang w:val="hr-HR"/>
        </w:rPr>
      </w:pPr>
    </w:p>
    <w:p w14:paraId="1289DF17" w14:textId="6E213700" w:rsidR="00B07542" w:rsidRPr="007703FB" w:rsidRDefault="00CE09F3" w:rsidP="00923865">
      <w:pPr>
        <w:rPr>
          <w:b/>
          <w:bCs/>
          <w:szCs w:val="22"/>
          <w:lang w:val="hr-HR"/>
        </w:rPr>
      </w:pPr>
      <w:r w:rsidRPr="007703FB">
        <w:rPr>
          <w:b/>
          <w:bCs/>
          <w:szCs w:val="22"/>
          <w:lang w:val="hr-HR"/>
        </w:rPr>
        <w:t xml:space="preserve">6.4. </w:t>
      </w:r>
      <w:r w:rsidR="00AD5BE0" w:rsidRPr="007703FB">
        <w:rPr>
          <w:b/>
          <w:bCs/>
          <w:szCs w:val="22"/>
          <w:lang w:val="hr-HR"/>
        </w:rPr>
        <w:tab/>
      </w:r>
      <w:r w:rsidRPr="007703FB">
        <w:rPr>
          <w:b/>
          <w:bCs/>
          <w:szCs w:val="22"/>
          <w:lang w:val="hr-HR"/>
        </w:rPr>
        <w:t>Posebne m</w:t>
      </w:r>
      <w:r w:rsidR="00C22B78" w:rsidRPr="007703FB">
        <w:rPr>
          <w:b/>
          <w:bCs/>
          <w:szCs w:val="22"/>
          <w:lang w:val="hr-HR"/>
        </w:rPr>
        <w:t>j</w:t>
      </w:r>
      <w:r w:rsidRPr="007703FB">
        <w:rPr>
          <w:b/>
          <w:bCs/>
          <w:szCs w:val="22"/>
          <w:lang w:val="hr-HR"/>
        </w:rPr>
        <w:t xml:space="preserve">ere </w:t>
      </w:r>
      <w:r w:rsidR="0056331F" w:rsidRPr="007703FB">
        <w:rPr>
          <w:b/>
          <w:bCs/>
          <w:szCs w:val="22"/>
          <w:lang w:val="hr-HR"/>
        </w:rPr>
        <w:t>upozorenja</w:t>
      </w:r>
      <w:r w:rsidRPr="007703FB">
        <w:rPr>
          <w:b/>
          <w:bCs/>
          <w:szCs w:val="22"/>
          <w:lang w:val="hr-HR"/>
        </w:rPr>
        <w:t xml:space="preserve"> pri čuvanju</w:t>
      </w:r>
      <w:r w:rsidR="00C22B78" w:rsidRPr="007703FB">
        <w:rPr>
          <w:b/>
          <w:bCs/>
          <w:szCs w:val="22"/>
          <w:lang w:val="hr-HR"/>
        </w:rPr>
        <w:t xml:space="preserve"> lijeka</w:t>
      </w:r>
    </w:p>
    <w:p w14:paraId="4E402CE0" w14:textId="77777777" w:rsidR="00B07542" w:rsidRPr="007703FB" w:rsidRDefault="00B07542" w:rsidP="00923865">
      <w:pPr>
        <w:rPr>
          <w:b/>
          <w:bCs/>
          <w:color w:val="FF0000"/>
          <w:szCs w:val="22"/>
          <w:lang w:val="hr-HR"/>
        </w:rPr>
      </w:pPr>
    </w:p>
    <w:p w14:paraId="0F067E12" w14:textId="0D875323" w:rsidR="00EC5F60" w:rsidRPr="007703FB" w:rsidRDefault="00AC4AE4" w:rsidP="00923865">
      <w:pPr>
        <w:rPr>
          <w:bCs/>
          <w:szCs w:val="22"/>
          <w:lang w:val="hr-HR"/>
        </w:rPr>
      </w:pPr>
      <w:r>
        <w:rPr>
          <w:bCs/>
          <w:szCs w:val="22"/>
          <w:lang w:val="hr-HR"/>
        </w:rPr>
        <w:t>Lijek č</w:t>
      </w:r>
      <w:r w:rsidR="00B07542" w:rsidRPr="007703FB">
        <w:rPr>
          <w:bCs/>
          <w:szCs w:val="22"/>
          <w:lang w:val="hr-HR"/>
        </w:rPr>
        <w:t>uvati na temperaturi do 30</w:t>
      </w:r>
      <w:r w:rsidR="00B07542" w:rsidRPr="007703FB">
        <w:rPr>
          <w:bCs/>
          <w:szCs w:val="22"/>
          <w:lang w:val="hr-HR"/>
        </w:rPr>
        <w:sym w:font="Symbol" w:char="F0B0"/>
      </w:r>
      <w:r w:rsidR="00B07542" w:rsidRPr="007703FB">
        <w:rPr>
          <w:bCs/>
          <w:szCs w:val="22"/>
          <w:lang w:val="hr-HR"/>
        </w:rPr>
        <w:t xml:space="preserve">C. </w:t>
      </w:r>
    </w:p>
    <w:p w14:paraId="071F3336" w14:textId="77777777" w:rsidR="00E22CB0" w:rsidRPr="007703FB" w:rsidRDefault="00E22CB0" w:rsidP="00923865">
      <w:pPr>
        <w:rPr>
          <w:color w:val="FF0000"/>
          <w:szCs w:val="22"/>
          <w:lang w:val="hr-HR"/>
        </w:rPr>
      </w:pPr>
    </w:p>
    <w:p w14:paraId="52FC5AB5" w14:textId="2C2ED689" w:rsidR="00CE09F3" w:rsidRPr="007703FB" w:rsidRDefault="0022223A" w:rsidP="00923865">
      <w:pPr>
        <w:rPr>
          <w:b/>
          <w:bCs/>
          <w:szCs w:val="22"/>
          <w:lang w:val="hr-HR"/>
        </w:rPr>
      </w:pPr>
      <w:r w:rsidRPr="007703FB">
        <w:rPr>
          <w:b/>
          <w:bCs/>
          <w:szCs w:val="22"/>
          <w:lang w:val="hr-HR"/>
        </w:rPr>
        <w:t xml:space="preserve">6.5. </w:t>
      </w:r>
      <w:r w:rsidR="00AD5BE0" w:rsidRPr="007703FB">
        <w:rPr>
          <w:b/>
          <w:bCs/>
          <w:szCs w:val="22"/>
          <w:lang w:val="hr-HR"/>
        </w:rPr>
        <w:tab/>
      </w:r>
      <w:r w:rsidR="00C22B78" w:rsidRPr="007703FB">
        <w:rPr>
          <w:b/>
          <w:bCs/>
          <w:szCs w:val="22"/>
          <w:lang w:val="hr-HR"/>
        </w:rPr>
        <w:t>Vrst</w:t>
      </w:r>
      <w:r w:rsidR="00CE09F3" w:rsidRPr="007703FB">
        <w:rPr>
          <w:b/>
          <w:bCs/>
          <w:szCs w:val="22"/>
          <w:lang w:val="hr-HR"/>
        </w:rPr>
        <w:t>a i sadržaj pakovanja</w:t>
      </w:r>
    </w:p>
    <w:p w14:paraId="3630C585" w14:textId="77777777" w:rsidR="00CE09F3" w:rsidRPr="007703FB" w:rsidRDefault="00CE09F3" w:rsidP="00923865">
      <w:pPr>
        <w:rPr>
          <w:color w:val="FF0000"/>
          <w:szCs w:val="22"/>
          <w:lang w:val="hr-HR"/>
        </w:rPr>
      </w:pPr>
    </w:p>
    <w:p w14:paraId="08164B26" w14:textId="77777777" w:rsidR="00B07542" w:rsidRPr="007703FB" w:rsidRDefault="00B07542" w:rsidP="00EC5F60">
      <w:pPr>
        <w:pStyle w:val="Header"/>
        <w:tabs>
          <w:tab w:val="left" w:pos="284"/>
        </w:tabs>
        <w:rPr>
          <w:szCs w:val="22"/>
          <w:lang w:val="hr-HR"/>
        </w:rPr>
      </w:pPr>
      <w:r w:rsidRPr="007703FB">
        <w:rPr>
          <w:szCs w:val="22"/>
          <w:lang w:val="hr-HR"/>
        </w:rPr>
        <w:t>Unutrašnje pakovanje</w:t>
      </w:r>
      <w:r w:rsidR="00926E6A" w:rsidRPr="007703FB">
        <w:rPr>
          <w:szCs w:val="22"/>
          <w:lang w:val="hr-HR"/>
        </w:rPr>
        <w:t xml:space="preserve"> l</w:t>
      </w:r>
      <w:r w:rsidR="00277D7D" w:rsidRPr="007703FB">
        <w:rPr>
          <w:szCs w:val="22"/>
          <w:lang w:val="hr-HR"/>
        </w:rPr>
        <w:t>ij</w:t>
      </w:r>
      <w:r w:rsidR="00926E6A" w:rsidRPr="007703FB">
        <w:rPr>
          <w:szCs w:val="22"/>
          <w:lang w:val="hr-HR"/>
        </w:rPr>
        <w:t>eka je</w:t>
      </w:r>
      <w:r w:rsidRPr="007703FB">
        <w:rPr>
          <w:szCs w:val="22"/>
          <w:lang w:val="hr-HR"/>
        </w:rPr>
        <w:t xml:space="preserve"> boca od polietilena visoke gustine</w:t>
      </w:r>
      <w:r w:rsidR="00926E6A" w:rsidRPr="007703FB">
        <w:rPr>
          <w:szCs w:val="22"/>
          <w:lang w:val="hr-HR"/>
        </w:rPr>
        <w:t>, b</w:t>
      </w:r>
      <w:r w:rsidR="00277D7D" w:rsidRPr="007703FB">
        <w:rPr>
          <w:szCs w:val="22"/>
          <w:lang w:val="hr-HR"/>
        </w:rPr>
        <w:t>ij</w:t>
      </w:r>
      <w:r w:rsidR="00926E6A" w:rsidRPr="007703FB">
        <w:rPr>
          <w:szCs w:val="22"/>
          <w:lang w:val="hr-HR"/>
        </w:rPr>
        <w:t>ele boje,</w:t>
      </w:r>
      <w:r w:rsidRPr="007703FB">
        <w:rPr>
          <w:szCs w:val="22"/>
          <w:lang w:val="hr-HR"/>
        </w:rPr>
        <w:t xml:space="preserve"> sa polipropilenskim zatvaračem sa navojem</w:t>
      </w:r>
      <w:r w:rsidR="00926E6A" w:rsidRPr="007703FB">
        <w:rPr>
          <w:szCs w:val="22"/>
          <w:lang w:val="hr-HR"/>
        </w:rPr>
        <w:t xml:space="preserve"> narandžaste boje i indikatorom integriteta pakovanja </w:t>
      </w:r>
      <w:r w:rsidR="00847DE6" w:rsidRPr="007703FB">
        <w:rPr>
          <w:rFonts w:eastAsia="TimesNewRoman"/>
          <w:i/>
          <w:szCs w:val="22"/>
          <w:lang w:val="hr-HR"/>
        </w:rPr>
        <w:t>(tamper evident closure)</w:t>
      </w:r>
      <w:r w:rsidR="00926E6A" w:rsidRPr="007703FB">
        <w:rPr>
          <w:rFonts w:eastAsia="TimesNewRoman"/>
          <w:szCs w:val="22"/>
          <w:lang w:val="hr-HR"/>
        </w:rPr>
        <w:t xml:space="preserve"> narandžaste boje</w:t>
      </w:r>
      <w:r w:rsidRPr="007703FB">
        <w:rPr>
          <w:szCs w:val="22"/>
          <w:lang w:val="hr-HR"/>
        </w:rPr>
        <w:t xml:space="preserve">, koja sadrži 100 </w:t>
      </w:r>
      <w:r w:rsidR="00926E6A" w:rsidRPr="007703FB">
        <w:rPr>
          <w:szCs w:val="22"/>
          <w:lang w:val="hr-HR"/>
        </w:rPr>
        <w:t xml:space="preserve">gastrorezistentnih </w:t>
      </w:r>
      <w:r w:rsidRPr="007703FB">
        <w:rPr>
          <w:szCs w:val="22"/>
          <w:lang w:val="hr-HR"/>
        </w:rPr>
        <w:t>tableta.</w:t>
      </w:r>
    </w:p>
    <w:p w14:paraId="6E9BBBB9" w14:textId="26BEE6EC" w:rsidR="00E22CB0" w:rsidRPr="007703FB" w:rsidRDefault="00B07542" w:rsidP="00B07542">
      <w:pPr>
        <w:rPr>
          <w:szCs w:val="22"/>
          <w:lang w:val="hr-HR"/>
        </w:rPr>
      </w:pPr>
      <w:r w:rsidRPr="007703FB">
        <w:rPr>
          <w:szCs w:val="22"/>
          <w:lang w:val="hr-HR"/>
        </w:rPr>
        <w:t>Spolj</w:t>
      </w:r>
      <w:r w:rsidR="00926E6A" w:rsidRPr="007703FB">
        <w:rPr>
          <w:szCs w:val="22"/>
          <w:lang w:val="hr-HR"/>
        </w:rPr>
        <w:t>ašnje</w:t>
      </w:r>
      <w:r w:rsidRPr="007703FB">
        <w:rPr>
          <w:szCs w:val="22"/>
          <w:lang w:val="hr-HR"/>
        </w:rPr>
        <w:t xml:space="preserve"> pakovanje</w:t>
      </w:r>
      <w:r w:rsidR="00926E6A" w:rsidRPr="007703FB">
        <w:rPr>
          <w:szCs w:val="22"/>
          <w:lang w:val="hr-HR"/>
        </w:rPr>
        <w:t xml:space="preserve"> l</w:t>
      </w:r>
      <w:r w:rsidR="00277D7D" w:rsidRPr="007703FB">
        <w:rPr>
          <w:szCs w:val="22"/>
          <w:lang w:val="hr-HR"/>
        </w:rPr>
        <w:t>ij</w:t>
      </w:r>
      <w:r w:rsidR="00926E6A" w:rsidRPr="007703FB">
        <w:rPr>
          <w:szCs w:val="22"/>
          <w:lang w:val="hr-HR"/>
        </w:rPr>
        <w:t>eka je</w:t>
      </w:r>
      <w:r w:rsidRPr="007703FB">
        <w:rPr>
          <w:szCs w:val="22"/>
          <w:lang w:val="hr-HR"/>
        </w:rPr>
        <w:t xml:space="preserve"> složiva kartonska kutija </w:t>
      </w:r>
      <w:r w:rsidR="00926E6A" w:rsidRPr="007703FB">
        <w:rPr>
          <w:szCs w:val="22"/>
          <w:lang w:val="hr-HR"/>
        </w:rPr>
        <w:t>u kojoj se nalazi 1 boca i Uputstvo za</w:t>
      </w:r>
      <w:r w:rsidR="00277D7D" w:rsidRPr="007703FB">
        <w:rPr>
          <w:szCs w:val="22"/>
          <w:lang w:val="hr-HR"/>
        </w:rPr>
        <w:t xml:space="preserve"> </w:t>
      </w:r>
      <w:r w:rsidR="008B6655">
        <w:rPr>
          <w:szCs w:val="22"/>
          <w:lang w:val="hr-HR"/>
        </w:rPr>
        <w:t>lijek</w:t>
      </w:r>
      <w:r w:rsidRPr="007703FB">
        <w:rPr>
          <w:szCs w:val="22"/>
          <w:lang w:val="hr-HR"/>
        </w:rPr>
        <w:t>.</w:t>
      </w:r>
    </w:p>
    <w:p w14:paraId="677DA376" w14:textId="77777777" w:rsidR="00754D73" w:rsidRPr="007703FB" w:rsidRDefault="00754D73" w:rsidP="00B07542">
      <w:pPr>
        <w:rPr>
          <w:color w:val="FF0000"/>
          <w:szCs w:val="22"/>
          <w:lang w:val="hr-HR"/>
        </w:rPr>
      </w:pPr>
    </w:p>
    <w:p w14:paraId="10E86862" w14:textId="77777777" w:rsidR="00534F09" w:rsidRDefault="00534F09">
      <w:pPr>
        <w:rPr>
          <w:b/>
          <w:bCs/>
          <w:szCs w:val="22"/>
          <w:lang w:val="hr-HR"/>
        </w:rPr>
      </w:pPr>
      <w:bookmarkStart w:id="0" w:name="_GoBack"/>
      <w:bookmarkEnd w:id="0"/>
    </w:p>
    <w:p w14:paraId="1CD8AB10" w14:textId="77777777" w:rsidR="00534F09" w:rsidRDefault="00534F09">
      <w:pPr>
        <w:rPr>
          <w:b/>
          <w:bCs/>
          <w:szCs w:val="22"/>
          <w:lang w:val="hr-HR"/>
        </w:rPr>
      </w:pPr>
    </w:p>
    <w:p w14:paraId="59F4DE6D" w14:textId="50490885" w:rsidR="00CE09F3" w:rsidRPr="007703FB" w:rsidRDefault="00CE09F3">
      <w:pPr>
        <w:rPr>
          <w:b/>
          <w:bCs/>
          <w:szCs w:val="22"/>
          <w:lang w:val="hr-HR"/>
        </w:rPr>
      </w:pPr>
      <w:r w:rsidRPr="007703FB">
        <w:rPr>
          <w:b/>
          <w:bCs/>
          <w:szCs w:val="22"/>
          <w:lang w:val="hr-HR"/>
        </w:rPr>
        <w:t xml:space="preserve">6.6. </w:t>
      </w:r>
      <w:r w:rsidR="00AD5BE0" w:rsidRPr="007703FB">
        <w:rPr>
          <w:b/>
          <w:bCs/>
          <w:szCs w:val="22"/>
          <w:lang w:val="hr-HR"/>
        </w:rPr>
        <w:tab/>
      </w:r>
      <w:r w:rsidRPr="007703FB">
        <w:rPr>
          <w:b/>
          <w:bCs/>
          <w:szCs w:val="22"/>
          <w:lang w:val="hr-HR"/>
        </w:rPr>
        <w:t>Posebne m</w:t>
      </w:r>
      <w:r w:rsidR="00A032A5" w:rsidRPr="007703FB">
        <w:rPr>
          <w:b/>
          <w:bCs/>
          <w:szCs w:val="22"/>
          <w:lang w:val="hr-HR"/>
        </w:rPr>
        <w:t>j</w:t>
      </w:r>
      <w:r w:rsidRPr="007703FB">
        <w:rPr>
          <w:b/>
          <w:bCs/>
          <w:szCs w:val="22"/>
          <w:lang w:val="hr-HR"/>
        </w:rPr>
        <w:t>ere opreza pri odlaganju materijala koji treba odbaciti nakon prim</w:t>
      </w:r>
      <w:r w:rsidR="00A032A5" w:rsidRPr="007703FB">
        <w:rPr>
          <w:b/>
          <w:bCs/>
          <w:szCs w:val="22"/>
          <w:lang w:val="hr-HR"/>
        </w:rPr>
        <w:t>j</w:t>
      </w:r>
      <w:r w:rsidRPr="007703FB">
        <w:rPr>
          <w:b/>
          <w:bCs/>
          <w:szCs w:val="22"/>
          <w:lang w:val="hr-HR"/>
        </w:rPr>
        <w:t>ene l</w:t>
      </w:r>
      <w:r w:rsidR="00A032A5" w:rsidRPr="007703FB">
        <w:rPr>
          <w:b/>
          <w:bCs/>
          <w:szCs w:val="22"/>
          <w:lang w:val="hr-HR"/>
        </w:rPr>
        <w:t>ij</w:t>
      </w:r>
      <w:r w:rsidRPr="007703FB">
        <w:rPr>
          <w:b/>
          <w:bCs/>
          <w:szCs w:val="22"/>
          <w:lang w:val="hr-HR"/>
        </w:rPr>
        <w:t xml:space="preserve">eka </w:t>
      </w:r>
      <w:r w:rsidR="00BF1F59">
        <w:rPr>
          <w:b/>
          <w:bCs/>
          <w:szCs w:val="22"/>
          <w:lang w:val="hr-HR"/>
        </w:rPr>
        <w:t>(i druga uputstva za rukovanje lijekom)</w:t>
      </w:r>
    </w:p>
    <w:p w14:paraId="2205DF67" w14:textId="77777777" w:rsidR="00912780" w:rsidRPr="007703FB" w:rsidRDefault="00912780">
      <w:pPr>
        <w:rPr>
          <w:szCs w:val="22"/>
          <w:lang w:val="hr-HR"/>
        </w:rPr>
      </w:pPr>
    </w:p>
    <w:p w14:paraId="50C7B4BA" w14:textId="3F6BF70E" w:rsidR="00912780" w:rsidRPr="007703FB" w:rsidRDefault="00754D73">
      <w:pPr>
        <w:rPr>
          <w:bCs/>
          <w:szCs w:val="22"/>
          <w:lang w:val="hr-HR"/>
        </w:rPr>
      </w:pPr>
      <w:r w:rsidRPr="007703FB">
        <w:rPr>
          <w:szCs w:val="22"/>
          <w:lang w:val="hr-HR"/>
        </w:rPr>
        <w:t>Svu neiskorišćenu količinu l</w:t>
      </w:r>
      <w:r w:rsidR="00357818" w:rsidRPr="007703FB">
        <w:rPr>
          <w:szCs w:val="22"/>
          <w:lang w:val="hr-HR"/>
        </w:rPr>
        <w:t>ij</w:t>
      </w:r>
      <w:r w:rsidRPr="007703FB">
        <w:rPr>
          <w:szCs w:val="22"/>
          <w:lang w:val="hr-HR"/>
        </w:rPr>
        <w:t>eka ili otpadnog materijala nakon njegove upotrebe treba ukloniti, u skladu sa važećim propisima.</w:t>
      </w:r>
    </w:p>
    <w:p w14:paraId="1C405C8E" w14:textId="77777777" w:rsidR="00534F09" w:rsidRDefault="00534F09" w:rsidP="002E7D92">
      <w:pPr>
        <w:pStyle w:val="NASLOV123"/>
        <w:tabs>
          <w:tab w:val="clear" w:pos="284"/>
          <w:tab w:val="left" w:pos="567"/>
        </w:tabs>
        <w:spacing w:before="0" w:after="0"/>
        <w:rPr>
          <w:lang w:val="hr-HR"/>
        </w:rPr>
      </w:pPr>
    </w:p>
    <w:p w14:paraId="24C1FFA2" w14:textId="77777777" w:rsidR="00534F09" w:rsidRDefault="00534F09" w:rsidP="002E7D92">
      <w:pPr>
        <w:pStyle w:val="NASLOV123"/>
        <w:tabs>
          <w:tab w:val="clear" w:pos="284"/>
          <w:tab w:val="left" w:pos="567"/>
        </w:tabs>
        <w:spacing w:before="0" w:after="0"/>
        <w:rPr>
          <w:lang w:val="hr-HR"/>
        </w:rPr>
      </w:pPr>
    </w:p>
    <w:p w14:paraId="186D165E" w14:textId="46AAE28C" w:rsidR="00CE09F3" w:rsidRPr="007703FB" w:rsidRDefault="00CE09F3" w:rsidP="002E7D92">
      <w:pPr>
        <w:pStyle w:val="NASLOV123"/>
        <w:tabs>
          <w:tab w:val="clear" w:pos="284"/>
          <w:tab w:val="left" w:pos="567"/>
        </w:tabs>
        <w:spacing w:before="0" w:after="0"/>
        <w:rPr>
          <w:lang w:val="hr-HR"/>
        </w:rPr>
      </w:pPr>
      <w:r w:rsidRPr="007703FB">
        <w:rPr>
          <w:lang w:val="hr-HR"/>
        </w:rPr>
        <w:t xml:space="preserve">7. </w:t>
      </w:r>
      <w:r w:rsidR="00CB4F73" w:rsidRPr="007703FB">
        <w:rPr>
          <w:lang w:val="hr-HR"/>
        </w:rPr>
        <w:tab/>
      </w:r>
      <w:r w:rsidRPr="007703FB">
        <w:rPr>
          <w:lang w:val="hr-HR"/>
        </w:rPr>
        <w:t xml:space="preserve">NOSILAC DOZVOLE </w:t>
      </w:r>
    </w:p>
    <w:p w14:paraId="1A38316F" w14:textId="77777777" w:rsidR="00534F09" w:rsidRDefault="00534F09">
      <w:pPr>
        <w:rPr>
          <w:szCs w:val="22"/>
          <w:lang w:val="hr-HR"/>
        </w:rPr>
      </w:pPr>
    </w:p>
    <w:p w14:paraId="2BFFE2F9" w14:textId="4EFEA621" w:rsidR="00CE09F3" w:rsidRPr="007703FB" w:rsidRDefault="00357818">
      <w:pPr>
        <w:rPr>
          <w:szCs w:val="22"/>
          <w:lang w:val="hr-HR"/>
        </w:rPr>
      </w:pPr>
      <w:r w:rsidRPr="007703FB">
        <w:rPr>
          <w:szCs w:val="22"/>
          <w:lang w:val="hr-HR"/>
        </w:rPr>
        <w:t>Evropa Lek Pharma d.o.o. Podgorica</w:t>
      </w:r>
    </w:p>
    <w:p w14:paraId="12B34799" w14:textId="77777777" w:rsidR="00357818" w:rsidRPr="007703FB" w:rsidRDefault="00357818">
      <w:pPr>
        <w:rPr>
          <w:szCs w:val="22"/>
          <w:lang w:val="hr-HR"/>
        </w:rPr>
      </w:pPr>
      <w:r w:rsidRPr="007703FB">
        <w:rPr>
          <w:szCs w:val="22"/>
          <w:lang w:val="hr-HR"/>
        </w:rPr>
        <w:t>Kritskog odreda 4/1, 81 000 Podgorica</w:t>
      </w:r>
      <w:r w:rsidR="00A97215" w:rsidRPr="007703FB">
        <w:rPr>
          <w:szCs w:val="22"/>
          <w:lang w:val="hr-HR"/>
        </w:rPr>
        <w:t>, Crna Gora</w:t>
      </w:r>
    </w:p>
    <w:p w14:paraId="02CE6398" w14:textId="0492808F" w:rsidR="00912780" w:rsidRDefault="00912780">
      <w:pPr>
        <w:rPr>
          <w:szCs w:val="22"/>
          <w:lang w:val="hr-HR"/>
        </w:rPr>
      </w:pPr>
    </w:p>
    <w:p w14:paraId="035AB104" w14:textId="77777777" w:rsidR="00534F09" w:rsidRPr="007703FB" w:rsidRDefault="00534F09">
      <w:pPr>
        <w:rPr>
          <w:szCs w:val="22"/>
          <w:lang w:val="hr-HR"/>
        </w:rPr>
      </w:pPr>
    </w:p>
    <w:p w14:paraId="784EBFFB" w14:textId="3EF73EA1" w:rsidR="00CE09F3" w:rsidRPr="007703FB" w:rsidRDefault="00CE09F3" w:rsidP="002E7D92">
      <w:pPr>
        <w:pStyle w:val="NASLOV123"/>
        <w:tabs>
          <w:tab w:val="clear" w:pos="284"/>
          <w:tab w:val="left" w:pos="567"/>
        </w:tabs>
        <w:spacing w:before="0" w:after="0"/>
        <w:rPr>
          <w:lang w:val="hr-HR"/>
        </w:rPr>
      </w:pPr>
      <w:r w:rsidRPr="007703FB">
        <w:rPr>
          <w:lang w:val="hr-HR"/>
        </w:rPr>
        <w:t xml:space="preserve">8. </w:t>
      </w:r>
      <w:r w:rsidR="00CB4F73" w:rsidRPr="007703FB">
        <w:rPr>
          <w:lang w:val="hr-HR"/>
        </w:rPr>
        <w:tab/>
      </w:r>
      <w:r w:rsidRPr="007703FB">
        <w:rPr>
          <w:lang w:val="hr-HR"/>
        </w:rPr>
        <w:t>BROJ DOZVOLE</w:t>
      </w:r>
      <w:r w:rsidR="00BF1F59">
        <w:rPr>
          <w:lang w:val="hr-HR"/>
        </w:rPr>
        <w:t xml:space="preserve"> ZA STAVLJANJE LIJEKA U PROMET</w:t>
      </w:r>
    </w:p>
    <w:p w14:paraId="6A53AE60" w14:textId="75D085E7" w:rsidR="00534F09" w:rsidRDefault="00534F09" w:rsidP="002E7D92">
      <w:pPr>
        <w:pStyle w:val="NASLOV123"/>
        <w:spacing w:before="0" w:after="0"/>
        <w:rPr>
          <w:b w:val="0"/>
          <w:lang w:val="hr-HR"/>
        </w:rPr>
      </w:pPr>
    </w:p>
    <w:p w14:paraId="5BADF244" w14:textId="27CB51FB" w:rsidR="00C630F2" w:rsidRDefault="00C630F2" w:rsidP="002E7D92">
      <w:pPr>
        <w:pStyle w:val="NASLOV123"/>
        <w:spacing w:before="0" w:after="0"/>
        <w:rPr>
          <w:b w:val="0"/>
          <w:lang w:val="hr-HR"/>
        </w:rPr>
      </w:pPr>
      <w:r w:rsidRPr="00C630F2">
        <w:rPr>
          <w:b w:val="0"/>
          <w:lang w:val="hr-HR"/>
        </w:rPr>
        <w:t>2030/24/6481 - 7842</w:t>
      </w:r>
    </w:p>
    <w:p w14:paraId="185076FA" w14:textId="77777777" w:rsidR="00357818" w:rsidRPr="007703FB" w:rsidRDefault="00357818" w:rsidP="002E7D92">
      <w:pPr>
        <w:pStyle w:val="NASLOV123"/>
        <w:keepNext/>
        <w:spacing w:before="0" w:after="0"/>
        <w:jc w:val="both"/>
        <w:rPr>
          <w:color w:val="FF0000"/>
          <w:lang w:val="hr-HR"/>
        </w:rPr>
      </w:pPr>
    </w:p>
    <w:p w14:paraId="61F10260" w14:textId="1971A7C1" w:rsidR="00CE09F3" w:rsidRPr="007703FB" w:rsidRDefault="00AD3A94" w:rsidP="002E7D92">
      <w:pPr>
        <w:pStyle w:val="NASLOV123"/>
        <w:keepNext/>
        <w:tabs>
          <w:tab w:val="clear" w:pos="284"/>
          <w:tab w:val="left" w:pos="567"/>
        </w:tabs>
        <w:spacing w:before="0" w:after="0"/>
        <w:jc w:val="both"/>
        <w:rPr>
          <w:lang w:val="hr-HR"/>
        </w:rPr>
      </w:pPr>
      <w:r w:rsidRPr="007703FB">
        <w:rPr>
          <w:lang w:val="hr-HR"/>
        </w:rPr>
        <w:t xml:space="preserve">9. </w:t>
      </w:r>
      <w:r w:rsidR="00CB4F73" w:rsidRPr="007703FB">
        <w:rPr>
          <w:lang w:val="hr-HR"/>
        </w:rPr>
        <w:tab/>
      </w:r>
      <w:r w:rsidRPr="007703FB">
        <w:rPr>
          <w:lang w:val="hr-HR"/>
        </w:rPr>
        <w:t>DATUM PRVE DOZVOLE/</w:t>
      </w:r>
      <w:r w:rsidR="00CE09F3" w:rsidRPr="007703FB">
        <w:rPr>
          <w:lang w:val="hr-HR"/>
        </w:rPr>
        <w:t xml:space="preserve"> OBNOVE DOZVOLE </w:t>
      </w:r>
      <w:r w:rsidR="00BF1F59">
        <w:rPr>
          <w:lang w:val="hr-HR"/>
        </w:rPr>
        <w:t xml:space="preserve"> ZA STAVLJANJE LIJEKA U PROMET</w:t>
      </w:r>
    </w:p>
    <w:p w14:paraId="612F8815" w14:textId="77777777" w:rsidR="00534F09" w:rsidRDefault="00534F09">
      <w:pPr>
        <w:rPr>
          <w:szCs w:val="22"/>
          <w:lang w:val="hr-HR"/>
        </w:rPr>
      </w:pPr>
    </w:p>
    <w:p w14:paraId="75F515DD" w14:textId="76315A95" w:rsidR="00CE09F3" w:rsidRPr="007703FB" w:rsidRDefault="00534F09">
      <w:pPr>
        <w:rPr>
          <w:szCs w:val="22"/>
          <w:lang w:val="hr-HR"/>
        </w:rPr>
      </w:pPr>
      <w:r>
        <w:rPr>
          <w:szCs w:val="22"/>
          <w:lang w:val="hr-HR"/>
        </w:rPr>
        <w:t>Datum prve dozvole</w:t>
      </w:r>
      <w:r w:rsidR="00995FA0" w:rsidRPr="007703FB">
        <w:rPr>
          <w:szCs w:val="22"/>
          <w:lang w:val="hr-HR"/>
        </w:rPr>
        <w:t xml:space="preserve">: </w:t>
      </w:r>
      <w:r w:rsidR="00AD3A94" w:rsidRPr="007703FB">
        <w:rPr>
          <w:szCs w:val="22"/>
          <w:lang w:val="hr-HR"/>
        </w:rPr>
        <w:t>07.05.2014.godine</w:t>
      </w:r>
    </w:p>
    <w:p w14:paraId="5654AE67" w14:textId="42718090" w:rsidR="00AD3A94" w:rsidRDefault="00534F09">
      <w:pPr>
        <w:rPr>
          <w:szCs w:val="22"/>
          <w:lang w:val="hr-HR"/>
        </w:rPr>
      </w:pPr>
      <w:r>
        <w:rPr>
          <w:szCs w:val="22"/>
          <w:lang w:val="hr-HR"/>
        </w:rPr>
        <w:t>Datum poslednje obnove dozvole:</w:t>
      </w:r>
      <w:r w:rsidR="00C630F2">
        <w:rPr>
          <w:szCs w:val="22"/>
          <w:lang w:val="hr-HR"/>
        </w:rPr>
        <w:t xml:space="preserve"> </w:t>
      </w:r>
      <w:r w:rsidR="00C630F2" w:rsidRPr="00C630F2">
        <w:rPr>
          <w:szCs w:val="22"/>
          <w:lang w:val="hr-HR"/>
        </w:rPr>
        <w:t>04.12.2024. godine</w:t>
      </w:r>
    </w:p>
    <w:p w14:paraId="225F2055" w14:textId="7864CB09" w:rsidR="00534F09" w:rsidRDefault="00534F09">
      <w:pPr>
        <w:rPr>
          <w:szCs w:val="22"/>
          <w:lang w:val="hr-HR"/>
        </w:rPr>
      </w:pPr>
    </w:p>
    <w:p w14:paraId="4DCE133A" w14:textId="77777777" w:rsidR="00534F09" w:rsidRPr="007703FB" w:rsidRDefault="00534F09">
      <w:pPr>
        <w:rPr>
          <w:szCs w:val="22"/>
          <w:lang w:val="hr-HR"/>
        </w:rPr>
      </w:pPr>
    </w:p>
    <w:p w14:paraId="09B38DA6" w14:textId="399C1D45" w:rsidR="00CE09F3" w:rsidRPr="007703FB" w:rsidRDefault="00CE09F3" w:rsidP="002E7D92">
      <w:pPr>
        <w:pStyle w:val="NASLOV123"/>
        <w:spacing w:before="0" w:after="0"/>
        <w:rPr>
          <w:lang w:val="hr-HR"/>
        </w:rPr>
      </w:pPr>
      <w:r w:rsidRPr="007703FB">
        <w:rPr>
          <w:lang w:val="hr-HR"/>
        </w:rPr>
        <w:t xml:space="preserve">10. </w:t>
      </w:r>
      <w:r w:rsidR="00CB4F73" w:rsidRPr="007703FB">
        <w:rPr>
          <w:lang w:val="hr-HR"/>
        </w:rPr>
        <w:tab/>
      </w:r>
      <w:r w:rsidRPr="007703FB">
        <w:rPr>
          <w:lang w:val="hr-HR"/>
        </w:rPr>
        <w:t>DATUM REVIZIJE TEKSTA</w:t>
      </w:r>
      <w:r w:rsidR="00AD3A94" w:rsidRPr="007703FB">
        <w:rPr>
          <w:lang w:val="hr-HR"/>
        </w:rPr>
        <w:t xml:space="preserve"> </w:t>
      </w:r>
    </w:p>
    <w:p w14:paraId="484DBFD1" w14:textId="12734E55" w:rsidR="00923865" w:rsidRDefault="00923865">
      <w:pPr>
        <w:rPr>
          <w:bCs/>
          <w:szCs w:val="22"/>
          <w:lang w:val="hr-HR"/>
        </w:rPr>
      </w:pPr>
    </w:p>
    <w:p w14:paraId="6C90CAC6" w14:textId="5C7F6704" w:rsidR="00C630F2" w:rsidRPr="007703FB" w:rsidRDefault="00C630F2">
      <w:pPr>
        <w:rPr>
          <w:bCs/>
          <w:szCs w:val="22"/>
          <w:lang w:val="hr-HR"/>
        </w:rPr>
      </w:pPr>
      <w:r>
        <w:rPr>
          <w:bCs/>
          <w:szCs w:val="22"/>
          <w:lang w:val="hr-HR"/>
        </w:rPr>
        <w:t>Decembar, 2024. godine</w:t>
      </w:r>
    </w:p>
    <w:sectPr w:rsidR="00C630F2" w:rsidRPr="007703FB" w:rsidSect="002E7D92">
      <w:footerReference w:type="even" r:id="rId12"/>
      <w:footerReference w:type="default" r:id="rId13"/>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2073B" w14:textId="77777777" w:rsidR="00DD63D8" w:rsidRDefault="00DD63D8">
      <w:r>
        <w:separator/>
      </w:r>
    </w:p>
  </w:endnote>
  <w:endnote w:type="continuationSeparator" w:id="0">
    <w:p w14:paraId="5CCEC3E9" w14:textId="77777777" w:rsidR="00DD63D8" w:rsidRDefault="00DD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umanist777">
    <w:altName w:val="Times New Roman"/>
    <w:charset w:val="00"/>
    <w:family w:val="swiss"/>
    <w:pitch w:val="variable"/>
    <w:sig w:usb0="00000087" w:usb1="00000000" w:usb2="00000000" w:usb3="00000000" w:csb0="0000001B" w:csb1="00000000"/>
  </w:font>
  <w:font w:name="CG Times">
    <w:altName w:val="Times New Roman"/>
    <w:charset w:val="00"/>
    <w:family w:val="roman"/>
    <w:pitch w:val="variable"/>
    <w:sig w:usb0="00000007" w:usb1="00000000" w:usb2="00000000" w:usb3="00000000" w:csb0="00000093" w:csb1="00000000"/>
  </w:font>
  <w:font w:name="CHelvPlain">
    <w:altName w:val="Courier New"/>
    <w:panose1 w:val="00000000000000000000"/>
    <w:charset w:val="00"/>
    <w:family w:val="swiss"/>
    <w:notTrueType/>
    <w:pitch w:val="variable"/>
    <w:sig w:usb0="00000003" w:usb1="00000000" w:usb2="00000000" w:usb3="00000000" w:csb0="00000001" w:csb1="00000000"/>
  </w:font>
  <w:font w:name="Dutch">
    <w:altName w:val="Courier New"/>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669B" w14:textId="77777777" w:rsidR="007703FB" w:rsidRDefault="007703FB"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602107" w14:textId="77777777" w:rsidR="007703FB" w:rsidRDefault="007703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F365A" w14:textId="04CC1E56" w:rsidR="007703FB" w:rsidRPr="007152FF" w:rsidRDefault="00DD63D8" w:rsidP="007152FF">
    <w:pPr>
      <w:pStyle w:val="Footer"/>
      <w:tabs>
        <w:tab w:val="left" w:pos="5448"/>
      </w:tabs>
      <w:spacing w:before="360"/>
      <w:jc w:val="center"/>
      <w:rPr>
        <w:sz w:val="20"/>
        <w:szCs w:val="18"/>
      </w:rPr>
    </w:pPr>
    <w:sdt>
      <w:sdtPr>
        <w:rPr>
          <w:sz w:val="18"/>
          <w:szCs w:val="18"/>
        </w:rPr>
        <w:id w:val="25862803"/>
        <w:docPartObj>
          <w:docPartGallery w:val="Page Numbers (Bottom of Page)"/>
          <w:docPartUnique/>
        </w:docPartObj>
      </w:sdtPr>
      <w:sdtEndPr>
        <w:rPr>
          <w:sz w:val="20"/>
        </w:rPr>
      </w:sdtEndPr>
      <w:sdtContent>
        <w:sdt>
          <w:sdtPr>
            <w:rPr>
              <w:sz w:val="20"/>
              <w:szCs w:val="18"/>
            </w:rPr>
            <w:id w:val="565050477"/>
            <w:docPartObj>
              <w:docPartGallery w:val="Page Numbers (Top of Page)"/>
              <w:docPartUnique/>
            </w:docPartObj>
          </w:sdtPr>
          <w:sdtEndPr/>
          <w:sdtContent>
            <w:r w:rsidR="007152FF" w:rsidRPr="007152FF">
              <w:rPr>
                <w:sz w:val="20"/>
                <w:szCs w:val="18"/>
              </w:rPr>
              <w:fldChar w:fldCharType="begin"/>
            </w:r>
            <w:r w:rsidR="007152FF" w:rsidRPr="007152FF">
              <w:rPr>
                <w:sz w:val="20"/>
                <w:szCs w:val="18"/>
              </w:rPr>
              <w:instrText xml:space="preserve"> PAGE </w:instrText>
            </w:r>
            <w:r w:rsidR="007152FF" w:rsidRPr="007152FF">
              <w:rPr>
                <w:sz w:val="20"/>
                <w:szCs w:val="18"/>
              </w:rPr>
              <w:fldChar w:fldCharType="separate"/>
            </w:r>
            <w:r w:rsidR="007152FF">
              <w:rPr>
                <w:noProof/>
                <w:sz w:val="20"/>
                <w:szCs w:val="18"/>
              </w:rPr>
              <w:t>8</w:t>
            </w:r>
            <w:r w:rsidR="007152FF" w:rsidRPr="007152FF">
              <w:rPr>
                <w:sz w:val="20"/>
                <w:szCs w:val="18"/>
              </w:rPr>
              <w:fldChar w:fldCharType="end"/>
            </w:r>
            <w:r w:rsidR="007152FF" w:rsidRPr="007152FF">
              <w:rPr>
                <w:sz w:val="20"/>
                <w:szCs w:val="18"/>
              </w:rPr>
              <w:t xml:space="preserve"> / </w:t>
            </w:r>
            <w:r w:rsidR="007152FF" w:rsidRPr="007152FF">
              <w:rPr>
                <w:sz w:val="20"/>
                <w:szCs w:val="18"/>
              </w:rPr>
              <w:fldChar w:fldCharType="begin"/>
            </w:r>
            <w:r w:rsidR="007152FF" w:rsidRPr="007152FF">
              <w:rPr>
                <w:sz w:val="20"/>
                <w:szCs w:val="18"/>
              </w:rPr>
              <w:instrText xml:space="preserve"> NUMPAGES  </w:instrText>
            </w:r>
            <w:r w:rsidR="007152FF" w:rsidRPr="007152FF">
              <w:rPr>
                <w:sz w:val="20"/>
                <w:szCs w:val="18"/>
              </w:rPr>
              <w:fldChar w:fldCharType="separate"/>
            </w:r>
            <w:r w:rsidR="007152FF">
              <w:rPr>
                <w:noProof/>
                <w:sz w:val="20"/>
                <w:szCs w:val="18"/>
              </w:rPr>
              <w:t>9</w:t>
            </w:r>
            <w:r w:rsidR="007152FF" w:rsidRPr="007152FF">
              <w:rPr>
                <w:sz w:val="20"/>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BE717" w14:textId="77777777" w:rsidR="00DD63D8" w:rsidRDefault="00DD63D8">
      <w:r>
        <w:separator/>
      </w:r>
    </w:p>
  </w:footnote>
  <w:footnote w:type="continuationSeparator" w:id="0">
    <w:p w14:paraId="1CFF4493" w14:textId="77777777" w:rsidR="00DD63D8" w:rsidRDefault="00DD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75844D7"/>
    <w:multiLevelType w:val="hybridMultilevel"/>
    <w:tmpl w:val="813A11D0"/>
    <w:lvl w:ilvl="0" w:tplc="36E4144E">
      <w:numFmt w:val="bullet"/>
      <w:lvlText w:val="-"/>
      <w:lvlJc w:val="left"/>
      <w:pPr>
        <w:tabs>
          <w:tab w:val="num" w:pos="720"/>
        </w:tabs>
        <w:ind w:left="720" w:hanging="360"/>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191176"/>
    <w:multiLevelType w:val="hybridMultilevel"/>
    <w:tmpl w:val="6D446234"/>
    <w:lvl w:ilvl="0" w:tplc="68EC9DC8">
      <w:numFmt w:val="bullet"/>
      <w:lvlText w:val=""/>
      <w:lvlJc w:val="left"/>
      <w:pPr>
        <w:ind w:left="1080" w:hanging="360"/>
      </w:pPr>
      <w:rPr>
        <w:rFonts w:ascii="Symbol" w:eastAsia="Times New Roman" w:hAnsi="Symbol"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lvlOverride w:ilvl="0">
      <w:startOverride w:val="7"/>
    </w:lvlOverride>
  </w:num>
  <w:num w:numId="3">
    <w:abstractNumId w:val="5"/>
  </w:num>
  <w:num w:numId="4">
    <w:abstractNumId w:val="3"/>
  </w:num>
  <w:num w:numId="5">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9BE"/>
    <w:rsid w:val="00017801"/>
    <w:rsid w:val="00026FDC"/>
    <w:rsid w:val="00032B74"/>
    <w:rsid w:val="00033859"/>
    <w:rsid w:val="0004172D"/>
    <w:rsid w:val="00046E78"/>
    <w:rsid w:val="00052107"/>
    <w:rsid w:val="00054D2F"/>
    <w:rsid w:val="0005798D"/>
    <w:rsid w:val="00064273"/>
    <w:rsid w:val="00083BE0"/>
    <w:rsid w:val="00095FB6"/>
    <w:rsid w:val="0009758B"/>
    <w:rsid w:val="000A0F4A"/>
    <w:rsid w:val="000A5E1A"/>
    <w:rsid w:val="000B1D6F"/>
    <w:rsid w:val="000C0820"/>
    <w:rsid w:val="000C223E"/>
    <w:rsid w:val="000C3476"/>
    <w:rsid w:val="000C78B4"/>
    <w:rsid w:val="000D5631"/>
    <w:rsid w:val="000D7CD4"/>
    <w:rsid w:val="000E0FB7"/>
    <w:rsid w:val="000E75C0"/>
    <w:rsid w:val="000F5F20"/>
    <w:rsid w:val="00114357"/>
    <w:rsid w:val="001219D2"/>
    <w:rsid w:val="001332C1"/>
    <w:rsid w:val="00141639"/>
    <w:rsid w:val="0014180A"/>
    <w:rsid w:val="00145A26"/>
    <w:rsid w:val="00156C71"/>
    <w:rsid w:val="00157BC8"/>
    <w:rsid w:val="00160E92"/>
    <w:rsid w:val="001615B4"/>
    <w:rsid w:val="0016569D"/>
    <w:rsid w:val="00173D18"/>
    <w:rsid w:val="00174B22"/>
    <w:rsid w:val="00175772"/>
    <w:rsid w:val="00175A7E"/>
    <w:rsid w:val="00183465"/>
    <w:rsid w:val="0018601D"/>
    <w:rsid w:val="001B706A"/>
    <w:rsid w:val="001C2AD3"/>
    <w:rsid w:val="001D10C9"/>
    <w:rsid w:val="001D24D7"/>
    <w:rsid w:val="001D4EB5"/>
    <w:rsid w:val="001E0A07"/>
    <w:rsid w:val="001E6145"/>
    <w:rsid w:val="001F14F7"/>
    <w:rsid w:val="001F182B"/>
    <w:rsid w:val="001F2D4E"/>
    <w:rsid w:val="001F2E79"/>
    <w:rsid w:val="001F39B6"/>
    <w:rsid w:val="001F5D42"/>
    <w:rsid w:val="001F5D56"/>
    <w:rsid w:val="002134E9"/>
    <w:rsid w:val="00215F82"/>
    <w:rsid w:val="0022218E"/>
    <w:rsid w:val="0022223A"/>
    <w:rsid w:val="00225CCE"/>
    <w:rsid w:val="002319DD"/>
    <w:rsid w:val="0023480D"/>
    <w:rsid w:val="00237816"/>
    <w:rsid w:val="0024132F"/>
    <w:rsid w:val="00242DCD"/>
    <w:rsid w:val="00245877"/>
    <w:rsid w:val="00247C5C"/>
    <w:rsid w:val="00252264"/>
    <w:rsid w:val="00271908"/>
    <w:rsid w:val="00273BE0"/>
    <w:rsid w:val="00275915"/>
    <w:rsid w:val="00277D7D"/>
    <w:rsid w:val="00287B14"/>
    <w:rsid w:val="00287F8A"/>
    <w:rsid w:val="002A4DA5"/>
    <w:rsid w:val="002A5B60"/>
    <w:rsid w:val="002B442A"/>
    <w:rsid w:val="002B6F6A"/>
    <w:rsid w:val="002B7EFD"/>
    <w:rsid w:val="002C0FBF"/>
    <w:rsid w:val="002C252A"/>
    <w:rsid w:val="002C6ADF"/>
    <w:rsid w:val="002D18A6"/>
    <w:rsid w:val="002E10FA"/>
    <w:rsid w:val="002E7D92"/>
    <w:rsid w:val="002F5E1A"/>
    <w:rsid w:val="002F5E2F"/>
    <w:rsid w:val="00305384"/>
    <w:rsid w:val="00306005"/>
    <w:rsid w:val="003161AE"/>
    <w:rsid w:val="00316FC0"/>
    <w:rsid w:val="00317725"/>
    <w:rsid w:val="00327F03"/>
    <w:rsid w:val="00331F7E"/>
    <w:rsid w:val="00336155"/>
    <w:rsid w:val="003452C0"/>
    <w:rsid w:val="00357818"/>
    <w:rsid w:val="00366AD6"/>
    <w:rsid w:val="00375C89"/>
    <w:rsid w:val="003815FD"/>
    <w:rsid w:val="00383195"/>
    <w:rsid w:val="003A2DF8"/>
    <w:rsid w:val="003A6834"/>
    <w:rsid w:val="003B0695"/>
    <w:rsid w:val="003B2082"/>
    <w:rsid w:val="003C1823"/>
    <w:rsid w:val="003C18A4"/>
    <w:rsid w:val="003D15F3"/>
    <w:rsid w:val="003E26AF"/>
    <w:rsid w:val="003E3EC7"/>
    <w:rsid w:val="004001E8"/>
    <w:rsid w:val="00407F39"/>
    <w:rsid w:val="0041055F"/>
    <w:rsid w:val="004123CD"/>
    <w:rsid w:val="004234ED"/>
    <w:rsid w:val="00427D41"/>
    <w:rsid w:val="00435B7A"/>
    <w:rsid w:val="004575DB"/>
    <w:rsid w:val="00462C33"/>
    <w:rsid w:val="0046778B"/>
    <w:rsid w:val="004727FC"/>
    <w:rsid w:val="00490856"/>
    <w:rsid w:val="00492248"/>
    <w:rsid w:val="00495EDB"/>
    <w:rsid w:val="00497648"/>
    <w:rsid w:val="00497EDB"/>
    <w:rsid w:val="004A198F"/>
    <w:rsid w:val="004A4CEA"/>
    <w:rsid w:val="004B5A11"/>
    <w:rsid w:val="004B7A50"/>
    <w:rsid w:val="004C67A3"/>
    <w:rsid w:val="004D20EC"/>
    <w:rsid w:val="004D230F"/>
    <w:rsid w:val="004D34AD"/>
    <w:rsid w:val="004D502B"/>
    <w:rsid w:val="004E78AF"/>
    <w:rsid w:val="004F5281"/>
    <w:rsid w:val="00503974"/>
    <w:rsid w:val="005073A3"/>
    <w:rsid w:val="00513268"/>
    <w:rsid w:val="005178A6"/>
    <w:rsid w:val="0052230B"/>
    <w:rsid w:val="00525A8A"/>
    <w:rsid w:val="005276F0"/>
    <w:rsid w:val="005304AB"/>
    <w:rsid w:val="00530830"/>
    <w:rsid w:val="00530909"/>
    <w:rsid w:val="00534F09"/>
    <w:rsid w:val="0056012B"/>
    <w:rsid w:val="00561B67"/>
    <w:rsid w:val="0056233D"/>
    <w:rsid w:val="0056331F"/>
    <w:rsid w:val="00564D77"/>
    <w:rsid w:val="00570017"/>
    <w:rsid w:val="00570D81"/>
    <w:rsid w:val="00574C20"/>
    <w:rsid w:val="00577BB8"/>
    <w:rsid w:val="00577D09"/>
    <w:rsid w:val="00580D68"/>
    <w:rsid w:val="00587EA6"/>
    <w:rsid w:val="005901CE"/>
    <w:rsid w:val="0059023E"/>
    <w:rsid w:val="005919E1"/>
    <w:rsid w:val="005A3397"/>
    <w:rsid w:val="005B3388"/>
    <w:rsid w:val="005B7D0B"/>
    <w:rsid w:val="005C3F73"/>
    <w:rsid w:val="005C6128"/>
    <w:rsid w:val="005C7891"/>
    <w:rsid w:val="005D0107"/>
    <w:rsid w:val="005E2385"/>
    <w:rsid w:val="005F2216"/>
    <w:rsid w:val="005F3C30"/>
    <w:rsid w:val="00603302"/>
    <w:rsid w:val="00604E4F"/>
    <w:rsid w:val="006054EE"/>
    <w:rsid w:val="00605F56"/>
    <w:rsid w:val="00610667"/>
    <w:rsid w:val="006118B6"/>
    <w:rsid w:val="006124C7"/>
    <w:rsid w:val="00613289"/>
    <w:rsid w:val="00620138"/>
    <w:rsid w:val="006270C0"/>
    <w:rsid w:val="00630195"/>
    <w:rsid w:val="00634DA9"/>
    <w:rsid w:val="006433AA"/>
    <w:rsid w:val="00645266"/>
    <w:rsid w:val="006559AF"/>
    <w:rsid w:val="00660ED5"/>
    <w:rsid w:val="0067222E"/>
    <w:rsid w:val="00681D61"/>
    <w:rsid w:val="00693874"/>
    <w:rsid w:val="00693F46"/>
    <w:rsid w:val="006A17DD"/>
    <w:rsid w:val="006A18A0"/>
    <w:rsid w:val="006A1B90"/>
    <w:rsid w:val="006B05A3"/>
    <w:rsid w:val="006B627A"/>
    <w:rsid w:val="006B6DB0"/>
    <w:rsid w:val="006D73A9"/>
    <w:rsid w:val="006E1250"/>
    <w:rsid w:val="006F04FA"/>
    <w:rsid w:val="006F158F"/>
    <w:rsid w:val="006F735C"/>
    <w:rsid w:val="00700670"/>
    <w:rsid w:val="007048AA"/>
    <w:rsid w:val="0070584F"/>
    <w:rsid w:val="00713BF7"/>
    <w:rsid w:val="007152FF"/>
    <w:rsid w:val="00720D69"/>
    <w:rsid w:val="007507DF"/>
    <w:rsid w:val="00754D73"/>
    <w:rsid w:val="00761CF1"/>
    <w:rsid w:val="00763457"/>
    <w:rsid w:val="00764648"/>
    <w:rsid w:val="007672F3"/>
    <w:rsid w:val="007703FB"/>
    <w:rsid w:val="00771F33"/>
    <w:rsid w:val="0077466B"/>
    <w:rsid w:val="007B055F"/>
    <w:rsid w:val="007B16C4"/>
    <w:rsid w:val="007B27DD"/>
    <w:rsid w:val="007B2EE6"/>
    <w:rsid w:val="007B4880"/>
    <w:rsid w:val="007C2D7E"/>
    <w:rsid w:val="007C6F08"/>
    <w:rsid w:val="007D17FD"/>
    <w:rsid w:val="007D48C5"/>
    <w:rsid w:val="007D4F60"/>
    <w:rsid w:val="007E06F0"/>
    <w:rsid w:val="007E12E8"/>
    <w:rsid w:val="007F061E"/>
    <w:rsid w:val="007F312F"/>
    <w:rsid w:val="007F707A"/>
    <w:rsid w:val="00801D02"/>
    <w:rsid w:val="00802DFC"/>
    <w:rsid w:val="00814781"/>
    <w:rsid w:val="008153EC"/>
    <w:rsid w:val="00817CAD"/>
    <w:rsid w:val="008311DD"/>
    <w:rsid w:val="00833771"/>
    <w:rsid w:val="00834DBB"/>
    <w:rsid w:val="008405BF"/>
    <w:rsid w:val="00842FFB"/>
    <w:rsid w:val="00847188"/>
    <w:rsid w:val="00847DE6"/>
    <w:rsid w:val="00851459"/>
    <w:rsid w:val="0086351A"/>
    <w:rsid w:val="00874B61"/>
    <w:rsid w:val="00884491"/>
    <w:rsid w:val="008A48B7"/>
    <w:rsid w:val="008B3EB5"/>
    <w:rsid w:val="008B5E32"/>
    <w:rsid w:val="008B6655"/>
    <w:rsid w:val="008C5809"/>
    <w:rsid w:val="008D0BF3"/>
    <w:rsid w:val="008D30CE"/>
    <w:rsid w:val="008D6D92"/>
    <w:rsid w:val="008D78C9"/>
    <w:rsid w:val="008E0FC9"/>
    <w:rsid w:val="008E1274"/>
    <w:rsid w:val="008E1E45"/>
    <w:rsid w:val="008E7A58"/>
    <w:rsid w:val="008F05D7"/>
    <w:rsid w:val="008F18C0"/>
    <w:rsid w:val="009112EF"/>
    <w:rsid w:val="00912780"/>
    <w:rsid w:val="00913684"/>
    <w:rsid w:val="009141A8"/>
    <w:rsid w:val="00917FDF"/>
    <w:rsid w:val="009215DF"/>
    <w:rsid w:val="00923865"/>
    <w:rsid w:val="00926E6A"/>
    <w:rsid w:val="0093016E"/>
    <w:rsid w:val="00934B4D"/>
    <w:rsid w:val="00935255"/>
    <w:rsid w:val="00950450"/>
    <w:rsid w:val="00955C75"/>
    <w:rsid w:val="00956857"/>
    <w:rsid w:val="009677DF"/>
    <w:rsid w:val="00967F35"/>
    <w:rsid w:val="00972511"/>
    <w:rsid w:val="009823C2"/>
    <w:rsid w:val="009926F4"/>
    <w:rsid w:val="009937FD"/>
    <w:rsid w:val="009946F8"/>
    <w:rsid w:val="00995FA0"/>
    <w:rsid w:val="00996E6B"/>
    <w:rsid w:val="009A092C"/>
    <w:rsid w:val="009A1D64"/>
    <w:rsid w:val="009A406F"/>
    <w:rsid w:val="009A4AA1"/>
    <w:rsid w:val="009B1292"/>
    <w:rsid w:val="009B2430"/>
    <w:rsid w:val="009B338B"/>
    <w:rsid w:val="009B58AD"/>
    <w:rsid w:val="009B7935"/>
    <w:rsid w:val="009C307B"/>
    <w:rsid w:val="009C7BA2"/>
    <w:rsid w:val="009D06A9"/>
    <w:rsid w:val="009D1161"/>
    <w:rsid w:val="009D1818"/>
    <w:rsid w:val="009D667B"/>
    <w:rsid w:val="009E3293"/>
    <w:rsid w:val="009E443B"/>
    <w:rsid w:val="009E45B4"/>
    <w:rsid w:val="009E63CC"/>
    <w:rsid w:val="009F3A1A"/>
    <w:rsid w:val="009F4449"/>
    <w:rsid w:val="00A02252"/>
    <w:rsid w:val="00A032A5"/>
    <w:rsid w:val="00A0551E"/>
    <w:rsid w:val="00A07BE8"/>
    <w:rsid w:val="00A11596"/>
    <w:rsid w:val="00A127F1"/>
    <w:rsid w:val="00A245ED"/>
    <w:rsid w:val="00A265B0"/>
    <w:rsid w:val="00A27130"/>
    <w:rsid w:val="00A3037C"/>
    <w:rsid w:val="00A32E8F"/>
    <w:rsid w:val="00A47638"/>
    <w:rsid w:val="00A562CE"/>
    <w:rsid w:val="00A62C88"/>
    <w:rsid w:val="00A66C12"/>
    <w:rsid w:val="00A7115E"/>
    <w:rsid w:val="00A7147C"/>
    <w:rsid w:val="00A73981"/>
    <w:rsid w:val="00A76067"/>
    <w:rsid w:val="00A7660B"/>
    <w:rsid w:val="00A80D92"/>
    <w:rsid w:val="00A839C9"/>
    <w:rsid w:val="00A841CC"/>
    <w:rsid w:val="00A855CC"/>
    <w:rsid w:val="00A86897"/>
    <w:rsid w:val="00A86A5C"/>
    <w:rsid w:val="00A93D0B"/>
    <w:rsid w:val="00A93D82"/>
    <w:rsid w:val="00A95733"/>
    <w:rsid w:val="00A97215"/>
    <w:rsid w:val="00AB1E72"/>
    <w:rsid w:val="00AB42C3"/>
    <w:rsid w:val="00AB5465"/>
    <w:rsid w:val="00AC4AE4"/>
    <w:rsid w:val="00AC72EF"/>
    <w:rsid w:val="00AD3A94"/>
    <w:rsid w:val="00AD5BE0"/>
    <w:rsid w:val="00AE064D"/>
    <w:rsid w:val="00AE34AC"/>
    <w:rsid w:val="00AE473F"/>
    <w:rsid w:val="00AE7752"/>
    <w:rsid w:val="00B07542"/>
    <w:rsid w:val="00B24EFD"/>
    <w:rsid w:val="00B26FAC"/>
    <w:rsid w:val="00B31AA2"/>
    <w:rsid w:val="00B557BD"/>
    <w:rsid w:val="00B60BE7"/>
    <w:rsid w:val="00B74C0B"/>
    <w:rsid w:val="00B75702"/>
    <w:rsid w:val="00B803AA"/>
    <w:rsid w:val="00B8400D"/>
    <w:rsid w:val="00B85C09"/>
    <w:rsid w:val="00B91EBB"/>
    <w:rsid w:val="00B93A37"/>
    <w:rsid w:val="00B947D1"/>
    <w:rsid w:val="00BA0CD3"/>
    <w:rsid w:val="00BA17A3"/>
    <w:rsid w:val="00BA1819"/>
    <w:rsid w:val="00BA1E98"/>
    <w:rsid w:val="00BA32D3"/>
    <w:rsid w:val="00BA5A22"/>
    <w:rsid w:val="00BA5B84"/>
    <w:rsid w:val="00BA5F5C"/>
    <w:rsid w:val="00BA7E0B"/>
    <w:rsid w:val="00BB55E5"/>
    <w:rsid w:val="00BC0E16"/>
    <w:rsid w:val="00BD725A"/>
    <w:rsid w:val="00BE46E2"/>
    <w:rsid w:val="00BE790A"/>
    <w:rsid w:val="00BF1F59"/>
    <w:rsid w:val="00BF3750"/>
    <w:rsid w:val="00BF62F6"/>
    <w:rsid w:val="00C02057"/>
    <w:rsid w:val="00C06244"/>
    <w:rsid w:val="00C110BE"/>
    <w:rsid w:val="00C113E1"/>
    <w:rsid w:val="00C11ECF"/>
    <w:rsid w:val="00C148A8"/>
    <w:rsid w:val="00C22B78"/>
    <w:rsid w:val="00C23F5D"/>
    <w:rsid w:val="00C32B1E"/>
    <w:rsid w:val="00C32F57"/>
    <w:rsid w:val="00C425F5"/>
    <w:rsid w:val="00C46A46"/>
    <w:rsid w:val="00C47030"/>
    <w:rsid w:val="00C504AD"/>
    <w:rsid w:val="00C536C2"/>
    <w:rsid w:val="00C55F47"/>
    <w:rsid w:val="00C56E2E"/>
    <w:rsid w:val="00C630F2"/>
    <w:rsid w:val="00C64A31"/>
    <w:rsid w:val="00C82E8B"/>
    <w:rsid w:val="00C840F6"/>
    <w:rsid w:val="00C9398B"/>
    <w:rsid w:val="00CA437D"/>
    <w:rsid w:val="00CA45D7"/>
    <w:rsid w:val="00CA6E20"/>
    <w:rsid w:val="00CB2A95"/>
    <w:rsid w:val="00CB4F73"/>
    <w:rsid w:val="00CB7C3E"/>
    <w:rsid w:val="00CC4C88"/>
    <w:rsid w:val="00CD0B1F"/>
    <w:rsid w:val="00CD34A7"/>
    <w:rsid w:val="00CD3F96"/>
    <w:rsid w:val="00CE080D"/>
    <w:rsid w:val="00CE09F3"/>
    <w:rsid w:val="00CE76DA"/>
    <w:rsid w:val="00CE7E6F"/>
    <w:rsid w:val="00CF3B69"/>
    <w:rsid w:val="00CF6A95"/>
    <w:rsid w:val="00D11E94"/>
    <w:rsid w:val="00D136A5"/>
    <w:rsid w:val="00D2134D"/>
    <w:rsid w:val="00D30389"/>
    <w:rsid w:val="00D337F6"/>
    <w:rsid w:val="00D37C12"/>
    <w:rsid w:val="00D5250A"/>
    <w:rsid w:val="00D52CDB"/>
    <w:rsid w:val="00D54FFE"/>
    <w:rsid w:val="00D61710"/>
    <w:rsid w:val="00D6611E"/>
    <w:rsid w:val="00D677F6"/>
    <w:rsid w:val="00D756A4"/>
    <w:rsid w:val="00D7729A"/>
    <w:rsid w:val="00D836DE"/>
    <w:rsid w:val="00D851EE"/>
    <w:rsid w:val="00D85F37"/>
    <w:rsid w:val="00D8713D"/>
    <w:rsid w:val="00D873A9"/>
    <w:rsid w:val="00D9062E"/>
    <w:rsid w:val="00D91772"/>
    <w:rsid w:val="00D94150"/>
    <w:rsid w:val="00DB27DD"/>
    <w:rsid w:val="00DB4534"/>
    <w:rsid w:val="00DC3E49"/>
    <w:rsid w:val="00DD0504"/>
    <w:rsid w:val="00DD064D"/>
    <w:rsid w:val="00DD2A82"/>
    <w:rsid w:val="00DD63D8"/>
    <w:rsid w:val="00DE2BEC"/>
    <w:rsid w:val="00DE3331"/>
    <w:rsid w:val="00DF2E90"/>
    <w:rsid w:val="00DF46E4"/>
    <w:rsid w:val="00DF674A"/>
    <w:rsid w:val="00E04856"/>
    <w:rsid w:val="00E07290"/>
    <w:rsid w:val="00E14AE1"/>
    <w:rsid w:val="00E22CB0"/>
    <w:rsid w:val="00E245F3"/>
    <w:rsid w:val="00E321AF"/>
    <w:rsid w:val="00E41FE8"/>
    <w:rsid w:val="00E42D43"/>
    <w:rsid w:val="00E44A82"/>
    <w:rsid w:val="00E45C37"/>
    <w:rsid w:val="00E467D4"/>
    <w:rsid w:val="00E50CD3"/>
    <w:rsid w:val="00E52741"/>
    <w:rsid w:val="00E56089"/>
    <w:rsid w:val="00E612F8"/>
    <w:rsid w:val="00E64DC6"/>
    <w:rsid w:val="00E657EA"/>
    <w:rsid w:val="00E84404"/>
    <w:rsid w:val="00E85184"/>
    <w:rsid w:val="00E879DE"/>
    <w:rsid w:val="00E87BE1"/>
    <w:rsid w:val="00EA020F"/>
    <w:rsid w:val="00EA1F85"/>
    <w:rsid w:val="00EA3484"/>
    <w:rsid w:val="00EB58C3"/>
    <w:rsid w:val="00EC45E4"/>
    <w:rsid w:val="00EC4D78"/>
    <w:rsid w:val="00EC5F60"/>
    <w:rsid w:val="00ED4585"/>
    <w:rsid w:val="00ED4BC3"/>
    <w:rsid w:val="00ED735F"/>
    <w:rsid w:val="00EE01B4"/>
    <w:rsid w:val="00EF3756"/>
    <w:rsid w:val="00EF44B2"/>
    <w:rsid w:val="00F05F0C"/>
    <w:rsid w:val="00F15C3D"/>
    <w:rsid w:val="00F35B8B"/>
    <w:rsid w:val="00F35BA9"/>
    <w:rsid w:val="00F375A9"/>
    <w:rsid w:val="00F37721"/>
    <w:rsid w:val="00F41D9D"/>
    <w:rsid w:val="00F42610"/>
    <w:rsid w:val="00F4599A"/>
    <w:rsid w:val="00F56A11"/>
    <w:rsid w:val="00F5775F"/>
    <w:rsid w:val="00F63F24"/>
    <w:rsid w:val="00F6521D"/>
    <w:rsid w:val="00F65A7C"/>
    <w:rsid w:val="00F766D5"/>
    <w:rsid w:val="00F86919"/>
    <w:rsid w:val="00F907F4"/>
    <w:rsid w:val="00F978A6"/>
    <w:rsid w:val="00FA25E1"/>
    <w:rsid w:val="00FB1A46"/>
    <w:rsid w:val="00FD29A2"/>
    <w:rsid w:val="00FD3EC5"/>
    <w:rsid w:val="00FE454E"/>
    <w:rsid w:val="00FF05F0"/>
    <w:rsid w:val="00FF0D1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192D3"/>
  <w15:docId w15:val="{B9712B33-EB44-4E51-8DF1-32DDD243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semiHidden/>
    <w:unhideWhenUsed/>
    <w:qFormat/>
    <w:rsid w:val="00B0754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link w:val="CommentTextChar"/>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customStyle="1" w:styleId="Default">
    <w:name w:val="Default"/>
    <w:rsid w:val="00E41FE8"/>
    <w:pPr>
      <w:autoSpaceDE w:val="0"/>
      <w:autoSpaceDN w:val="0"/>
      <w:adjustRightInd w:val="0"/>
    </w:pPr>
    <w:rPr>
      <w:color w:val="000000"/>
      <w:sz w:val="24"/>
      <w:szCs w:val="24"/>
      <w:lang w:val="en-GB"/>
    </w:rPr>
  </w:style>
  <w:style w:type="paragraph" w:customStyle="1" w:styleId="TableParagraph">
    <w:name w:val="Table Paragraph"/>
    <w:basedOn w:val="Normal"/>
    <w:uiPriority w:val="1"/>
    <w:qFormat/>
    <w:rsid w:val="004F5281"/>
    <w:pPr>
      <w:tabs>
        <w:tab w:val="clear" w:pos="284"/>
      </w:tabs>
      <w:autoSpaceDE w:val="0"/>
      <w:autoSpaceDN w:val="0"/>
      <w:adjustRightInd w:val="0"/>
      <w:jc w:val="left"/>
    </w:pPr>
    <w:rPr>
      <w:sz w:val="24"/>
      <w:lang w:val="en-GB"/>
    </w:rPr>
  </w:style>
  <w:style w:type="paragraph" w:styleId="BodyText">
    <w:name w:val="Body Text"/>
    <w:basedOn w:val="Normal"/>
    <w:link w:val="BodyTextChar"/>
    <w:uiPriority w:val="99"/>
    <w:rsid w:val="00B07542"/>
    <w:pPr>
      <w:widowControl w:val="0"/>
      <w:tabs>
        <w:tab w:val="clear" w:pos="284"/>
        <w:tab w:val="left" w:pos="0"/>
      </w:tabs>
      <w:suppressAutoHyphens/>
    </w:pPr>
    <w:rPr>
      <w:rFonts w:ascii="Courier New" w:hAnsi="Courier New"/>
      <w:spacing w:val="-3"/>
      <w:sz w:val="24"/>
      <w:szCs w:val="20"/>
    </w:rPr>
  </w:style>
  <w:style w:type="character" w:customStyle="1" w:styleId="BodyTextChar">
    <w:name w:val="Body Text Char"/>
    <w:basedOn w:val="DefaultParagraphFont"/>
    <w:link w:val="BodyText"/>
    <w:uiPriority w:val="99"/>
    <w:rsid w:val="00B07542"/>
    <w:rPr>
      <w:rFonts w:ascii="Courier New" w:hAnsi="Courier New"/>
      <w:spacing w:val="-3"/>
      <w:sz w:val="24"/>
    </w:rPr>
  </w:style>
  <w:style w:type="paragraph" w:styleId="EndnoteText">
    <w:name w:val="endnote text"/>
    <w:basedOn w:val="Normal"/>
    <w:link w:val="EndnoteTextChar"/>
    <w:uiPriority w:val="99"/>
    <w:rsid w:val="00B07542"/>
    <w:pPr>
      <w:widowControl w:val="0"/>
      <w:tabs>
        <w:tab w:val="clear" w:pos="284"/>
      </w:tabs>
      <w:jc w:val="left"/>
    </w:pPr>
    <w:rPr>
      <w:rFonts w:ascii="CG Times" w:hAnsi="CG Times"/>
      <w:sz w:val="24"/>
      <w:szCs w:val="20"/>
    </w:rPr>
  </w:style>
  <w:style w:type="character" w:customStyle="1" w:styleId="EndnoteTextChar">
    <w:name w:val="Endnote Text Char"/>
    <w:basedOn w:val="DefaultParagraphFont"/>
    <w:link w:val="EndnoteText"/>
    <w:uiPriority w:val="99"/>
    <w:rsid w:val="00B07542"/>
    <w:rPr>
      <w:rFonts w:ascii="CG Times" w:hAnsi="CG Times"/>
      <w:sz w:val="24"/>
    </w:rPr>
  </w:style>
  <w:style w:type="paragraph" w:styleId="BodyText3">
    <w:name w:val="Body Text 3"/>
    <w:basedOn w:val="Normal"/>
    <w:link w:val="BodyText3Char"/>
    <w:rsid w:val="00B07542"/>
    <w:pPr>
      <w:spacing w:after="120"/>
    </w:pPr>
    <w:rPr>
      <w:rFonts w:ascii="Humanist777" w:hAnsi="Humanist777"/>
      <w:sz w:val="16"/>
      <w:szCs w:val="16"/>
    </w:rPr>
  </w:style>
  <w:style w:type="character" w:customStyle="1" w:styleId="BodyText3Char">
    <w:name w:val="Body Text 3 Char"/>
    <w:basedOn w:val="DefaultParagraphFont"/>
    <w:link w:val="BodyText3"/>
    <w:rsid w:val="00B07542"/>
    <w:rPr>
      <w:rFonts w:ascii="Humanist777" w:hAnsi="Humanist777"/>
      <w:sz w:val="16"/>
      <w:szCs w:val="16"/>
    </w:rPr>
  </w:style>
  <w:style w:type="paragraph" w:styleId="BodyText2">
    <w:name w:val="Body Text 2"/>
    <w:basedOn w:val="Normal"/>
    <w:link w:val="BodyText2Char"/>
    <w:unhideWhenUsed/>
    <w:rsid w:val="00B07542"/>
    <w:pPr>
      <w:spacing w:after="120" w:line="480" w:lineRule="auto"/>
    </w:pPr>
    <w:rPr>
      <w:rFonts w:ascii="Humanist777" w:hAnsi="Humanist777"/>
      <w:sz w:val="24"/>
    </w:rPr>
  </w:style>
  <w:style w:type="character" w:customStyle="1" w:styleId="BodyText2Char">
    <w:name w:val="Body Text 2 Char"/>
    <w:basedOn w:val="DefaultParagraphFont"/>
    <w:link w:val="BodyText2"/>
    <w:rsid w:val="00B07542"/>
    <w:rPr>
      <w:rFonts w:ascii="Humanist777" w:hAnsi="Humanist777"/>
      <w:sz w:val="24"/>
      <w:szCs w:val="24"/>
    </w:rPr>
  </w:style>
  <w:style w:type="paragraph" w:styleId="BodyTextIndent">
    <w:name w:val="Body Text Indent"/>
    <w:basedOn w:val="Normal"/>
    <w:link w:val="BodyTextIndentChar"/>
    <w:rsid w:val="00B07542"/>
    <w:pPr>
      <w:spacing w:after="120"/>
      <w:ind w:left="283"/>
    </w:pPr>
  </w:style>
  <w:style w:type="character" w:customStyle="1" w:styleId="BodyTextIndentChar">
    <w:name w:val="Body Text Indent Char"/>
    <w:basedOn w:val="DefaultParagraphFont"/>
    <w:link w:val="BodyTextIndent"/>
    <w:rsid w:val="00B07542"/>
    <w:rPr>
      <w:sz w:val="22"/>
      <w:szCs w:val="24"/>
    </w:rPr>
  </w:style>
  <w:style w:type="character" w:customStyle="1" w:styleId="HeaderChar">
    <w:name w:val="Header Char"/>
    <w:basedOn w:val="DefaultParagraphFont"/>
    <w:link w:val="Header"/>
    <w:rsid w:val="00B07542"/>
    <w:rPr>
      <w:sz w:val="22"/>
      <w:szCs w:val="24"/>
    </w:rPr>
  </w:style>
  <w:style w:type="character" w:styleId="Hyperlink">
    <w:name w:val="Hyperlink"/>
    <w:unhideWhenUsed/>
    <w:rsid w:val="00B07542"/>
    <w:rPr>
      <w:color w:val="0000FF"/>
      <w:u w:val="single"/>
    </w:rPr>
  </w:style>
  <w:style w:type="paragraph" w:customStyle="1" w:styleId="CNaslov12boldlevi">
    <w:name w:val="CNaslov 12 bold levi"/>
    <w:basedOn w:val="Normal"/>
    <w:next w:val="Normal"/>
    <w:rsid w:val="00B07542"/>
    <w:pPr>
      <w:tabs>
        <w:tab w:val="clear" w:pos="284"/>
      </w:tabs>
      <w:spacing w:after="240" w:line="360" w:lineRule="atLeast"/>
    </w:pPr>
    <w:rPr>
      <w:rFonts w:ascii="CHelvPlain" w:hAnsi="CHelvPlain"/>
      <w:b/>
      <w:sz w:val="24"/>
      <w:szCs w:val="20"/>
    </w:rPr>
  </w:style>
  <w:style w:type="character" w:customStyle="1" w:styleId="Heading5Char">
    <w:name w:val="Heading 5 Char"/>
    <w:basedOn w:val="DefaultParagraphFont"/>
    <w:link w:val="Heading5"/>
    <w:semiHidden/>
    <w:rsid w:val="00B07542"/>
    <w:rPr>
      <w:rFonts w:asciiTheme="majorHAnsi" w:eastAsiaTheme="majorEastAsia" w:hAnsiTheme="majorHAnsi" w:cstheme="majorBidi"/>
      <w:color w:val="243F60" w:themeColor="accent1" w:themeShade="7F"/>
      <w:sz w:val="22"/>
      <w:szCs w:val="24"/>
    </w:rPr>
  </w:style>
  <w:style w:type="paragraph" w:customStyle="1" w:styleId="Blok">
    <w:name w:val="Blok"/>
    <w:basedOn w:val="Normal"/>
    <w:rsid w:val="00B07542"/>
    <w:pPr>
      <w:keepNext/>
      <w:tabs>
        <w:tab w:val="clear" w:pos="284"/>
        <w:tab w:val="left" w:pos="1276"/>
      </w:tabs>
      <w:spacing w:after="240" w:line="360" w:lineRule="atLeast"/>
    </w:pPr>
    <w:rPr>
      <w:rFonts w:ascii="Dutch" w:hAnsi="Dutch"/>
      <w:sz w:val="24"/>
      <w:szCs w:val="20"/>
    </w:rPr>
  </w:style>
  <w:style w:type="character" w:customStyle="1" w:styleId="CommentTextChar">
    <w:name w:val="Comment Text Char"/>
    <w:basedOn w:val="DefaultParagraphFont"/>
    <w:link w:val="CommentText"/>
    <w:rsid w:val="00754D73"/>
  </w:style>
  <w:style w:type="character" w:customStyle="1" w:styleId="TableText12">
    <w:name w:val="TableText 12"/>
    <w:rsid w:val="00287B14"/>
    <w:rPr>
      <w:rFonts w:ascii="Times New Roman" w:hAnsi="Times New Roman"/>
      <w:sz w:val="24"/>
    </w:rPr>
  </w:style>
  <w:style w:type="paragraph" w:styleId="HTMLPreformatted">
    <w:name w:val="HTML Preformatted"/>
    <w:basedOn w:val="Normal"/>
    <w:link w:val="HTMLPreformattedChar"/>
    <w:uiPriority w:val="99"/>
    <w:unhideWhenUsed/>
    <w:rsid w:val="00E64DC6"/>
    <w:pPr>
      <w:tabs>
        <w:tab w:val="clear"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64DC6"/>
    <w:rPr>
      <w:rFonts w:ascii="Courier New" w:hAnsi="Courier New" w:cs="Courier New"/>
    </w:rPr>
  </w:style>
  <w:style w:type="paragraph" w:styleId="ListParagraph">
    <w:name w:val="List Paragraph"/>
    <w:basedOn w:val="Normal"/>
    <w:uiPriority w:val="34"/>
    <w:qFormat/>
    <w:rsid w:val="006433AA"/>
    <w:pPr>
      <w:ind w:left="720"/>
      <w:contextualSpacing/>
    </w:pPr>
  </w:style>
  <w:style w:type="paragraph" w:styleId="NoSpacing">
    <w:name w:val="No Spacing"/>
    <w:uiPriority w:val="1"/>
    <w:qFormat/>
    <w:rsid w:val="00E85184"/>
    <w:rPr>
      <w:sz w:val="24"/>
      <w:szCs w:val="24"/>
    </w:rPr>
  </w:style>
  <w:style w:type="paragraph" w:styleId="Revision">
    <w:name w:val="Revision"/>
    <w:hidden/>
    <w:uiPriority w:val="99"/>
    <w:semiHidden/>
    <w:rsid w:val="00C32B1E"/>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6174">
      <w:bodyDiv w:val="1"/>
      <w:marLeft w:val="0"/>
      <w:marRight w:val="0"/>
      <w:marTop w:val="0"/>
      <w:marBottom w:val="0"/>
      <w:divBdr>
        <w:top w:val="none" w:sz="0" w:space="0" w:color="auto"/>
        <w:left w:val="none" w:sz="0" w:space="0" w:color="auto"/>
        <w:bottom w:val="none" w:sz="0" w:space="0" w:color="auto"/>
        <w:right w:val="none" w:sz="0" w:space="0" w:color="auto"/>
      </w:divBdr>
    </w:div>
    <w:div w:id="28772189">
      <w:bodyDiv w:val="1"/>
      <w:marLeft w:val="0"/>
      <w:marRight w:val="0"/>
      <w:marTop w:val="0"/>
      <w:marBottom w:val="0"/>
      <w:divBdr>
        <w:top w:val="none" w:sz="0" w:space="0" w:color="auto"/>
        <w:left w:val="none" w:sz="0" w:space="0" w:color="auto"/>
        <w:bottom w:val="none" w:sz="0" w:space="0" w:color="auto"/>
        <w:right w:val="none" w:sz="0" w:space="0" w:color="auto"/>
      </w:divBdr>
      <w:divsChild>
        <w:div w:id="827747622">
          <w:marLeft w:val="0"/>
          <w:marRight w:val="0"/>
          <w:marTop w:val="0"/>
          <w:marBottom w:val="0"/>
          <w:divBdr>
            <w:top w:val="single" w:sz="2" w:space="0" w:color="99BBE8"/>
            <w:left w:val="single" w:sz="2" w:space="0" w:color="99BBE8"/>
            <w:bottom w:val="single" w:sz="2" w:space="0" w:color="99BBE8"/>
            <w:right w:val="single" w:sz="2" w:space="0" w:color="99BBE8"/>
          </w:divBdr>
          <w:divsChild>
            <w:div w:id="315452845">
              <w:marLeft w:val="0"/>
              <w:marRight w:val="0"/>
              <w:marTop w:val="0"/>
              <w:marBottom w:val="0"/>
              <w:divBdr>
                <w:top w:val="none" w:sz="0" w:space="0" w:color="auto"/>
                <w:left w:val="none" w:sz="0" w:space="0" w:color="auto"/>
                <w:bottom w:val="none" w:sz="0" w:space="0" w:color="auto"/>
                <w:right w:val="none" w:sz="0" w:space="0" w:color="auto"/>
              </w:divBdr>
              <w:divsChild>
                <w:div w:id="1339114881">
                  <w:marLeft w:val="0"/>
                  <w:marRight w:val="0"/>
                  <w:marTop w:val="0"/>
                  <w:marBottom w:val="0"/>
                  <w:divBdr>
                    <w:top w:val="none" w:sz="0" w:space="0" w:color="auto"/>
                    <w:left w:val="single" w:sz="6" w:space="0" w:color="D0D0D0"/>
                    <w:bottom w:val="single" w:sz="6" w:space="0" w:color="D0D0D0"/>
                    <w:right w:val="single" w:sz="6" w:space="0" w:color="D0D0D0"/>
                  </w:divBdr>
                  <w:divsChild>
                    <w:div w:id="1031151707">
                      <w:marLeft w:val="0"/>
                      <w:marRight w:val="0"/>
                      <w:marTop w:val="0"/>
                      <w:marBottom w:val="0"/>
                      <w:divBdr>
                        <w:top w:val="single" w:sz="2" w:space="0" w:color="99BBE8"/>
                        <w:left w:val="single" w:sz="2" w:space="0" w:color="99BBE8"/>
                        <w:bottom w:val="single" w:sz="2" w:space="0" w:color="99BBE8"/>
                        <w:right w:val="single" w:sz="2" w:space="0" w:color="99BBE8"/>
                      </w:divBdr>
                      <w:divsChild>
                        <w:div w:id="512496536">
                          <w:marLeft w:val="0"/>
                          <w:marRight w:val="0"/>
                          <w:marTop w:val="0"/>
                          <w:marBottom w:val="0"/>
                          <w:divBdr>
                            <w:top w:val="none" w:sz="0" w:space="0" w:color="auto"/>
                            <w:left w:val="none" w:sz="0" w:space="0" w:color="auto"/>
                            <w:bottom w:val="none" w:sz="0" w:space="0" w:color="auto"/>
                            <w:right w:val="none" w:sz="0" w:space="0" w:color="auto"/>
                          </w:divBdr>
                          <w:divsChild>
                            <w:div w:id="494567220">
                              <w:marLeft w:val="0"/>
                              <w:marRight w:val="0"/>
                              <w:marTop w:val="0"/>
                              <w:marBottom w:val="0"/>
                              <w:divBdr>
                                <w:top w:val="none" w:sz="0" w:space="0" w:color="auto"/>
                                <w:left w:val="single" w:sz="6" w:space="0" w:color="D0D0D0"/>
                                <w:bottom w:val="single" w:sz="6" w:space="0" w:color="D0D0D0"/>
                                <w:right w:val="single" w:sz="6" w:space="0" w:color="D0D0D0"/>
                              </w:divBdr>
                              <w:divsChild>
                                <w:div w:id="543374931">
                                  <w:marLeft w:val="0"/>
                                  <w:marRight w:val="0"/>
                                  <w:marTop w:val="0"/>
                                  <w:marBottom w:val="0"/>
                                  <w:divBdr>
                                    <w:top w:val="none" w:sz="0" w:space="0" w:color="auto"/>
                                    <w:left w:val="none" w:sz="0" w:space="0" w:color="auto"/>
                                    <w:bottom w:val="none" w:sz="0" w:space="0" w:color="auto"/>
                                    <w:right w:val="none" w:sz="0" w:space="0" w:color="auto"/>
                                  </w:divBdr>
                                  <w:divsChild>
                                    <w:div w:id="21083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24836">
      <w:bodyDiv w:val="1"/>
      <w:marLeft w:val="0"/>
      <w:marRight w:val="0"/>
      <w:marTop w:val="0"/>
      <w:marBottom w:val="0"/>
      <w:divBdr>
        <w:top w:val="none" w:sz="0" w:space="0" w:color="auto"/>
        <w:left w:val="none" w:sz="0" w:space="0" w:color="auto"/>
        <w:bottom w:val="none" w:sz="0" w:space="0" w:color="auto"/>
        <w:right w:val="none" w:sz="0" w:space="0" w:color="auto"/>
      </w:divBdr>
    </w:div>
    <w:div w:id="129910514">
      <w:bodyDiv w:val="1"/>
      <w:marLeft w:val="0"/>
      <w:marRight w:val="0"/>
      <w:marTop w:val="0"/>
      <w:marBottom w:val="0"/>
      <w:divBdr>
        <w:top w:val="none" w:sz="0" w:space="0" w:color="auto"/>
        <w:left w:val="none" w:sz="0" w:space="0" w:color="auto"/>
        <w:bottom w:val="none" w:sz="0" w:space="0" w:color="auto"/>
        <w:right w:val="none" w:sz="0" w:space="0" w:color="auto"/>
      </w:divBdr>
    </w:div>
    <w:div w:id="194004413">
      <w:bodyDiv w:val="1"/>
      <w:marLeft w:val="0"/>
      <w:marRight w:val="0"/>
      <w:marTop w:val="0"/>
      <w:marBottom w:val="0"/>
      <w:divBdr>
        <w:top w:val="none" w:sz="0" w:space="0" w:color="auto"/>
        <w:left w:val="none" w:sz="0" w:space="0" w:color="auto"/>
        <w:bottom w:val="none" w:sz="0" w:space="0" w:color="auto"/>
        <w:right w:val="none" w:sz="0" w:space="0" w:color="auto"/>
      </w:divBdr>
    </w:div>
    <w:div w:id="376202381">
      <w:bodyDiv w:val="1"/>
      <w:marLeft w:val="0"/>
      <w:marRight w:val="0"/>
      <w:marTop w:val="0"/>
      <w:marBottom w:val="0"/>
      <w:divBdr>
        <w:top w:val="none" w:sz="0" w:space="0" w:color="auto"/>
        <w:left w:val="none" w:sz="0" w:space="0" w:color="auto"/>
        <w:bottom w:val="none" w:sz="0" w:space="0" w:color="auto"/>
        <w:right w:val="none" w:sz="0" w:space="0" w:color="auto"/>
      </w:divBdr>
    </w:div>
    <w:div w:id="757094043">
      <w:bodyDiv w:val="1"/>
      <w:marLeft w:val="0"/>
      <w:marRight w:val="0"/>
      <w:marTop w:val="0"/>
      <w:marBottom w:val="0"/>
      <w:divBdr>
        <w:top w:val="none" w:sz="0" w:space="0" w:color="auto"/>
        <w:left w:val="none" w:sz="0" w:space="0" w:color="auto"/>
        <w:bottom w:val="none" w:sz="0" w:space="0" w:color="auto"/>
        <w:right w:val="none" w:sz="0" w:space="0" w:color="auto"/>
      </w:divBdr>
    </w:div>
    <w:div w:id="916131130">
      <w:bodyDiv w:val="1"/>
      <w:marLeft w:val="0"/>
      <w:marRight w:val="0"/>
      <w:marTop w:val="0"/>
      <w:marBottom w:val="0"/>
      <w:divBdr>
        <w:top w:val="none" w:sz="0" w:space="0" w:color="auto"/>
        <w:left w:val="none" w:sz="0" w:space="0" w:color="auto"/>
        <w:bottom w:val="none" w:sz="0" w:space="0" w:color="auto"/>
        <w:right w:val="none" w:sz="0" w:space="0" w:color="auto"/>
      </w:divBdr>
    </w:div>
    <w:div w:id="942302085">
      <w:bodyDiv w:val="1"/>
      <w:marLeft w:val="0"/>
      <w:marRight w:val="0"/>
      <w:marTop w:val="0"/>
      <w:marBottom w:val="0"/>
      <w:divBdr>
        <w:top w:val="none" w:sz="0" w:space="0" w:color="auto"/>
        <w:left w:val="none" w:sz="0" w:space="0" w:color="auto"/>
        <w:bottom w:val="none" w:sz="0" w:space="0" w:color="auto"/>
        <w:right w:val="none" w:sz="0" w:space="0" w:color="auto"/>
      </w:divBdr>
    </w:div>
    <w:div w:id="1123382950">
      <w:bodyDiv w:val="1"/>
      <w:marLeft w:val="0"/>
      <w:marRight w:val="0"/>
      <w:marTop w:val="0"/>
      <w:marBottom w:val="0"/>
      <w:divBdr>
        <w:top w:val="none" w:sz="0" w:space="0" w:color="auto"/>
        <w:left w:val="none" w:sz="0" w:space="0" w:color="auto"/>
        <w:bottom w:val="none" w:sz="0" w:space="0" w:color="auto"/>
        <w:right w:val="none" w:sz="0" w:space="0" w:color="auto"/>
      </w:divBdr>
    </w:div>
    <w:div w:id="1150445737">
      <w:bodyDiv w:val="1"/>
      <w:marLeft w:val="0"/>
      <w:marRight w:val="0"/>
      <w:marTop w:val="0"/>
      <w:marBottom w:val="0"/>
      <w:divBdr>
        <w:top w:val="none" w:sz="0" w:space="0" w:color="auto"/>
        <w:left w:val="none" w:sz="0" w:space="0" w:color="auto"/>
        <w:bottom w:val="none" w:sz="0" w:space="0" w:color="auto"/>
        <w:right w:val="none" w:sz="0" w:space="0" w:color="auto"/>
      </w:divBdr>
    </w:div>
    <w:div w:id="1394082243">
      <w:bodyDiv w:val="1"/>
      <w:marLeft w:val="0"/>
      <w:marRight w:val="0"/>
      <w:marTop w:val="0"/>
      <w:marBottom w:val="0"/>
      <w:divBdr>
        <w:top w:val="none" w:sz="0" w:space="0" w:color="auto"/>
        <w:left w:val="none" w:sz="0" w:space="0" w:color="auto"/>
        <w:bottom w:val="none" w:sz="0" w:space="0" w:color="auto"/>
        <w:right w:val="none" w:sz="0" w:space="0" w:color="auto"/>
      </w:divBdr>
    </w:div>
    <w:div w:id="1467120792">
      <w:bodyDiv w:val="1"/>
      <w:marLeft w:val="30"/>
      <w:marRight w:val="30"/>
      <w:marTop w:val="0"/>
      <w:marBottom w:val="0"/>
      <w:divBdr>
        <w:top w:val="none" w:sz="0" w:space="0" w:color="auto"/>
        <w:left w:val="none" w:sz="0" w:space="0" w:color="auto"/>
        <w:bottom w:val="none" w:sz="0" w:space="0" w:color="auto"/>
        <w:right w:val="none" w:sz="0" w:space="0" w:color="auto"/>
      </w:divBdr>
      <w:divsChild>
        <w:div w:id="1346638685">
          <w:marLeft w:val="0"/>
          <w:marRight w:val="0"/>
          <w:marTop w:val="0"/>
          <w:marBottom w:val="0"/>
          <w:divBdr>
            <w:top w:val="none" w:sz="0" w:space="0" w:color="auto"/>
            <w:left w:val="none" w:sz="0" w:space="0" w:color="auto"/>
            <w:bottom w:val="none" w:sz="0" w:space="0" w:color="auto"/>
            <w:right w:val="none" w:sz="0" w:space="0" w:color="auto"/>
          </w:divBdr>
          <w:divsChild>
            <w:div w:id="25836687">
              <w:marLeft w:val="0"/>
              <w:marRight w:val="0"/>
              <w:marTop w:val="0"/>
              <w:marBottom w:val="0"/>
              <w:divBdr>
                <w:top w:val="none" w:sz="0" w:space="0" w:color="auto"/>
                <w:left w:val="none" w:sz="0" w:space="0" w:color="auto"/>
                <w:bottom w:val="none" w:sz="0" w:space="0" w:color="auto"/>
                <w:right w:val="none" w:sz="0" w:space="0" w:color="auto"/>
              </w:divBdr>
              <w:divsChild>
                <w:div w:id="1455365145">
                  <w:marLeft w:val="180"/>
                  <w:marRight w:val="0"/>
                  <w:marTop w:val="0"/>
                  <w:marBottom w:val="0"/>
                  <w:divBdr>
                    <w:top w:val="none" w:sz="0" w:space="0" w:color="auto"/>
                    <w:left w:val="none" w:sz="0" w:space="0" w:color="auto"/>
                    <w:bottom w:val="none" w:sz="0" w:space="0" w:color="auto"/>
                    <w:right w:val="none" w:sz="0" w:space="0" w:color="auto"/>
                  </w:divBdr>
                  <w:divsChild>
                    <w:div w:id="20185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5378">
      <w:bodyDiv w:val="1"/>
      <w:marLeft w:val="0"/>
      <w:marRight w:val="0"/>
      <w:marTop w:val="0"/>
      <w:marBottom w:val="0"/>
      <w:divBdr>
        <w:top w:val="none" w:sz="0" w:space="0" w:color="auto"/>
        <w:left w:val="none" w:sz="0" w:space="0" w:color="auto"/>
        <w:bottom w:val="none" w:sz="0" w:space="0" w:color="auto"/>
        <w:right w:val="none" w:sz="0" w:space="0" w:color="auto"/>
      </w:divBdr>
    </w:div>
    <w:div w:id="1636522900">
      <w:bodyDiv w:val="1"/>
      <w:marLeft w:val="0"/>
      <w:marRight w:val="0"/>
      <w:marTop w:val="0"/>
      <w:marBottom w:val="0"/>
      <w:divBdr>
        <w:top w:val="none" w:sz="0" w:space="0" w:color="auto"/>
        <w:left w:val="none" w:sz="0" w:space="0" w:color="auto"/>
        <w:bottom w:val="none" w:sz="0" w:space="0" w:color="auto"/>
        <w:right w:val="none" w:sz="0" w:space="0" w:color="auto"/>
      </w:divBdr>
    </w:div>
    <w:div w:id="1721782936">
      <w:bodyDiv w:val="1"/>
      <w:marLeft w:val="0"/>
      <w:marRight w:val="0"/>
      <w:marTop w:val="0"/>
      <w:marBottom w:val="0"/>
      <w:divBdr>
        <w:top w:val="none" w:sz="0" w:space="0" w:color="auto"/>
        <w:left w:val="none" w:sz="0" w:space="0" w:color="auto"/>
        <w:bottom w:val="none" w:sz="0" w:space="0" w:color="auto"/>
        <w:right w:val="none" w:sz="0" w:space="0" w:color="auto"/>
      </w:divBdr>
    </w:div>
    <w:div w:id="1730884738">
      <w:bodyDiv w:val="1"/>
      <w:marLeft w:val="0"/>
      <w:marRight w:val="0"/>
      <w:marTop w:val="0"/>
      <w:marBottom w:val="0"/>
      <w:divBdr>
        <w:top w:val="none" w:sz="0" w:space="0" w:color="auto"/>
        <w:left w:val="none" w:sz="0" w:space="0" w:color="auto"/>
        <w:bottom w:val="none" w:sz="0" w:space="0" w:color="auto"/>
        <w:right w:val="none" w:sz="0" w:space="0" w:color="auto"/>
      </w:divBdr>
    </w:div>
    <w:div w:id="1844665877">
      <w:bodyDiv w:val="1"/>
      <w:marLeft w:val="0"/>
      <w:marRight w:val="0"/>
      <w:marTop w:val="0"/>
      <w:marBottom w:val="0"/>
      <w:divBdr>
        <w:top w:val="none" w:sz="0" w:space="0" w:color="auto"/>
        <w:left w:val="none" w:sz="0" w:space="0" w:color="auto"/>
        <w:bottom w:val="none" w:sz="0" w:space="0" w:color="auto"/>
        <w:right w:val="none" w:sz="0" w:space="0" w:color="auto"/>
      </w:divBdr>
    </w:div>
    <w:div w:id="203564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9EE5A-7BDE-4350-ACC1-1E137F0A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3171</Words>
  <Characters>18080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Pfizer Inc</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5</cp:revision>
  <cp:lastPrinted>2017-05-31T11:11:00Z</cp:lastPrinted>
  <dcterms:created xsi:type="dcterms:W3CDTF">2024-12-04T06:30:00Z</dcterms:created>
  <dcterms:modified xsi:type="dcterms:W3CDTF">2024-12-04T06:45:00Z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f72598-90ab-4748-9618-88402b5e95d2_Enabled">
    <vt:lpwstr>true</vt:lpwstr>
  </property>
  <property fmtid="{D5CDD505-2E9C-101B-9397-08002B2CF9AE}" pid="3" name="MSIP_Label_68f72598-90ab-4748-9618-88402b5e95d2_SetDate">
    <vt:lpwstr>2023-02-06T09:30:15Z</vt:lpwstr>
  </property>
  <property fmtid="{D5CDD505-2E9C-101B-9397-08002B2CF9AE}" pid="4" name="MSIP_Label_68f72598-90ab-4748-9618-88402b5e95d2_Method">
    <vt:lpwstr>Privileged</vt:lpwstr>
  </property>
  <property fmtid="{D5CDD505-2E9C-101B-9397-08002B2CF9AE}" pid="5" name="MSIP_Label_68f72598-90ab-4748-9618-88402b5e95d2_Name">
    <vt:lpwstr>68f72598-90ab-4748-9618-88402b5e95d2</vt:lpwstr>
  </property>
  <property fmtid="{D5CDD505-2E9C-101B-9397-08002B2CF9AE}" pid="6" name="MSIP_Label_68f72598-90ab-4748-9618-88402b5e95d2_SiteId">
    <vt:lpwstr>7a916015-20ae-4ad1-9170-eefd915e9272</vt:lpwstr>
  </property>
  <property fmtid="{D5CDD505-2E9C-101B-9397-08002B2CF9AE}" pid="7" name="MSIP_Label_68f72598-90ab-4748-9618-88402b5e95d2_ActionId">
    <vt:lpwstr>5de3e963-7830-4f0b-81b5-a4837ba3d759</vt:lpwstr>
  </property>
  <property fmtid="{D5CDD505-2E9C-101B-9397-08002B2CF9AE}" pid="8" name="MSIP_Label_68f72598-90ab-4748-9618-88402b5e95d2_ContentBits">
    <vt:lpwstr>0</vt:lpwstr>
  </property>
</Properties>
</file>