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E47C5" w14:textId="77777777" w:rsidR="002510A5" w:rsidRPr="009F254D" w:rsidRDefault="002510A5" w:rsidP="00FA635D">
      <w:pPr>
        <w:jc w:val="center"/>
        <w:rPr>
          <w:b/>
          <w:bCs/>
          <w:iCs/>
          <w:sz w:val="22"/>
          <w:szCs w:val="22"/>
          <w:u w:val="single"/>
          <w:lang w:val="sr-Latn-ME"/>
        </w:rPr>
      </w:pPr>
      <w:r w:rsidRPr="009F254D">
        <w:rPr>
          <w:b/>
          <w:bCs/>
          <w:iCs/>
          <w:sz w:val="22"/>
          <w:szCs w:val="22"/>
          <w:u w:val="single"/>
          <w:lang w:val="sr-Latn-ME"/>
        </w:rPr>
        <w:t>SAŽETAK KARAKTERISTIKA LIJEKA</w:t>
      </w:r>
    </w:p>
    <w:p w14:paraId="4C178290" w14:textId="77777777" w:rsidR="003C17AB" w:rsidRPr="009F254D" w:rsidRDefault="003C17AB" w:rsidP="00FA635D">
      <w:pPr>
        <w:tabs>
          <w:tab w:val="left" w:pos="540"/>
          <w:tab w:val="left" w:pos="569"/>
        </w:tabs>
        <w:rPr>
          <w:noProof/>
          <w:sz w:val="22"/>
          <w:szCs w:val="22"/>
          <w:lang w:val="sr-Latn-ME"/>
        </w:rPr>
      </w:pPr>
    </w:p>
    <w:p w14:paraId="3CF89F3C" w14:textId="77777777" w:rsidR="00C37FD7" w:rsidRPr="009F254D" w:rsidRDefault="00C37FD7" w:rsidP="00FA635D">
      <w:pPr>
        <w:tabs>
          <w:tab w:val="left" w:pos="540"/>
          <w:tab w:val="left" w:pos="569"/>
        </w:tabs>
        <w:rPr>
          <w:bCs/>
          <w:sz w:val="22"/>
          <w:szCs w:val="22"/>
          <w:lang w:val="sr-Latn-ME"/>
        </w:rPr>
      </w:pPr>
    </w:p>
    <w:p w14:paraId="2901A13B" w14:textId="77777777" w:rsidR="00411B4B" w:rsidRPr="009F254D" w:rsidRDefault="00411B4B" w:rsidP="00FA635D">
      <w:pPr>
        <w:tabs>
          <w:tab w:val="left" w:pos="540"/>
          <w:tab w:val="left" w:pos="569"/>
        </w:tabs>
        <w:rPr>
          <w:b/>
          <w:bCs/>
          <w:sz w:val="22"/>
          <w:szCs w:val="22"/>
          <w:lang w:val="sr-Latn-ME"/>
        </w:rPr>
      </w:pPr>
      <w:r w:rsidRPr="009F254D">
        <w:rPr>
          <w:b/>
          <w:bCs/>
          <w:sz w:val="22"/>
          <w:szCs w:val="22"/>
          <w:lang w:val="sr-Latn-ME"/>
        </w:rPr>
        <w:t>1.</w:t>
      </w:r>
      <w:r w:rsidR="00F5167F" w:rsidRPr="009F254D">
        <w:rPr>
          <w:b/>
          <w:bCs/>
          <w:sz w:val="22"/>
          <w:szCs w:val="22"/>
          <w:lang w:val="sr-Latn-ME"/>
        </w:rPr>
        <w:tab/>
      </w:r>
      <w:r w:rsidR="002846DB" w:rsidRPr="009F254D">
        <w:rPr>
          <w:b/>
          <w:bCs/>
          <w:sz w:val="22"/>
          <w:szCs w:val="22"/>
          <w:lang w:val="sr-Latn-ME"/>
        </w:rPr>
        <w:t xml:space="preserve">NAZIV </w:t>
      </w:r>
      <w:r w:rsidRPr="009F254D">
        <w:rPr>
          <w:b/>
          <w:bCs/>
          <w:sz w:val="22"/>
          <w:szCs w:val="22"/>
          <w:lang w:val="sr-Latn-ME"/>
        </w:rPr>
        <w:t>LIJEKA</w:t>
      </w:r>
    </w:p>
    <w:p w14:paraId="3E932582" w14:textId="77777777" w:rsidR="00EC2532" w:rsidRPr="009F254D" w:rsidRDefault="00EC2532" w:rsidP="00FA635D">
      <w:pPr>
        <w:rPr>
          <w:sz w:val="22"/>
          <w:szCs w:val="22"/>
          <w:lang w:val="sr-Latn-ME"/>
        </w:rPr>
      </w:pPr>
    </w:p>
    <w:p w14:paraId="6E1B1313" w14:textId="51639B21" w:rsidR="009464A9" w:rsidRPr="009F254D" w:rsidRDefault="009464A9" w:rsidP="007202BC">
      <w:pPr>
        <w:jc w:val="both"/>
        <w:rPr>
          <w:iCs/>
          <w:sz w:val="22"/>
          <w:szCs w:val="22"/>
          <w:lang w:val="sr-Latn-ME"/>
        </w:rPr>
      </w:pPr>
      <w:r w:rsidRPr="009F254D">
        <w:rPr>
          <w:iCs/>
          <w:sz w:val="22"/>
          <w:szCs w:val="22"/>
          <w:lang w:val="sr-Latn-ME"/>
        </w:rPr>
        <w:t>Xigduo, 5 mg</w:t>
      </w:r>
      <w:r w:rsidR="00077479" w:rsidRPr="009F254D">
        <w:rPr>
          <w:iCs/>
          <w:sz w:val="22"/>
          <w:szCs w:val="22"/>
          <w:lang w:val="sr-Latn-ME"/>
        </w:rPr>
        <w:t xml:space="preserve"> + </w:t>
      </w:r>
      <w:r w:rsidRPr="009F254D">
        <w:rPr>
          <w:iCs/>
          <w:sz w:val="22"/>
          <w:szCs w:val="22"/>
          <w:lang w:val="sr-Latn-ME"/>
        </w:rPr>
        <w:t>850 mg, film tableta</w:t>
      </w:r>
    </w:p>
    <w:p w14:paraId="1FB79EFD" w14:textId="75433353" w:rsidR="009464A9" w:rsidRPr="009F254D" w:rsidRDefault="009464A9" w:rsidP="007202BC">
      <w:pPr>
        <w:jc w:val="both"/>
        <w:rPr>
          <w:iCs/>
          <w:sz w:val="22"/>
          <w:szCs w:val="22"/>
          <w:lang w:val="sr-Latn-ME"/>
        </w:rPr>
      </w:pPr>
      <w:r w:rsidRPr="009F254D">
        <w:rPr>
          <w:iCs/>
          <w:sz w:val="22"/>
          <w:szCs w:val="22"/>
          <w:lang w:val="sr-Latn-ME"/>
        </w:rPr>
        <w:t>Xigduo, 5 mg</w:t>
      </w:r>
      <w:r w:rsidR="00077479" w:rsidRPr="009F254D">
        <w:rPr>
          <w:iCs/>
          <w:sz w:val="22"/>
          <w:szCs w:val="22"/>
          <w:lang w:val="sr-Latn-ME"/>
        </w:rPr>
        <w:t xml:space="preserve"> + </w:t>
      </w:r>
      <w:r w:rsidRPr="009F254D">
        <w:rPr>
          <w:iCs/>
          <w:sz w:val="22"/>
          <w:szCs w:val="22"/>
          <w:lang w:val="sr-Latn-ME"/>
        </w:rPr>
        <w:t>1000 mg, film tableta</w:t>
      </w:r>
    </w:p>
    <w:p w14:paraId="625B16B7" w14:textId="77777777" w:rsidR="009464A9" w:rsidRPr="009F254D" w:rsidRDefault="009464A9" w:rsidP="007202BC">
      <w:pPr>
        <w:jc w:val="both"/>
        <w:rPr>
          <w:bCs/>
          <w:sz w:val="22"/>
          <w:szCs w:val="22"/>
          <w:lang w:val="sr-Latn-ME"/>
        </w:rPr>
      </w:pPr>
    </w:p>
    <w:p w14:paraId="5B835D45" w14:textId="5F64A6A6" w:rsidR="009464A9" w:rsidRPr="009F254D" w:rsidRDefault="009464A9" w:rsidP="007202BC">
      <w:pPr>
        <w:jc w:val="both"/>
        <w:rPr>
          <w:sz w:val="22"/>
          <w:szCs w:val="22"/>
          <w:lang w:val="sr-Latn-ME"/>
        </w:rPr>
      </w:pPr>
      <w:r w:rsidRPr="009F254D">
        <w:rPr>
          <w:sz w:val="22"/>
          <w:szCs w:val="22"/>
          <w:lang w:val="sr-Latn-ME"/>
        </w:rPr>
        <w:t>INN: dapagliflozin</w:t>
      </w:r>
      <w:r w:rsidR="00CA2551" w:rsidRPr="009F254D">
        <w:rPr>
          <w:sz w:val="22"/>
          <w:szCs w:val="22"/>
          <w:lang w:val="sr-Latn-ME"/>
        </w:rPr>
        <w:t xml:space="preserve">, </w:t>
      </w:r>
      <w:r w:rsidRPr="009F254D">
        <w:rPr>
          <w:sz w:val="22"/>
          <w:szCs w:val="22"/>
          <w:lang w:val="sr-Latn-ME"/>
        </w:rPr>
        <w:t>metformin</w:t>
      </w:r>
    </w:p>
    <w:p w14:paraId="6258D1AC" w14:textId="77777777" w:rsidR="006D20A5" w:rsidRPr="009F254D" w:rsidRDefault="006D20A5" w:rsidP="00FA635D">
      <w:pPr>
        <w:rPr>
          <w:bCs/>
          <w:sz w:val="22"/>
          <w:szCs w:val="22"/>
          <w:lang w:val="sr-Latn-ME"/>
        </w:rPr>
      </w:pPr>
    </w:p>
    <w:p w14:paraId="04709FE9" w14:textId="77777777" w:rsidR="00530BD7" w:rsidRPr="009F254D" w:rsidRDefault="00530BD7" w:rsidP="00FA635D">
      <w:pPr>
        <w:rPr>
          <w:bCs/>
          <w:sz w:val="22"/>
          <w:szCs w:val="22"/>
          <w:lang w:val="sr-Latn-ME"/>
        </w:rPr>
      </w:pPr>
    </w:p>
    <w:p w14:paraId="6FB35AC0" w14:textId="77777777" w:rsidR="00411B4B" w:rsidRPr="009F254D" w:rsidRDefault="00411B4B" w:rsidP="00FA635D">
      <w:pPr>
        <w:tabs>
          <w:tab w:val="left" w:pos="540"/>
          <w:tab w:val="left" w:pos="569"/>
        </w:tabs>
        <w:rPr>
          <w:b/>
          <w:bCs/>
          <w:sz w:val="22"/>
          <w:szCs w:val="22"/>
          <w:lang w:val="sr-Latn-ME"/>
        </w:rPr>
      </w:pPr>
      <w:r w:rsidRPr="009F254D">
        <w:rPr>
          <w:b/>
          <w:bCs/>
          <w:sz w:val="22"/>
          <w:szCs w:val="22"/>
          <w:lang w:val="sr-Latn-ME"/>
        </w:rPr>
        <w:t xml:space="preserve">2. </w:t>
      </w:r>
      <w:r w:rsidR="00F5167F" w:rsidRPr="009F254D">
        <w:rPr>
          <w:b/>
          <w:bCs/>
          <w:sz w:val="22"/>
          <w:szCs w:val="22"/>
          <w:lang w:val="sr-Latn-ME"/>
        </w:rPr>
        <w:tab/>
      </w:r>
      <w:r w:rsidRPr="009F254D">
        <w:rPr>
          <w:b/>
          <w:bCs/>
          <w:sz w:val="22"/>
          <w:szCs w:val="22"/>
          <w:lang w:val="sr-Latn-ME"/>
        </w:rPr>
        <w:t>KVALITATIVNI I KVANTITATIVNI SASTAV</w:t>
      </w:r>
    </w:p>
    <w:p w14:paraId="4EAD5EED" w14:textId="77777777" w:rsidR="005A0B2E" w:rsidRPr="009F254D" w:rsidRDefault="005A0B2E" w:rsidP="00FA635D">
      <w:pPr>
        <w:rPr>
          <w:sz w:val="22"/>
          <w:szCs w:val="22"/>
          <w:lang w:val="sr-Latn-ME"/>
        </w:rPr>
      </w:pPr>
    </w:p>
    <w:p w14:paraId="6AC55E6E" w14:textId="24EC7534" w:rsidR="009464A9" w:rsidRPr="009F254D" w:rsidRDefault="009464A9">
      <w:pPr>
        <w:keepNext/>
        <w:keepLines/>
        <w:tabs>
          <w:tab w:val="left" w:pos="284"/>
        </w:tabs>
        <w:jc w:val="both"/>
        <w:rPr>
          <w:noProof/>
          <w:sz w:val="22"/>
          <w:szCs w:val="22"/>
          <w:u w:val="single"/>
          <w:lang w:val="sr-Latn-ME"/>
        </w:rPr>
      </w:pPr>
      <w:r w:rsidRPr="009F254D">
        <w:rPr>
          <w:noProof/>
          <w:sz w:val="22"/>
          <w:szCs w:val="22"/>
          <w:u w:val="single"/>
          <w:lang w:val="sr-Latn-ME"/>
        </w:rPr>
        <w:t>Xigduo</w:t>
      </w:r>
      <w:r w:rsidR="008917F7" w:rsidRPr="009F254D">
        <w:rPr>
          <w:noProof/>
          <w:sz w:val="22"/>
          <w:szCs w:val="22"/>
          <w:u w:val="single"/>
          <w:lang w:val="sr-Latn-ME"/>
        </w:rPr>
        <w:t>,</w:t>
      </w:r>
      <w:r w:rsidRPr="009F254D">
        <w:rPr>
          <w:noProof/>
          <w:sz w:val="22"/>
          <w:szCs w:val="22"/>
          <w:u w:val="single"/>
          <w:lang w:val="sr-Latn-ME"/>
        </w:rPr>
        <w:t xml:space="preserve"> 5 mg</w:t>
      </w:r>
      <w:r w:rsidR="00826CD5" w:rsidRPr="009F254D">
        <w:rPr>
          <w:noProof/>
          <w:sz w:val="22"/>
          <w:szCs w:val="22"/>
          <w:u w:val="single"/>
          <w:lang w:val="sr-Latn-ME"/>
        </w:rPr>
        <w:t xml:space="preserve"> + </w:t>
      </w:r>
      <w:r w:rsidRPr="009F254D">
        <w:rPr>
          <w:noProof/>
          <w:sz w:val="22"/>
          <w:szCs w:val="22"/>
          <w:u w:val="single"/>
          <w:lang w:val="sr-Latn-ME"/>
        </w:rPr>
        <w:t>850 mg, film tableta</w:t>
      </w:r>
    </w:p>
    <w:p w14:paraId="30C49FFE" w14:textId="335A236B" w:rsidR="009464A9" w:rsidRPr="009F254D" w:rsidRDefault="009464A9">
      <w:pPr>
        <w:tabs>
          <w:tab w:val="left" w:pos="284"/>
        </w:tabs>
        <w:jc w:val="both"/>
        <w:rPr>
          <w:noProof/>
          <w:sz w:val="22"/>
          <w:szCs w:val="22"/>
          <w:lang w:val="sr-Latn-ME"/>
        </w:rPr>
      </w:pPr>
      <w:r w:rsidRPr="009F254D">
        <w:rPr>
          <w:noProof/>
          <w:sz w:val="22"/>
          <w:szCs w:val="22"/>
          <w:lang w:val="sr-Latn-ME"/>
        </w:rPr>
        <w:t xml:space="preserve">Svaka </w:t>
      </w:r>
      <w:r w:rsidR="00826CD5" w:rsidRPr="009F254D">
        <w:rPr>
          <w:noProof/>
          <w:sz w:val="22"/>
          <w:szCs w:val="22"/>
          <w:lang w:val="sr-Latn-ME"/>
        </w:rPr>
        <w:t xml:space="preserve">film </w:t>
      </w:r>
      <w:r w:rsidRPr="009F254D">
        <w:rPr>
          <w:noProof/>
          <w:sz w:val="22"/>
          <w:szCs w:val="22"/>
          <w:lang w:val="sr-Latn-ME"/>
        </w:rPr>
        <w:t xml:space="preserve">tableta sadrži </w:t>
      </w:r>
      <w:r w:rsidR="00826CD5" w:rsidRPr="009F254D">
        <w:rPr>
          <w:noProof/>
          <w:sz w:val="22"/>
          <w:szCs w:val="22"/>
          <w:lang w:val="sr-Latn-ME"/>
        </w:rPr>
        <w:t xml:space="preserve">5 mg </w:t>
      </w:r>
      <w:r w:rsidRPr="009F254D">
        <w:rPr>
          <w:noProof/>
          <w:sz w:val="22"/>
          <w:szCs w:val="22"/>
          <w:lang w:val="sr-Latn-ME"/>
        </w:rPr>
        <w:t>dapagliflozin</w:t>
      </w:r>
      <w:r w:rsidR="005A712B" w:rsidRPr="009F254D">
        <w:rPr>
          <w:noProof/>
          <w:sz w:val="22"/>
          <w:szCs w:val="22"/>
          <w:lang w:val="sr-Latn-ME"/>
        </w:rPr>
        <w:t>a</w:t>
      </w:r>
      <w:r w:rsidR="00826CD5" w:rsidRPr="009F254D">
        <w:rPr>
          <w:noProof/>
          <w:sz w:val="22"/>
          <w:szCs w:val="22"/>
          <w:lang w:val="sr-Latn-ME"/>
        </w:rPr>
        <w:t xml:space="preserve"> u obliku dapagliflozin </w:t>
      </w:r>
      <w:r w:rsidRPr="009F254D">
        <w:rPr>
          <w:noProof/>
          <w:sz w:val="22"/>
          <w:szCs w:val="22"/>
          <w:lang w:val="sr-Latn-ME"/>
        </w:rPr>
        <w:t>propandiol monohidrat</w:t>
      </w:r>
      <w:r w:rsidR="00397371" w:rsidRPr="009F254D">
        <w:rPr>
          <w:noProof/>
          <w:sz w:val="22"/>
          <w:szCs w:val="22"/>
          <w:lang w:val="sr-Latn-ME"/>
        </w:rPr>
        <w:t>a</w:t>
      </w:r>
      <w:r w:rsidRPr="009F254D">
        <w:rPr>
          <w:noProof/>
          <w:sz w:val="22"/>
          <w:szCs w:val="22"/>
          <w:lang w:val="sr-Latn-ME"/>
        </w:rPr>
        <w:t xml:space="preserve"> i 850 mg metformin hidrohlorida.</w:t>
      </w:r>
    </w:p>
    <w:p w14:paraId="023A9AD6" w14:textId="77777777" w:rsidR="009464A9" w:rsidRPr="009F254D" w:rsidRDefault="009464A9">
      <w:pPr>
        <w:tabs>
          <w:tab w:val="left" w:pos="284"/>
        </w:tabs>
        <w:jc w:val="both"/>
        <w:rPr>
          <w:noProof/>
          <w:sz w:val="22"/>
          <w:szCs w:val="22"/>
          <w:lang w:val="sr-Latn-ME"/>
        </w:rPr>
      </w:pPr>
    </w:p>
    <w:p w14:paraId="1D52A2C4" w14:textId="3B8861E4" w:rsidR="009464A9" w:rsidRPr="009F254D" w:rsidRDefault="009464A9">
      <w:pPr>
        <w:keepNext/>
        <w:keepLines/>
        <w:tabs>
          <w:tab w:val="left" w:pos="284"/>
        </w:tabs>
        <w:jc w:val="both"/>
        <w:rPr>
          <w:noProof/>
          <w:sz w:val="22"/>
          <w:szCs w:val="22"/>
          <w:u w:val="single"/>
          <w:lang w:val="sr-Latn-ME"/>
        </w:rPr>
      </w:pPr>
      <w:r w:rsidRPr="009F254D">
        <w:rPr>
          <w:noProof/>
          <w:sz w:val="22"/>
          <w:szCs w:val="22"/>
          <w:u w:val="single"/>
          <w:lang w:val="sr-Latn-ME"/>
        </w:rPr>
        <w:t>Xigduo</w:t>
      </w:r>
      <w:r w:rsidR="008917F7" w:rsidRPr="009F254D">
        <w:rPr>
          <w:noProof/>
          <w:sz w:val="22"/>
          <w:szCs w:val="22"/>
          <w:u w:val="single"/>
          <w:lang w:val="sr-Latn-ME"/>
        </w:rPr>
        <w:t>,</w:t>
      </w:r>
      <w:r w:rsidRPr="009F254D">
        <w:rPr>
          <w:noProof/>
          <w:sz w:val="22"/>
          <w:szCs w:val="22"/>
          <w:u w:val="single"/>
          <w:lang w:val="sr-Latn-ME"/>
        </w:rPr>
        <w:t xml:space="preserve"> 5 mg</w:t>
      </w:r>
      <w:r w:rsidR="00826CD5" w:rsidRPr="009F254D">
        <w:rPr>
          <w:noProof/>
          <w:sz w:val="22"/>
          <w:szCs w:val="22"/>
          <w:u w:val="single"/>
          <w:lang w:val="sr-Latn-ME"/>
        </w:rPr>
        <w:t xml:space="preserve"> + </w:t>
      </w:r>
      <w:r w:rsidRPr="009F254D">
        <w:rPr>
          <w:noProof/>
          <w:sz w:val="22"/>
          <w:szCs w:val="22"/>
          <w:u w:val="single"/>
          <w:lang w:val="sr-Latn-ME"/>
        </w:rPr>
        <w:t>1000 mg, film tableta</w:t>
      </w:r>
    </w:p>
    <w:p w14:paraId="063AF454" w14:textId="36A2BA7C" w:rsidR="009464A9" w:rsidRPr="009F254D" w:rsidRDefault="009464A9">
      <w:pPr>
        <w:widowControl w:val="0"/>
        <w:tabs>
          <w:tab w:val="left" w:pos="284"/>
        </w:tabs>
        <w:jc w:val="both"/>
        <w:rPr>
          <w:noProof/>
          <w:sz w:val="22"/>
          <w:szCs w:val="22"/>
          <w:lang w:val="sr-Latn-ME"/>
        </w:rPr>
      </w:pPr>
      <w:r w:rsidRPr="009F254D">
        <w:rPr>
          <w:noProof/>
          <w:sz w:val="22"/>
          <w:szCs w:val="22"/>
          <w:lang w:val="sr-Latn-ME"/>
        </w:rPr>
        <w:t xml:space="preserve">Svaka </w:t>
      </w:r>
      <w:r w:rsidR="004F62F8" w:rsidRPr="009F254D">
        <w:rPr>
          <w:noProof/>
          <w:sz w:val="22"/>
          <w:szCs w:val="22"/>
          <w:lang w:val="sr-Latn-ME"/>
        </w:rPr>
        <w:t xml:space="preserve">film </w:t>
      </w:r>
      <w:r w:rsidRPr="009F254D">
        <w:rPr>
          <w:noProof/>
          <w:sz w:val="22"/>
          <w:szCs w:val="22"/>
          <w:lang w:val="sr-Latn-ME"/>
        </w:rPr>
        <w:t xml:space="preserve">tableta sadrži </w:t>
      </w:r>
      <w:r w:rsidR="004F62F8" w:rsidRPr="009F254D">
        <w:rPr>
          <w:noProof/>
          <w:sz w:val="22"/>
          <w:szCs w:val="22"/>
          <w:lang w:val="sr-Latn-ME"/>
        </w:rPr>
        <w:t xml:space="preserve">5 mg </w:t>
      </w:r>
      <w:r w:rsidRPr="009F254D">
        <w:rPr>
          <w:noProof/>
          <w:sz w:val="22"/>
          <w:szCs w:val="22"/>
          <w:lang w:val="sr-Latn-ME"/>
        </w:rPr>
        <w:t>dapagliflozin</w:t>
      </w:r>
      <w:r w:rsidR="005A712B" w:rsidRPr="009F254D">
        <w:rPr>
          <w:noProof/>
          <w:sz w:val="22"/>
          <w:szCs w:val="22"/>
          <w:lang w:val="sr-Latn-ME"/>
        </w:rPr>
        <w:t>a</w:t>
      </w:r>
      <w:r w:rsidRPr="009F254D">
        <w:rPr>
          <w:noProof/>
          <w:sz w:val="22"/>
          <w:szCs w:val="22"/>
          <w:lang w:val="sr-Latn-ME"/>
        </w:rPr>
        <w:t xml:space="preserve"> </w:t>
      </w:r>
      <w:r w:rsidR="004F62F8" w:rsidRPr="009F254D">
        <w:rPr>
          <w:noProof/>
          <w:sz w:val="22"/>
          <w:szCs w:val="22"/>
          <w:lang w:val="sr-Latn-ME"/>
        </w:rPr>
        <w:t xml:space="preserve">u obliku dapagliflozin </w:t>
      </w:r>
      <w:r w:rsidRPr="009F254D">
        <w:rPr>
          <w:noProof/>
          <w:sz w:val="22"/>
          <w:szCs w:val="22"/>
          <w:lang w:val="sr-Latn-ME"/>
        </w:rPr>
        <w:t>propandiol monohidrat</w:t>
      </w:r>
      <w:r w:rsidR="00397371" w:rsidRPr="009F254D">
        <w:rPr>
          <w:noProof/>
          <w:sz w:val="22"/>
          <w:szCs w:val="22"/>
          <w:lang w:val="sr-Latn-ME"/>
        </w:rPr>
        <w:t>a</w:t>
      </w:r>
      <w:r w:rsidRPr="009F254D">
        <w:rPr>
          <w:noProof/>
          <w:sz w:val="22"/>
          <w:szCs w:val="22"/>
          <w:lang w:val="sr-Latn-ME"/>
        </w:rPr>
        <w:t xml:space="preserve"> i 1000 mg metformin hidrohlorida.</w:t>
      </w:r>
    </w:p>
    <w:p w14:paraId="1EBBEAB2" w14:textId="77777777" w:rsidR="009464A9" w:rsidRPr="009F254D" w:rsidRDefault="009464A9">
      <w:pPr>
        <w:widowControl w:val="0"/>
        <w:tabs>
          <w:tab w:val="left" w:pos="284"/>
        </w:tabs>
        <w:jc w:val="both"/>
        <w:rPr>
          <w:bCs/>
          <w:noProof/>
          <w:sz w:val="22"/>
          <w:szCs w:val="22"/>
          <w:lang w:val="sr-Latn-ME"/>
        </w:rPr>
      </w:pPr>
    </w:p>
    <w:p w14:paraId="2A2780A3" w14:textId="77777777" w:rsidR="009464A9" w:rsidRPr="009F254D" w:rsidRDefault="009464A9">
      <w:pPr>
        <w:keepNext/>
        <w:keepLines/>
        <w:tabs>
          <w:tab w:val="left" w:pos="284"/>
        </w:tabs>
        <w:jc w:val="both"/>
        <w:rPr>
          <w:noProof/>
          <w:sz w:val="22"/>
          <w:szCs w:val="22"/>
          <w:u w:val="single"/>
          <w:lang w:val="sr-Latn-ME"/>
        </w:rPr>
      </w:pPr>
      <w:r w:rsidRPr="009F254D">
        <w:rPr>
          <w:noProof/>
          <w:sz w:val="22"/>
          <w:szCs w:val="22"/>
          <w:u w:val="single"/>
          <w:lang w:val="sr-Latn-ME"/>
        </w:rPr>
        <w:t>Pomoćna supstanca sa potvrđenim dejstvom:</w:t>
      </w:r>
    </w:p>
    <w:p w14:paraId="487EBC1D" w14:textId="77777777" w:rsidR="009464A9" w:rsidRPr="009F254D" w:rsidRDefault="009464A9">
      <w:pPr>
        <w:tabs>
          <w:tab w:val="left" w:pos="284"/>
        </w:tabs>
        <w:jc w:val="both"/>
        <w:rPr>
          <w:noProof/>
          <w:sz w:val="22"/>
          <w:szCs w:val="22"/>
          <w:lang w:val="sr-Latn-ME"/>
        </w:rPr>
      </w:pPr>
      <w:r w:rsidRPr="009F254D">
        <w:rPr>
          <w:noProof/>
          <w:sz w:val="22"/>
          <w:szCs w:val="22"/>
          <w:lang w:val="sr-Latn-ME"/>
        </w:rPr>
        <w:t>Xigduo sadrži manje od 1 mmol natrijuma (23 mg) po dozi, te se može reći da je u suštini bez natrijuma.</w:t>
      </w:r>
    </w:p>
    <w:p w14:paraId="410388A4" w14:textId="77777777" w:rsidR="009464A9" w:rsidRPr="009F254D" w:rsidRDefault="009464A9" w:rsidP="007202BC">
      <w:pPr>
        <w:jc w:val="both"/>
        <w:rPr>
          <w:sz w:val="22"/>
          <w:szCs w:val="22"/>
          <w:lang w:val="sr-Latn-ME"/>
        </w:rPr>
      </w:pPr>
    </w:p>
    <w:p w14:paraId="3F9DC8D4" w14:textId="77777777" w:rsidR="009464A9" w:rsidRPr="009F254D" w:rsidRDefault="009464A9" w:rsidP="007202BC">
      <w:pPr>
        <w:jc w:val="both"/>
        <w:rPr>
          <w:sz w:val="22"/>
          <w:szCs w:val="22"/>
          <w:lang w:val="sr-Latn-ME"/>
        </w:rPr>
      </w:pPr>
      <w:r w:rsidRPr="009F254D">
        <w:rPr>
          <w:sz w:val="22"/>
          <w:szCs w:val="22"/>
          <w:lang w:val="sr-Latn-ME"/>
        </w:rPr>
        <w:t>Za spisak svih ekscipijenasa, pogledati dio 6.1.</w:t>
      </w:r>
    </w:p>
    <w:p w14:paraId="10C797D8" w14:textId="77777777" w:rsidR="0003793F" w:rsidRPr="009F254D" w:rsidRDefault="0003793F" w:rsidP="00FA635D">
      <w:pPr>
        <w:rPr>
          <w:sz w:val="22"/>
          <w:szCs w:val="22"/>
          <w:lang w:val="sr-Latn-ME"/>
        </w:rPr>
      </w:pPr>
    </w:p>
    <w:p w14:paraId="5418F988" w14:textId="77777777" w:rsidR="00C37FD7" w:rsidRPr="009F254D" w:rsidRDefault="00C37FD7" w:rsidP="00FA635D">
      <w:pPr>
        <w:rPr>
          <w:sz w:val="22"/>
          <w:szCs w:val="22"/>
          <w:lang w:val="sr-Latn-ME"/>
        </w:rPr>
      </w:pPr>
    </w:p>
    <w:p w14:paraId="5D29BBDC" w14:textId="77777777" w:rsidR="00411B4B" w:rsidRPr="009F254D" w:rsidRDefault="00411B4B" w:rsidP="00FA635D">
      <w:pPr>
        <w:tabs>
          <w:tab w:val="left" w:pos="540"/>
          <w:tab w:val="left" w:pos="569"/>
        </w:tabs>
        <w:rPr>
          <w:b/>
          <w:bCs/>
          <w:sz w:val="22"/>
          <w:szCs w:val="22"/>
          <w:lang w:val="sr-Latn-ME"/>
        </w:rPr>
      </w:pPr>
      <w:r w:rsidRPr="009F254D">
        <w:rPr>
          <w:b/>
          <w:bCs/>
          <w:sz w:val="22"/>
          <w:szCs w:val="22"/>
          <w:lang w:val="sr-Latn-ME"/>
        </w:rPr>
        <w:t xml:space="preserve">3. </w:t>
      </w:r>
      <w:r w:rsidR="00F5167F" w:rsidRPr="009F254D">
        <w:rPr>
          <w:b/>
          <w:bCs/>
          <w:sz w:val="22"/>
          <w:szCs w:val="22"/>
          <w:lang w:val="sr-Latn-ME"/>
        </w:rPr>
        <w:tab/>
      </w:r>
      <w:r w:rsidRPr="009F254D">
        <w:rPr>
          <w:b/>
          <w:bCs/>
          <w:sz w:val="22"/>
          <w:szCs w:val="22"/>
          <w:lang w:val="sr-Latn-ME"/>
        </w:rPr>
        <w:t>FARMACEUTSKI OBLIK</w:t>
      </w:r>
      <w:r w:rsidR="009F2D23" w:rsidRPr="009F254D">
        <w:rPr>
          <w:b/>
          <w:bCs/>
          <w:sz w:val="22"/>
          <w:szCs w:val="22"/>
          <w:lang w:val="sr-Latn-ME"/>
        </w:rPr>
        <w:t xml:space="preserve"> </w:t>
      </w:r>
    </w:p>
    <w:p w14:paraId="2518BE84" w14:textId="77777777" w:rsidR="00411B4B" w:rsidRPr="009F254D" w:rsidRDefault="00411B4B" w:rsidP="00FA635D">
      <w:pPr>
        <w:rPr>
          <w:bCs/>
          <w:sz w:val="22"/>
          <w:szCs w:val="22"/>
          <w:lang w:val="sr-Latn-ME"/>
        </w:rPr>
      </w:pPr>
    </w:p>
    <w:p w14:paraId="2ABEB34E" w14:textId="77777777" w:rsidR="009464A9" w:rsidRPr="009F254D" w:rsidRDefault="009464A9" w:rsidP="007202BC">
      <w:pPr>
        <w:jc w:val="both"/>
        <w:rPr>
          <w:bCs/>
          <w:sz w:val="22"/>
          <w:szCs w:val="22"/>
          <w:lang w:val="sr-Latn-ME"/>
        </w:rPr>
      </w:pPr>
      <w:r w:rsidRPr="009F254D">
        <w:rPr>
          <w:bCs/>
          <w:sz w:val="22"/>
          <w:szCs w:val="22"/>
          <w:lang w:val="sr-Latn-ME"/>
        </w:rPr>
        <w:t>Film tableta.</w:t>
      </w:r>
    </w:p>
    <w:p w14:paraId="70F17AC5" w14:textId="77777777" w:rsidR="009464A9" w:rsidRPr="009F254D" w:rsidRDefault="009464A9">
      <w:pPr>
        <w:keepNext/>
        <w:keepLines/>
        <w:tabs>
          <w:tab w:val="left" w:pos="284"/>
        </w:tabs>
        <w:jc w:val="both"/>
        <w:rPr>
          <w:noProof/>
          <w:sz w:val="22"/>
          <w:szCs w:val="22"/>
          <w:u w:val="single"/>
          <w:lang w:val="sr-Latn-ME"/>
        </w:rPr>
      </w:pPr>
    </w:p>
    <w:p w14:paraId="7AFFC3AF" w14:textId="55AD10A3" w:rsidR="009464A9" w:rsidRPr="009F254D" w:rsidRDefault="009464A9">
      <w:pPr>
        <w:keepNext/>
        <w:keepLines/>
        <w:tabs>
          <w:tab w:val="left" w:pos="284"/>
        </w:tabs>
        <w:jc w:val="both"/>
        <w:rPr>
          <w:noProof/>
          <w:sz w:val="22"/>
          <w:szCs w:val="22"/>
          <w:u w:val="single"/>
          <w:lang w:val="sr-Latn-ME"/>
        </w:rPr>
      </w:pPr>
      <w:r w:rsidRPr="009F254D">
        <w:rPr>
          <w:noProof/>
          <w:sz w:val="22"/>
          <w:szCs w:val="22"/>
          <w:u w:val="single"/>
          <w:lang w:val="sr-Latn-ME"/>
        </w:rPr>
        <w:t>Xigduo</w:t>
      </w:r>
      <w:r w:rsidR="008917F7" w:rsidRPr="009F254D">
        <w:rPr>
          <w:noProof/>
          <w:sz w:val="22"/>
          <w:szCs w:val="22"/>
          <w:u w:val="single"/>
          <w:lang w:val="sr-Latn-ME"/>
        </w:rPr>
        <w:t>,</w:t>
      </w:r>
      <w:r w:rsidRPr="009F254D">
        <w:rPr>
          <w:noProof/>
          <w:sz w:val="22"/>
          <w:szCs w:val="22"/>
          <w:u w:val="single"/>
          <w:lang w:val="sr-Latn-ME"/>
        </w:rPr>
        <w:t xml:space="preserve"> 5 mg</w:t>
      </w:r>
      <w:r w:rsidR="00826CD5" w:rsidRPr="009F254D">
        <w:rPr>
          <w:noProof/>
          <w:sz w:val="22"/>
          <w:szCs w:val="22"/>
          <w:u w:val="single"/>
          <w:lang w:val="sr-Latn-ME"/>
        </w:rPr>
        <w:t xml:space="preserve"> + </w:t>
      </w:r>
      <w:r w:rsidRPr="009F254D">
        <w:rPr>
          <w:noProof/>
          <w:sz w:val="22"/>
          <w:szCs w:val="22"/>
          <w:u w:val="single"/>
          <w:lang w:val="sr-Latn-ME"/>
        </w:rPr>
        <w:t>850 mg, film tableta</w:t>
      </w:r>
    </w:p>
    <w:p w14:paraId="410314F9" w14:textId="77777777" w:rsidR="009464A9" w:rsidRPr="009F254D" w:rsidRDefault="009464A9">
      <w:pPr>
        <w:tabs>
          <w:tab w:val="left" w:pos="284"/>
        </w:tabs>
        <w:autoSpaceDE w:val="0"/>
        <w:autoSpaceDN w:val="0"/>
        <w:adjustRightInd w:val="0"/>
        <w:jc w:val="both"/>
        <w:rPr>
          <w:noProof/>
          <w:sz w:val="22"/>
          <w:szCs w:val="22"/>
          <w:lang w:val="sr-Latn-ME"/>
        </w:rPr>
      </w:pPr>
      <w:r w:rsidRPr="009F254D">
        <w:rPr>
          <w:noProof/>
          <w:sz w:val="22"/>
          <w:szCs w:val="22"/>
          <w:lang w:val="sr-Latn-ME"/>
        </w:rPr>
        <w:t>Smeđe, bikonveksne, ovalne, film tablete veličine 9,5 x 20 mm, sa utisnutom oznakom „5/850” na jednoj strani i „1067” na drugoj strani.</w:t>
      </w:r>
    </w:p>
    <w:p w14:paraId="2E486CCD" w14:textId="77777777" w:rsidR="009464A9" w:rsidRPr="009F254D" w:rsidRDefault="009464A9">
      <w:pPr>
        <w:tabs>
          <w:tab w:val="left" w:pos="284"/>
        </w:tabs>
        <w:autoSpaceDE w:val="0"/>
        <w:autoSpaceDN w:val="0"/>
        <w:adjustRightInd w:val="0"/>
        <w:jc w:val="both"/>
        <w:rPr>
          <w:noProof/>
          <w:sz w:val="22"/>
          <w:szCs w:val="22"/>
          <w:lang w:val="sr-Latn-ME"/>
        </w:rPr>
      </w:pPr>
    </w:p>
    <w:p w14:paraId="2B82ADDF" w14:textId="530A579D" w:rsidR="009464A9" w:rsidRPr="009F254D" w:rsidRDefault="009464A9">
      <w:pPr>
        <w:keepNext/>
        <w:keepLines/>
        <w:tabs>
          <w:tab w:val="left" w:pos="284"/>
        </w:tabs>
        <w:jc w:val="both"/>
        <w:rPr>
          <w:noProof/>
          <w:sz w:val="22"/>
          <w:szCs w:val="22"/>
          <w:u w:val="single"/>
          <w:lang w:val="sr-Latn-ME"/>
        </w:rPr>
      </w:pPr>
      <w:r w:rsidRPr="009F254D">
        <w:rPr>
          <w:noProof/>
          <w:sz w:val="22"/>
          <w:szCs w:val="22"/>
          <w:u w:val="single"/>
          <w:lang w:val="sr-Latn-ME"/>
        </w:rPr>
        <w:t>Xigduo</w:t>
      </w:r>
      <w:r w:rsidR="008917F7" w:rsidRPr="009F254D">
        <w:rPr>
          <w:noProof/>
          <w:sz w:val="22"/>
          <w:szCs w:val="22"/>
          <w:u w:val="single"/>
          <w:lang w:val="sr-Latn-ME"/>
        </w:rPr>
        <w:t>,</w:t>
      </w:r>
      <w:r w:rsidRPr="009F254D">
        <w:rPr>
          <w:noProof/>
          <w:sz w:val="22"/>
          <w:szCs w:val="22"/>
          <w:u w:val="single"/>
          <w:lang w:val="sr-Latn-ME"/>
        </w:rPr>
        <w:t xml:space="preserve"> 5 mg</w:t>
      </w:r>
      <w:r w:rsidR="00826CD5" w:rsidRPr="009F254D">
        <w:rPr>
          <w:noProof/>
          <w:sz w:val="22"/>
          <w:szCs w:val="22"/>
          <w:u w:val="single"/>
          <w:lang w:val="sr-Latn-ME"/>
        </w:rPr>
        <w:t xml:space="preserve"> + </w:t>
      </w:r>
      <w:r w:rsidRPr="009F254D">
        <w:rPr>
          <w:noProof/>
          <w:sz w:val="22"/>
          <w:szCs w:val="22"/>
          <w:u w:val="single"/>
          <w:lang w:val="sr-Latn-ME"/>
        </w:rPr>
        <w:t>1000 mg, film tableta</w:t>
      </w:r>
    </w:p>
    <w:p w14:paraId="4F54FCBB" w14:textId="647DEC49" w:rsidR="009464A9" w:rsidRPr="009F254D" w:rsidRDefault="00AC2050">
      <w:pPr>
        <w:tabs>
          <w:tab w:val="left" w:pos="284"/>
        </w:tabs>
        <w:autoSpaceDE w:val="0"/>
        <w:autoSpaceDN w:val="0"/>
        <w:adjustRightInd w:val="0"/>
        <w:jc w:val="both"/>
        <w:rPr>
          <w:noProof/>
          <w:sz w:val="22"/>
          <w:szCs w:val="22"/>
          <w:lang w:val="sr-Latn-ME"/>
        </w:rPr>
      </w:pPr>
      <w:r w:rsidRPr="009F254D">
        <w:rPr>
          <w:noProof/>
          <w:sz w:val="22"/>
          <w:szCs w:val="22"/>
          <w:lang w:val="sr-Latn-ME"/>
        </w:rPr>
        <w:t>Žute</w:t>
      </w:r>
      <w:r w:rsidR="009464A9" w:rsidRPr="009F254D">
        <w:rPr>
          <w:noProof/>
          <w:sz w:val="22"/>
          <w:szCs w:val="22"/>
          <w:lang w:val="sr-Latn-ME"/>
        </w:rPr>
        <w:t>, bikonveksne, ovalne, film tablete veličine 10,5 x 21,5 mm, sa utisnutom oznakom „5/1000” na jednoj strani i „1069” na drugoj strani.</w:t>
      </w:r>
    </w:p>
    <w:p w14:paraId="41518E64" w14:textId="7E8ACA56" w:rsidR="00EC2532" w:rsidRDefault="00EC2532" w:rsidP="00FA635D">
      <w:pPr>
        <w:rPr>
          <w:bCs/>
          <w:sz w:val="22"/>
          <w:szCs w:val="22"/>
          <w:lang w:val="sr-Latn-ME"/>
        </w:rPr>
      </w:pPr>
    </w:p>
    <w:p w14:paraId="2D813B7B" w14:textId="77777777" w:rsidR="0020748E" w:rsidRPr="009F254D" w:rsidRDefault="0020748E" w:rsidP="00FA635D">
      <w:pPr>
        <w:rPr>
          <w:bCs/>
          <w:sz w:val="22"/>
          <w:szCs w:val="22"/>
          <w:lang w:val="sr-Latn-ME"/>
        </w:rPr>
      </w:pPr>
    </w:p>
    <w:p w14:paraId="70D07442" w14:textId="77777777" w:rsidR="00411B4B" w:rsidRPr="009F254D" w:rsidRDefault="00411B4B" w:rsidP="00FA635D">
      <w:pPr>
        <w:tabs>
          <w:tab w:val="left" w:pos="540"/>
          <w:tab w:val="left" w:pos="569"/>
        </w:tabs>
        <w:rPr>
          <w:b/>
          <w:bCs/>
          <w:sz w:val="22"/>
          <w:szCs w:val="22"/>
          <w:lang w:val="sr-Latn-ME"/>
        </w:rPr>
      </w:pPr>
      <w:r w:rsidRPr="009F254D">
        <w:rPr>
          <w:b/>
          <w:bCs/>
          <w:sz w:val="22"/>
          <w:szCs w:val="22"/>
          <w:lang w:val="sr-Latn-ME"/>
        </w:rPr>
        <w:t xml:space="preserve">4. </w:t>
      </w:r>
      <w:r w:rsidR="00480FB1" w:rsidRPr="009F254D">
        <w:rPr>
          <w:b/>
          <w:bCs/>
          <w:sz w:val="22"/>
          <w:szCs w:val="22"/>
          <w:lang w:val="sr-Latn-ME"/>
        </w:rPr>
        <w:tab/>
      </w:r>
      <w:r w:rsidRPr="009F254D">
        <w:rPr>
          <w:b/>
          <w:bCs/>
          <w:sz w:val="22"/>
          <w:szCs w:val="22"/>
          <w:lang w:val="sr-Latn-ME"/>
        </w:rPr>
        <w:t>KLINIČKI PODACI</w:t>
      </w:r>
    </w:p>
    <w:p w14:paraId="0808F154" w14:textId="77777777" w:rsidR="00CD6F02" w:rsidRPr="009F254D" w:rsidRDefault="00CD6F02" w:rsidP="00FA635D">
      <w:pPr>
        <w:tabs>
          <w:tab w:val="left" w:pos="540"/>
          <w:tab w:val="left" w:pos="569"/>
        </w:tabs>
        <w:rPr>
          <w:bCs/>
          <w:sz w:val="22"/>
          <w:szCs w:val="22"/>
          <w:lang w:val="sr-Latn-ME"/>
        </w:rPr>
      </w:pPr>
    </w:p>
    <w:p w14:paraId="5A1EE5FA" w14:textId="17A2FFBD" w:rsidR="00411B4B" w:rsidRPr="009F254D" w:rsidRDefault="00411B4B" w:rsidP="00FA635D">
      <w:pPr>
        <w:tabs>
          <w:tab w:val="left" w:pos="540"/>
          <w:tab w:val="left" w:pos="569"/>
        </w:tabs>
        <w:rPr>
          <w:b/>
          <w:bCs/>
          <w:sz w:val="22"/>
          <w:szCs w:val="22"/>
          <w:lang w:val="sr-Latn-ME"/>
        </w:rPr>
      </w:pPr>
      <w:r w:rsidRPr="009F254D">
        <w:rPr>
          <w:b/>
          <w:bCs/>
          <w:sz w:val="22"/>
          <w:szCs w:val="22"/>
          <w:lang w:val="sr-Latn-ME"/>
        </w:rPr>
        <w:t xml:space="preserve">4.1. </w:t>
      </w:r>
      <w:r w:rsidR="00480FB1" w:rsidRPr="009F254D">
        <w:rPr>
          <w:b/>
          <w:bCs/>
          <w:sz w:val="22"/>
          <w:szCs w:val="22"/>
          <w:lang w:val="sr-Latn-ME"/>
        </w:rPr>
        <w:tab/>
      </w:r>
      <w:r w:rsidRPr="009F254D">
        <w:rPr>
          <w:b/>
          <w:bCs/>
          <w:sz w:val="22"/>
          <w:szCs w:val="22"/>
          <w:lang w:val="sr-Latn-ME"/>
        </w:rPr>
        <w:t>Terapijske indikacije</w:t>
      </w:r>
    </w:p>
    <w:p w14:paraId="6339A95C" w14:textId="77777777" w:rsidR="009464A9" w:rsidRPr="009F254D" w:rsidRDefault="009464A9" w:rsidP="00FA635D">
      <w:pPr>
        <w:tabs>
          <w:tab w:val="left" w:pos="540"/>
          <w:tab w:val="left" w:pos="569"/>
        </w:tabs>
        <w:rPr>
          <w:b/>
          <w:bCs/>
          <w:sz w:val="22"/>
          <w:szCs w:val="22"/>
          <w:lang w:val="sr-Latn-ME"/>
        </w:rPr>
      </w:pPr>
    </w:p>
    <w:p w14:paraId="075FDD19" w14:textId="240D960A" w:rsidR="009464A9" w:rsidRPr="009F254D" w:rsidRDefault="009464A9" w:rsidP="00FA635D">
      <w:pPr>
        <w:tabs>
          <w:tab w:val="left" w:pos="284"/>
        </w:tabs>
        <w:jc w:val="both"/>
        <w:rPr>
          <w:noProof/>
          <w:sz w:val="22"/>
          <w:szCs w:val="22"/>
          <w:lang w:val="sr-Latn-ME"/>
        </w:rPr>
      </w:pPr>
      <w:r w:rsidRPr="009F254D">
        <w:rPr>
          <w:noProof/>
          <w:sz w:val="22"/>
          <w:szCs w:val="22"/>
          <w:lang w:val="sr-Latn-ME"/>
        </w:rPr>
        <w:t>Lijek Xigduo je indikovan kod odraslih pacijenata za terapiju dijabetes melitusa tipa 2 kao dopuna pravilnoj ishrani i vježbama:</w:t>
      </w:r>
    </w:p>
    <w:p w14:paraId="03B1C5FA" w14:textId="77777777" w:rsidR="009464A9" w:rsidRPr="009F254D" w:rsidRDefault="009464A9" w:rsidP="00FA635D">
      <w:pPr>
        <w:numPr>
          <w:ilvl w:val="0"/>
          <w:numId w:val="12"/>
        </w:numPr>
        <w:tabs>
          <w:tab w:val="left" w:pos="284"/>
          <w:tab w:val="left" w:pos="567"/>
        </w:tabs>
        <w:ind w:left="567" w:hanging="207"/>
        <w:contextualSpacing/>
        <w:jc w:val="both"/>
        <w:rPr>
          <w:noProof/>
          <w:sz w:val="22"/>
          <w:szCs w:val="22"/>
          <w:lang w:val="sr-Latn-ME"/>
        </w:rPr>
      </w:pPr>
      <w:r w:rsidRPr="009F254D">
        <w:rPr>
          <w:noProof/>
          <w:sz w:val="22"/>
          <w:szCs w:val="22"/>
          <w:lang w:val="sr-Latn-ME"/>
        </w:rPr>
        <w:t xml:space="preserve">kod pacijenata kod kojih glikemija nije dovoljno dobro regulisana najvećom podnošljivom dozom samog metformina </w:t>
      </w:r>
    </w:p>
    <w:p w14:paraId="5604BCA5" w14:textId="77777777" w:rsidR="009464A9" w:rsidRPr="009F254D" w:rsidRDefault="009464A9" w:rsidP="00FA635D">
      <w:pPr>
        <w:numPr>
          <w:ilvl w:val="0"/>
          <w:numId w:val="12"/>
        </w:numPr>
        <w:tabs>
          <w:tab w:val="left" w:pos="284"/>
          <w:tab w:val="left" w:pos="567"/>
        </w:tabs>
        <w:ind w:left="567" w:hanging="207"/>
        <w:contextualSpacing/>
        <w:jc w:val="both"/>
        <w:rPr>
          <w:noProof/>
          <w:sz w:val="22"/>
          <w:szCs w:val="22"/>
          <w:lang w:val="sr-Latn-ME"/>
        </w:rPr>
      </w:pPr>
      <w:r w:rsidRPr="009F254D">
        <w:rPr>
          <w:noProof/>
          <w:sz w:val="22"/>
          <w:szCs w:val="22"/>
          <w:lang w:val="sr-Latn-ME"/>
        </w:rPr>
        <w:t xml:space="preserve">u kombinaciji sa drugim ljekovima za liječenje dijabetesa </w:t>
      </w:r>
      <w:r w:rsidRPr="009F254D">
        <w:rPr>
          <w:sz w:val="22"/>
          <w:szCs w:val="22"/>
          <w:lang w:val="sr-Latn-ME"/>
        </w:rPr>
        <w:t>kod pacijenata kod kojih glikemija nije dovoljno dobro regulisana metforminom i ovim ljekovima</w:t>
      </w:r>
    </w:p>
    <w:p w14:paraId="0EC5E1F5" w14:textId="77777777" w:rsidR="009464A9" w:rsidRPr="009F254D" w:rsidRDefault="009464A9" w:rsidP="00FA635D">
      <w:pPr>
        <w:numPr>
          <w:ilvl w:val="0"/>
          <w:numId w:val="12"/>
        </w:numPr>
        <w:tabs>
          <w:tab w:val="left" w:pos="284"/>
          <w:tab w:val="left" w:pos="567"/>
        </w:tabs>
        <w:ind w:left="567" w:hanging="207"/>
        <w:contextualSpacing/>
        <w:jc w:val="both"/>
        <w:rPr>
          <w:noProof/>
          <w:sz w:val="22"/>
          <w:szCs w:val="22"/>
          <w:lang w:val="sr-Latn-ME"/>
        </w:rPr>
      </w:pPr>
      <w:r w:rsidRPr="009F254D">
        <w:rPr>
          <w:noProof/>
          <w:sz w:val="22"/>
          <w:szCs w:val="22"/>
          <w:lang w:val="sr-Latn-ME"/>
        </w:rPr>
        <w:t>kod pacijenata koji se već liječe kombinacijom dapagliflozina i metformina u vidu zasebnih tableta.</w:t>
      </w:r>
    </w:p>
    <w:p w14:paraId="587A2994" w14:textId="77777777" w:rsidR="009464A9" w:rsidRPr="009F254D" w:rsidRDefault="009464A9" w:rsidP="00FA635D">
      <w:pPr>
        <w:tabs>
          <w:tab w:val="left" w:pos="284"/>
        </w:tabs>
        <w:jc w:val="both"/>
        <w:rPr>
          <w:noProof/>
          <w:sz w:val="22"/>
          <w:szCs w:val="22"/>
          <w:lang w:val="sr-Latn-ME"/>
        </w:rPr>
      </w:pPr>
    </w:p>
    <w:p w14:paraId="5503A1B7" w14:textId="504D5621" w:rsidR="009464A9" w:rsidRPr="009F254D" w:rsidRDefault="009464A9" w:rsidP="00FA635D">
      <w:pPr>
        <w:tabs>
          <w:tab w:val="left" w:pos="284"/>
        </w:tabs>
        <w:jc w:val="both"/>
        <w:rPr>
          <w:noProof/>
          <w:sz w:val="22"/>
          <w:szCs w:val="22"/>
          <w:lang w:val="sr-Latn-ME"/>
        </w:rPr>
      </w:pPr>
      <w:r w:rsidRPr="009F254D">
        <w:rPr>
          <w:noProof/>
          <w:sz w:val="22"/>
          <w:szCs w:val="22"/>
          <w:lang w:val="sr-Latn-ME"/>
        </w:rPr>
        <w:t xml:space="preserve">Za rezultate studije </w:t>
      </w:r>
      <w:r w:rsidR="005F1D3C" w:rsidRPr="009F254D">
        <w:rPr>
          <w:noProof/>
          <w:sz w:val="22"/>
          <w:szCs w:val="22"/>
          <w:lang w:val="sr-Latn-ME"/>
        </w:rPr>
        <w:t>koji se odnose na</w:t>
      </w:r>
      <w:r w:rsidRPr="009F254D">
        <w:rPr>
          <w:noProof/>
          <w:sz w:val="22"/>
          <w:szCs w:val="22"/>
          <w:lang w:val="sr-Latn-ME"/>
        </w:rPr>
        <w:t xml:space="preserve"> kombinacije terapija, dejstva na kontrolu glikemije i kardiovaskularne događaje, kao i proučavane populacije, pogledati </w:t>
      </w:r>
      <w:r w:rsidR="005F1D3C" w:rsidRPr="009F254D">
        <w:rPr>
          <w:noProof/>
          <w:sz w:val="22"/>
          <w:szCs w:val="22"/>
          <w:lang w:val="sr-Latn-ME"/>
        </w:rPr>
        <w:t xml:space="preserve">djelove </w:t>
      </w:r>
      <w:r w:rsidRPr="009F254D">
        <w:rPr>
          <w:noProof/>
          <w:sz w:val="22"/>
          <w:szCs w:val="22"/>
          <w:lang w:val="sr-Latn-ME"/>
        </w:rPr>
        <w:t>4.4, 4.5. i 5.1.</w:t>
      </w:r>
    </w:p>
    <w:p w14:paraId="6E698614" w14:textId="31533688" w:rsidR="00411B4B" w:rsidRDefault="00411B4B" w:rsidP="00FA635D">
      <w:pPr>
        <w:tabs>
          <w:tab w:val="left" w:pos="540"/>
          <w:tab w:val="left" w:pos="569"/>
        </w:tabs>
        <w:rPr>
          <w:bCs/>
          <w:sz w:val="22"/>
          <w:szCs w:val="22"/>
          <w:lang w:val="sr-Latn-ME"/>
        </w:rPr>
      </w:pPr>
    </w:p>
    <w:p w14:paraId="605FC3D0" w14:textId="77777777" w:rsidR="0020748E" w:rsidRPr="009F254D" w:rsidRDefault="0020748E" w:rsidP="00FA635D">
      <w:pPr>
        <w:tabs>
          <w:tab w:val="left" w:pos="540"/>
          <w:tab w:val="left" w:pos="569"/>
        </w:tabs>
        <w:rPr>
          <w:bCs/>
          <w:sz w:val="22"/>
          <w:szCs w:val="22"/>
          <w:lang w:val="sr-Latn-ME"/>
        </w:rPr>
      </w:pPr>
    </w:p>
    <w:p w14:paraId="61499A6F" w14:textId="77777777" w:rsidR="00411B4B" w:rsidRPr="009F254D" w:rsidRDefault="00411B4B" w:rsidP="00FA635D">
      <w:pPr>
        <w:tabs>
          <w:tab w:val="left" w:pos="540"/>
          <w:tab w:val="left" w:pos="569"/>
        </w:tabs>
        <w:rPr>
          <w:b/>
          <w:bCs/>
          <w:sz w:val="22"/>
          <w:szCs w:val="22"/>
          <w:lang w:val="sr-Latn-ME"/>
        </w:rPr>
      </w:pPr>
      <w:r w:rsidRPr="009F254D">
        <w:rPr>
          <w:b/>
          <w:bCs/>
          <w:sz w:val="22"/>
          <w:szCs w:val="22"/>
          <w:lang w:val="sr-Latn-ME"/>
        </w:rPr>
        <w:lastRenderedPageBreak/>
        <w:t xml:space="preserve">4.2. </w:t>
      </w:r>
      <w:r w:rsidR="00480FB1" w:rsidRPr="009F254D">
        <w:rPr>
          <w:b/>
          <w:bCs/>
          <w:sz w:val="22"/>
          <w:szCs w:val="22"/>
          <w:lang w:val="sr-Latn-ME"/>
        </w:rPr>
        <w:tab/>
      </w:r>
      <w:r w:rsidRPr="009F254D">
        <w:rPr>
          <w:b/>
          <w:bCs/>
          <w:sz w:val="22"/>
          <w:szCs w:val="22"/>
          <w:lang w:val="sr-Latn-ME"/>
        </w:rPr>
        <w:t>Doziranje i način primjene</w:t>
      </w:r>
    </w:p>
    <w:p w14:paraId="5FB68730" w14:textId="77777777" w:rsidR="0072020E" w:rsidRPr="009F254D" w:rsidRDefault="0072020E" w:rsidP="00FA635D">
      <w:pPr>
        <w:tabs>
          <w:tab w:val="left" w:pos="540"/>
          <w:tab w:val="left" w:pos="569"/>
        </w:tabs>
        <w:rPr>
          <w:bCs/>
          <w:sz w:val="22"/>
          <w:szCs w:val="22"/>
          <w:lang w:val="sr-Latn-ME"/>
        </w:rPr>
      </w:pPr>
    </w:p>
    <w:p w14:paraId="786D27BB" w14:textId="7BA70B7D" w:rsidR="00452E9D" w:rsidRPr="009F254D" w:rsidRDefault="00452E9D" w:rsidP="00FA635D">
      <w:pPr>
        <w:tabs>
          <w:tab w:val="left" w:pos="540"/>
          <w:tab w:val="left" w:pos="569"/>
        </w:tabs>
        <w:rPr>
          <w:bCs/>
          <w:sz w:val="22"/>
          <w:szCs w:val="22"/>
          <w:u w:val="single"/>
          <w:lang w:val="sr-Latn-ME"/>
        </w:rPr>
      </w:pPr>
      <w:r w:rsidRPr="009F254D">
        <w:rPr>
          <w:bCs/>
          <w:sz w:val="22"/>
          <w:szCs w:val="22"/>
          <w:u w:val="single"/>
          <w:lang w:val="sr-Latn-ME"/>
        </w:rPr>
        <w:t>Doziranje</w:t>
      </w:r>
    </w:p>
    <w:p w14:paraId="7B6D5B18" w14:textId="77777777" w:rsidR="009464A9" w:rsidRPr="009F254D" w:rsidRDefault="009464A9" w:rsidP="00FA635D">
      <w:pPr>
        <w:keepNext/>
        <w:keepLines/>
        <w:tabs>
          <w:tab w:val="left" w:pos="284"/>
        </w:tabs>
        <w:jc w:val="both"/>
        <w:rPr>
          <w:i/>
          <w:iCs/>
          <w:sz w:val="22"/>
          <w:szCs w:val="22"/>
          <w:u w:val="single"/>
          <w:lang w:val="sr-Latn-ME"/>
        </w:rPr>
      </w:pPr>
    </w:p>
    <w:p w14:paraId="4DB9447C" w14:textId="55E63433" w:rsidR="009464A9" w:rsidRPr="009F254D" w:rsidRDefault="009464A9" w:rsidP="00FA635D">
      <w:pPr>
        <w:keepNext/>
        <w:keepLines/>
        <w:tabs>
          <w:tab w:val="left" w:pos="284"/>
        </w:tabs>
        <w:jc w:val="both"/>
        <w:rPr>
          <w:i/>
          <w:sz w:val="22"/>
          <w:szCs w:val="22"/>
          <w:u w:val="single"/>
          <w:lang w:val="sr-Latn-ME"/>
        </w:rPr>
      </w:pPr>
      <w:r w:rsidRPr="009F254D">
        <w:rPr>
          <w:i/>
          <w:iCs/>
          <w:sz w:val="22"/>
          <w:szCs w:val="22"/>
          <w:u w:val="single"/>
          <w:lang w:val="sr-Latn-ME"/>
        </w:rPr>
        <w:t>Odrasli s normalnom funkcijom bubrega (brzina glomerularne filtracije [GFR] ≥ 90 ml/min)</w:t>
      </w:r>
    </w:p>
    <w:p w14:paraId="57852AD4" w14:textId="77777777" w:rsidR="009464A9" w:rsidRPr="009F254D" w:rsidRDefault="009464A9" w:rsidP="00FA635D">
      <w:pPr>
        <w:keepNext/>
        <w:keepLines/>
        <w:tabs>
          <w:tab w:val="left" w:pos="284"/>
        </w:tabs>
        <w:jc w:val="both"/>
        <w:rPr>
          <w:i/>
          <w:sz w:val="22"/>
          <w:szCs w:val="22"/>
          <w:u w:val="single"/>
          <w:lang w:val="sr-Latn-ME"/>
        </w:rPr>
      </w:pPr>
    </w:p>
    <w:p w14:paraId="2AC8E26E" w14:textId="41EE1238" w:rsidR="009464A9" w:rsidRPr="009F254D" w:rsidRDefault="009464A9" w:rsidP="00FA635D">
      <w:pPr>
        <w:keepNext/>
        <w:keepLines/>
        <w:tabs>
          <w:tab w:val="left" w:pos="284"/>
        </w:tabs>
        <w:jc w:val="both"/>
        <w:rPr>
          <w:sz w:val="22"/>
          <w:szCs w:val="22"/>
          <w:lang w:val="sr-Latn-ME"/>
        </w:rPr>
      </w:pPr>
      <w:r w:rsidRPr="009F254D">
        <w:rPr>
          <w:noProof/>
          <w:sz w:val="22"/>
          <w:szCs w:val="22"/>
          <w:lang w:val="sr-Latn-ME"/>
        </w:rPr>
        <w:t xml:space="preserve">Preporučena doza je jedna tableta dvaput dnevno. Svaka tableta sadrži fiksnu dozu dapagliflozina i metformina (pogledati </w:t>
      </w:r>
      <w:r w:rsidR="005F1D3C" w:rsidRPr="009F254D">
        <w:rPr>
          <w:noProof/>
          <w:sz w:val="22"/>
          <w:szCs w:val="22"/>
          <w:lang w:val="sr-Latn-ME"/>
        </w:rPr>
        <w:t xml:space="preserve">dio </w:t>
      </w:r>
      <w:r w:rsidRPr="009F254D">
        <w:rPr>
          <w:noProof/>
          <w:sz w:val="22"/>
          <w:szCs w:val="22"/>
          <w:lang w:val="sr-Latn-ME"/>
        </w:rPr>
        <w:t>2).</w:t>
      </w:r>
    </w:p>
    <w:p w14:paraId="77A36083" w14:textId="77777777" w:rsidR="009464A9" w:rsidRPr="009F254D" w:rsidRDefault="009464A9" w:rsidP="00FA635D">
      <w:pPr>
        <w:tabs>
          <w:tab w:val="left" w:pos="284"/>
        </w:tabs>
        <w:jc w:val="both"/>
        <w:rPr>
          <w:sz w:val="22"/>
          <w:szCs w:val="22"/>
          <w:lang w:val="sr-Latn-ME"/>
        </w:rPr>
      </w:pPr>
    </w:p>
    <w:p w14:paraId="51BA7787" w14:textId="77777777" w:rsidR="009464A9" w:rsidRPr="009F254D" w:rsidRDefault="009464A9" w:rsidP="00FA635D">
      <w:pPr>
        <w:keepNext/>
        <w:keepLines/>
        <w:tabs>
          <w:tab w:val="left" w:pos="284"/>
        </w:tabs>
        <w:autoSpaceDE w:val="0"/>
        <w:autoSpaceDN w:val="0"/>
        <w:adjustRightInd w:val="0"/>
        <w:jc w:val="both"/>
        <w:rPr>
          <w:i/>
          <w:iCs/>
          <w:noProof/>
          <w:sz w:val="22"/>
          <w:szCs w:val="22"/>
          <w:lang w:val="sr-Latn-ME"/>
        </w:rPr>
      </w:pPr>
      <w:r w:rsidRPr="009F254D">
        <w:rPr>
          <w:i/>
          <w:iCs/>
          <w:noProof/>
          <w:sz w:val="22"/>
          <w:szCs w:val="22"/>
          <w:lang w:val="sr-Latn-ME"/>
        </w:rPr>
        <w:t>Za pacijente kod kojih glikemija nije dovoljno dobro regulisana monoterapijom metforminom ili metforminom u kombinaciji sa drugim ljekovima za liječenje dijabetesa</w:t>
      </w:r>
    </w:p>
    <w:p w14:paraId="79884C48" w14:textId="653DCD33" w:rsidR="009464A9" w:rsidRPr="009F254D" w:rsidRDefault="009464A9" w:rsidP="00FA635D">
      <w:pPr>
        <w:tabs>
          <w:tab w:val="left" w:pos="284"/>
        </w:tabs>
        <w:jc w:val="both"/>
        <w:rPr>
          <w:noProof/>
          <w:sz w:val="22"/>
          <w:szCs w:val="22"/>
          <w:lang w:val="sr-Latn-ME"/>
        </w:rPr>
      </w:pPr>
      <w:r w:rsidRPr="009F254D">
        <w:rPr>
          <w:noProof/>
          <w:sz w:val="22"/>
          <w:szCs w:val="22"/>
          <w:lang w:val="sr-Latn-ME"/>
        </w:rPr>
        <w:t xml:space="preserve">Pacijenti kod kojih glikemija nije dovoljno dobro regulisana monoterapijom metforminom ili metforminom u kombinaciji sa drugim ljekovima za liječenje dijabetesa treba da primaju ukupnu dnevnu dozu lijeka Xigduo ekvivalentnu dozi dapagliflozina od 10 mg, pored ukupne dnevne doze metformina ili najsličnije terapijski prikladne doze koju pacijent već uzima. Kada se Xigduo koristi u kombinaciji sa insulinom ili sekretagogom insulina, kao što je sulfonilurea, može se razmotriti niža doza insulina ili sulfoniluree kako bi se smanjio rizik od hipoglikemije (pogledati </w:t>
      </w:r>
      <w:r w:rsidR="005F1D3C" w:rsidRPr="009F254D">
        <w:rPr>
          <w:noProof/>
          <w:sz w:val="22"/>
          <w:szCs w:val="22"/>
          <w:lang w:val="sr-Latn-ME"/>
        </w:rPr>
        <w:t>djelove </w:t>
      </w:r>
      <w:r w:rsidRPr="009F254D">
        <w:rPr>
          <w:noProof/>
          <w:sz w:val="22"/>
          <w:szCs w:val="22"/>
          <w:lang w:val="sr-Latn-ME"/>
        </w:rPr>
        <w:t>4.5. i 4.8).</w:t>
      </w:r>
    </w:p>
    <w:p w14:paraId="7CE368FA" w14:textId="77777777" w:rsidR="009464A9" w:rsidRPr="009F254D" w:rsidRDefault="009464A9" w:rsidP="00FA635D">
      <w:pPr>
        <w:tabs>
          <w:tab w:val="left" w:pos="284"/>
        </w:tabs>
        <w:autoSpaceDE w:val="0"/>
        <w:autoSpaceDN w:val="0"/>
        <w:adjustRightInd w:val="0"/>
        <w:jc w:val="both"/>
        <w:rPr>
          <w:noProof/>
          <w:sz w:val="22"/>
          <w:szCs w:val="22"/>
          <w:lang w:val="sr-Latn-ME"/>
        </w:rPr>
      </w:pPr>
    </w:p>
    <w:p w14:paraId="3B3F44B8" w14:textId="77777777" w:rsidR="009464A9" w:rsidRPr="009F254D" w:rsidRDefault="009464A9" w:rsidP="00FA635D">
      <w:pPr>
        <w:keepNext/>
        <w:keepLines/>
        <w:tabs>
          <w:tab w:val="left" w:pos="284"/>
        </w:tabs>
        <w:autoSpaceDE w:val="0"/>
        <w:autoSpaceDN w:val="0"/>
        <w:adjustRightInd w:val="0"/>
        <w:jc w:val="both"/>
        <w:rPr>
          <w:noProof/>
          <w:sz w:val="22"/>
          <w:szCs w:val="22"/>
          <w:lang w:val="sr-Latn-ME"/>
        </w:rPr>
      </w:pPr>
      <w:r w:rsidRPr="009F254D">
        <w:rPr>
          <w:i/>
          <w:iCs/>
          <w:noProof/>
          <w:sz w:val="22"/>
          <w:szCs w:val="22"/>
          <w:lang w:val="sr-Latn-ME"/>
        </w:rPr>
        <w:t>Za pacijente koji su do sada uzimali zasebne tablete dapagliflozina i metformina</w:t>
      </w:r>
    </w:p>
    <w:p w14:paraId="053C111A" w14:textId="77777777" w:rsidR="009464A9" w:rsidRPr="009F254D" w:rsidRDefault="009464A9" w:rsidP="00FA635D">
      <w:pPr>
        <w:tabs>
          <w:tab w:val="left" w:pos="284"/>
        </w:tabs>
        <w:jc w:val="both"/>
        <w:rPr>
          <w:noProof/>
          <w:sz w:val="22"/>
          <w:szCs w:val="22"/>
          <w:lang w:val="sr-Latn-ME"/>
        </w:rPr>
      </w:pPr>
      <w:r w:rsidRPr="009F254D">
        <w:rPr>
          <w:noProof/>
          <w:sz w:val="22"/>
          <w:szCs w:val="22"/>
          <w:lang w:val="sr-Latn-ME"/>
        </w:rPr>
        <w:t>Pacijenti koji prelaze sa zasebnih tableta dapagliflozina (ukupna dnevna doza od 10 mg) i metformina na lijek Xigduo treba da primaju istu dnevnu dozu dapagliflozina i metformina koju već uzimaju ili najsličniju terapijski prikladnu dozu metformina.</w:t>
      </w:r>
    </w:p>
    <w:p w14:paraId="6C68C625" w14:textId="77777777" w:rsidR="009464A9" w:rsidRPr="009F254D" w:rsidRDefault="009464A9" w:rsidP="00FA635D">
      <w:pPr>
        <w:tabs>
          <w:tab w:val="left" w:pos="284"/>
        </w:tabs>
        <w:jc w:val="both"/>
        <w:rPr>
          <w:noProof/>
          <w:sz w:val="22"/>
          <w:szCs w:val="22"/>
          <w:lang w:val="sr-Latn-ME"/>
        </w:rPr>
      </w:pPr>
    </w:p>
    <w:p w14:paraId="0A866006" w14:textId="77777777" w:rsidR="009464A9" w:rsidRPr="009F254D" w:rsidRDefault="009464A9" w:rsidP="00FA635D">
      <w:pPr>
        <w:keepNext/>
        <w:keepLines/>
        <w:tabs>
          <w:tab w:val="left" w:pos="284"/>
        </w:tabs>
        <w:jc w:val="both"/>
        <w:rPr>
          <w:bCs/>
          <w:i/>
          <w:iCs/>
          <w:sz w:val="22"/>
          <w:szCs w:val="22"/>
          <w:u w:val="single"/>
          <w:lang w:val="sr-Latn-ME"/>
        </w:rPr>
      </w:pPr>
      <w:r w:rsidRPr="009F254D">
        <w:rPr>
          <w:i/>
          <w:iCs/>
          <w:sz w:val="22"/>
          <w:szCs w:val="22"/>
          <w:u w:val="single"/>
          <w:lang w:val="sr-Latn-ME"/>
        </w:rPr>
        <w:t>Specijalne populacije</w:t>
      </w:r>
    </w:p>
    <w:p w14:paraId="601E6CEA" w14:textId="77777777" w:rsidR="009464A9" w:rsidRPr="009F254D" w:rsidRDefault="009464A9" w:rsidP="00FA635D">
      <w:pPr>
        <w:keepNext/>
        <w:keepLines/>
        <w:tabs>
          <w:tab w:val="left" w:pos="284"/>
        </w:tabs>
        <w:jc w:val="both"/>
        <w:rPr>
          <w:bCs/>
          <w:i/>
          <w:sz w:val="22"/>
          <w:szCs w:val="22"/>
          <w:lang w:val="sr-Latn-ME"/>
        </w:rPr>
      </w:pPr>
      <w:r w:rsidRPr="009F254D">
        <w:rPr>
          <w:i/>
          <w:iCs/>
          <w:sz w:val="22"/>
          <w:szCs w:val="22"/>
          <w:lang w:val="sr-Latn-ME"/>
        </w:rPr>
        <w:t>Insuficijencija bubrega</w:t>
      </w:r>
    </w:p>
    <w:p w14:paraId="0A4549B1" w14:textId="77777777" w:rsidR="009464A9" w:rsidRPr="009F254D" w:rsidDel="00233C41" w:rsidRDefault="009464A9" w:rsidP="00FA635D">
      <w:pPr>
        <w:tabs>
          <w:tab w:val="left" w:pos="284"/>
        </w:tabs>
        <w:jc w:val="both"/>
        <w:rPr>
          <w:color w:val="333333"/>
          <w:sz w:val="22"/>
          <w:szCs w:val="22"/>
          <w:lang w:val="sr-Latn-ME"/>
        </w:rPr>
      </w:pPr>
      <w:r w:rsidRPr="009F254D">
        <w:rPr>
          <w:sz w:val="22"/>
          <w:szCs w:val="22"/>
          <w:lang w:val="sr-Latn-ME"/>
        </w:rPr>
        <w:t>GFR treba odrediti prije početka liječenja ljekovima koji sadrže metformin i najmanje jednom godišnje nakon toga. Kod pacijenata sa povećanim rizikom od dalje progresije oštećenja funkcije bubrega i kod starijih osoba, funkciju bubrega treba procjenjivati češće, npr. svakih 3–6 mjeseci.</w:t>
      </w:r>
    </w:p>
    <w:p w14:paraId="1F28C85F" w14:textId="77777777" w:rsidR="009464A9" w:rsidRPr="009F254D" w:rsidRDefault="009464A9" w:rsidP="00FA635D">
      <w:pPr>
        <w:tabs>
          <w:tab w:val="left" w:pos="284"/>
        </w:tabs>
        <w:jc w:val="both"/>
        <w:rPr>
          <w:bCs/>
          <w:sz w:val="22"/>
          <w:szCs w:val="22"/>
          <w:lang w:val="sr-Latn-ME"/>
        </w:rPr>
      </w:pPr>
    </w:p>
    <w:p w14:paraId="7A9B9968" w14:textId="12A02374" w:rsidR="009464A9" w:rsidRPr="009F254D" w:rsidRDefault="009464A9" w:rsidP="00FA635D">
      <w:pPr>
        <w:tabs>
          <w:tab w:val="left" w:pos="284"/>
        </w:tabs>
        <w:jc w:val="both"/>
        <w:rPr>
          <w:sz w:val="22"/>
          <w:szCs w:val="22"/>
          <w:lang w:val="sr-Latn-ME"/>
        </w:rPr>
      </w:pPr>
      <w:r w:rsidRPr="009F254D">
        <w:rPr>
          <w:sz w:val="22"/>
          <w:szCs w:val="22"/>
          <w:lang w:val="sr-Latn-ME"/>
        </w:rPr>
        <w:t xml:space="preserve">Maksimalnu dnevnu dozu metformina treba podeliti u 2–3 dnevne doze. Prije početka razmatranja uvođenja metformina kod pacijenata s vrijednostima GFR manjim od 60 ml/min, treba provjeriti faktore koji mogu povećati rizik od laktatne acidoze (pogledati </w:t>
      </w:r>
      <w:r w:rsidR="009A4D77" w:rsidRPr="009F254D">
        <w:rPr>
          <w:sz w:val="22"/>
          <w:szCs w:val="22"/>
          <w:lang w:val="sr-Latn-ME"/>
        </w:rPr>
        <w:t xml:space="preserve">dio </w:t>
      </w:r>
      <w:r w:rsidRPr="009F254D">
        <w:rPr>
          <w:sz w:val="22"/>
          <w:szCs w:val="22"/>
          <w:lang w:val="sr-Latn-ME"/>
        </w:rPr>
        <w:t>4.4).</w:t>
      </w:r>
    </w:p>
    <w:p w14:paraId="3E593420" w14:textId="77777777" w:rsidR="009464A9" w:rsidRPr="009F254D" w:rsidRDefault="009464A9" w:rsidP="00FA635D">
      <w:pPr>
        <w:tabs>
          <w:tab w:val="left" w:pos="284"/>
        </w:tabs>
        <w:jc w:val="both"/>
        <w:rPr>
          <w:sz w:val="22"/>
          <w:szCs w:val="22"/>
          <w:lang w:val="sr-Latn-ME"/>
        </w:rPr>
      </w:pPr>
    </w:p>
    <w:p w14:paraId="7F318783" w14:textId="1CC09EDB" w:rsidR="009464A9" w:rsidRPr="009F254D" w:rsidRDefault="009464A9" w:rsidP="00FA635D">
      <w:pPr>
        <w:tabs>
          <w:tab w:val="left" w:pos="284"/>
        </w:tabs>
        <w:jc w:val="both"/>
        <w:rPr>
          <w:sz w:val="22"/>
          <w:szCs w:val="22"/>
          <w:lang w:val="sr-Latn-ME"/>
        </w:rPr>
      </w:pPr>
      <w:r w:rsidRPr="009F254D">
        <w:rPr>
          <w:sz w:val="22"/>
          <w:szCs w:val="22"/>
          <w:lang w:val="sr-Latn-ME"/>
        </w:rPr>
        <w:t>Ako nije dostupna odgovarajuća jačina lijeka Xigduo, potrebno je zasebno prim</w:t>
      </w:r>
      <w:r w:rsidR="009A4D77" w:rsidRPr="009F254D">
        <w:rPr>
          <w:sz w:val="22"/>
          <w:szCs w:val="22"/>
          <w:lang w:val="sr-Latn-ME"/>
        </w:rPr>
        <w:t>i</w:t>
      </w:r>
      <w:r w:rsidRPr="009F254D">
        <w:rPr>
          <w:sz w:val="22"/>
          <w:szCs w:val="22"/>
          <w:lang w:val="sr-Latn-ME"/>
        </w:rPr>
        <w:t>jeniti pojedinačne komponente um</w:t>
      </w:r>
      <w:r w:rsidR="009A4D77" w:rsidRPr="009F254D">
        <w:rPr>
          <w:sz w:val="22"/>
          <w:szCs w:val="22"/>
          <w:lang w:val="sr-Latn-ME"/>
        </w:rPr>
        <w:t>j</w:t>
      </w:r>
      <w:r w:rsidRPr="009F254D">
        <w:rPr>
          <w:sz w:val="22"/>
          <w:szCs w:val="22"/>
          <w:lang w:val="sr-Latn-ME"/>
        </w:rPr>
        <w:t>esto fiksne kombinacije.</w:t>
      </w:r>
    </w:p>
    <w:p w14:paraId="55659D26" w14:textId="364A97F1" w:rsidR="009464A9" w:rsidRPr="009F254D" w:rsidRDefault="009464A9" w:rsidP="00FA635D">
      <w:pPr>
        <w:tabs>
          <w:tab w:val="left" w:pos="284"/>
        </w:tabs>
        <w:jc w:val="both"/>
        <w:rPr>
          <w:sz w:val="22"/>
          <w:szCs w:val="22"/>
          <w:lang w:val="sr-Latn-ME"/>
        </w:rPr>
      </w:pPr>
    </w:p>
    <w:p w14:paraId="5270B824" w14:textId="354C9CC6" w:rsidR="009464A9" w:rsidRDefault="009464A9" w:rsidP="00FA635D">
      <w:pPr>
        <w:keepNext/>
        <w:tabs>
          <w:tab w:val="left" w:pos="284"/>
        </w:tabs>
        <w:jc w:val="both"/>
        <w:rPr>
          <w:b/>
          <w:bCs/>
          <w:sz w:val="22"/>
          <w:szCs w:val="22"/>
          <w:lang w:val="sr-Latn-ME"/>
        </w:rPr>
      </w:pPr>
      <w:r w:rsidRPr="009F254D">
        <w:rPr>
          <w:b/>
          <w:bCs/>
          <w:sz w:val="22"/>
          <w:szCs w:val="22"/>
          <w:lang w:val="sr-Latn-ME"/>
        </w:rPr>
        <w:t>Tabela 1.</w:t>
      </w:r>
      <w:r w:rsidRPr="009F254D">
        <w:rPr>
          <w:b/>
          <w:bCs/>
          <w:sz w:val="22"/>
          <w:szCs w:val="22"/>
          <w:lang w:val="sr-Latn-ME"/>
        </w:rPr>
        <w:tab/>
        <w:t>Doziranje kod pacijenata sa insuficijencijom bubrega</w:t>
      </w:r>
    </w:p>
    <w:p w14:paraId="5727307E" w14:textId="77777777" w:rsidR="0020748E" w:rsidRPr="009F254D" w:rsidRDefault="0020748E" w:rsidP="00FA635D">
      <w:pPr>
        <w:keepNext/>
        <w:tabs>
          <w:tab w:val="left" w:pos="284"/>
        </w:tabs>
        <w:jc w:val="both"/>
        <w:rPr>
          <w:b/>
          <w:bCs/>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3734"/>
        <w:gridCol w:w="3671"/>
      </w:tblGrid>
      <w:tr w:rsidR="009464A9" w:rsidRPr="009F254D" w14:paraId="417B457D" w14:textId="77777777" w:rsidTr="005F1D3C">
        <w:tc>
          <w:tcPr>
            <w:tcW w:w="914" w:type="pct"/>
            <w:shd w:val="clear" w:color="auto" w:fill="auto"/>
            <w:vAlign w:val="bottom"/>
          </w:tcPr>
          <w:p w14:paraId="4F21D5F7" w14:textId="77777777" w:rsidR="009464A9" w:rsidRPr="009F254D" w:rsidRDefault="009464A9" w:rsidP="00FA635D">
            <w:pPr>
              <w:tabs>
                <w:tab w:val="left" w:pos="284"/>
              </w:tabs>
              <w:jc w:val="center"/>
              <w:rPr>
                <w:rFonts w:eastAsia="SimSun"/>
                <w:color w:val="333333"/>
                <w:sz w:val="22"/>
                <w:szCs w:val="22"/>
                <w:lang w:val="sr-Latn-ME"/>
              </w:rPr>
            </w:pPr>
            <w:r w:rsidRPr="009F254D">
              <w:rPr>
                <w:rFonts w:eastAsia="SimSun"/>
                <w:color w:val="333333"/>
                <w:sz w:val="22"/>
                <w:szCs w:val="22"/>
                <w:lang w:val="sr-Latn-ME"/>
              </w:rPr>
              <w:t>GFR ml/min</w:t>
            </w:r>
          </w:p>
        </w:tc>
        <w:tc>
          <w:tcPr>
            <w:tcW w:w="2060" w:type="pct"/>
            <w:vAlign w:val="bottom"/>
          </w:tcPr>
          <w:p w14:paraId="601A3919" w14:textId="77777777" w:rsidR="009464A9" w:rsidRPr="009F254D" w:rsidRDefault="009464A9" w:rsidP="00FA635D">
            <w:pPr>
              <w:tabs>
                <w:tab w:val="left" w:pos="284"/>
              </w:tabs>
              <w:jc w:val="center"/>
              <w:rPr>
                <w:rFonts w:eastAsia="SimSun"/>
                <w:color w:val="333333"/>
                <w:sz w:val="22"/>
                <w:szCs w:val="22"/>
                <w:lang w:val="sr-Latn-ME"/>
              </w:rPr>
            </w:pPr>
            <w:r w:rsidRPr="009F254D">
              <w:rPr>
                <w:rFonts w:eastAsia="SimSun"/>
                <w:color w:val="333333"/>
                <w:sz w:val="22"/>
                <w:szCs w:val="22"/>
                <w:lang w:val="sr-Latn-ME"/>
              </w:rPr>
              <w:t>Metformin</w:t>
            </w:r>
          </w:p>
        </w:tc>
        <w:tc>
          <w:tcPr>
            <w:tcW w:w="2025" w:type="pct"/>
            <w:shd w:val="clear" w:color="auto" w:fill="auto"/>
            <w:vAlign w:val="bottom"/>
          </w:tcPr>
          <w:p w14:paraId="690D6226" w14:textId="77777777" w:rsidR="009464A9" w:rsidRPr="009F254D" w:rsidRDefault="009464A9" w:rsidP="00FA635D">
            <w:pPr>
              <w:tabs>
                <w:tab w:val="left" w:pos="284"/>
              </w:tabs>
              <w:jc w:val="center"/>
              <w:rPr>
                <w:rFonts w:eastAsia="SimSun"/>
                <w:color w:val="333333"/>
                <w:sz w:val="22"/>
                <w:szCs w:val="22"/>
                <w:lang w:val="sr-Latn-ME"/>
              </w:rPr>
            </w:pPr>
            <w:r w:rsidRPr="009F254D">
              <w:rPr>
                <w:rFonts w:eastAsia="SimSun"/>
                <w:color w:val="333333"/>
                <w:sz w:val="22"/>
                <w:szCs w:val="22"/>
                <w:lang w:val="sr-Latn-ME"/>
              </w:rPr>
              <w:t>Dapagliflozin</w:t>
            </w:r>
          </w:p>
        </w:tc>
      </w:tr>
      <w:tr w:rsidR="009464A9" w:rsidRPr="00E43FA0" w14:paraId="7F9BC700" w14:textId="77777777" w:rsidTr="005F1D3C">
        <w:tc>
          <w:tcPr>
            <w:tcW w:w="914" w:type="pct"/>
            <w:shd w:val="clear" w:color="auto" w:fill="auto"/>
            <w:vAlign w:val="center"/>
          </w:tcPr>
          <w:p w14:paraId="3125A5A7" w14:textId="77777777" w:rsidR="009464A9" w:rsidRPr="009F254D" w:rsidRDefault="009464A9" w:rsidP="00FA635D">
            <w:pPr>
              <w:tabs>
                <w:tab w:val="left" w:pos="284"/>
              </w:tabs>
              <w:jc w:val="center"/>
              <w:rPr>
                <w:rFonts w:eastAsia="SimSun"/>
                <w:sz w:val="22"/>
                <w:szCs w:val="22"/>
                <w:lang w:val="sr-Latn-ME"/>
              </w:rPr>
            </w:pPr>
            <w:r w:rsidRPr="009F254D">
              <w:rPr>
                <w:rFonts w:eastAsia="SimSun"/>
                <w:sz w:val="22"/>
                <w:szCs w:val="22"/>
                <w:lang w:val="sr-Latn-ME"/>
              </w:rPr>
              <w:t>60–89</w:t>
            </w:r>
          </w:p>
          <w:p w14:paraId="0C50B7F6" w14:textId="77777777" w:rsidR="009464A9" w:rsidRPr="009F254D" w:rsidRDefault="009464A9" w:rsidP="00FA635D">
            <w:pPr>
              <w:tabs>
                <w:tab w:val="left" w:pos="284"/>
              </w:tabs>
              <w:jc w:val="center"/>
              <w:rPr>
                <w:rFonts w:eastAsia="SimSun"/>
                <w:sz w:val="22"/>
                <w:szCs w:val="22"/>
                <w:lang w:val="sr-Latn-ME"/>
              </w:rPr>
            </w:pPr>
          </w:p>
        </w:tc>
        <w:tc>
          <w:tcPr>
            <w:tcW w:w="2060" w:type="pct"/>
          </w:tcPr>
          <w:p w14:paraId="0FAE0600" w14:textId="77777777" w:rsidR="009464A9" w:rsidRPr="009F254D" w:rsidRDefault="009464A9" w:rsidP="00FA635D">
            <w:pPr>
              <w:tabs>
                <w:tab w:val="left" w:pos="284"/>
              </w:tabs>
              <w:jc w:val="both"/>
              <w:rPr>
                <w:rFonts w:eastAsia="SimSun"/>
                <w:sz w:val="22"/>
                <w:szCs w:val="22"/>
                <w:lang w:val="sr-Latn-ME"/>
              </w:rPr>
            </w:pPr>
            <w:r w:rsidRPr="009F254D">
              <w:rPr>
                <w:rFonts w:eastAsia="SimSun"/>
                <w:sz w:val="22"/>
                <w:szCs w:val="22"/>
                <w:lang w:val="sr-Latn-ME"/>
              </w:rPr>
              <w:t>Maksimalna dnevna doza je 3000 mg.</w:t>
            </w:r>
          </w:p>
          <w:p w14:paraId="2228F93B" w14:textId="77777777" w:rsidR="009464A9" w:rsidRPr="009F254D" w:rsidRDefault="009464A9" w:rsidP="00FA635D">
            <w:pPr>
              <w:tabs>
                <w:tab w:val="left" w:pos="284"/>
              </w:tabs>
              <w:jc w:val="both"/>
              <w:rPr>
                <w:rFonts w:eastAsia="SimSun"/>
                <w:sz w:val="22"/>
                <w:szCs w:val="22"/>
                <w:lang w:val="sr-Latn-ME"/>
              </w:rPr>
            </w:pPr>
            <w:r w:rsidRPr="009F254D">
              <w:rPr>
                <w:rFonts w:eastAsia="SimSun"/>
                <w:sz w:val="22"/>
                <w:szCs w:val="22"/>
                <w:lang w:val="sr-Latn-ME"/>
              </w:rPr>
              <w:t>Smanjivanje doze može se razmotriti ukoliko dođe do slabljenja funkcije bubrega.</w:t>
            </w:r>
          </w:p>
        </w:tc>
        <w:tc>
          <w:tcPr>
            <w:tcW w:w="2025" w:type="pct"/>
            <w:shd w:val="clear" w:color="auto" w:fill="auto"/>
          </w:tcPr>
          <w:p w14:paraId="18EE0E00" w14:textId="6D7C62D5" w:rsidR="009464A9" w:rsidRPr="009F254D" w:rsidRDefault="009464A9" w:rsidP="00FA635D">
            <w:pPr>
              <w:tabs>
                <w:tab w:val="left" w:pos="284"/>
              </w:tabs>
              <w:jc w:val="both"/>
              <w:rPr>
                <w:rFonts w:eastAsia="SimSun"/>
                <w:sz w:val="22"/>
                <w:szCs w:val="22"/>
                <w:lang w:val="sr-Latn-ME"/>
              </w:rPr>
            </w:pPr>
            <w:r w:rsidRPr="009F254D">
              <w:rPr>
                <w:rFonts w:eastAsia="SimSun"/>
                <w:sz w:val="22"/>
                <w:szCs w:val="22"/>
                <w:lang w:val="sr-Latn-ME"/>
              </w:rPr>
              <w:t>Maksimalna dnevna doza je 10 mg.</w:t>
            </w:r>
          </w:p>
        </w:tc>
      </w:tr>
      <w:tr w:rsidR="009464A9" w:rsidRPr="009F254D" w14:paraId="474B129A" w14:textId="77777777" w:rsidTr="005F1D3C">
        <w:tc>
          <w:tcPr>
            <w:tcW w:w="914" w:type="pct"/>
            <w:shd w:val="clear" w:color="auto" w:fill="auto"/>
            <w:vAlign w:val="center"/>
          </w:tcPr>
          <w:p w14:paraId="162E4343" w14:textId="77777777" w:rsidR="009464A9" w:rsidRPr="009F254D" w:rsidRDefault="009464A9" w:rsidP="00FA635D">
            <w:pPr>
              <w:tabs>
                <w:tab w:val="left" w:pos="284"/>
              </w:tabs>
              <w:jc w:val="center"/>
              <w:rPr>
                <w:rFonts w:eastAsia="SimSun"/>
                <w:sz w:val="22"/>
                <w:szCs w:val="22"/>
                <w:lang w:val="sr-Latn-ME"/>
              </w:rPr>
            </w:pPr>
            <w:r w:rsidRPr="009F254D">
              <w:rPr>
                <w:rFonts w:eastAsia="SimSun"/>
                <w:sz w:val="22"/>
                <w:szCs w:val="22"/>
                <w:lang w:val="sr-Latn-ME"/>
              </w:rPr>
              <w:t>45–59</w:t>
            </w:r>
          </w:p>
          <w:p w14:paraId="07D7295A" w14:textId="77777777" w:rsidR="009464A9" w:rsidRPr="009F254D" w:rsidRDefault="009464A9" w:rsidP="00FA635D">
            <w:pPr>
              <w:tabs>
                <w:tab w:val="left" w:pos="284"/>
              </w:tabs>
              <w:jc w:val="center"/>
              <w:rPr>
                <w:bCs/>
                <w:sz w:val="22"/>
                <w:szCs w:val="22"/>
                <w:lang w:val="sr-Latn-ME"/>
              </w:rPr>
            </w:pPr>
          </w:p>
        </w:tc>
        <w:tc>
          <w:tcPr>
            <w:tcW w:w="2060" w:type="pct"/>
          </w:tcPr>
          <w:p w14:paraId="645A0429" w14:textId="77777777" w:rsidR="009464A9" w:rsidRPr="009F254D" w:rsidRDefault="009464A9" w:rsidP="00FA635D">
            <w:pPr>
              <w:tabs>
                <w:tab w:val="left" w:pos="284"/>
              </w:tabs>
              <w:jc w:val="both"/>
              <w:rPr>
                <w:sz w:val="22"/>
                <w:szCs w:val="22"/>
                <w:lang w:val="sr-Latn-ME"/>
              </w:rPr>
            </w:pPr>
            <w:r w:rsidRPr="009F254D">
              <w:rPr>
                <w:rFonts w:eastAsia="SimSun"/>
                <w:sz w:val="22"/>
                <w:szCs w:val="22"/>
                <w:lang w:val="sr-Latn-ME"/>
              </w:rPr>
              <w:t>Maksimalna dnevna doza je 2000 mg.</w:t>
            </w:r>
          </w:p>
          <w:p w14:paraId="6C5E8803" w14:textId="77777777" w:rsidR="009464A9" w:rsidRPr="009F254D" w:rsidRDefault="009464A9" w:rsidP="00FA635D">
            <w:pPr>
              <w:tabs>
                <w:tab w:val="left" w:pos="284"/>
              </w:tabs>
              <w:jc w:val="both"/>
              <w:rPr>
                <w:rFonts w:eastAsia="SimSun"/>
                <w:sz w:val="22"/>
                <w:szCs w:val="22"/>
                <w:lang w:val="sr-Latn-ME"/>
              </w:rPr>
            </w:pPr>
            <w:r w:rsidRPr="009F254D">
              <w:rPr>
                <w:rFonts w:eastAsia="SimSun"/>
                <w:sz w:val="22"/>
                <w:szCs w:val="22"/>
                <w:lang w:val="sr-Latn-ME"/>
              </w:rPr>
              <w:t>Početna doza iznosi najviše polovinu maksimalne doze.</w:t>
            </w:r>
          </w:p>
        </w:tc>
        <w:tc>
          <w:tcPr>
            <w:tcW w:w="2025" w:type="pct"/>
            <w:tcBorders>
              <w:bottom w:val="single" w:sz="2" w:space="0" w:color="auto"/>
            </w:tcBorders>
            <w:shd w:val="clear" w:color="auto" w:fill="auto"/>
          </w:tcPr>
          <w:p w14:paraId="4312E795" w14:textId="09FE290F" w:rsidR="009464A9" w:rsidRPr="009F254D" w:rsidRDefault="009464A9" w:rsidP="00FA635D">
            <w:pPr>
              <w:tabs>
                <w:tab w:val="left" w:pos="284"/>
              </w:tabs>
              <w:jc w:val="both"/>
              <w:rPr>
                <w:rFonts w:eastAsia="SimSun"/>
                <w:sz w:val="22"/>
                <w:szCs w:val="22"/>
                <w:lang w:val="sr-Latn-ME"/>
              </w:rPr>
            </w:pPr>
            <w:r w:rsidRPr="009F254D">
              <w:rPr>
                <w:rFonts w:eastAsia="SimSun"/>
                <w:sz w:val="22"/>
                <w:szCs w:val="22"/>
                <w:lang w:val="sr-Latn-ME"/>
              </w:rPr>
              <w:t>Maksimalna a dnevna doza je 10 mg.</w:t>
            </w:r>
          </w:p>
        </w:tc>
      </w:tr>
      <w:tr w:rsidR="009464A9" w:rsidRPr="00E43FA0" w14:paraId="26842806" w14:textId="77777777" w:rsidTr="005F1D3C">
        <w:trPr>
          <w:trHeight w:val="47"/>
        </w:trPr>
        <w:tc>
          <w:tcPr>
            <w:tcW w:w="914" w:type="pct"/>
            <w:shd w:val="clear" w:color="auto" w:fill="auto"/>
            <w:vAlign w:val="center"/>
          </w:tcPr>
          <w:p w14:paraId="26156A39" w14:textId="77777777" w:rsidR="009464A9" w:rsidRPr="009F254D" w:rsidRDefault="009464A9" w:rsidP="00FA635D">
            <w:pPr>
              <w:tabs>
                <w:tab w:val="left" w:pos="284"/>
              </w:tabs>
              <w:jc w:val="center"/>
              <w:rPr>
                <w:rFonts w:eastAsia="SimSun"/>
                <w:sz w:val="22"/>
                <w:szCs w:val="22"/>
                <w:lang w:val="sr-Latn-ME"/>
              </w:rPr>
            </w:pPr>
            <w:r w:rsidRPr="009F254D">
              <w:rPr>
                <w:rFonts w:eastAsia="SimSun"/>
                <w:sz w:val="22"/>
                <w:szCs w:val="22"/>
                <w:lang w:val="sr-Latn-ME"/>
              </w:rPr>
              <w:t>30–44</w:t>
            </w:r>
          </w:p>
          <w:p w14:paraId="1E98E31A" w14:textId="77777777" w:rsidR="009464A9" w:rsidRPr="009F254D" w:rsidRDefault="009464A9" w:rsidP="00FA635D">
            <w:pPr>
              <w:tabs>
                <w:tab w:val="left" w:pos="284"/>
              </w:tabs>
              <w:jc w:val="center"/>
              <w:rPr>
                <w:bCs/>
                <w:sz w:val="22"/>
                <w:szCs w:val="22"/>
                <w:lang w:val="sr-Latn-ME"/>
              </w:rPr>
            </w:pPr>
          </w:p>
        </w:tc>
        <w:tc>
          <w:tcPr>
            <w:tcW w:w="2060" w:type="pct"/>
          </w:tcPr>
          <w:p w14:paraId="6A4D207A" w14:textId="77777777" w:rsidR="009464A9" w:rsidRPr="009F254D" w:rsidRDefault="009464A9" w:rsidP="00FA635D">
            <w:pPr>
              <w:tabs>
                <w:tab w:val="left" w:pos="284"/>
              </w:tabs>
              <w:jc w:val="both"/>
              <w:rPr>
                <w:sz w:val="22"/>
                <w:szCs w:val="22"/>
                <w:lang w:val="sr-Latn-ME"/>
              </w:rPr>
            </w:pPr>
            <w:r w:rsidRPr="009F254D">
              <w:rPr>
                <w:rFonts w:eastAsia="SimSun"/>
                <w:sz w:val="22"/>
                <w:szCs w:val="22"/>
                <w:lang w:val="sr-Latn-ME"/>
              </w:rPr>
              <w:t>Maksimalna dnevna doza je 1000 mg.</w:t>
            </w:r>
          </w:p>
          <w:p w14:paraId="2BE3E5D4" w14:textId="77777777" w:rsidR="009464A9" w:rsidRPr="009F254D" w:rsidRDefault="009464A9" w:rsidP="00FA635D">
            <w:pPr>
              <w:tabs>
                <w:tab w:val="left" w:pos="284"/>
              </w:tabs>
              <w:jc w:val="both"/>
              <w:rPr>
                <w:rFonts w:eastAsia="SimSun"/>
                <w:sz w:val="22"/>
                <w:szCs w:val="22"/>
                <w:lang w:val="sr-Latn-ME"/>
              </w:rPr>
            </w:pPr>
            <w:r w:rsidRPr="009F254D">
              <w:rPr>
                <w:rFonts w:eastAsia="SimSun"/>
                <w:sz w:val="22"/>
                <w:szCs w:val="22"/>
                <w:lang w:val="sr-Latn-ME"/>
              </w:rPr>
              <w:t>Početna doza iznosi najviše polovinu maksimalne doze.</w:t>
            </w:r>
          </w:p>
        </w:tc>
        <w:tc>
          <w:tcPr>
            <w:tcW w:w="2025" w:type="pct"/>
            <w:tcBorders>
              <w:top w:val="single" w:sz="2" w:space="0" w:color="auto"/>
              <w:bottom w:val="single" w:sz="2" w:space="0" w:color="auto"/>
            </w:tcBorders>
            <w:shd w:val="clear" w:color="auto" w:fill="auto"/>
          </w:tcPr>
          <w:p w14:paraId="235C112F" w14:textId="77777777" w:rsidR="00442673" w:rsidRDefault="00442673" w:rsidP="00FA635D">
            <w:pPr>
              <w:rPr>
                <w:rFonts w:eastAsia="SimSun"/>
                <w:szCs w:val="22"/>
                <w:lang w:val="sr-Latn-RS"/>
              </w:rPr>
            </w:pPr>
            <w:r w:rsidRPr="001E3C63">
              <w:rPr>
                <w:rFonts w:eastAsia="SimSun"/>
                <w:szCs w:val="22"/>
                <w:lang w:val="sr-Latn-RS"/>
              </w:rPr>
              <w:t>Maksimalna dnevna doza je 10 mg.</w:t>
            </w:r>
          </w:p>
          <w:p w14:paraId="60F4B301" w14:textId="58B86D7B" w:rsidR="009464A9" w:rsidRPr="00F34C1F" w:rsidRDefault="00442673" w:rsidP="00F34C1F">
            <w:pPr>
              <w:rPr>
                <w:rFonts w:eastAsia="SimSun"/>
                <w:szCs w:val="22"/>
                <w:lang w:val="sr-Latn-RS"/>
              </w:rPr>
            </w:pPr>
            <w:r>
              <w:rPr>
                <w:rFonts w:eastAsia="SimSun"/>
                <w:szCs w:val="22"/>
                <w:lang w:val="sr-Latn-RS"/>
              </w:rPr>
              <w:t>Efikasnost dapagliflozina u snižavanju glukoze je smanjena.</w:t>
            </w:r>
          </w:p>
        </w:tc>
      </w:tr>
      <w:tr w:rsidR="009464A9" w:rsidRPr="00E43FA0" w14:paraId="68B497C5" w14:textId="77777777" w:rsidTr="005F1D3C">
        <w:trPr>
          <w:trHeight w:val="47"/>
        </w:trPr>
        <w:tc>
          <w:tcPr>
            <w:tcW w:w="914" w:type="pct"/>
            <w:shd w:val="clear" w:color="auto" w:fill="auto"/>
            <w:vAlign w:val="center"/>
          </w:tcPr>
          <w:p w14:paraId="37002EEB" w14:textId="11AAA2EF" w:rsidR="009464A9" w:rsidRPr="009F254D" w:rsidRDefault="009464A9" w:rsidP="00FA635D">
            <w:pPr>
              <w:tabs>
                <w:tab w:val="left" w:pos="284"/>
              </w:tabs>
              <w:jc w:val="center"/>
              <w:rPr>
                <w:rFonts w:eastAsia="SimSun"/>
                <w:sz w:val="22"/>
                <w:szCs w:val="22"/>
                <w:lang w:val="sr-Latn-ME"/>
              </w:rPr>
            </w:pPr>
            <w:r w:rsidRPr="009F254D">
              <w:rPr>
                <w:rFonts w:eastAsia="SimSun"/>
                <w:sz w:val="22"/>
                <w:szCs w:val="22"/>
                <w:lang w:val="sr-Latn-ME"/>
              </w:rPr>
              <w:t>&lt;</w:t>
            </w:r>
            <w:r w:rsidR="009A4D77" w:rsidRPr="009F254D">
              <w:rPr>
                <w:rFonts w:eastAsia="SimSun"/>
                <w:sz w:val="22"/>
                <w:szCs w:val="22"/>
                <w:lang w:val="sr-Latn-ME"/>
              </w:rPr>
              <w:t xml:space="preserve"> </w:t>
            </w:r>
            <w:r w:rsidRPr="009F254D">
              <w:rPr>
                <w:rFonts w:eastAsia="SimSun"/>
                <w:sz w:val="22"/>
                <w:szCs w:val="22"/>
                <w:lang w:val="sr-Latn-ME"/>
              </w:rPr>
              <w:t>30</w:t>
            </w:r>
          </w:p>
        </w:tc>
        <w:tc>
          <w:tcPr>
            <w:tcW w:w="2060" w:type="pct"/>
            <w:vAlign w:val="center"/>
          </w:tcPr>
          <w:p w14:paraId="1D14C4D1" w14:textId="77777777" w:rsidR="009464A9" w:rsidRPr="009F254D" w:rsidRDefault="009464A9" w:rsidP="00FA635D">
            <w:pPr>
              <w:tabs>
                <w:tab w:val="left" w:pos="284"/>
              </w:tabs>
              <w:jc w:val="both"/>
              <w:rPr>
                <w:rFonts w:eastAsia="SimSun"/>
                <w:sz w:val="22"/>
                <w:szCs w:val="22"/>
                <w:lang w:val="sr-Latn-ME"/>
              </w:rPr>
            </w:pPr>
            <w:r w:rsidRPr="009F254D">
              <w:rPr>
                <w:rFonts w:eastAsia="SimSun"/>
                <w:sz w:val="22"/>
                <w:szCs w:val="22"/>
                <w:lang w:val="sr-Latn-ME"/>
              </w:rPr>
              <w:t>Metformin je kontraindikovan.</w:t>
            </w:r>
          </w:p>
        </w:tc>
        <w:tc>
          <w:tcPr>
            <w:tcW w:w="2025" w:type="pct"/>
            <w:vAlign w:val="center"/>
          </w:tcPr>
          <w:p w14:paraId="1247EA41" w14:textId="77777777" w:rsidR="00442673" w:rsidRDefault="00442673" w:rsidP="00FA635D">
            <w:pPr>
              <w:rPr>
                <w:rFonts w:eastAsia="SimSun"/>
                <w:szCs w:val="22"/>
                <w:lang w:val="sr-Latn-RS"/>
              </w:rPr>
            </w:pPr>
            <w:r w:rsidRPr="00B328D5">
              <w:rPr>
                <w:rFonts w:eastAsia="SimSun"/>
                <w:szCs w:val="22"/>
                <w:lang w:val="sr-Latn-RS"/>
              </w:rPr>
              <w:t>Maksimalna dnevna doza je 10 mg.</w:t>
            </w:r>
          </w:p>
          <w:p w14:paraId="6BF27A81" w14:textId="77777777" w:rsidR="00442673" w:rsidRPr="00B328D5" w:rsidRDefault="00442673" w:rsidP="00FA635D">
            <w:pPr>
              <w:rPr>
                <w:rFonts w:eastAsia="SimSun"/>
                <w:szCs w:val="22"/>
                <w:lang w:val="sr-Latn-RS"/>
              </w:rPr>
            </w:pPr>
            <w:r w:rsidRPr="00B328D5">
              <w:rPr>
                <w:rFonts w:eastAsia="SimSun"/>
                <w:szCs w:val="22"/>
                <w:lang w:val="sr-Latn-RS"/>
              </w:rPr>
              <w:t xml:space="preserve">Zbog ograničenog iskustva, </w:t>
            </w:r>
            <w:r>
              <w:rPr>
                <w:rFonts w:eastAsia="SimSun"/>
                <w:szCs w:val="22"/>
                <w:lang w:val="sr-Latn-RS"/>
              </w:rPr>
              <w:t>ne</w:t>
            </w:r>
          </w:p>
          <w:p w14:paraId="50529E39" w14:textId="2B96C9C4" w:rsidR="00442673" w:rsidRPr="00B328D5" w:rsidRDefault="00442673" w:rsidP="00FA635D">
            <w:pPr>
              <w:rPr>
                <w:rFonts w:eastAsia="SimSun"/>
                <w:szCs w:val="22"/>
                <w:lang w:val="sr-Latn-RS"/>
              </w:rPr>
            </w:pPr>
            <w:r w:rsidRPr="00B328D5">
              <w:rPr>
                <w:rFonts w:eastAsia="SimSun"/>
                <w:szCs w:val="22"/>
                <w:lang w:val="sr-Latn-RS"/>
              </w:rPr>
              <w:t>preporučuje se početak l</w:t>
            </w:r>
            <w:r>
              <w:rPr>
                <w:rFonts w:eastAsia="SimSun"/>
                <w:szCs w:val="22"/>
                <w:lang w:val="sr-Latn-RS"/>
              </w:rPr>
              <w:t>ij</w:t>
            </w:r>
            <w:r w:rsidRPr="00B328D5">
              <w:rPr>
                <w:rFonts w:eastAsia="SimSun"/>
                <w:szCs w:val="22"/>
                <w:lang w:val="sr-Latn-RS"/>
              </w:rPr>
              <w:t>ečenja</w:t>
            </w:r>
          </w:p>
          <w:p w14:paraId="124E56FF" w14:textId="107E4DBE" w:rsidR="00442673" w:rsidRPr="00B328D5" w:rsidRDefault="00442673" w:rsidP="00FA635D">
            <w:pPr>
              <w:rPr>
                <w:rFonts w:eastAsia="SimSun"/>
                <w:szCs w:val="22"/>
                <w:lang w:val="sr-Latn-RS"/>
              </w:rPr>
            </w:pPr>
            <w:r w:rsidRPr="00B328D5">
              <w:rPr>
                <w:rFonts w:eastAsia="SimSun"/>
                <w:szCs w:val="22"/>
                <w:lang w:val="sr-Latn-RS"/>
              </w:rPr>
              <w:t>sa dapagliflozinom kod pacijenata sa</w:t>
            </w:r>
            <w:r>
              <w:rPr>
                <w:rFonts w:eastAsia="SimSun"/>
                <w:szCs w:val="22"/>
                <w:lang w:val="sr-Latn-RS"/>
              </w:rPr>
              <w:t xml:space="preserve">  </w:t>
            </w:r>
            <w:r w:rsidRPr="00B328D5">
              <w:rPr>
                <w:rFonts w:eastAsia="SimSun"/>
                <w:szCs w:val="22"/>
                <w:lang w:val="sr-Latn-RS"/>
              </w:rPr>
              <w:t>GFR &lt; 25 m</w:t>
            </w:r>
            <w:r>
              <w:rPr>
                <w:rFonts w:eastAsia="SimSun"/>
                <w:szCs w:val="22"/>
                <w:lang w:val="sr-Latn-RS"/>
              </w:rPr>
              <w:t>l</w:t>
            </w:r>
            <w:r w:rsidRPr="00B328D5">
              <w:rPr>
                <w:rFonts w:eastAsia="SimSun"/>
                <w:szCs w:val="22"/>
                <w:lang w:val="sr-Latn-RS"/>
              </w:rPr>
              <w:t>/min.</w:t>
            </w:r>
          </w:p>
          <w:p w14:paraId="40CF386D" w14:textId="3A801ABA" w:rsidR="009464A9" w:rsidRPr="009F254D" w:rsidRDefault="00442673" w:rsidP="00FA635D">
            <w:pPr>
              <w:tabs>
                <w:tab w:val="left" w:pos="284"/>
              </w:tabs>
              <w:jc w:val="both"/>
              <w:rPr>
                <w:rFonts w:eastAsia="SimSun"/>
                <w:sz w:val="22"/>
                <w:szCs w:val="22"/>
                <w:lang w:val="sr-Latn-ME"/>
              </w:rPr>
            </w:pPr>
            <w:r w:rsidRPr="00B328D5">
              <w:rPr>
                <w:rFonts w:eastAsia="SimSun"/>
                <w:szCs w:val="22"/>
                <w:lang w:val="sr-Latn-RS"/>
              </w:rPr>
              <w:lastRenderedPageBreak/>
              <w:t>Efikasnost</w:t>
            </w:r>
            <w:r w:rsidRPr="00DA798C">
              <w:rPr>
                <w:lang w:val="sr-Latn-RS"/>
              </w:rPr>
              <w:t xml:space="preserve"> </w:t>
            </w:r>
            <w:r w:rsidRPr="00B328D5">
              <w:rPr>
                <w:rFonts w:eastAsia="SimSun"/>
                <w:szCs w:val="22"/>
                <w:lang w:val="sr-Latn-RS"/>
              </w:rPr>
              <w:t>dapagliflozin</w:t>
            </w:r>
            <w:r>
              <w:rPr>
                <w:rFonts w:eastAsia="SimSun"/>
                <w:szCs w:val="22"/>
                <w:lang w:val="sr-Latn-RS"/>
              </w:rPr>
              <w:t>a u</w:t>
            </w:r>
            <w:r w:rsidRPr="00B328D5">
              <w:rPr>
                <w:rFonts w:eastAsia="SimSun"/>
                <w:szCs w:val="22"/>
                <w:lang w:val="sr-Latn-RS"/>
              </w:rPr>
              <w:t xml:space="preserve"> </w:t>
            </w:r>
            <w:r w:rsidRPr="005F1381">
              <w:rPr>
                <w:rFonts w:eastAsia="SimSun"/>
                <w:szCs w:val="22"/>
                <w:lang w:val="sr-Latn-RS"/>
              </w:rPr>
              <w:t xml:space="preserve">snižavanju </w:t>
            </w:r>
            <w:r w:rsidRPr="00B328D5">
              <w:rPr>
                <w:rFonts w:eastAsia="SimSun"/>
                <w:szCs w:val="22"/>
                <w:lang w:val="sr-Latn-RS"/>
              </w:rPr>
              <w:t>glukoze</w:t>
            </w:r>
            <w:r>
              <w:rPr>
                <w:rFonts w:eastAsia="SimSun"/>
                <w:szCs w:val="22"/>
                <w:lang w:val="sr-Latn-RS"/>
              </w:rPr>
              <w:t xml:space="preserve"> </w:t>
            </w:r>
            <w:r w:rsidRPr="00B328D5">
              <w:rPr>
                <w:rFonts w:eastAsia="SimSun"/>
                <w:szCs w:val="22"/>
                <w:lang w:val="sr-Latn-RS"/>
              </w:rPr>
              <w:t>je v</w:t>
            </w:r>
            <w:r>
              <w:rPr>
                <w:rFonts w:eastAsia="SimSun"/>
                <w:szCs w:val="22"/>
                <w:lang w:val="sr-Latn-RS"/>
              </w:rPr>
              <w:t>j</w:t>
            </w:r>
            <w:r w:rsidRPr="00B328D5">
              <w:rPr>
                <w:rFonts w:eastAsia="SimSun"/>
                <w:szCs w:val="22"/>
                <w:lang w:val="sr-Latn-RS"/>
              </w:rPr>
              <w:t xml:space="preserve">erovatno </w:t>
            </w:r>
            <w:r>
              <w:rPr>
                <w:rFonts w:eastAsia="SimSun"/>
                <w:szCs w:val="22"/>
                <w:lang w:val="sr-Latn-RS"/>
              </w:rPr>
              <w:t xml:space="preserve">odsutna </w:t>
            </w:r>
          </w:p>
        </w:tc>
      </w:tr>
    </w:tbl>
    <w:p w14:paraId="5F32147E" w14:textId="77777777" w:rsidR="009464A9" w:rsidRPr="009F254D" w:rsidRDefault="009464A9" w:rsidP="00FA635D">
      <w:pPr>
        <w:tabs>
          <w:tab w:val="left" w:pos="540"/>
          <w:tab w:val="left" w:pos="569"/>
        </w:tabs>
        <w:rPr>
          <w:bCs/>
          <w:sz w:val="22"/>
          <w:szCs w:val="22"/>
          <w:u w:val="single"/>
          <w:lang w:val="sr-Latn-ME"/>
        </w:rPr>
      </w:pPr>
    </w:p>
    <w:p w14:paraId="663907DE" w14:textId="77777777" w:rsidR="009464A9" w:rsidRPr="009F254D" w:rsidRDefault="009464A9" w:rsidP="00FA635D">
      <w:pPr>
        <w:keepNext/>
        <w:keepLines/>
        <w:tabs>
          <w:tab w:val="left" w:pos="284"/>
        </w:tabs>
        <w:jc w:val="both"/>
        <w:rPr>
          <w:bCs/>
          <w:i/>
          <w:sz w:val="22"/>
          <w:szCs w:val="22"/>
          <w:lang w:val="sr-Latn-ME"/>
        </w:rPr>
      </w:pPr>
      <w:r w:rsidRPr="009F254D">
        <w:rPr>
          <w:i/>
          <w:iCs/>
          <w:sz w:val="22"/>
          <w:szCs w:val="22"/>
          <w:lang w:val="sr-Latn-ME"/>
        </w:rPr>
        <w:t>Insuficijencija jetre</w:t>
      </w:r>
    </w:p>
    <w:p w14:paraId="34EFC968" w14:textId="247CDA1B" w:rsidR="009464A9" w:rsidRPr="009F254D" w:rsidRDefault="009464A9" w:rsidP="00FA635D">
      <w:pPr>
        <w:tabs>
          <w:tab w:val="left" w:pos="284"/>
        </w:tabs>
        <w:jc w:val="both"/>
        <w:rPr>
          <w:bCs/>
          <w:sz w:val="22"/>
          <w:szCs w:val="22"/>
          <w:lang w:val="sr-Latn-ME"/>
        </w:rPr>
      </w:pPr>
      <w:r w:rsidRPr="009F254D">
        <w:rPr>
          <w:sz w:val="22"/>
          <w:szCs w:val="22"/>
          <w:lang w:val="sr-Latn-ME"/>
        </w:rPr>
        <w:t xml:space="preserve">Ovaj lijek ne smije se primjenjivati kod pacijenata sa insuficijencijom jetre (pogledati </w:t>
      </w:r>
      <w:r w:rsidR="009A4D77" w:rsidRPr="009F254D">
        <w:rPr>
          <w:sz w:val="22"/>
          <w:szCs w:val="22"/>
          <w:lang w:val="sr-Latn-ME"/>
        </w:rPr>
        <w:t>djelove </w:t>
      </w:r>
      <w:r w:rsidRPr="009F254D">
        <w:rPr>
          <w:sz w:val="22"/>
          <w:szCs w:val="22"/>
          <w:lang w:val="sr-Latn-ME"/>
        </w:rPr>
        <w:t>4.3, 4.4. i 5.2).</w:t>
      </w:r>
    </w:p>
    <w:p w14:paraId="3C911E71" w14:textId="77777777" w:rsidR="009464A9" w:rsidRPr="009F254D" w:rsidRDefault="009464A9" w:rsidP="00FA635D">
      <w:pPr>
        <w:keepNext/>
        <w:keepLines/>
        <w:tabs>
          <w:tab w:val="left" w:pos="284"/>
        </w:tabs>
        <w:jc w:val="both"/>
        <w:rPr>
          <w:bCs/>
          <w:i/>
          <w:sz w:val="22"/>
          <w:szCs w:val="22"/>
          <w:lang w:val="sr-Latn-ME"/>
        </w:rPr>
      </w:pPr>
      <w:r w:rsidRPr="009F254D">
        <w:rPr>
          <w:i/>
          <w:iCs/>
          <w:sz w:val="22"/>
          <w:szCs w:val="22"/>
          <w:lang w:val="sr-Latn-ME"/>
        </w:rPr>
        <w:t>Starije osobe (≥ 65 godina)</w:t>
      </w:r>
    </w:p>
    <w:p w14:paraId="2649A97F" w14:textId="48B099D0" w:rsidR="009464A9" w:rsidRPr="009F254D" w:rsidRDefault="009464A9" w:rsidP="00FA635D">
      <w:pPr>
        <w:tabs>
          <w:tab w:val="left" w:pos="284"/>
        </w:tabs>
        <w:jc w:val="both"/>
        <w:rPr>
          <w:bCs/>
          <w:sz w:val="22"/>
          <w:szCs w:val="22"/>
          <w:lang w:val="sr-Latn-ME"/>
        </w:rPr>
      </w:pPr>
      <w:r w:rsidRPr="009F254D">
        <w:rPr>
          <w:sz w:val="22"/>
          <w:szCs w:val="22"/>
          <w:lang w:val="sr-Latn-ME"/>
        </w:rPr>
        <w:t>Imajući u vidu da se metformin jednim d</w:t>
      </w:r>
      <w:r w:rsidR="009A4D77" w:rsidRPr="009F254D">
        <w:rPr>
          <w:sz w:val="22"/>
          <w:szCs w:val="22"/>
          <w:lang w:val="sr-Latn-ME"/>
        </w:rPr>
        <w:t>ij</w:t>
      </w:r>
      <w:r w:rsidRPr="009F254D">
        <w:rPr>
          <w:sz w:val="22"/>
          <w:szCs w:val="22"/>
          <w:lang w:val="sr-Latn-ME"/>
        </w:rPr>
        <w:t xml:space="preserve">elom eliminiše putem bubrega, a s obzirom na to da kod starijih osoba postoji veća vjerovatnoća smanjene bubrežne funkcije, ovaj lijek treba primjenjivati opreznije što je pacijent stariji. Potrebno je kontrolisati bubrežnu funkciju radi sprečavanja laktatne acidoze koja je povezana sa upotrebom metformina, naročito kod starijih osoba (pogledati </w:t>
      </w:r>
      <w:r w:rsidR="009A4D77" w:rsidRPr="009F254D">
        <w:rPr>
          <w:sz w:val="22"/>
          <w:szCs w:val="22"/>
          <w:lang w:val="sr-Latn-ME"/>
        </w:rPr>
        <w:t xml:space="preserve">djelove </w:t>
      </w:r>
      <w:r w:rsidRPr="009F254D">
        <w:rPr>
          <w:sz w:val="22"/>
          <w:szCs w:val="22"/>
          <w:lang w:val="sr-Latn-ME"/>
        </w:rPr>
        <w:t>4.3</w:t>
      </w:r>
      <w:r w:rsidR="009A4D77" w:rsidRPr="009F254D">
        <w:rPr>
          <w:sz w:val="22"/>
          <w:szCs w:val="22"/>
          <w:lang w:val="sr-Latn-ME"/>
        </w:rPr>
        <w:t>.</w:t>
      </w:r>
      <w:r w:rsidRPr="009F254D">
        <w:rPr>
          <w:sz w:val="22"/>
          <w:szCs w:val="22"/>
          <w:lang w:val="sr-Latn-ME"/>
        </w:rPr>
        <w:t xml:space="preserve"> i 4.4). </w:t>
      </w:r>
    </w:p>
    <w:p w14:paraId="72F83BCF" w14:textId="77777777" w:rsidR="009464A9" w:rsidRPr="009F254D" w:rsidRDefault="009464A9" w:rsidP="00FA635D">
      <w:pPr>
        <w:tabs>
          <w:tab w:val="left" w:pos="284"/>
        </w:tabs>
        <w:jc w:val="both"/>
        <w:rPr>
          <w:bCs/>
          <w:sz w:val="22"/>
          <w:szCs w:val="22"/>
          <w:lang w:val="sr-Latn-ME"/>
        </w:rPr>
      </w:pPr>
    </w:p>
    <w:p w14:paraId="381B69C3" w14:textId="77777777" w:rsidR="009464A9" w:rsidRPr="009F254D" w:rsidRDefault="009464A9" w:rsidP="00FA635D">
      <w:pPr>
        <w:keepNext/>
        <w:keepLines/>
        <w:tabs>
          <w:tab w:val="left" w:pos="284"/>
        </w:tabs>
        <w:jc w:val="both"/>
        <w:rPr>
          <w:b/>
          <w:sz w:val="22"/>
          <w:szCs w:val="22"/>
          <w:lang w:val="sr-Latn-ME"/>
        </w:rPr>
      </w:pPr>
      <w:r w:rsidRPr="009F254D">
        <w:rPr>
          <w:i/>
          <w:iCs/>
          <w:sz w:val="22"/>
          <w:szCs w:val="22"/>
          <w:lang w:val="sr-Latn-ME"/>
        </w:rPr>
        <w:t>Pedijatrijska populacija</w:t>
      </w:r>
    </w:p>
    <w:p w14:paraId="0EB53788" w14:textId="0F117EA2" w:rsidR="009464A9" w:rsidRPr="009F254D" w:rsidRDefault="009464A9" w:rsidP="00FA635D">
      <w:pPr>
        <w:tabs>
          <w:tab w:val="left" w:pos="284"/>
        </w:tabs>
        <w:jc w:val="both"/>
        <w:rPr>
          <w:sz w:val="22"/>
          <w:szCs w:val="22"/>
          <w:lang w:val="sr-Latn-ME"/>
        </w:rPr>
      </w:pPr>
      <w:r w:rsidRPr="009F254D">
        <w:rPr>
          <w:sz w:val="22"/>
          <w:szCs w:val="22"/>
          <w:lang w:val="sr-Latn-ME"/>
        </w:rPr>
        <w:t>Bezbjednost i efikasnost lijeka Xigduo još ni</w:t>
      </w:r>
      <w:r w:rsidR="009A4D77" w:rsidRPr="009F254D">
        <w:rPr>
          <w:sz w:val="22"/>
          <w:szCs w:val="22"/>
          <w:lang w:val="sr-Latn-ME"/>
        </w:rPr>
        <w:t>je</w:t>
      </w:r>
      <w:r w:rsidRPr="009F254D">
        <w:rPr>
          <w:sz w:val="22"/>
          <w:szCs w:val="22"/>
          <w:lang w:val="sr-Latn-ME"/>
        </w:rPr>
        <w:t>su utvrđene kod djece i adolescenata uzrasta od 0 do &lt; 18 godina. Nema dostupnih podataka.</w:t>
      </w:r>
    </w:p>
    <w:p w14:paraId="59202024" w14:textId="77777777" w:rsidR="009464A9" w:rsidRPr="009F254D" w:rsidRDefault="009464A9" w:rsidP="00FA635D">
      <w:pPr>
        <w:tabs>
          <w:tab w:val="left" w:pos="540"/>
          <w:tab w:val="left" w:pos="569"/>
        </w:tabs>
        <w:rPr>
          <w:bCs/>
          <w:sz w:val="22"/>
          <w:szCs w:val="22"/>
          <w:u w:val="single"/>
          <w:lang w:val="sr-Latn-ME"/>
        </w:rPr>
      </w:pPr>
    </w:p>
    <w:p w14:paraId="407DE6B6" w14:textId="77777777" w:rsidR="009464A9" w:rsidRPr="009F254D" w:rsidRDefault="009464A9" w:rsidP="00FA635D">
      <w:pPr>
        <w:tabs>
          <w:tab w:val="left" w:pos="540"/>
          <w:tab w:val="left" w:pos="569"/>
        </w:tabs>
        <w:rPr>
          <w:bCs/>
          <w:sz w:val="22"/>
          <w:szCs w:val="22"/>
          <w:u w:val="single"/>
          <w:lang w:val="sr-Latn-ME"/>
        </w:rPr>
      </w:pPr>
      <w:r w:rsidRPr="009F254D">
        <w:rPr>
          <w:bCs/>
          <w:sz w:val="22"/>
          <w:szCs w:val="22"/>
          <w:u w:val="single"/>
          <w:lang w:val="sr-Latn-ME"/>
        </w:rPr>
        <w:t>Način primjene</w:t>
      </w:r>
    </w:p>
    <w:p w14:paraId="3908A198" w14:textId="77777777" w:rsidR="009464A9" w:rsidRPr="009F254D" w:rsidRDefault="009464A9" w:rsidP="00FA635D">
      <w:pPr>
        <w:tabs>
          <w:tab w:val="left" w:pos="540"/>
          <w:tab w:val="left" w:pos="569"/>
        </w:tabs>
        <w:rPr>
          <w:bCs/>
          <w:sz w:val="22"/>
          <w:szCs w:val="22"/>
          <w:lang w:val="sr-Latn-ME"/>
        </w:rPr>
      </w:pPr>
    </w:p>
    <w:p w14:paraId="1B2C1704" w14:textId="77777777" w:rsidR="009464A9" w:rsidRPr="009F254D" w:rsidRDefault="009464A9" w:rsidP="00FA635D">
      <w:pPr>
        <w:tabs>
          <w:tab w:val="left" w:pos="284"/>
        </w:tabs>
        <w:jc w:val="both"/>
        <w:rPr>
          <w:sz w:val="22"/>
          <w:szCs w:val="22"/>
          <w:lang w:val="sr-Latn-ME"/>
        </w:rPr>
      </w:pPr>
      <w:r w:rsidRPr="009F254D">
        <w:rPr>
          <w:sz w:val="22"/>
          <w:szCs w:val="22"/>
          <w:lang w:val="sr-Latn-ME"/>
        </w:rPr>
        <w:t>Lijek Xigduo treba uzimati dvaput dnevno sa hranom kako bi se ublažile gastrointestinalne neželjene reakcije povezane sa upotrebom metformina.</w:t>
      </w:r>
    </w:p>
    <w:p w14:paraId="1AB3021B" w14:textId="77777777" w:rsidR="00452E9D" w:rsidRPr="009F254D" w:rsidRDefault="00452E9D" w:rsidP="00FA635D">
      <w:pPr>
        <w:tabs>
          <w:tab w:val="left" w:pos="540"/>
          <w:tab w:val="left" w:pos="569"/>
        </w:tabs>
        <w:rPr>
          <w:bCs/>
          <w:sz w:val="22"/>
          <w:szCs w:val="22"/>
          <w:lang w:val="sr-Latn-ME"/>
        </w:rPr>
      </w:pPr>
    </w:p>
    <w:p w14:paraId="60647E87" w14:textId="450D469A" w:rsidR="00411B4B" w:rsidRPr="009F254D" w:rsidRDefault="00411B4B" w:rsidP="00FA635D">
      <w:pPr>
        <w:tabs>
          <w:tab w:val="left" w:pos="540"/>
          <w:tab w:val="left" w:pos="569"/>
        </w:tabs>
        <w:rPr>
          <w:b/>
          <w:bCs/>
          <w:sz w:val="22"/>
          <w:szCs w:val="22"/>
          <w:lang w:val="sr-Latn-ME"/>
        </w:rPr>
      </w:pPr>
      <w:r w:rsidRPr="009F254D">
        <w:rPr>
          <w:b/>
          <w:bCs/>
          <w:sz w:val="22"/>
          <w:szCs w:val="22"/>
          <w:lang w:val="sr-Latn-ME"/>
        </w:rPr>
        <w:t xml:space="preserve">4.3. </w:t>
      </w:r>
      <w:r w:rsidR="00480FB1" w:rsidRPr="009F254D">
        <w:rPr>
          <w:b/>
          <w:bCs/>
          <w:sz w:val="22"/>
          <w:szCs w:val="22"/>
          <w:lang w:val="sr-Latn-ME"/>
        </w:rPr>
        <w:tab/>
      </w:r>
      <w:r w:rsidRPr="009F254D">
        <w:rPr>
          <w:b/>
          <w:bCs/>
          <w:sz w:val="22"/>
          <w:szCs w:val="22"/>
          <w:lang w:val="sr-Latn-ME"/>
        </w:rPr>
        <w:t>Kontraindikacije</w:t>
      </w:r>
    </w:p>
    <w:p w14:paraId="295A61EE" w14:textId="0B6BB517" w:rsidR="000B01ED" w:rsidRPr="009F254D" w:rsidRDefault="000B01ED" w:rsidP="00FA635D">
      <w:pPr>
        <w:tabs>
          <w:tab w:val="left" w:pos="540"/>
          <w:tab w:val="left" w:pos="569"/>
        </w:tabs>
        <w:rPr>
          <w:b/>
          <w:bCs/>
          <w:sz w:val="22"/>
          <w:szCs w:val="22"/>
          <w:lang w:val="sr-Latn-ME"/>
        </w:rPr>
      </w:pPr>
    </w:p>
    <w:p w14:paraId="5DC2BF27" w14:textId="77777777" w:rsidR="000B01ED" w:rsidRPr="009F254D" w:rsidRDefault="000B01ED" w:rsidP="00FA635D">
      <w:pPr>
        <w:keepNext/>
        <w:keepLines/>
        <w:tabs>
          <w:tab w:val="left" w:pos="284"/>
        </w:tabs>
        <w:jc w:val="both"/>
        <w:rPr>
          <w:noProof/>
          <w:sz w:val="22"/>
          <w:szCs w:val="22"/>
          <w:lang w:val="sr-Latn-ME"/>
        </w:rPr>
      </w:pPr>
      <w:r w:rsidRPr="009F254D">
        <w:rPr>
          <w:noProof/>
          <w:sz w:val="22"/>
          <w:szCs w:val="22"/>
          <w:lang w:val="sr-Latn-ME"/>
        </w:rPr>
        <w:t>Xigduo je kontraindikovan kod pacijenata koji imaju:</w:t>
      </w:r>
    </w:p>
    <w:p w14:paraId="132C190E" w14:textId="77777777" w:rsidR="000B01ED" w:rsidRPr="009F254D" w:rsidRDefault="000B01ED" w:rsidP="00FA635D">
      <w:pPr>
        <w:keepNext/>
        <w:keepLines/>
        <w:tabs>
          <w:tab w:val="left" w:pos="284"/>
        </w:tabs>
        <w:jc w:val="both"/>
        <w:rPr>
          <w:noProof/>
          <w:sz w:val="22"/>
          <w:szCs w:val="22"/>
          <w:lang w:val="sr-Latn-ME"/>
        </w:rPr>
      </w:pPr>
    </w:p>
    <w:p w14:paraId="1DC9F86B" w14:textId="7C625C1B" w:rsidR="000B01ED" w:rsidRPr="009F254D" w:rsidRDefault="000B01ED" w:rsidP="00FA635D">
      <w:pPr>
        <w:keepNext/>
        <w:keepLines/>
        <w:tabs>
          <w:tab w:val="left" w:pos="284"/>
        </w:tabs>
        <w:ind w:left="567" w:hanging="567"/>
        <w:jc w:val="both"/>
        <w:rPr>
          <w:noProof/>
          <w:sz w:val="22"/>
          <w:szCs w:val="22"/>
          <w:lang w:val="sr-Latn-ME"/>
        </w:rPr>
      </w:pPr>
      <w:r w:rsidRPr="009F254D">
        <w:rPr>
          <w:noProof/>
          <w:sz w:val="22"/>
          <w:szCs w:val="22"/>
          <w:lang w:val="sr-Latn-ME"/>
        </w:rPr>
        <w:t>-</w:t>
      </w:r>
      <w:r w:rsidRPr="009F254D">
        <w:rPr>
          <w:noProof/>
          <w:sz w:val="22"/>
          <w:szCs w:val="22"/>
          <w:lang w:val="sr-Latn-ME"/>
        </w:rPr>
        <w:tab/>
        <w:t xml:space="preserve">preosjetljivost na aktivnu supstancu ili bilo koju od pomoćnih supstanci navedenih u </w:t>
      </w:r>
      <w:r w:rsidR="009A4D77" w:rsidRPr="009F254D">
        <w:rPr>
          <w:noProof/>
          <w:sz w:val="22"/>
          <w:szCs w:val="22"/>
          <w:lang w:val="sr-Latn-ME"/>
        </w:rPr>
        <w:t xml:space="preserve">dijelu </w:t>
      </w:r>
      <w:r w:rsidRPr="009F254D">
        <w:rPr>
          <w:noProof/>
          <w:sz w:val="22"/>
          <w:szCs w:val="22"/>
          <w:lang w:val="sr-Latn-ME"/>
        </w:rPr>
        <w:t>6.1;</w:t>
      </w:r>
    </w:p>
    <w:p w14:paraId="684BDB8A" w14:textId="77777777" w:rsidR="000B01ED" w:rsidRPr="009F254D" w:rsidRDefault="000B01ED" w:rsidP="00FA635D">
      <w:pPr>
        <w:tabs>
          <w:tab w:val="left" w:pos="284"/>
        </w:tabs>
        <w:ind w:left="540" w:hanging="540"/>
        <w:jc w:val="both"/>
        <w:rPr>
          <w:noProof/>
          <w:sz w:val="22"/>
          <w:szCs w:val="22"/>
          <w:lang w:val="sr-Latn-ME"/>
        </w:rPr>
      </w:pPr>
      <w:r w:rsidRPr="009F254D">
        <w:rPr>
          <w:noProof/>
          <w:sz w:val="22"/>
          <w:szCs w:val="22"/>
          <w:lang w:val="sr-Latn-ME"/>
        </w:rPr>
        <w:t xml:space="preserve">- </w:t>
      </w:r>
      <w:r w:rsidRPr="009F254D">
        <w:rPr>
          <w:noProof/>
          <w:sz w:val="22"/>
          <w:szCs w:val="22"/>
          <w:lang w:val="sr-Latn-ME"/>
        </w:rPr>
        <w:tab/>
        <w:t>bilo koju vrstu akutne metaboličke acidoze (kao što je laktatna acidoza, dijabetesna ketoacidoza);</w:t>
      </w:r>
    </w:p>
    <w:p w14:paraId="41321F97" w14:textId="77777777" w:rsidR="000B01ED" w:rsidRPr="009F254D" w:rsidRDefault="000B01ED" w:rsidP="00FA635D">
      <w:pPr>
        <w:tabs>
          <w:tab w:val="left" w:pos="284"/>
        </w:tabs>
        <w:ind w:left="540" w:hanging="540"/>
        <w:jc w:val="both"/>
        <w:rPr>
          <w:noProof/>
          <w:sz w:val="22"/>
          <w:szCs w:val="22"/>
          <w:lang w:val="sr-Latn-ME"/>
        </w:rPr>
      </w:pPr>
      <w:r w:rsidRPr="009F254D">
        <w:rPr>
          <w:noProof/>
          <w:sz w:val="22"/>
          <w:szCs w:val="22"/>
          <w:lang w:val="sr-Latn-ME"/>
        </w:rPr>
        <w:t xml:space="preserve">- </w:t>
      </w:r>
      <w:r w:rsidRPr="009F254D">
        <w:rPr>
          <w:noProof/>
          <w:sz w:val="22"/>
          <w:szCs w:val="22"/>
          <w:lang w:val="sr-Latn-ME"/>
        </w:rPr>
        <w:tab/>
        <w:t>dijabetesnu pretkomu;</w:t>
      </w:r>
    </w:p>
    <w:p w14:paraId="3AF2B142" w14:textId="64747683" w:rsidR="000B01ED" w:rsidRPr="009F254D" w:rsidRDefault="000B01ED" w:rsidP="00FA635D">
      <w:pPr>
        <w:tabs>
          <w:tab w:val="left" w:pos="284"/>
        </w:tabs>
        <w:ind w:left="567" w:hanging="567"/>
        <w:jc w:val="both"/>
        <w:rPr>
          <w:noProof/>
          <w:sz w:val="22"/>
          <w:szCs w:val="22"/>
          <w:lang w:val="sr-Latn-ME"/>
        </w:rPr>
      </w:pPr>
      <w:r w:rsidRPr="009F254D">
        <w:rPr>
          <w:noProof/>
          <w:sz w:val="22"/>
          <w:szCs w:val="22"/>
          <w:lang w:val="sr-Latn-ME"/>
        </w:rPr>
        <w:t xml:space="preserve">- </w:t>
      </w:r>
      <w:r w:rsidRPr="009F254D">
        <w:rPr>
          <w:noProof/>
          <w:sz w:val="22"/>
          <w:szCs w:val="22"/>
          <w:lang w:val="sr-Latn-ME"/>
        </w:rPr>
        <w:tab/>
        <w:t xml:space="preserve">teško oštećenje funkcije bubrega (GFR </w:t>
      </w:r>
      <w:r w:rsidRPr="009F254D">
        <w:rPr>
          <w:sz w:val="22"/>
          <w:szCs w:val="22"/>
          <w:lang w:val="sr-Latn-ME"/>
        </w:rPr>
        <w:t>&lt; 30 ml/min</w:t>
      </w:r>
      <w:r w:rsidRPr="009F254D">
        <w:rPr>
          <w:noProof/>
          <w:sz w:val="22"/>
          <w:szCs w:val="22"/>
          <w:lang w:val="sr-Latn-ME"/>
        </w:rPr>
        <w:t xml:space="preserve">) (pogledati </w:t>
      </w:r>
      <w:r w:rsidR="00DD5AA1" w:rsidRPr="009F254D">
        <w:rPr>
          <w:noProof/>
          <w:sz w:val="22"/>
          <w:szCs w:val="22"/>
          <w:lang w:val="sr-Latn-ME"/>
        </w:rPr>
        <w:t xml:space="preserve">djelove </w:t>
      </w:r>
      <w:r w:rsidRPr="009F254D">
        <w:rPr>
          <w:noProof/>
          <w:sz w:val="22"/>
          <w:szCs w:val="22"/>
          <w:lang w:val="sr-Latn-ME"/>
        </w:rPr>
        <w:t>4.2, 4.4</w:t>
      </w:r>
      <w:r w:rsidR="00DD5AA1" w:rsidRPr="009F254D">
        <w:rPr>
          <w:noProof/>
          <w:sz w:val="22"/>
          <w:szCs w:val="22"/>
          <w:lang w:val="sr-Latn-ME"/>
        </w:rPr>
        <w:t>.</w:t>
      </w:r>
      <w:r w:rsidRPr="009F254D">
        <w:rPr>
          <w:noProof/>
          <w:sz w:val="22"/>
          <w:szCs w:val="22"/>
          <w:lang w:val="sr-Latn-ME"/>
        </w:rPr>
        <w:t xml:space="preserve"> i 5.2);</w:t>
      </w:r>
    </w:p>
    <w:p w14:paraId="0B86FCCF" w14:textId="77777777" w:rsidR="000B01ED" w:rsidRPr="009F254D" w:rsidRDefault="000B01ED" w:rsidP="00FA635D">
      <w:pPr>
        <w:tabs>
          <w:tab w:val="left" w:pos="284"/>
        </w:tabs>
        <w:jc w:val="both"/>
        <w:rPr>
          <w:noProof/>
          <w:sz w:val="22"/>
          <w:szCs w:val="22"/>
          <w:lang w:val="sr-Latn-ME"/>
        </w:rPr>
      </w:pPr>
      <w:r w:rsidRPr="009F254D">
        <w:rPr>
          <w:noProof/>
          <w:sz w:val="22"/>
          <w:szCs w:val="22"/>
          <w:lang w:val="sr-Latn-ME"/>
        </w:rPr>
        <w:t xml:space="preserve">- </w:t>
      </w:r>
      <w:r w:rsidRPr="009F254D">
        <w:rPr>
          <w:noProof/>
          <w:sz w:val="22"/>
          <w:szCs w:val="22"/>
          <w:lang w:val="sr-Latn-ME"/>
        </w:rPr>
        <w:tab/>
        <w:t>akutna stanja koja mogu uticati na funkciju bubrega, kao što su:</w:t>
      </w:r>
    </w:p>
    <w:p w14:paraId="549D3DC8" w14:textId="77777777" w:rsidR="000B01ED" w:rsidRPr="009F254D" w:rsidRDefault="000B01ED" w:rsidP="00FA635D">
      <w:pPr>
        <w:tabs>
          <w:tab w:val="left" w:pos="284"/>
        </w:tabs>
        <w:jc w:val="both"/>
        <w:rPr>
          <w:noProof/>
          <w:sz w:val="22"/>
          <w:szCs w:val="22"/>
          <w:lang w:val="sr-Latn-ME"/>
        </w:rPr>
      </w:pPr>
      <w:r w:rsidRPr="009F254D">
        <w:rPr>
          <w:noProof/>
          <w:sz w:val="22"/>
          <w:szCs w:val="22"/>
          <w:lang w:val="sr-Latn-ME"/>
        </w:rPr>
        <w:tab/>
        <w:t xml:space="preserve">- </w:t>
      </w:r>
      <w:r w:rsidRPr="009F254D">
        <w:rPr>
          <w:noProof/>
          <w:sz w:val="22"/>
          <w:szCs w:val="22"/>
          <w:lang w:val="sr-Latn-ME"/>
        </w:rPr>
        <w:tab/>
        <w:t>dehidratacija,</w:t>
      </w:r>
    </w:p>
    <w:p w14:paraId="2F57FE6B" w14:textId="77777777" w:rsidR="000B01ED" w:rsidRPr="009F254D" w:rsidRDefault="000B01ED" w:rsidP="00FA635D">
      <w:pPr>
        <w:tabs>
          <w:tab w:val="left" w:pos="284"/>
        </w:tabs>
        <w:jc w:val="both"/>
        <w:rPr>
          <w:noProof/>
          <w:sz w:val="22"/>
          <w:szCs w:val="22"/>
          <w:lang w:val="sr-Latn-ME"/>
        </w:rPr>
      </w:pPr>
      <w:r w:rsidRPr="009F254D">
        <w:rPr>
          <w:noProof/>
          <w:sz w:val="22"/>
          <w:szCs w:val="22"/>
          <w:lang w:val="sr-Latn-ME"/>
        </w:rPr>
        <w:tab/>
        <w:t xml:space="preserve">- </w:t>
      </w:r>
      <w:r w:rsidRPr="009F254D">
        <w:rPr>
          <w:noProof/>
          <w:sz w:val="22"/>
          <w:szCs w:val="22"/>
          <w:lang w:val="sr-Latn-ME"/>
        </w:rPr>
        <w:tab/>
        <w:t>teška infekcija,</w:t>
      </w:r>
    </w:p>
    <w:p w14:paraId="5DC823C3" w14:textId="77777777" w:rsidR="000B01ED" w:rsidRPr="009F254D" w:rsidRDefault="000B01ED" w:rsidP="00FA635D">
      <w:pPr>
        <w:tabs>
          <w:tab w:val="left" w:pos="284"/>
        </w:tabs>
        <w:jc w:val="both"/>
        <w:rPr>
          <w:noProof/>
          <w:sz w:val="22"/>
          <w:szCs w:val="22"/>
          <w:lang w:val="sr-Latn-ME"/>
        </w:rPr>
      </w:pPr>
      <w:r w:rsidRPr="009F254D">
        <w:rPr>
          <w:noProof/>
          <w:sz w:val="22"/>
          <w:szCs w:val="22"/>
          <w:lang w:val="sr-Latn-ME"/>
        </w:rPr>
        <w:tab/>
        <w:t xml:space="preserve">- </w:t>
      </w:r>
      <w:r w:rsidRPr="009F254D">
        <w:rPr>
          <w:noProof/>
          <w:sz w:val="22"/>
          <w:szCs w:val="22"/>
          <w:lang w:val="sr-Latn-ME"/>
        </w:rPr>
        <w:tab/>
        <w:t>šok;</w:t>
      </w:r>
    </w:p>
    <w:p w14:paraId="6210E853" w14:textId="77777777" w:rsidR="000B01ED" w:rsidRPr="009F254D" w:rsidRDefault="000B01ED" w:rsidP="00FA635D">
      <w:pPr>
        <w:tabs>
          <w:tab w:val="left" w:pos="284"/>
        </w:tabs>
        <w:jc w:val="both"/>
        <w:rPr>
          <w:noProof/>
          <w:sz w:val="22"/>
          <w:szCs w:val="22"/>
          <w:lang w:val="sr-Latn-ME"/>
        </w:rPr>
      </w:pPr>
      <w:r w:rsidRPr="009F254D">
        <w:rPr>
          <w:noProof/>
          <w:sz w:val="22"/>
          <w:szCs w:val="22"/>
          <w:lang w:val="sr-Latn-ME"/>
        </w:rPr>
        <w:t xml:space="preserve">- </w:t>
      </w:r>
      <w:r w:rsidRPr="009F254D">
        <w:rPr>
          <w:noProof/>
          <w:sz w:val="22"/>
          <w:szCs w:val="22"/>
          <w:lang w:val="sr-Latn-ME"/>
        </w:rPr>
        <w:tab/>
        <w:t>akutno ili hronično oboljenje koje može izazvati hipoksiju tkiva, kao što je:</w:t>
      </w:r>
    </w:p>
    <w:p w14:paraId="3DAD94FD" w14:textId="04FF117F" w:rsidR="000B01ED" w:rsidRPr="009F254D" w:rsidRDefault="000B01ED" w:rsidP="00FA635D">
      <w:pPr>
        <w:tabs>
          <w:tab w:val="left" w:pos="284"/>
        </w:tabs>
        <w:jc w:val="both"/>
        <w:rPr>
          <w:noProof/>
          <w:sz w:val="22"/>
          <w:szCs w:val="22"/>
          <w:lang w:val="sr-Latn-ME"/>
        </w:rPr>
      </w:pPr>
      <w:r w:rsidRPr="009F254D">
        <w:rPr>
          <w:noProof/>
          <w:sz w:val="22"/>
          <w:szCs w:val="22"/>
          <w:lang w:val="sr-Latn-ME"/>
        </w:rPr>
        <w:tab/>
        <w:t xml:space="preserve">- </w:t>
      </w:r>
      <w:r w:rsidRPr="009F254D">
        <w:rPr>
          <w:noProof/>
          <w:sz w:val="22"/>
          <w:szCs w:val="22"/>
          <w:lang w:val="sr-Latn-ME"/>
        </w:rPr>
        <w:tab/>
        <w:t>srčan</w:t>
      </w:r>
      <w:r w:rsidR="00DD5AA1" w:rsidRPr="009F254D">
        <w:rPr>
          <w:noProof/>
          <w:sz w:val="22"/>
          <w:szCs w:val="22"/>
          <w:lang w:val="sr-Latn-ME"/>
        </w:rPr>
        <w:t>a</w:t>
      </w:r>
      <w:r w:rsidRPr="009F254D">
        <w:rPr>
          <w:noProof/>
          <w:sz w:val="22"/>
          <w:szCs w:val="22"/>
          <w:lang w:val="sr-Latn-ME"/>
        </w:rPr>
        <w:t xml:space="preserve"> ili respiratorn</w:t>
      </w:r>
      <w:r w:rsidR="00DD5AA1" w:rsidRPr="009F254D">
        <w:rPr>
          <w:noProof/>
          <w:sz w:val="22"/>
          <w:szCs w:val="22"/>
          <w:lang w:val="sr-Latn-ME"/>
        </w:rPr>
        <w:t>a</w:t>
      </w:r>
      <w:r w:rsidRPr="009F254D">
        <w:rPr>
          <w:noProof/>
          <w:sz w:val="22"/>
          <w:szCs w:val="22"/>
          <w:lang w:val="sr-Latn-ME"/>
        </w:rPr>
        <w:t xml:space="preserve"> </w:t>
      </w:r>
      <w:r w:rsidR="00DD5AA1" w:rsidRPr="009F254D">
        <w:rPr>
          <w:noProof/>
          <w:sz w:val="22"/>
          <w:szCs w:val="22"/>
          <w:lang w:val="sr-Latn-ME"/>
        </w:rPr>
        <w:t>insuficijencija</w:t>
      </w:r>
      <w:r w:rsidRPr="009F254D">
        <w:rPr>
          <w:noProof/>
          <w:sz w:val="22"/>
          <w:szCs w:val="22"/>
          <w:lang w:val="sr-Latn-ME"/>
        </w:rPr>
        <w:t>,</w:t>
      </w:r>
    </w:p>
    <w:p w14:paraId="473989C6" w14:textId="77777777" w:rsidR="000B01ED" w:rsidRPr="009F254D" w:rsidRDefault="000B01ED" w:rsidP="00FA635D">
      <w:pPr>
        <w:tabs>
          <w:tab w:val="left" w:pos="284"/>
        </w:tabs>
        <w:jc w:val="both"/>
        <w:rPr>
          <w:noProof/>
          <w:sz w:val="22"/>
          <w:szCs w:val="22"/>
          <w:lang w:val="sr-Latn-ME"/>
        </w:rPr>
      </w:pPr>
      <w:r w:rsidRPr="009F254D">
        <w:rPr>
          <w:noProof/>
          <w:sz w:val="22"/>
          <w:szCs w:val="22"/>
          <w:lang w:val="sr-Latn-ME"/>
        </w:rPr>
        <w:tab/>
        <w:t xml:space="preserve">- </w:t>
      </w:r>
      <w:r w:rsidRPr="009F254D">
        <w:rPr>
          <w:noProof/>
          <w:sz w:val="22"/>
          <w:szCs w:val="22"/>
          <w:lang w:val="sr-Latn-ME"/>
        </w:rPr>
        <w:tab/>
        <w:t>nedavni infarkt miokarda,</w:t>
      </w:r>
    </w:p>
    <w:p w14:paraId="05673EEF" w14:textId="77777777" w:rsidR="000B01ED" w:rsidRPr="009F254D" w:rsidRDefault="000B01ED" w:rsidP="00FA635D">
      <w:pPr>
        <w:tabs>
          <w:tab w:val="left" w:pos="284"/>
        </w:tabs>
        <w:jc w:val="both"/>
        <w:rPr>
          <w:noProof/>
          <w:sz w:val="22"/>
          <w:szCs w:val="22"/>
          <w:lang w:val="sr-Latn-ME"/>
        </w:rPr>
      </w:pPr>
      <w:r w:rsidRPr="009F254D">
        <w:rPr>
          <w:noProof/>
          <w:sz w:val="22"/>
          <w:szCs w:val="22"/>
          <w:lang w:val="sr-Latn-ME"/>
        </w:rPr>
        <w:tab/>
        <w:t xml:space="preserve">- </w:t>
      </w:r>
      <w:r w:rsidRPr="009F254D">
        <w:rPr>
          <w:noProof/>
          <w:sz w:val="22"/>
          <w:szCs w:val="22"/>
          <w:lang w:val="sr-Latn-ME"/>
        </w:rPr>
        <w:tab/>
        <w:t>šok;</w:t>
      </w:r>
    </w:p>
    <w:p w14:paraId="64E60DAB" w14:textId="18FEE106" w:rsidR="000B01ED" w:rsidRPr="009F254D" w:rsidRDefault="000B01ED" w:rsidP="00FA635D">
      <w:pPr>
        <w:tabs>
          <w:tab w:val="left" w:pos="284"/>
        </w:tabs>
        <w:jc w:val="both"/>
        <w:rPr>
          <w:noProof/>
          <w:sz w:val="22"/>
          <w:szCs w:val="22"/>
          <w:lang w:val="sr-Latn-ME"/>
        </w:rPr>
      </w:pPr>
      <w:r w:rsidRPr="009F254D">
        <w:rPr>
          <w:noProof/>
          <w:sz w:val="22"/>
          <w:szCs w:val="22"/>
          <w:lang w:val="sr-Latn-ME"/>
        </w:rPr>
        <w:t xml:space="preserve">- </w:t>
      </w:r>
      <w:r w:rsidRPr="009F254D">
        <w:rPr>
          <w:noProof/>
          <w:sz w:val="22"/>
          <w:szCs w:val="22"/>
          <w:lang w:val="sr-Latn-ME"/>
        </w:rPr>
        <w:tab/>
      </w:r>
      <w:r w:rsidR="00DD5AA1" w:rsidRPr="009F254D">
        <w:rPr>
          <w:noProof/>
          <w:sz w:val="22"/>
          <w:szCs w:val="22"/>
          <w:lang w:val="sr-Latn-ME"/>
        </w:rPr>
        <w:t xml:space="preserve">insuficijencija </w:t>
      </w:r>
      <w:r w:rsidRPr="009F254D">
        <w:rPr>
          <w:noProof/>
          <w:sz w:val="22"/>
          <w:szCs w:val="22"/>
          <w:lang w:val="sr-Latn-ME"/>
        </w:rPr>
        <w:t xml:space="preserve">jetre (pogledati </w:t>
      </w:r>
      <w:r w:rsidR="00DD5AA1" w:rsidRPr="009F254D">
        <w:rPr>
          <w:noProof/>
          <w:sz w:val="22"/>
          <w:szCs w:val="22"/>
          <w:lang w:val="sr-Latn-ME"/>
        </w:rPr>
        <w:t xml:space="preserve">djelove </w:t>
      </w:r>
      <w:r w:rsidRPr="009F254D">
        <w:rPr>
          <w:noProof/>
          <w:sz w:val="22"/>
          <w:szCs w:val="22"/>
          <w:lang w:val="sr-Latn-ME"/>
        </w:rPr>
        <w:t>4.2, 4.4</w:t>
      </w:r>
      <w:r w:rsidR="00DD5AA1" w:rsidRPr="009F254D">
        <w:rPr>
          <w:noProof/>
          <w:sz w:val="22"/>
          <w:szCs w:val="22"/>
          <w:lang w:val="sr-Latn-ME"/>
        </w:rPr>
        <w:t>.</w:t>
      </w:r>
      <w:r w:rsidRPr="009F254D">
        <w:rPr>
          <w:noProof/>
          <w:sz w:val="22"/>
          <w:szCs w:val="22"/>
          <w:lang w:val="sr-Latn-ME"/>
        </w:rPr>
        <w:t xml:space="preserve"> i 5.2);</w:t>
      </w:r>
    </w:p>
    <w:p w14:paraId="68A757D3" w14:textId="050B705C" w:rsidR="000B01ED" w:rsidRPr="009F254D" w:rsidRDefault="000B01ED" w:rsidP="00FA635D">
      <w:pPr>
        <w:tabs>
          <w:tab w:val="left" w:pos="284"/>
        </w:tabs>
        <w:jc w:val="both"/>
        <w:rPr>
          <w:noProof/>
          <w:sz w:val="22"/>
          <w:szCs w:val="22"/>
          <w:lang w:val="sr-Latn-ME"/>
        </w:rPr>
      </w:pPr>
      <w:r w:rsidRPr="009F254D">
        <w:rPr>
          <w:noProof/>
          <w:sz w:val="22"/>
          <w:szCs w:val="22"/>
          <w:lang w:val="sr-Latn-ME"/>
        </w:rPr>
        <w:t xml:space="preserve">- </w:t>
      </w:r>
      <w:r w:rsidRPr="009F254D">
        <w:rPr>
          <w:noProof/>
          <w:sz w:val="22"/>
          <w:szCs w:val="22"/>
          <w:lang w:val="sr-Latn-ME"/>
        </w:rPr>
        <w:tab/>
        <w:t xml:space="preserve">akutno trovanje alkoholom, tj. alkoholizam (pogledati </w:t>
      </w:r>
      <w:r w:rsidR="00DD5AA1" w:rsidRPr="009F254D">
        <w:rPr>
          <w:noProof/>
          <w:sz w:val="22"/>
          <w:szCs w:val="22"/>
          <w:lang w:val="sr-Latn-ME"/>
        </w:rPr>
        <w:t xml:space="preserve">dio </w:t>
      </w:r>
      <w:r w:rsidRPr="009F254D">
        <w:rPr>
          <w:noProof/>
          <w:sz w:val="22"/>
          <w:szCs w:val="22"/>
          <w:lang w:val="sr-Latn-ME"/>
        </w:rPr>
        <w:t>4.5).</w:t>
      </w:r>
    </w:p>
    <w:p w14:paraId="0A56EE24" w14:textId="77777777" w:rsidR="0072020E" w:rsidRPr="009F254D" w:rsidRDefault="0072020E" w:rsidP="00FA635D">
      <w:pPr>
        <w:tabs>
          <w:tab w:val="left" w:pos="540"/>
          <w:tab w:val="left" w:pos="569"/>
        </w:tabs>
        <w:rPr>
          <w:bCs/>
          <w:sz w:val="22"/>
          <w:szCs w:val="22"/>
          <w:lang w:val="sr-Latn-ME"/>
        </w:rPr>
      </w:pPr>
    </w:p>
    <w:p w14:paraId="43FAA089" w14:textId="42A84126" w:rsidR="00411B4B" w:rsidRPr="009F254D" w:rsidRDefault="00411B4B" w:rsidP="00FA635D">
      <w:pPr>
        <w:tabs>
          <w:tab w:val="left" w:pos="540"/>
          <w:tab w:val="left" w:pos="569"/>
        </w:tabs>
        <w:rPr>
          <w:b/>
          <w:bCs/>
          <w:sz w:val="22"/>
          <w:szCs w:val="22"/>
          <w:lang w:val="sr-Latn-ME"/>
        </w:rPr>
      </w:pPr>
      <w:r w:rsidRPr="009F254D">
        <w:rPr>
          <w:b/>
          <w:bCs/>
          <w:sz w:val="22"/>
          <w:szCs w:val="22"/>
          <w:lang w:val="sr-Latn-ME"/>
        </w:rPr>
        <w:t xml:space="preserve">4.4. </w:t>
      </w:r>
      <w:r w:rsidR="00480FB1" w:rsidRPr="009F254D">
        <w:rPr>
          <w:b/>
          <w:bCs/>
          <w:sz w:val="22"/>
          <w:szCs w:val="22"/>
          <w:lang w:val="sr-Latn-ME"/>
        </w:rPr>
        <w:tab/>
      </w:r>
      <w:r w:rsidRPr="009F254D">
        <w:rPr>
          <w:b/>
          <w:bCs/>
          <w:sz w:val="22"/>
          <w:szCs w:val="22"/>
          <w:lang w:val="sr-Latn-ME"/>
        </w:rPr>
        <w:t>Posebna upozorenja i mjere opreza pri upotrebi lijeka</w:t>
      </w:r>
    </w:p>
    <w:p w14:paraId="4BD81696" w14:textId="3BE752C8" w:rsidR="00BA57F1" w:rsidRPr="009F254D" w:rsidRDefault="00BA57F1" w:rsidP="00FA635D">
      <w:pPr>
        <w:tabs>
          <w:tab w:val="left" w:pos="540"/>
          <w:tab w:val="left" w:pos="569"/>
        </w:tabs>
        <w:rPr>
          <w:b/>
          <w:bCs/>
          <w:sz w:val="22"/>
          <w:szCs w:val="22"/>
          <w:lang w:val="sr-Latn-ME"/>
        </w:rPr>
      </w:pPr>
    </w:p>
    <w:p w14:paraId="524E6DF5" w14:textId="77777777" w:rsidR="00BA57F1" w:rsidRPr="009F254D" w:rsidRDefault="00BA57F1" w:rsidP="00FA635D">
      <w:pPr>
        <w:keepNext/>
        <w:keepLines/>
        <w:tabs>
          <w:tab w:val="left" w:pos="284"/>
        </w:tabs>
        <w:jc w:val="both"/>
        <w:rPr>
          <w:iCs/>
          <w:noProof/>
          <w:sz w:val="22"/>
          <w:szCs w:val="22"/>
          <w:u w:val="single"/>
          <w:lang w:val="sr-Latn-ME"/>
        </w:rPr>
      </w:pPr>
      <w:r w:rsidRPr="009F254D">
        <w:rPr>
          <w:noProof/>
          <w:sz w:val="22"/>
          <w:szCs w:val="22"/>
          <w:u w:val="single"/>
          <w:lang w:val="sr-Latn-ME"/>
        </w:rPr>
        <w:t>Laktatna acidoza</w:t>
      </w:r>
      <w:r w:rsidRPr="009F254D">
        <w:rPr>
          <w:noProof/>
          <w:sz w:val="22"/>
          <w:szCs w:val="22"/>
          <w:lang w:val="sr-Latn-ME"/>
        </w:rPr>
        <w:t xml:space="preserve"> </w:t>
      </w:r>
    </w:p>
    <w:p w14:paraId="25DD207B" w14:textId="77777777" w:rsidR="00BA57F1" w:rsidRPr="009F254D" w:rsidRDefault="00BA57F1" w:rsidP="00FA635D">
      <w:pPr>
        <w:tabs>
          <w:tab w:val="left" w:pos="284"/>
        </w:tabs>
        <w:jc w:val="both"/>
        <w:rPr>
          <w:iCs/>
          <w:noProof/>
          <w:sz w:val="22"/>
          <w:szCs w:val="22"/>
          <w:lang w:val="sr-Latn-ME"/>
        </w:rPr>
      </w:pPr>
      <w:r w:rsidRPr="009F254D">
        <w:rPr>
          <w:sz w:val="22"/>
          <w:szCs w:val="22"/>
          <w:lang w:val="sr-Latn-ME"/>
        </w:rPr>
        <w:t>Laktatna acidoza je vrlo rijetka, ali ozbiljna metabolička komplikacija koja najčešće nastaje pri akutnom pogoršanju funkcije bubrega ili kod kardiorespiratornog oboljenja ili sepse. Pri akutnom pogoršanju funkcije bubrega dolazi do nakupljanja metformina, što povećava rizik od nastanka laktatne acidoze.</w:t>
      </w:r>
    </w:p>
    <w:p w14:paraId="2F33C54F" w14:textId="77777777" w:rsidR="00BA57F1" w:rsidRPr="009F254D" w:rsidRDefault="00BA57F1" w:rsidP="00FA635D">
      <w:pPr>
        <w:tabs>
          <w:tab w:val="left" w:pos="284"/>
        </w:tabs>
        <w:jc w:val="both"/>
        <w:rPr>
          <w:iCs/>
          <w:noProof/>
          <w:sz w:val="22"/>
          <w:szCs w:val="22"/>
          <w:lang w:val="sr-Latn-ME"/>
        </w:rPr>
      </w:pPr>
    </w:p>
    <w:p w14:paraId="70252B22" w14:textId="5A657F47" w:rsidR="00BA57F1" w:rsidRPr="009F254D" w:rsidRDefault="00BA57F1" w:rsidP="00FA635D">
      <w:pPr>
        <w:tabs>
          <w:tab w:val="left" w:pos="284"/>
        </w:tabs>
        <w:autoSpaceDE w:val="0"/>
        <w:autoSpaceDN w:val="0"/>
        <w:adjustRightInd w:val="0"/>
        <w:jc w:val="both"/>
        <w:rPr>
          <w:rFonts w:eastAsia="SimSun"/>
          <w:sz w:val="22"/>
          <w:szCs w:val="22"/>
          <w:lang w:val="sr-Latn-ME"/>
        </w:rPr>
      </w:pPr>
      <w:r w:rsidRPr="009F254D">
        <w:rPr>
          <w:rFonts w:eastAsia="SimSun"/>
          <w:sz w:val="22"/>
          <w:szCs w:val="22"/>
          <w:lang w:val="sr-Latn-ME"/>
        </w:rPr>
        <w:t>U slučaju dehidratacije (teški proliv ili povraćanje, povišena temperatura ili smanjen unos tečnosti), potrebno je privremeno prekinuti upotrebu lijeka Xigduo i preporučuje se obra</w:t>
      </w:r>
      <w:r w:rsidR="00DD5AA1" w:rsidRPr="009F254D">
        <w:rPr>
          <w:rFonts w:eastAsia="SimSun"/>
          <w:sz w:val="22"/>
          <w:szCs w:val="22"/>
          <w:lang w:val="sr-Latn-ME"/>
        </w:rPr>
        <w:t>ćanje</w:t>
      </w:r>
      <w:r w:rsidRPr="009F254D">
        <w:rPr>
          <w:rFonts w:eastAsia="SimSun"/>
          <w:sz w:val="22"/>
          <w:szCs w:val="22"/>
          <w:lang w:val="sr-Latn-ME"/>
        </w:rPr>
        <w:t xml:space="preserve"> zdravstvenom radniku.</w:t>
      </w:r>
    </w:p>
    <w:p w14:paraId="5CF4A379" w14:textId="77777777" w:rsidR="00BA57F1" w:rsidRPr="009F254D" w:rsidRDefault="00BA57F1" w:rsidP="00FA635D">
      <w:pPr>
        <w:tabs>
          <w:tab w:val="left" w:pos="284"/>
        </w:tabs>
        <w:autoSpaceDE w:val="0"/>
        <w:autoSpaceDN w:val="0"/>
        <w:adjustRightInd w:val="0"/>
        <w:jc w:val="both"/>
        <w:rPr>
          <w:rFonts w:eastAsia="SimSun"/>
          <w:sz w:val="22"/>
          <w:szCs w:val="22"/>
          <w:lang w:val="sr-Latn-ME"/>
        </w:rPr>
      </w:pPr>
    </w:p>
    <w:p w14:paraId="303036FE" w14:textId="6BB23372" w:rsidR="00BA57F1" w:rsidRPr="009F254D" w:rsidRDefault="00BA57F1" w:rsidP="00FA635D">
      <w:pPr>
        <w:tabs>
          <w:tab w:val="left" w:pos="284"/>
        </w:tabs>
        <w:autoSpaceDE w:val="0"/>
        <w:autoSpaceDN w:val="0"/>
        <w:adjustRightInd w:val="0"/>
        <w:jc w:val="both"/>
        <w:rPr>
          <w:rFonts w:eastAsia="SimSun"/>
          <w:sz w:val="22"/>
          <w:szCs w:val="22"/>
          <w:lang w:val="sr-Latn-ME"/>
        </w:rPr>
      </w:pPr>
      <w:r w:rsidRPr="009F254D">
        <w:rPr>
          <w:rFonts w:eastAsia="SimSun"/>
          <w:sz w:val="22"/>
          <w:szCs w:val="22"/>
          <w:lang w:val="sr-Latn-ME"/>
        </w:rPr>
        <w:t xml:space="preserve">Pri započinjanju primjene ljekova koji mogu akutno oštetiti funkciju bubrega (kao što su antihipertenzivi, diuretici i nesteroidni antiinflamatorni ljekovi [NSAIL]) kod pacijenata koji se liječe metforminom potreban je oprez. Drugi faktori rizika za nastanak laktatne acidoze jesu prekomjerni unos alkohola, </w:t>
      </w:r>
      <w:r w:rsidR="00DD5AA1" w:rsidRPr="009F254D">
        <w:rPr>
          <w:rFonts w:eastAsia="SimSun"/>
          <w:sz w:val="22"/>
          <w:szCs w:val="22"/>
          <w:lang w:val="sr-Latn-ME"/>
        </w:rPr>
        <w:t xml:space="preserve">insuficijencija </w:t>
      </w:r>
      <w:r w:rsidRPr="009F254D">
        <w:rPr>
          <w:rFonts w:eastAsia="SimSun"/>
          <w:sz w:val="22"/>
          <w:szCs w:val="22"/>
          <w:lang w:val="sr-Latn-ME"/>
        </w:rPr>
        <w:t xml:space="preserve">jetre, neadekvatno kontrolisan dijabetes, ketoza, dugotrajno gladovanje i svako </w:t>
      </w:r>
      <w:r w:rsidRPr="009F254D">
        <w:rPr>
          <w:rFonts w:eastAsia="SimSun"/>
          <w:sz w:val="22"/>
          <w:szCs w:val="22"/>
          <w:lang w:val="sr-Latn-ME"/>
        </w:rPr>
        <w:lastRenderedPageBreak/>
        <w:t xml:space="preserve">stanje koje se dovodi u vezu sa hipoksijom, kao i </w:t>
      </w:r>
      <w:r w:rsidR="00DD5AA1" w:rsidRPr="009F254D">
        <w:rPr>
          <w:rFonts w:eastAsia="SimSun"/>
          <w:sz w:val="22"/>
          <w:szCs w:val="22"/>
          <w:lang w:val="sr-Latn-ME"/>
        </w:rPr>
        <w:t xml:space="preserve">istovremena </w:t>
      </w:r>
      <w:r w:rsidRPr="009F254D">
        <w:rPr>
          <w:rFonts w:eastAsia="SimSun"/>
          <w:sz w:val="22"/>
          <w:szCs w:val="22"/>
          <w:lang w:val="sr-Latn-ME"/>
        </w:rPr>
        <w:t xml:space="preserve">primjena ljekova koji mogu prouzrokovati laktatnu acidozu (pogledati </w:t>
      </w:r>
      <w:r w:rsidR="00DD5AA1" w:rsidRPr="009F254D">
        <w:rPr>
          <w:rFonts w:eastAsia="SimSun"/>
          <w:sz w:val="22"/>
          <w:szCs w:val="22"/>
          <w:lang w:val="sr-Latn-ME"/>
        </w:rPr>
        <w:t xml:space="preserve">djelove </w:t>
      </w:r>
      <w:r w:rsidRPr="009F254D">
        <w:rPr>
          <w:rFonts w:eastAsia="SimSun"/>
          <w:sz w:val="22"/>
          <w:szCs w:val="22"/>
          <w:lang w:val="sr-Latn-ME"/>
        </w:rPr>
        <w:t>4.3</w:t>
      </w:r>
      <w:r w:rsidR="00DD5AA1" w:rsidRPr="009F254D">
        <w:rPr>
          <w:rFonts w:eastAsia="SimSun"/>
          <w:sz w:val="22"/>
          <w:szCs w:val="22"/>
          <w:lang w:val="sr-Latn-ME"/>
        </w:rPr>
        <w:t>.</w:t>
      </w:r>
      <w:r w:rsidRPr="009F254D">
        <w:rPr>
          <w:rFonts w:eastAsia="SimSun"/>
          <w:sz w:val="22"/>
          <w:szCs w:val="22"/>
          <w:lang w:val="sr-Latn-ME"/>
        </w:rPr>
        <w:t xml:space="preserve"> i 4.5).</w:t>
      </w:r>
    </w:p>
    <w:p w14:paraId="44BA868A" w14:textId="77777777" w:rsidR="00BA57F1" w:rsidRPr="009F254D" w:rsidRDefault="00BA57F1" w:rsidP="00FA635D">
      <w:pPr>
        <w:tabs>
          <w:tab w:val="left" w:pos="284"/>
        </w:tabs>
        <w:autoSpaceDE w:val="0"/>
        <w:autoSpaceDN w:val="0"/>
        <w:adjustRightInd w:val="0"/>
        <w:jc w:val="both"/>
        <w:rPr>
          <w:rFonts w:eastAsia="SimSun"/>
          <w:sz w:val="22"/>
          <w:szCs w:val="22"/>
          <w:lang w:val="sr-Latn-ME"/>
        </w:rPr>
      </w:pPr>
    </w:p>
    <w:p w14:paraId="7C472BE3" w14:textId="2E6C8AA3" w:rsidR="00BA57F1" w:rsidRPr="009F254D" w:rsidRDefault="00BA57F1" w:rsidP="00FA635D">
      <w:pPr>
        <w:tabs>
          <w:tab w:val="left" w:pos="284"/>
        </w:tabs>
        <w:jc w:val="both"/>
        <w:rPr>
          <w:iCs/>
          <w:sz w:val="22"/>
          <w:szCs w:val="22"/>
          <w:lang w:val="sr-Latn-ME"/>
        </w:rPr>
      </w:pPr>
      <w:r w:rsidRPr="009F254D">
        <w:rPr>
          <w:sz w:val="22"/>
          <w:szCs w:val="22"/>
          <w:lang w:val="sr-Latn-ME"/>
        </w:rPr>
        <w:t xml:space="preserve">Pacijenti odnosno njegovatelji moraju da budu upoznati sa rizicima od nastanka laktatne acidoze. Laktatnu acidozu karakteriše acidozna dispneja, bol u abdomenu, grčevi u mišićima, astenija i hipotermija nakon koje nastupa koma. U slučaju sumnje na simptome, pacijent treba da prestane da uzima lijek Xigduo i </w:t>
      </w:r>
      <w:r w:rsidR="00DD5AA1" w:rsidRPr="009F254D">
        <w:rPr>
          <w:sz w:val="22"/>
          <w:szCs w:val="22"/>
          <w:lang w:val="sr-Latn-ME"/>
        </w:rPr>
        <w:t xml:space="preserve">da </w:t>
      </w:r>
      <w:r w:rsidRPr="009F254D">
        <w:rPr>
          <w:sz w:val="22"/>
          <w:szCs w:val="22"/>
          <w:lang w:val="sr-Latn-ME"/>
        </w:rPr>
        <w:t>odmah potraži ljekarsku pomoć. Dijagnostički laboratorijski nalazi pokazuju snižene pH vrijednosti krvi (&lt; 7,35), povišene nivoe laktata u plazmi (&gt; 5 mmol/l) i povećanu anjonsku prazninu i odnos laktati/piruvati.</w:t>
      </w:r>
    </w:p>
    <w:p w14:paraId="516B9235" w14:textId="77777777" w:rsidR="00BA57F1" w:rsidRPr="009F254D" w:rsidRDefault="00BA57F1" w:rsidP="00FA635D">
      <w:pPr>
        <w:tabs>
          <w:tab w:val="left" w:pos="284"/>
        </w:tabs>
        <w:jc w:val="both"/>
        <w:rPr>
          <w:iCs/>
          <w:noProof/>
          <w:sz w:val="22"/>
          <w:szCs w:val="22"/>
          <w:lang w:val="sr-Latn-ME"/>
        </w:rPr>
      </w:pPr>
    </w:p>
    <w:p w14:paraId="26D4E714" w14:textId="150F4A30" w:rsidR="00BA57F1" w:rsidRPr="009F254D" w:rsidRDefault="001B0D90" w:rsidP="00FA635D">
      <w:pPr>
        <w:keepNext/>
        <w:keepLines/>
        <w:tabs>
          <w:tab w:val="left" w:pos="284"/>
        </w:tabs>
        <w:jc w:val="both"/>
        <w:rPr>
          <w:iCs/>
          <w:noProof/>
          <w:sz w:val="22"/>
          <w:szCs w:val="22"/>
          <w:u w:val="single"/>
          <w:lang w:val="sr-Latn-ME"/>
        </w:rPr>
      </w:pPr>
      <w:r w:rsidRPr="009F254D">
        <w:rPr>
          <w:noProof/>
          <w:sz w:val="22"/>
          <w:szCs w:val="22"/>
          <w:u w:val="single"/>
          <w:lang w:val="sr-Latn-ME"/>
        </w:rPr>
        <w:t>Funkcija bubrega</w:t>
      </w:r>
    </w:p>
    <w:p w14:paraId="50B1AC5A" w14:textId="3055E4D7" w:rsidR="00BA57F1" w:rsidRPr="009F254D" w:rsidRDefault="00442673" w:rsidP="00FA635D">
      <w:pPr>
        <w:tabs>
          <w:tab w:val="left" w:pos="284"/>
        </w:tabs>
        <w:jc w:val="both"/>
        <w:rPr>
          <w:iCs/>
          <w:noProof/>
          <w:sz w:val="22"/>
          <w:szCs w:val="22"/>
          <w:lang w:val="sr-Latn-ME"/>
        </w:rPr>
      </w:pPr>
      <w:r>
        <w:rPr>
          <w:noProof/>
          <w:sz w:val="22"/>
          <w:szCs w:val="22"/>
          <w:lang w:val="sr-Latn-ME"/>
        </w:rPr>
        <w:t>E</w:t>
      </w:r>
      <w:r w:rsidR="00BA57F1" w:rsidRPr="009F254D">
        <w:rPr>
          <w:noProof/>
          <w:sz w:val="22"/>
          <w:szCs w:val="22"/>
          <w:lang w:val="sr-Latn-ME"/>
        </w:rPr>
        <w:t xml:space="preserve">fikasnost dapagliflozina </w:t>
      </w:r>
      <w:r w:rsidRPr="00442673">
        <w:rPr>
          <w:noProof/>
          <w:sz w:val="22"/>
          <w:szCs w:val="22"/>
          <w:lang w:val="sr-Latn-ME"/>
        </w:rPr>
        <w:t xml:space="preserve">u snižavanju glukoze </w:t>
      </w:r>
      <w:r w:rsidR="00BA57F1" w:rsidRPr="009F254D">
        <w:rPr>
          <w:noProof/>
          <w:sz w:val="22"/>
          <w:szCs w:val="22"/>
          <w:lang w:val="sr-Latn-ME"/>
        </w:rPr>
        <w:t xml:space="preserve">zavisi od funkcije bubrega, a smanjena kod pacijenata koji imaju i </w:t>
      </w:r>
      <w:r w:rsidRPr="00442673">
        <w:rPr>
          <w:noProof/>
          <w:sz w:val="22"/>
          <w:szCs w:val="22"/>
          <w:lang w:val="sr-Latn-ME"/>
        </w:rPr>
        <w:t>brzinu glomerularne filtracije (GFR) &lt; 45ml/min</w:t>
      </w:r>
      <w:r>
        <w:rPr>
          <w:noProof/>
          <w:sz w:val="22"/>
          <w:szCs w:val="22"/>
          <w:lang w:val="sr-Latn-ME"/>
        </w:rPr>
        <w:t>,</w:t>
      </w:r>
      <w:r w:rsidRPr="00442673">
        <w:rPr>
          <w:noProof/>
          <w:sz w:val="22"/>
          <w:szCs w:val="22"/>
          <w:lang w:val="sr-Latn-ME"/>
        </w:rPr>
        <w:t xml:space="preserve"> </w:t>
      </w:r>
      <w:r>
        <w:rPr>
          <w:noProof/>
          <w:sz w:val="22"/>
          <w:szCs w:val="22"/>
          <w:lang w:val="sr-Latn-ME"/>
        </w:rPr>
        <w:t xml:space="preserve"> </w:t>
      </w:r>
      <w:r w:rsidR="00BA57F1" w:rsidRPr="009F254D">
        <w:rPr>
          <w:noProof/>
          <w:sz w:val="22"/>
          <w:szCs w:val="22"/>
          <w:lang w:val="sr-Latn-ME"/>
        </w:rPr>
        <w:t xml:space="preserve">najvjerovatnije odsutna kod pacijenata sa teškom </w:t>
      </w:r>
      <w:r w:rsidR="001B0D90" w:rsidRPr="009F254D">
        <w:rPr>
          <w:noProof/>
          <w:sz w:val="22"/>
          <w:szCs w:val="22"/>
          <w:lang w:val="sr-Latn-ME"/>
        </w:rPr>
        <w:t xml:space="preserve">insuficijencijom </w:t>
      </w:r>
      <w:r w:rsidR="00BA57F1" w:rsidRPr="002D523B">
        <w:rPr>
          <w:noProof/>
          <w:sz w:val="22"/>
          <w:szCs w:val="22"/>
          <w:lang w:val="sr-Latn-ME"/>
        </w:rPr>
        <w:t>bubre</w:t>
      </w:r>
      <w:r w:rsidR="00EF0F2B" w:rsidRPr="002D523B">
        <w:rPr>
          <w:noProof/>
          <w:sz w:val="22"/>
          <w:szCs w:val="22"/>
          <w:lang w:val="sr-Latn-ME"/>
        </w:rPr>
        <w:t>ga</w:t>
      </w:r>
      <w:r w:rsidR="008264B5" w:rsidRPr="0014766F">
        <w:rPr>
          <w:sz w:val="22"/>
          <w:szCs w:val="22"/>
          <w:lang w:val="sr-Latn-ME"/>
        </w:rPr>
        <w:t xml:space="preserve"> (</w:t>
      </w:r>
      <w:proofErr w:type="spellStart"/>
      <w:r w:rsidR="008264B5" w:rsidRPr="0014766F">
        <w:rPr>
          <w:sz w:val="22"/>
          <w:szCs w:val="22"/>
        </w:rPr>
        <w:t>videti</w:t>
      </w:r>
      <w:proofErr w:type="spellEnd"/>
      <w:r w:rsidR="008264B5" w:rsidRPr="0014766F">
        <w:rPr>
          <w:sz w:val="22"/>
          <w:szCs w:val="22"/>
          <w:lang w:val="sr-Latn-ME"/>
        </w:rPr>
        <w:t xml:space="preserve"> </w:t>
      </w:r>
      <w:proofErr w:type="spellStart"/>
      <w:r w:rsidR="008264B5" w:rsidRPr="0014766F">
        <w:rPr>
          <w:sz w:val="22"/>
          <w:szCs w:val="22"/>
        </w:rPr>
        <w:t>djelove</w:t>
      </w:r>
      <w:proofErr w:type="spellEnd"/>
      <w:r w:rsidR="008264B5" w:rsidRPr="0014766F">
        <w:rPr>
          <w:sz w:val="22"/>
          <w:szCs w:val="22"/>
          <w:lang w:val="sr-Latn-ME"/>
        </w:rPr>
        <w:t xml:space="preserve">  4.2, 5.1 </w:t>
      </w:r>
      <w:proofErr w:type="spellStart"/>
      <w:r w:rsidR="008264B5" w:rsidRPr="0014766F">
        <w:rPr>
          <w:sz w:val="22"/>
          <w:szCs w:val="22"/>
        </w:rPr>
        <w:t>i</w:t>
      </w:r>
      <w:proofErr w:type="spellEnd"/>
      <w:r w:rsidR="008264B5" w:rsidRPr="0014766F">
        <w:rPr>
          <w:sz w:val="22"/>
          <w:szCs w:val="22"/>
          <w:lang w:val="sr-Latn-ME"/>
        </w:rPr>
        <w:t xml:space="preserve"> 5.2</w:t>
      </w:r>
      <w:r w:rsidR="000338EF" w:rsidRPr="0014766F">
        <w:rPr>
          <w:sz w:val="22"/>
          <w:szCs w:val="22"/>
          <w:lang w:val="sr-Latn-ME"/>
        </w:rPr>
        <w:t>).</w:t>
      </w:r>
    </w:p>
    <w:p w14:paraId="4B2DDA7A" w14:textId="77777777" w:rsidR="00BA57F1" w:rsidRPr="009F254D" w:rsidRDefault="00BA57F1" w:rsidP="00FA635D">
      <w:pPr>
        <w:tabs>
          <w:tab w:val="left" w:pos="284"/>
        </w:tabs>
        <w:jc w:val="both"/>
        <w:rPr>
          <w:iCs/>
          <w:noProof/>
          <w:sz w:val="22"/>
          <w:szCs w:val="22"/>
          <w:lang w:val="sr-Latn-ME"/>
        </w:rPr>
      </w:pPr>
    </w:p>
    <w:p w14:paraId="392355BC" w14:textId="1EB6D184" w:rsidR="00BA57F1" w:rsidRPr="009F254D" w:rsidDel="00902208" w:rsidRDefault="00BA57F1" w:rsidP="00FA635D">
      <w:pPr>
        <w:tabs>
          <w:tab w:val="left" w:pos="284"/>
        </w:tabs>
        <w:jc w:val="both"/>
        <w:rPr>
          <w:iCs/>
          <w:noProof/>
          <w:sz w:val="22"/>
          <w:szCs w:val="22"/>
          <w:lang w:val="sr-Latn-ME"/>
        </w:rPr>
      </w:pPr>
      <w:r w:rsidRPr="009F254D">
        <w:rPr>
          <w:noProof/>
          <w:sz w:val="22"/>
          <w:szCs w:val="22"/>
          <w:lang w:val="sr-Latn-ME"/>
        </w:rPr>
        <w:t xml:space="preserve">Metformin se izlučuje putem bubrega, a umjerena do teška </w:t>
      </w:r>
      <w:r w:rsidR="00EF0F2B" w:rsidRPr="009F254D">
        <w:rPr>
          <w:noProof/>
          <w:sz w:val="22"/>
          <w:szCs w:val="22"/>
          <w:lang w:val="sr-Latn-ME"/>
        </w:rPr>
        <w:t xml:space="preserve">insuficijencija </w:t>
      </w:r>
      <w:r w:rsidRPr="009F254D">
        <w:rPr>
          <w:noProof/>
          <w:sz w:val="22"/>
          <w:szCs w:val="22"/>
          <w:lang w:val="sr-Latn-ME"/>
        </w:rPr>
        <w:t>bubre</w:t>
      </w:r>
      <w:r w:rsidR="00EF0F2B" w:rsidRPr="009F254D">
        <w:rPr>
          <w:noProof/>
          <w:sz w:val="22"/>
          <w:szCs w:val="22"/>
          <w:lang w:val="sr-Latn-ME"/>
        </w:rPr>
        <w:t>ga</w:t>
      </w:r>
      <w:r w:rsidRPr="009F254D">
        <w:rPr>
          <w:noProof/>
          <w:sz w:val="22"/>
          <w:szCs w:val="22"/>
          <w:lang w:val="sr-Latn-ME"/>
        </w:rPr>
        <w:t xml:space="preserve"> povećava rizik od nastanka laktatne acidoze (pogledati </w:t>
      </w:r>
      <w:r w:rsidR="00EF0F2B" w:rsidRPr="009F254D">
        <w:rPr>
          <w:noProof/>
          <w:sz w:val="22"/>
          <w:szCs w:val="22"/>
          <w:lang w:val="sr-Latn-ME"/>
        </w:rPr>
        <w:t xml:space="preserve">dio </w:t>
      </w:r>
      <w:r w:rsidRPr="009F254D">
        <w:rPr>
          <w:noProof/>
          <w:sz w:val="22"/>
          <w:szCs w:val="22"/>
          <w:lang w:val="sr-Latn-ME"/>
        </w:rPr>
        <w:t xml:space="preserve">4.4). </w:t>
      </w:r>
    </w:p>
    <w:p w14:paraId="1B9CD7DA" w14:textId="77777777" w:rsidR="00BA57F1" w:rsidRPr="009F254D" w:rsidRDefault="00BA57F1" w:rsidP="00FA635D">
      <w:pPr>
        <w:tabs>
          <w:tab w:val="left" w:pos="284"/>
        </w:tabs>
        <w:jc w:val="both"/>
        <w:rPr>
          <w:iCs/>
          <w:noProof/>
          <w:sz w:val="22"/>
          <w:szCs w:val="22"/>
          <w:lang w:val="sr-Latn-ME"/>
        </w:rPr>
      </w:pPr>
    </w:p>
    <w:p w14:paraId="1CAB7CA9" w14:textId="77777777" w:rsidR="00BA57F1" w:rsidRPr="009F254D" w:rsidRDefault="00BA57F1" w:rsidP="00FA635D">
      <w:pPr>
        <w:keepNext/>
        <w:keepLines/>
        <w:tabs>
          <w:tab w:val="left" w:pos="284"/>
        </w:tabs>
        <w:jc w:val="both"/>
        <w:rPr>
          <w:iCs/>
          <w:noProof/>
          <w:sz w:val="22"/>
          <w:szCs w:val="22"/>
          <w:lang w:val="sr-Latn-ME"/>
        </w:rPr>
      </w:pPr>
      <w:r w:rsidRPr="009F254D">
        <w:rPr>
          <w:noProof/>
          <w:sz w:val="22"/>
          <w:szCs w:val="22"/>
          <w:lang w:val="sr-Latn-ME"/>
        </w:rPr>
        <w:t>Funkciju bubrega treba procijeniti:</w:t>
      </w:r>
    </w:p>
    <w:p w14:paraId="79DA2DFE" w14:textId="437330D3" w:rsidR="00BA57F1" w:rsidRPr="009F254D" w:rsidRDefault="00BA57F1" w:rsidP="00FA635D">
      <w:pPr>
        <w:pStyle w:val="ListParagraph"/>
        <w:numPr>
          <w:ilvl w:val="0"/>
          <w:numId w:val="13"/>
        </w:numPr>
        <w:tabs>
          <w:tab w:val="left" w:pos="284"/>
        </w:tabs>
        <w:jc w:val="both"/>
        <w:rPr>
          <w:iCs/>
          <w:noProof/>
          <w:sz w:val="22"/>
          <w:szCs w:val="22"/>
          <w:lang w:val="sr-Latn-ME"/>
        </w:rPr>
      </w:pPr>
      <w:r w:rsidRPr="009F254D">
        <w:rPr>
          <w:noProof/>
          <w:sz w:val="22"/>
          <w:szCs w:val="22"/>
          <w:lang w:val="sr-Latn-ME"/>
        </w:rPr>
        <w:t xml:space="preserve">Prije početka liječenja i redovno nakon toga (pogledati </w:t>
      </w:r>
      <w:r w:rsidR="000338EF" w:rsidRPr="009F254D">
        <w:rPr>
          <w:noProof/>
          <w:sz w:val="22"/>
          <w:szCs w:val="22"/>
          <w:lang w:val="sr-Latn-ME"/>
        </w:rPr>
        <w:t>d</w:t>
      </w:r>
      <w:r w:rsidR="000338EF">
        <w:rPr>
          <w:noProof/>
          <w:sz w:val="22"/>
          <w:szCs w:val="22"/>
          <w:lang w:val="sr-Latn-ME"/>
        </w:rPr>
        <w:t>io</w:t>
      </w:r>
      <w:r w:rsidR="000338EF" w:rsidRPr="009F254D">
        <w:rPr>
          <w:noProof/>
          <w:sz w:val="22"/>
          <w:szCs w:val="22"/>
          <w:lang w:val="sr-Latn-ME"/>
        </w:rPr>
        <w:t xml:space="preserve"> </w:t>
      </w:r>
      <w:r w:rsidRPr="009F254D">
        <w:rPr>
          <w:noProof/>
          <w:sz w:val="22"/>
          <w:szCs w:val="22"/>
          <w:lang w:val="sr-Latn-ME"/>
        </w:rPr>
        <w:t>4.2).</w:t>
      </w:r>
    </w:p>
    <w:p w14:paraId="6BC5FB55" w14:textId="5361DCA4" w:rsidR="00BA57F1" w:rsidRPr="009F254D" w:rsidRDefault="00BA57F1" w:rsidP="00FA635D">
      <w:pPr>
        <w:pStyle w:val="ListParagraph"/>
        <w:numPr>
          <w:ilvl w:val="0"/>
          <w:numId w:val="13"/>
        </w:numPr>
        <w:tabs>
          <w:tab w:val="left" w:pos="284"/>
        </w:tabs>
        <w:jc w:val="both"/>
        <w:rPr>
          <w:iCs/>
          <w:noProof/>
          <w:sz w:val="22"/>
          <w:szCs w:val="22"/>
          <w:lang w:val="sr-Latn-ME"/>
        </w:rPr>
      </w:pPr>
      <w:r w:rsidRPr="009F254D">
        <w:rPr>
          <w:sz w:val="22"/>
          <w:szCs w:val="22"/>
          <w:lang w:val="sr-Latn-ME"/>
        </w:rPr>
        <w:t xml:space="preserve">Metformin </w:t>
      </w:r>
      <w:r w:rsidRPr="009F254D">
        <w:rPr>
          <w:noProof/>
          <w:sz w:val="22"/>
          <w:szCs w:val="22"/>
          <w:lang w:val="sr-Latn-ME"/>
        </w:rPr>
        <w:t xml:space="preserve">je kontraindikovan kod pacijenata s vrijednostima GFR manjim od 30 ml/min i njegovu primjenu treba privremeno prekinuti ako su prisutna stanja koja mijenjaju funkciju bubrega (pogledati </w:t>
      </w:r>
      <w:r w:rsidR="00EF0F2B" w:rsidRPr="009F254D">
        <w:rPr>
          <w:noProof/>
          <w:sz w:val="22"/>
          <w:szCs w:val="22"/>
          <w:lang w:val="sr-Latn-ME"/>
        </w:rPr>
        <w:t xml:space="preserve">dio </w:t>
      </w:r>
      <w:r w:rsidRPr="009F254D">
        <w:rPr>
          <w:noProof/>
          <w:sz w:val="22"/>
          <w:szCs w:val="22"/>
          <w:lang w:val="sr-Latn-ME"/>
        </w:rPr>
        <w:t>4.3).</w:t>
      </w:r>
    </w:p>
    <w:p w14:paraId="2547CD96" w14:textId="77777777" w:rsidR="00BA57F1" w:rsidRPr="009F254D" w:rsidRDefault="00BA57F1" w:rsidP="00FA635D">
      <w:pPr>
        <w:tabs>
          <w:tab w:val="left" w:pos="284"/>
        </w:tabs>
        <w:ind w:left="90" w:hanging="90"/>
        <w:jc w:val="both"/>
        <w:rPr>
          <w:sz w:val="22"/>
          <w:szCs w:val="22"/>
          <w:lang w:val="sr-Latn-ME"/>
        </w:rPr>
      </w:pPr>
    </w:p>
    <w:p w14:paraId="4EA6C7F0" w14:textId="6C5A6D0C" w:rsidR="00BA57F1" w:rsidRPr="009F254D" w:rsidRDefault="00BA57F1" w:rsidP="00FA635D">
      <w:pPr>
        <w:tabs>
          <w:tab w:val="left" w:pos="284"/>
        </w:tabs>
        <w:jc w:val="both"/>
        <w:rPr>
          <w:iCs/>
          <w:noProof/>
          <w:sz w:val="22"/>
          <w:szCs w:val="22"/>
          <w:lang w:val="sr-Latn-ME"/>
        </w:rPr>
      </w:pPr>
      <w:r w:rsidRPr="009F254D">
        <w:rPr>
          <w:noProof/>
          <w:sz w:val="22"/>
          <w:szCs w:val="22"/>
          <w:lang w:val="sr-Latn-ME"/>
        </w:rPr>
        <w:t>Kod starijih osoba je smanjena bubrežna funkcija učestala i asimptomatska pojava. Potreban je poseban oprez u okolnostima kada može doći do oštećenja bubrežne funkcije, na primjer kada se uvodi liječenje antihipertenzivima ili diureticima ili kada se započinje s primjenom NSAIL ljekova.</w:t>
      </w:r>
    </w:p>
    <w:p w14:paraId="6F5110DC" w14:textId="77777777" w:rsidR="00BA57F1" w:rsidRPr="009F254D" w:rsidRDefault="00BA57F1" w:rsidP="00FA635D">
      <w:pPr>
        <w:tabs>
          <w:tab w:val="left" w:pos="284"/>
        </w:tabs>
        <w:jc w:val="both"/>
        <w:rPr>
          <w:iCs/>
          <w:noProof/>
          <w:sz w:val="22"/>
          <w:szCs w:val="22"/>
          <w:lang w:val="sr-Latn-ME"/>
        </w:rPr>
      </w:pPr>
    </w:p>
    <w:p w14:paraId="1400BD7D" w14:textId="2117A7D1" w:rsidR="00BA57F1" w:rsidRPr="009F254D" w:rsidRDefault="00BA57F1" w:rsidP="00FA635D">
      <w:pPr>
        <w:keepNext/>
        <w:keepLines/>
        <w:tabs>
          <w:tab w:val="left" w:pos="284"/>
        </w:tabs>
        <w:jc w:val="both"/>
        <w:rPr>
          <w:noProof/>
          <w:sz w:val="22"/>
          <w:szCs w:val="22"/>
          <w:lang w:val="sr-Latn-ME"/>
        </w:rPr>
      </w:pPr>
      <w:r w:rsidRPr="009F254D">
        <w:rPr>
          <w:noProof/>
          <w:sz w:val="22"/>
          <w:szCs w:val="22"/>
          <w:u w:val="single"/>
          <w:lang w:val="sr-Latn-ME"/>
        </w:rPr>
        <w:t xml:space="preserve">Primjena kod pacijenata </w:t>
      </w:r>
      <w:r w:rsidR="00EF0F2B" w:rsidRPr="009F254D">
        <w:rPr>
          <w:noProof/>
          <w:sz w:val="22"/>
          <w:szCs w:val="22"/>
          <w:u w:val="single"/>
          <w:lang w:val="sr-Latn-ME"/>
        </w:rPr>
        <w:t xml:space="preserve">kod kojih postoji </w:t>
      </w:r>
      <w:r w:rsidRPr="009F254D">
        <w:rPr>
          <w:noProof/>
          <w:sz w:val="22"/>
          <w:szCs w:val="22"/>
          <w:u w:val="single"/>
          <w:lang w:val="sr-Latn-ME"/>
        </w:rPr>
        <w:t xml:space="preserve">rizik od smanjenja zapremine tečnosti </w:t>
      </w:r>
      <w:r w:rsidR="00EF0F2B" w:rsidRPr="009F254D">
        <w:rPr>
          <w:noProof/>
          <w:sz w:val="22"/>
          <w:szCs w:val="22"/>
          <w:u w:val="single"/>
          <w:lang w:val="sr-Latn-ME"/>
        </w:rPr>
        <w:t xml:space="preserve">i/ili </w:t>
      </w:r>
      <w:r w:rsidRPr="009F254D">
        <w:rPr>
          <w:noProof/>
          <w:sz w:val="22"/>
          <w:szCs w:val="22"/>
          <w:u w:val="single"/>
          <w:lang w:val="sr-Latn-ME"/>
        </w:rPr>
        <w:t>hipotenzije</w:t>
      </w:r>
    </w:p>
    <w:p w14:paraId="7B7217BC" w14:textId="238DC6BB" w:rsidR="00BA57F1" w:rsidRPr="009F254D" w:rsidRDefault="00BA57F1" w:rsidP="00FA635D">
      <w:pPr>
        <w:tabs>
          <w:tab w:val="left" w:pos="284"/>
        </w:tabs>
        <w:jc w:val="both"/>
        <w:rPr>
          <w:noProof/>
          <w:sz w:val="22"/>
          <w:szCs w:val="22"/>
          <w:lang w:val="sr-Latn-ME"/>
        </w:rPr>
      </w:pPr>
      <w:r w:rsidRPr="009F254D">
        <w:rPr>
          <w:noProof/>
          <w:sz w:val="22"/>
          <w:szCs w:val="22"/>
          <w:lang w:val="sr-Latn-ME"/>
        </w:rPr>
        <w:t xml:space="preserve">Zbog svog mehanizma dejstva, dapagliflozin povećava diurezu, što može dovesti do umjerenog sniženja krvnog pritiska zabilježenog u kliničkim studijama (pogledati </w:t>
      </w:r>
      <w:r w:rsidR="00EF0F2B" w:rsidRPr="009F254D">
        <w:rPr>
          <w:noProof/>
          <w:sz w:val="22"/>
          <w:szCs w:val="22"/>
          <w:lang w:val="sr-Latn-ME"/>
        </w:rPr>
        <w:t xml:space="preserve">dio </w:t>
      </w:r>
      <w:r w:rsidRPr="009F254D">
        <w:rPr>
          <w:noProof/>
          <w:sz w:val="22"/>
          <w:szCs w:val="22"/>
          <w:lang w:val="sr-Latn-ME"/>
        </w:rPr>
        <w:t>5.1). Ono može biti izraženije kod pacijenata sa visokim koncentracijama glukoze u krvi.</w:t>
      </w:r>
    </w:p>
    <w:p w14:paraId="63057165" w14:textId="77777777" w:rsidR="00BA57F1" w:rsidRPr="009F254D" w:rsidRDefault="00BA57F1" w:rsidP="00FA635D">
      <w:pPr>
        <w:tabs>
          <w:tab w:val="left" w:pos="284"/>
        </w:tabs>
        <w:jc w:val="both"/>
        <w:rPr>
          <w:noProof/>
          <w:sz w:val="22"/>
          <w:szCs w:val="22"/>
          <w:lang w:val="sr-Latn-ME"/>
        </w:rPr>
      </w:pPr>
    </w:p>
    <w:p w14:paraId="62DC1152" w14:textId="77777777" w:rsidR="00BA57F1" w:rsidRPr="009F254D" w:rsidRDefault="00BA57F1" w:rsidP="00FA635D">
      <w:pPr>
        <w:tabs>
          <w:tab w:val="left" w:pos="284"/>
        </w:tabs>
        <w:jc w:val="both"/>
        <w:rPr>
          <w:noProof/>
          <w:sz w:val="22"/>
          <w:szCs w:val="22"/>
          <w:lang w:val="sr-Latn-ME"/>
        </w:rPr>
      </w:pPr>
      <w:r w:rsidRPr="009F254D">
        <w:rPr>
          <w:noProof/>
          <w:sz w:val="22"/>
          <w:szCs w:val="22"/>
          <w:lang w:val="sr-Latn-ME"/>
        </w:rPr>
        <w:t>Treba postupati oprezno kod pacijenata za koje pad krvnog pritiska izazvan dapagliflozinom može predstavljati rizik, kao što su pacijenti na antihipertenzivnoj terapiji sa hipotenzijom u anamnezi ili stariji pacijenti.</w:t>
      </w:r>
    </w:p>
    <w:p w14:paraId="2F916AA1" w14:textId="77777777" w:rsidR="00BA57F1" w:rsidRPr="009F254D" w:rsidRDefault="00BA57F1" w:rsidP="00FA635D">
      <w:pPr>
        <w:tabs>
          <w:tab w:val="left" w:pos="284"/>
        </w:tabs>
        <w:jc w:val="both"/>
        <w:rPr>
          <w:noProof/>
          <w:sz w:val="22"/>
          <w:szCs w:val="22"/>
          <w:lang w:val="sr-Latn-ME"/>
        </w:rPr>
      </w:pPr>
    </w:p>
    <w:p w14:paraId="78B47548" w14:textId="497C8209" w:rsidR="00BA57F1" w:rsidRPr="009F254D" w:rsidRDefault="00BA57F1" w:rsidP="00FA635D">
      <w:pPr>
        <w:tabs>
          <w:tab w:val="left" w:pos="284"/>
        </w:tabs>
        <w:jc w:val="both"/>
        <w:rPr>
          <w:noProof/>
          <w:sz w:val="22"/>
          <w:szCs w:val="22"/>
          <w:lang w:val="sr-Latn-ME"/>
        </w:rPr>
      </w:pPr>
      <w:r w:rsidRPr="009F254D">
        <w:rPr>
          <w:noProof/>
          <w:sz w:val="22"/>
          <w:szCs w:val="22"/>
          <w:lang w:val="sr-Latn-ME"/>
        </w:rPr>
        <w:t>U slučaju interkurentnih stanja koja mogu da dovedu do smanjenja zapremine tečnosti (npr. gastrointestinalno oboljenj</w:t>
      </w:r>
      <w:r w:rsidR="00EF0F2B" w:rsidRPr="009F254D">
        <w:rPr>
          <w:noProof/>
          <w:sz w:val="22"/>
          <w:szCs w:val="22"/>
          <w:lang w:val="sr-Latn-ME"/>
        </w:rPr>
        <w:t>e</w:t>
      </w:r>
      <w:r w:rsidRPr="009F254D">
        <w:rPr>
          <w:noProof/>
          <w:sz w:val="22"/>
          <w:szCs w:val="22"/>
          <w:lang w:val="sr-Latn-ME"/>
        </w:rPr>
        <w:t xml:space="preserve">), preporučuje se pažljivo praćenje statusa zapremine (npr. fizikalni pregled, mjerenja krvnog pritiska, laboratorijske analize uključujući i hematokrit i elektrolite). Kod pacijenata kod kojih se javi smanjenje zapremine tečnosti, preporučuje se privremeni prekid terapije ovim lijekom dok se zapremina ne koriguje (vidjeti </w:t>
      </w:r>
      <w:r w:rsidR="009A5780" w:rsidRPr="009F254D">
        <w:rPr>
          <w:noProof/>
          <w:sz w:val="22"/>
          <w:szCs w:val="22"/>
          <w:lang w:val="sr-Latn-ME"/>
        </w:rPr>
        <w:t>dio </w:t>
      </w:r>
      <w:r w:rsidRPr="009F254D">
        <w:rPr>
          <w:noProof/>
          <w:sz w:val="22"/>
          <w:szCs w:val="22"/>
          <w:lang w:val="sr-Latn-ME"/>
        </w:rPr>
        <w:t>4.8).</w:t>
      </w:r>
    </w:p>
    <w:p w14:paraId="3E044058" w14:textId="77777777" w:rsidR="00BA57F1" w:rsidRPr="009F254D" w:rsidRDefault="00BA57F1" w:rsidP="00FA635D">
      <w:pPr>
        <w:tabs>
          <w:tab w:val="left" w:pos="284"/>
        </w:tabs>
        <w:jc w:val="both"/>
        <w:rPr>
          <w:noProof/>
          <w:sz w:val="22"/>
          <w:szCs w:val="22"/>
          <w:lang w:val="sr-Latn-ME"/>
        </w:rPr>
      </w:pPr>
    </w:p>
    <w:p w14:paraId="44254D1B" w14:textId="77777777" w:rsidR="00BA57F1" w:rsidRPr="009F254D" w:rsidRDefault="00BA57F1" w:rsidP="00FA635D">
      <w:pPr>
        <w:keepNext/>
        <w:keepLines/>
        <w:tabs>
          <w:tab w:val="left" w:pos="284"/>
        </w:tabs>
        <w:jc w:val="both"/>
        <w:rPr>
          <w:rFonts w:eastAsia="MS Mincho"/>
          <w:bCs/>
          <w:sz w:val="22"/>
          <w:szCs w:val="22"/>
          <w:u w:val="single"/>
          <w:lang w:val="sr-Latn-ME"/>
        </w:rPr>
      </w:pPr>
      <w:r w:rsidRPr="009F254D">
        <w:rPr>
          <w:rFonts w:eastAsia="MS Mincho"/>
          <w:sz w:val="22"/>
          <w:szCs w:val="22"/>
          <w:u w:val="single"/>
          <w:lang w:val="sr-Latn-ME"/>
        </w:rPr>
        <w:t>Dijabetesna ketoacidoza</w:t>
      </w:r>
    </w:p>
    <w:p w14:paraId="28FF160C" w14:textId="3524F18F" w:rsidR="00626E22" w:rsidRPr="009F254D" w:rsidRDefault="00BA57F1" w:rsidP="00FA635D">
      <w:pPr>
        <w:tabs>
          <w:tab w:val="left" w:pos="284"/>
        </w:tabs>
        <w:jc w:val="both"/>
        <w:rPr>
          <w:rFonts w:eastAsia="MS Mincho"/>
          <w:sz w:val="22"/>
          <w:szCs w:val="22"/>
          <w:lang w:val="sr-Latn-ME"/>
        </w:rPr>
      </w:pPr>
      <w:r w:rsidRPr="009F254D">
        <w:rPr>
          <w:rFonts w:eastAsia="MS Mincho"/>
          <w:sz w:val="22"/>
          <w:szCs w:val="22"/>
          <w:lang w:val="sr-Latn-ME"/>
        </w:rPr>
        <w:t>Rijetki slučajevi dijabetesne ketoacidoze (DKA), uključujući i slučajeve sa fatalnim ishodom ili one u kojima je život bio ugrožen, zabilježeni su kod pacijenata liječenih inhibitorima natrijum-glukoznog kotransportera 2 (</w:t>
      </w:r>
      <w:r w:rsidR="002D523B">
        <w:rPr>
          <w:rFonts w:eastAsia="MS Mincho"/>
          <w:sz w:val="22"/>
          <w:szCs w:val="22"/>
          <w:lang w:val="sr-Latn-ME"/>
        </w:rPr>
        <w:t xml:space="preserve">engl. </w:t>
      </w:r>
      <w:r w:rsidR="009A5780" w:rsidRPr="009F254D">
        <w:rPr>
          <w:rFonts w:eastAsia="MS Mincho"/>
          <w:i/>
          <w:sz w:val="22"/>
          <w:szCs w:val="22"/>
          <w:lang w:val="sr-Latn-ME"/>
        </w:rPr>
        <w:t>sodium-glucose co-transporter 2</w:t>
      </w:r>
      <w:r w:rsidR="009A5780" w:rsidRPr="009F254D">
        <w:rPr>
          <w:rFonts w:eastAsia="MS Mincho"/>
          <w:sz w:val="22"/>
          <w:szCs w:val="22"/>
          <w:lang w:val="sr-Latn-ME"/>
        </w:rPr>
        <w:t xml:space="preserve"> – </w:t>
      </w:r>
      <w:r w:rsidRPr="009F254D">
        <w:rPr>
          <w:rFonts w:eastAsia="MS Mincho"/>
          <w:sz w:val="22"/>
          <w:szCs w:val="22"/>
          <w:lang w:val="sr-Latn-ME"/>
        </w:rPr>
        <w:t>SGLT2), uključujući i dapagliflozin. U određenom broju slučajeva prezentacija stanja bila je atipična sa samo umjereno povišenim vrijednostima glukoze u krvi, ispod 14 mmol/l (250 mg/dl). Nije poznato da li je vjerovatnoća pojave DKA veća pri višim dozama dapagliflozina.</w:t>
      </w:r>
    </w:p>
    <w:p w14:paraId="7521410B" w14:textId="77777777" w:rsidR="0020748E" w:rsidRDefault="0020748E" w:rsidP="00FA635D">
      <w:pPr>
        <w:tabs>
          <w:tab w:val="left" w:pos="284"/>
        </w:tabs>
        <w:jc w:val="both"/>
        <w:rPr>
          <w:rFonts w:eastAsia="MS Mincho"/>
          <w:sz w:val="22"/>
          <w:szCs w:val="22"/>
          <w:lang w:val="sr-Latn-ME"/>
        </w:rPr>
      </w:pPr>
    </w:p>
    <w:p w14:paraId="674C2D90" w14:textId="4C2CFE36" w:rsidR="00BA57F1" w:rsidRPr="009F254D" w:rsidRDefault="00BA57F1" w:rsidP="00FA635D">
      <w:pPr>
        <w:tabs>
          <w:tab w:val="left" w:pos="284"/>
        </w:tabs>
        <w:jc w:val="both"/>
        <w:rPr>
          <w:rFonts w:eastAsia="MS Mincho"/>
          <w:sz w:val="22"/>
          <w:szCs w:val="22"/>
          <w:lang w:val="sr-Latn-ME"/>
        </w:rPr>
      </w:pPr>
      <w:r w:rsidRPr="009F254D">
        <w:rPr>
          <w:rFonts w:eastAsia="MS Mincho"/>
          <w:sz w:val="22"/>
          <w:szCs w:val="22"/>
          <w:lang w:val="sr-Latn-ME"/>
        </w:rPr>
        <w:t xml:space="preserve">U slučaju nespecifičnih simptoma kao što su mučnina, povraćanje, anoreksija, bol u stomaku, prekomjerna žeđ, otežano disanje, zbunjenost, neuobičajen umor ili pospanost, treba razmotriti rizik od dijabetesne ketoacidoze. </w:t>
      </w:r>
      <w:r w:rsidR="009A5780" w:rsidRPr="009F254D">
        <w:rPr>
          <w:rFonts w:eastAsia="MS Mincho"/>
          <w:sz w:val="22"/>
          <w:szCs w:val="22"/>
          <w:lang w:val="sr-Latn-ME"/>
        </w:rPr>
        <w:t>Kod p</w:t>
      </w:r>
      <w:r w:rsidRPr="009F254D">
        <w:rPr>
          <w:rFonts w:eastAsia="MS Mincho"/>
          <w:sz w:val="22"/>
          <w:szCs w:val="22"/>
          <w:lang w:val="sr-Latn-ME"/>
        </w:rPr>
        <w:t>acijen</w:t>
      </w:r>
      <w:r w:rsidR="009A5780" w:rsidRPr="009F254D">
        <w:rPr>
          <w:rFonts w:eastAsia="MS Mincho"/>
          <w:sz w:val="22"/>
          <w:szCs w:val="22"/>
          <w:lang w:val="sr-Latn-ME"/>
        </w:rPr>
        <w:t>ata</w:t>
      </w:r>
      <w:r w:rsidRPr="009F254D">
        <w:rPr>
          <w:rFonts w:eastAsia="MS Mincho"/>
          <w:sz w:val="22"/>
          <w:szCs w:val="22"/>
          <w:lang w:val="sr-Latn-ME"/>
        </w:rPr>
        <w:t xml:space="preserve"> </w:t>
      </w:r>
      <w:r w:rsidR="009A5780" w:rsidRPr="009F254D">
        <w:rPr>
          <w:rFonts w:eastAsia="MS Mincho"/>
          <w:sz w:val="22"/>
          <w:szCs w:val="22"/>
          <w:lang w:val="sr-Latn-ME"/>
        </w:rPr>
        <w:t xml:space="preserve">odmah </w:t>
      </w:r>
      <w:r w:rsidRPr="009F254D">
        <w:rPr>
          <w:rFonts w:eastAsia="MS Mincho"/>
          <w:sz w:val="22"/>
          <w:szCs w:val="22"/>
          <w:lang w:val="sr-Latn-ME"/>
        </w:rPr>
        <w:t xml:space="preserve">treba </w:t>
      </w:r>
      <w:r w:rsidR="009A5780" w:rsidRPr="009F254D">
        <w:rPr>
          <w:rFonts w:eastAsia="MS Mincho"/>
          <w:sz w:val="22"/>
          <w:szCs w:val="22"/>
          <w:lang w:val="sr-Latn-ME"/>
        </w:rPr>
        <w:t>utvrditi da li  se radi o</w:t>
      </w:r>
      <w:r w:rsidRPr="009F254D">
        <w:rPr>
          <w:rFonts w:eastAsia="MS Mincho"/>
          <w:sz w:val="22"/>
          <w:szCs w:val="22"/>
          <w:lang w:val="sr-Latn-ME"/>
        </w:rPr>
        <w:t xml:space="preserve"> ketoacidoz</w:t>
      </w:r>
      <w:r w:rsidR="009A5780" w:rsidRPr="009F254D">
        <w:rPr>
          <w:rFonts w:eastAsia="MS Mincho"/>
          <w:sz w:val="22"/>
          <w:szCs w:val="22"/>
          <w:lang w:val="sr-Latn-ME"/>
        </w:rPr>
        <w:t>i</w:t>
      </w:r>
      <w:r w:rsidRPr="009F254D">
        <w:rPr>
          <w:rFonts w:eastAsia="MS Mincho"/>
          <w:sz w:val="22"/>
          <w:szCs w:val="22"/>
          <w:lang w:val="sr-Latn-ME"/>
        </w:rPr>
        <w:t xml:space="preserve"> ukoliko se jave ti simptomi, bez obzira na nivo glukoze u krvi.</w:t>
      </w:r>
    </w:p>
    <w:p w14:paraId="707CDDED" w14:textId="77777777" w:rsidR="00BA57F1" w:rsidRPr="009F254D" w:rsidRDefault="00BA57F1" w:rsidP="00FA635D">
      <w:pPr>
        <w:tabs>
          <w:tab w:val="left" w:pos="284"/>
        </w:tabs>
        <w:jc w:val="both"/>
        <w:rPr>
          <w:rFonts w:eastAsia="MS Mincho"/>
          <w:sz w:val="22"/>
          <w:szCs w:val="22"/>
          <w:lang w:val="sr-Latn-ME"/>
        </w:rPr>
      </w:pPr>
    </w:p>
    <w:p w14:paraId="015ACD87" w14:textId="4842D284" w:rsidR="00BA57F1" w:rsidRPr="009F254D" w:rsidRDefault="00BA57F1" w:rsidP="00FA635D">
      <w:pPr>
        <w:tabs>
          <w:tab w:val="left" w:pos="284"/>
        </w:tabs>
        <w:jc w:val="both"/>
        <w:rPr>
          <w:rFonts w:eastAsia="MS Mincho"/>
          <w:sz w:val="22"/>
          <w:szCs w:val="22"/>
          <w:lang w:val="sr-Latn-ME"/>
        </w:rPr>
      </w:pPr>
      <w:r w:rsidRPr="009F254D">
        <w:rPr>
          <w:rFonts w:eastAsia="MS Mincho"/>
          <w:sz w:val="22"/>
          <w:szCs w:val="22"/>
          <w:lang w:val="sr-Latn-ME"/>
        </w:rPr>
        <w:lastRenderedPageBreak/>
        <w:t>Kod pacijenata kod kojih se postavi dijagnoza DKA</w:t>
      </w:r>
      <w:r w:rsidR="009A5780" w:rsidRPr="009F254D">
        <w:rPr>
          <w:rFonts w:eastAsia="MS Mincho"/>
          <w:sz w:val="22"/>
          <w:szCs w:val="22"/>
          <w:lang w:val="sr-Latn-ME"/>
        </w:rPr>
        <w:t>,</w:t>
      </w:r>
      <w:r w:rsidRPr="009F254D">
        <w:rPr>
          <w:rFonts w:eastAsia="MS Mincho"/>
          <w:sz w:val="22"/>
          <w:szCs w:val="22"/>
          <w:lang w:val="sr-Latn-ME"/>
        </w:rPr>
        <w:t xml:space="preserve"> ili se sumnja na ovo oboljenje</w:t>
      </w:r>
      <w:r w:rsidR="009A5780" w:rsidRPr="009F254D">
        <w:rPr>
          <w:rFonts w:eastAsia="MS Mincho"/>
          <w:sz w:val="22"/>
          <w:szCs w:val="22"/>
          <w:lang w:val="sr-Latn-ME"/>
        </w:rPr>
        <w:t>,</w:t>
      </w:r>
      <w:r w:rsidRPr="009F254D">
        <w:rPr>
          <w:rFonts w:eastAsia="MS Mincho"/>
          <w:sz w:val="22"/>
          <w:szCs w:val="22"/>
          <w:lang w:val="sr-Latn-ME"/>
        </w:rPr>
        <w:t xml:space="preserve"> treba odmah prekinuti terapiju dapagliflozinom.</w:t>
      </w:r>
    </w:p>
    <w:p w14:paraId="138B7469" w14:textId="77777777" w:rsidR="00BA57F1" w:rsidRPr="009F254D" w:rsidRDefault="00BA57F1" w:rsidP="00FA635D">
      <w:pPr>
        <w:tabs>
          <w:tab w:val="left" w:pos="284"/>
        </w:tabs>
        <w:jc w:val="both"/>
        <w:rPr>
          <w:rFonts w:eastAsia="MS Mincho"/>
          <w:sz w:val="22"/>
          <w:szCs w:val="22"/>
          <w:lang w:val="sr-Latn-ME"/>
        </w:rPr>
      </w:pPr>
    </w:p>
    <w:p w14:paraId="67FD94BE" w14:textId="7E577A79" w:rsidR="00BA57F1" w:rsidRPr="009F254D" w:rsidRDefault="00BA57F1" w:rsidP="00FA635D">
      <w:pPr>
        <w:tabs>
          <w:tab w:val="left" w:pos="284"/>
        </w:tabs>
        <w:jc w:val="both"/>
        <w:rPr>
          <w:rFonts w:eastAsia="MS Mincho"/>
          <w:sz w:val="22"/>
          <w:szCs w:val="22"/>
          <w:lang w:val="sr-Latn-ME"/>
        </w:rPr>
      </w:pPr>
      <w:r w:rsidRPr="009F254D">
        <w:rPr>
          <w:rFonts w:eastAsia="MS Mincho"/>
          <w:sz w:val="22"/>
          <w:szCs w:val="22"/>
          <w:lang w:val="sr-Latn-ME"/>
        </w:rPr>
        <w:t xml:space="preserve">Kod pacijenata koji su hospitalizovani zbog </w:t>
      </w:r>
      <w:r w:rsidR="009A5780" w:rsidRPr="009F254D">
        <w:rPr>
          <w:rFonts w:eastAsia="MS Mincho"/>
          <w:sz w:val="22"/>
          <w:szCs w:val="22"/>
          <w:lang w:val="sr-Latn-ME"/>
        </w:rPr>
        <w:t xml:space="preserve">velikih </w:t>
      </w:r>
      <w:r w:rsidRPr="009F254D">
        <w:rPr>
          <w:rFonts w:eastAsia="MS Mincho"/>
          <w:sz w:val="22"/>
          <w:szCs w:val="22"/>
          <w:lang w:val="sr-Latn-ME"/>
        </w:rPr>
        <w:t xml:space="preserve">hirurških zahvata ili akutne ozbiljne bolesti treba prekinuti terapiju. Kod ovih pacijenata preporučuje se praćenje nivoa ketona. </w:t>
      </w:r>
      <w:r w:rsidR="000F3A38" w:rsidRPr="009F254D">
        <w:rPr>
          <w:rFonts w:eastAsia="MS Mincho"/>
          <w:sz w:val="22"/>
          <w:szCs w:val="22"/>
          <w:lang w:val="sr-Latn-ME"/>
        </w:rPr>
        <w:t>Nivoe ketona je b</w:t>
      </w:r>
      <w:r w:rsidRPr="009F254D">
        <w:rPr>
          <w:rFonts w:eastAsia="MS Mincho"/>
          <w:sz w:val="22"/>
          <w:szCs w:val="22"/>
          <w:lang w:val="sr-Latn-ME"/>
        </w:rPr>
        <w:t>olje mjeriti u krvi nego u urinu. Liječenje dapagliflozinom može se ponovo započeti kada se nivoi ketona normalizuju i kada se stanje pacijenta stabilizuje.</w:t>
      </w:r>
    </w:p>
    <w:p w14:paraId="06403600" w14:textId="77777777" w:rsidR="00BA57F1" w:rsidRPr="009F254D" w:rsidRDefault="00BA57F1" w:rsidP="00FA635D">
      <w:pPr>
        <w:tabs>
          <w:tab w:val="left" w:pos="284"/>
        </w:tabs>
        <w:jc w:val="both"/>
        <w:rPr>
          <w:rFonts w:eastAsia="MS Mincho"/>
          <w:sz w:val="22"/>
          <w:szCs w:val="22"/>
          <w:lang w:val="sr-Latn-ME"/>
        </w:rPr>
      </w:pPr>
    </w:p>
    <w:p w14:paraId="68644842" w14:textId="77777777" w:rsidR="00BA57F1" w:rsidRPr="009F254D" w:rsidRDefault="00BA57F1" w:rsidP="00FA635D">
      <w:pPr>
        <w:tabs>
          <w:tab w:val="left" w:pos="284"/>
        </w:tabs>
        <w:jc w:val="both"/>
        <w:rPr>
          <w:rFonts w:eastAsia="MS Mincho"/>
          <w:sz w:val="22"/>
          <w:szCs w:val="22"/>
          <w:lang w:val="sr-Latn-ME"/>
        </w:rPr>
      </w:pPr>
      <w:r w:rsidRPr="009F254D">
        <w:rPr>
          <w:rFonts w:eastAsia="MS Mincho"/>
          <w:sz w:val="22"/>
          <w:szCs w:val="22"/>
          <w:lang w:val="sr-Latn-ME"/>
        </w:rPr>
        <w:t>Prije uvođenja dapagliflozina treba razmotriti faktore u anamnezi pacijenta koji mogu predstavljati predispoziciju za ketoacidozu.</w:t>
      </w:r>
    </w:p>
    <w:p w14:paraId="6A34F6E6" w14:textId="77777777" w:rsidR="00BA57F1" w:rsidRPr="009F254D" w:rsidRDefault="00BA57F1" w:rsidP="00FA635D">
      <w:pPr>
        <w:tabs>
          <w:tab w:val="left" w:pos="284"/>
        </w:tabs>
        <w:jc w:val="both"/>
        <w:rPr>
          <w:rFonts w:eastAsia="MS Mincho"/>
          <w:sz w:val="22"/>
          <w:szCs w:val="22"/>
          <w:lang w:val="sr-Latn-ME"/>
        </w:rPr>
      </w:pPr>
    </w:p>
    <w:p w14:paraId="0CF0B71D" w14:textId="63D12022" w:rsidR="00BA57F1" w:rsidRPr="009F254D" w:rsidRDefault="00BA57F1" w:rsidP="00FA635D">
      <w:pPr>
        <w:tabs>
          <w:tab w:val="left" w:pos="284"/>
        </w:tabs>
        <w:jc w:val="both"/>
        <w:rPr>
          <w:rFonts w:eastAsia="MS Mincho"/>
          <w:sz w:val="22"/>
          <w:szCs w:val="22"/>
          <w:lang w:val="sr-Latn-ME"/>
        </w:rPr>
      </w:pPr>
      <w:r w:rsidRPr="009F254D">
        <w:rPr>
          <w:rFonts w:eastAsia="MS Mincho"/>
          <w:sz w:val="22"/>
          <w:szCs w:val="22"/>
          <w:lang w:val="sr-Latn-ME"/>
        </w:rPr>
        <w:t>Pacijenti koji mogu da budu u većem riziku od DKA jesu pacijenti sa niskom rezervom funkcije beta ćelija (npr. pacijenti sa dijabetesom tipa 2 sa niskim nivoom C-peptida ili latentnim autoimunim dijabetesom kod odraslih (</w:t>
      </w:r>
      <w:r w:rsidR="002D523B">
        <w:rPr>
          <w:rFonts w:eastAsia="MS Mincho"/>
          <w:sz w:val="22"/>
          <w:szCs w:val="22"/>
          <w:lang w:val="sr-Latn-ME"/>
        </w:rPr>
        <w:t xml:space="preserve">engl. </w:t>
      </w:r>
      <w:r w:rsidR="00C92878" w:rsidRPr="009F254D">
        <w:rPr>
          <w:rFonts w:eastAsia="MS Mincho"/>
          <w:i/>
          <w:sz w:val="22"/>
          <w:szCs w:val="22"/>
          <w:lang w:val="sr-Latn-ME"/>
        </w:rPr>
        <w:t xml:space="preserve">latent autoimmune diabetes in </w:t>
      </w:r>
      <w:r w:rsidR="00C92878" w:rsidRPr="009F254D">
        <w:rPr>
          <w:rFonts w:eastAsia="MS Mincho"/>
          <w:sz w:val="22"/>
          <w:szCs w:val="22"/>
          <w:lang w:val="sr-Latn-ME"/>
        </w:rPr>
        <w:t xml:space="preserve">adults – </w:t>
      </w:r>
      <w:r w:rsidRPr="009F254D">
        <w:rPr>
          <w:rFonts w:eastAsia="MS Mincho"/>
          <w:sz w:val="22"/>
          <w:szCs w:val="22"/>
          <w:lang w:val="sr-Latn-ME"/>
        </w:rPr>
        <w:t>LADA) ili pacijenti sa pankreatitisom u anamnezi), pacijenti sa stanjima koja vode do ograničenog unosa hrane ili teške dehidratacije, pacijenti za koje se smanjuju doze insulina i pacijenti sa povećanom potrebom za insulinom zbog akutnog medicinskog oboljenja, operacije ili zloupotrebe alkohola. Inhibitore SGLT2 treba koristiti oprezno kod ovih pacijenata.</w:t>
      </w:r>
    </w:p>
    <w:p w14:paraId="09AD9A0C" w14:textId="77777777" w:rsidR="00BA57F1" w:rsidRPr="009F254D" w:rsidRDefault="00BA57F1" w:rsidP="00FA635D">
      <w:pPr>
        <w:tabs>
          <w:tab w:val="left" w:pos="284"/>
        </w:tabs>
        <w:jc w:val="both"/>
        <w:rPr>
          <w:rFonts w:eastAsia="MS Mincho"/>
          <w:sz w:val="22"/>
          <w:szCs w:val="22"/>
          <w:lang w:val="sr-Latn-ME"/>
        </w:rPr>
      </w:pPr>
    </w:p>
    <w:p w14:paraId="63FB6EE9" w14:textId="4C57E7AC" w:rsidR="00BA57F1" w:rsidRPr="009F254D" w:rsidRDefault="00BA57F1" w:rsidP="00FA635D">
      <w:pPr>
        <w:tabs>
          <w:tab w:val="left" w:pos="284"/>
        </w:tabs>
        <w:jc w:val="both"/>
        <w:rPr>
          <w:rFonts w:eastAsia="MS Mincho"/>
          <w:sz w:val="22"/>
          <w:szCs w:val="22"/>
          <w:lang w:val="sr-Latn-ME"/>
        </w:rPr>
      </w:pPr>
      <w:r w:rsidRPr="009F254D">
        <w:rPr>
          <w:rFonts w:eastAsia="MS Mincho"/>
          <w:sz w:val="22"/>
          <w:szCs w:val="22"/>
          <w:lang w:val="sr-Latn-ME"/>
        </w:rPr>
        <w:t xml:space="preserve">Ponovno uvođenje terapije inhibitorom SGLT2 ne preporučuje se kod pacijenata sa prethodnom pojavom DKA </w:t>
      </w:r>
      <w:r w:rsidR="00030C4D" w:rsidRPr="009F254D">
        <w:rPr>
          <w:rFonts w:eastAsia="MS Mincho"/>
          <w:sz w:val="22"/>
          <w:szCs w:val="22"/>
          <w:lang w:val="sr-Latn-ME"/>
        </w:rPr>
        <w:t>tokom</w:t>
      </w:r>
      <w:r w:rsidRPr="009F254D">
        <w:rPr>
          <w:rFonts w:eastAsia="MS Mincho"/>
          <w:sz w:val="22"/>
          <w:szCs w:val="22"/>
          <w:lang w:val="sr-Latn-ME"/>
        </w:rPr>
        <w:t xml:space="preserve"> terapij</w:t>
      </w:r>
      <w:r w:rsidR="00030C4D" w:rsidRPr="009F254D">
        <w:rPr>
          <w:rFonts w:eastAsia="MS Mincho"/>
          <w:sz w:val="22"/>
          <w:szCs w:val="22"/>
          <w:lang w:val="sr-Latn-ME"/>
        </w:rPr>
        <w:t>e</w:t>
      </w:r>
      <w:r w:rsidRPr="009F254D">
        <w:rPr>
          <w:rFonts w:eastAsia="MS Mincho"/>
          <w:sz w:val="22"/>
          <w:szCs w:val="22"/>
          <w:lang w:val="sr-Latn-ME"/>
        </w:rPr>
        <w:t xml:space="preserve"> inhibitoro</w:t>
      </w:r>
      <w:r w:rsidR="00030C4D" w:rsidRPr="009F254D">
        <w:rPr>
          <w:rFonts w:eastAsia="MS Mincho"/>
          <w:sz w:val="22"/>
          <w:szCs w:val="22"/>
          <w:lang w:val="sr-Latn-ME"/>
        </w:rPr>
        <w:t>ima</w:t>
      </w:r>
      <w:r w:rsidRPr="009F254D">
        <w:rPr>
          <w:rFonts w:eastAsia="MS Mincho"/>
          <w:sz w:val="22"/>
          <w:szCs w:val="22"/>
          <w:lang w:val="sr-Latn-ME"/>
        </w:rPr>
        <w:t xml:space="preserve"> SGLT2, osim ukoliko se ne odredi i ne riješi drugi</w:t>
      </w:r>
      <w:r w:rsidR="00030C4D" w:rsidRPr="009F254D">
        <w:rPr>
          <w:rFonts w:eastAsia="MS Mincho"/>
          <w:sz w:val="22"/>
          <w:szCs w:val="22"/>
          <w:lang w:val="sr-Latn-ME"/>
        </w:rPr>
        <w:t xml:space="preserve"> jasni</w:t>
      </w:r>
      <w:r w:rsidRPr="009F254D">
        <w:rPr>
          <w:rFonts w:eastAsia="MS Mincho"/>
          <w:sz w:val="22"/>
          <w:szCs w:val="22"/>
          <w:lang w:val="sr-Latn-ME"/>
        </w:rPr>
        <w:t xml:space="preserve"> precipitirajući faktor.</w:t>
      </w:r>
    </w:p>
    <w:p w14:paraId="3FDAD575" w14:textId="77777777" w:rsidR="00BA57F1" w:rsidRPr="009F254D" w:rsidRDefault="00BA57F1" w:rsidP="00FA635D">
      <w:pPr>
        <w:tabs>
          <w:tab w:val="left" w:pos="284"/>
        </w:tabs>
        <w:jc w:val="both"/>
        <w:rPr>
          <w:rFonts w:eastAsia="MS Mincho"/>
          <w:sz w:val="22"/>
          <w:szCs w:val="22"/>
          <w:lang w:val="sr-Latn-ME"/>
        </w:rPr>
      </w:pPr>
    </w:p>
    <w:p w14:paraId="493BCA29" w14:textId="2EF6DBE7" w:rsidR="00BA57F1" w:rsidRPr="009F254D" w:rsidRDefault="00BA57F1" w:rsidP="00FA635D">
      <w:pPr>
        <w:tabs>
          <w:tab w:val="left" w:pos="284"/>
        </w:tabs>
        <w:jc w:val="both"/>
        <w:rPr>
          <w:rFonts w:eastAsia="MS Mincho"/>
          <w:sz w:val="22"/>
          <w:szCs w:val="22"/>
          <w:lang w:val="sr-Latn-ME"/>
        </w:rPr>
      </w:pPr>
      <w:bookmarkStart w:id="0" w:name="_Hlk855834"/>
      <w:r w:rsidRPr="009F254D">
        <w:rPr>
          <w:rFonts w:eastAsia="MS Mincho"/>
          <w:sz w:val="22"/>
          <w:szCs w:val="22"/>
          <w:lang w:val="sr-Latn-ME"/>
        </w:rPr>
        <w:t>Bezbjednost i efikasnost lijeka Xigduo kod pacijenata sa dijabetesom tipa 1 ni</w:t>
      </w:r>
      <w:r w:rsidR="00030C4D" w:rsidRPr="009F254D">
        <w:rPr>
          <w:rFonts w:eastAsia="MS Mincho"/>
          <w:sz w:val="22"/>
          <w:szCs w:val="22"/>
          <w:lang w:val="sr-Latn-ME"/>
        </w:rPr>
        <w:t>je</w:t>
      </w:r>
      <w:r w:rsidRPr="009F254D">
        <w:rPr>
          <w:rFonts w:eastAsia="MS Mincho"/>
          <w:sz w:val="22"/>
          <w:szCs w:val="22"/>
          <w:lang w:val="sr-Latn-ME"/>
        </w:rPr>
        <w:t>su ustanovljen</w:t>
      </w:r>
      <w:r w:rsidR="00030C4D" w:rsidRPr="009F254D">
        <w:rPr>
          <w:rFonts w:eastAsia="MS Mincho"/>
          <w:sz w:val="22"/>
          <w:szCs w:val="22"/>
          <w:lang w:val="sr-Latn-ME"/>
        </w:rPr>
        <w:t>e</w:t>
      </w:r>
      <w:r w:rsidRPr="009F254D">
        <w:rPr>
          <w:rFonts w:eastAsia="MS Mincho"/>
          <w:sz w:val="22"/>
          <w:szCs w:val="22"/>
          <w:lang w:val="sr-Latn-ME"/>
        </w:rPr>
        <w:t xml:space="preserve">, pa lijek Xigduo ne treba koristiti za liječenje pacijenata sa ovim oboljenjem. U studijama </w:t>
      </w:r>
      <w:r w:rsidR="00030C4D" w:rsidRPr="009F254D">
        <w:rPr>
          <w:rFonts w:eastAsia="MS Mincho"/>
          <w:sz w:val="22"/>
          <w:szCs w:val="22"/>
          <w:lang w:val="sr-Latn-ME"/>
        </w:rPr>
        <w:t xml:space="preserve">kod </w:t>
      </w:r>
      <w:r w:rsidRPr="009F254D">
        <w:rPr>
          <w:rFonts w:eastAsia="MS Mincho"/>
          <w:sz w:val="22"/>
          <w:szCs w:val="22"/>
          <w:lang w:val="sr-Latn-ME"/>
        </w:rPr>
        <w:t xml:space="preserve">dijabetes melitusa tipa 1, DKA je bilježena </w:t>
      </w:r>
      <w:r w:rsidR="00030C4D" w:rsidRPr="009F254D">
        <w:rPr>
          <w:rFonts w:eastAsia="MS Mincho"/>
          <w:sz w:val="22"/>
          <w:szCs w:val="22"/>
          <w:lang w:val="sr-Latn-ME"/>
        </w:rPr>
        <w:t>sa</w:t>
      </w:r>
      <w:r w:rsidRPr="009F254D">
        <w:rPr>
          <w:rFonts w:eastAsia="MS Mincho"/>
          <w:sz w:val="22"/>
          <w:szCs w:val="22"/>
          <w:lang w:val="sr-Latn-ME"/>
        </w:rPr>
        <w:t xml:space="preserve"> uobičajeno</w:t>
      </w:r>
      <w:r w:rsidR="00030C4D" w:rsidRPr="009F254D">
        <w:rPr>
          <w:rFonts w:eastAsia="MS Mincho"/>
          <w:sz w:val="22"/>
          <w:szCs w:val="22"/>
          <w:lang w:val="sr-Latn-ME"/>
        </w:rPr>
        <w:t>m</w:t>
      </w:r>
      <w:r w:rsidRPr="009F254D">
        <w:rPr>
          <w:rFonts w:eastAsia="MS Mincho"/>
          <w:sz w:val="22"/>
          <w:szCs w:val="22"/>
          <w:lang w:val="sr-Latn-ME"/>
        </w:rPr>
        <w:t xml:space="preserve"> učestalo</w:t>
      </w:r>
      <w:r w:rsidR="00030C4D" w:rsidRPr="009F254D">
        <w:rPr>
          <w:rFonts w:eastAsia="MS Mincho"/>
          <w:sz w:val="22"/>
          <w:szCs w:val="22"/>
          <w:lang w:val="sr-Latn-ME"/>
        </w:rPr>
        <w:t>šću</w:t>
      </w:r>
      <w:r w:rsidRPr="009F254D">
        <w:rPr>
          <w:rFonts w:eastAsia="MS Mincho"/>
          <w:sz w:val="22"/>
          <w:szCs w:val="22"/>
          <w:lang w:val="sr-Latn-ME"/>
        </w:rPr>
        <w:t>.</w:t>
      </w:r>
    </w:p>
    <w:bookmarkEnd w:id="0"/>
    <w:p w14:paraId="15C76CE0" w14:textId="77777777" w:rsidR="00BA57F1" w:rsidRPr="009F254D" w:rsidRDefault="00BA57F1" w:rsidP="00FA635D">
      <w:pPr>
        <w:tabs>
          <w:tab w:val="left" w:pos="284"/>
        </w:tabs>
        <w:jc w:val="both"/>
        <w:rPr>
          <w:iCs/>
          <w:noProof/>
          <w:sz w:val="22"/>
          <w:szCs w:val="22"/>
          <w:lang w:val="sr-Latn-ME"/>
        </w:rPr>
      </w:pPr>
    </w:p>
    <w:p w14:paraId="1EA88905" w14:textId="77777777" w:rsidR="00BA57F1" w:rsidRPr="009F254D" w:rsidRDefault="00BA57F1" w:rsidP="00FA635D">
      <w:pPr>
        <w:keepNext/>
        <w:keepLines/>
        <w:tabs>
          <w:tab w:val="left" w:pos="284"/>
        </w:tabs>
        <w:jc w:val="both"/>
        <w:rPr>
          <w:iCs/>
          <w:noProof/>
          <w:sz w:val="22"/>
          <w:szCs w:val="22"/>
          <w:u w:val="single"/>
          <w:lang w:val="sr-Latn-ME"/>
        </w:rPr>
      </w:pPr>
      <w:r w:rsidRPr="009F254D">
        <w:rPr>
          <w:noProof/>
          <w:sz w:val="22"/>
          <w:szCs w:val="22"/>
          <w:u w:val="single"/>
          <w:lang w:val="sr-Latn-ME"/>
        </w:rPr>
        <w:t>Nekrotizirajući fasciitis perineuma (Furnijeova gangrena)</w:t>
      </w:r>
    </w:p>
    <w:p w14:paraId="429D4EC5" w14:textId="43933F12" w:rsidR="00BA57F1" w:rsidRPr="009F254D" w:rsidRDefault="00BA57F1" w:rsidP="00FA635D">
      <w:pPr>
        <w:tabs>
          <w:tab w:val="left" w:pos="284"/>
        </w:tabs>
        <w:jc w:val="both"/>
        <w:rPr>
          <w:iCs/>
          <w:noProof/>
          <w:sz w:val="22"/>
          <w:szCs w:val="22"/>
          <w:lang w:val="sr-Latn-ME"/>
        </w:rPr>
      </w:pPr>
      <w:r w:rsidRPr="009F254D">
        <w:rPr>
          <w:noProof/>
          <w:sz w:val="22"/>
          <w:szCs w:val="22"/>
          <w:lang w:val="sr-Latn-ME"/>
        </w:rPr>
        <w:t xml:space="preserve">Postmarketinški slučajevi nekrotizirajućeg fasciitisa perineuma (takođe poznatog kao Furnijeova gangrena) zabilježeni su kod žena i muškaraca koji su uzimali inhibitore SGLT2 (pogledati </w:t>
      </w:r>
      <w:r w:rsidR="00030C4D" w:rsidRPr="009F254D">
        <w:rPr>
          <w:noProof/>
          <w:sz w:val="22"/>
          <w:szCs w:val="22"/>
          <w:lang w:val="sr-Latn-ME"/>
        </w:rPr>
        <w:t xml:space="preserve">dio </w:t>
      </w:r>
      <w:r w:rsidRPr="009F254D">
        <w:rPr>
          <w:noProof/>
          <w:sz w:val="22"/>
          <w:szCs w:val="22"/>
          <w:lang w:val="sr-Latn-ME"/>
        </w:rPr>
        <w:t>4.8). To je rijedak događaj, ali ozbiljan i potencijalno opasan po život i zahtijeva hitni hirurški zahvat i antibiotsku terapiju.</w:t>
      </w:r>
    </w:p>
    <w:p w14:paraId="27E3C01F" w14:textId="77777777" w:rsidR="00BA57F1" w:rsidRPr="009F254D" w:rsidRDefault="00BA57F1" w:rsidP="00FA635D">
      <w:pPr>
        <w:tabs>
          <w:tab w:val="left" w:pos="284"/>
        </w:tabs>
        <w:jc w:val="both"/>
        <w:rPr>
          <w:iCs/>
          <w:noProof/>
          <w:sz w:val="22"/>
          <w:szCs w:val="22"/>
          <w:lang w:val="sr-Latn-ME"/>
        </w:rPr>
      </w:pPr>
    </w:p>
    <w:p w14:paraId="674E35F5" w14:textId="02E778C0" w:rsidR="00BA57F1" w:rsidRPr="009F254D" w:rsidRDefault="00BA57F1" w:rsidP="00FA635D">
      <w:pPr>
        <w:tabs>
          <w:tab w:val="left" w:pos="284"/>
        </w:tabs>
        <w:jc w:val="both"/>
        <w:rPr>
          <w:iCs/>
          <w:noProof/>
          <w:sz w:val="22"/>
          <w:szCs w:val="22"/>
          <w:lang w:val="sr-Latn-ME"/>
        </w:rPr>
      </w:pPr>
      <w:r w:rsidRPr="009F254D">
        <w:rPr>
          <w:noProof/>
          <w:sz w:val="22"/>
          <w:szCs w:val="22"/>
          <w:lang w:val="sr-Latn-ME"/>
        </w:rPr>
        <w:t>Pacijente treba uputiti da zatraže medicinsku pomoć ukoliko se kod njih javi kombinacija simptoma bola, osjetljivosti, eritema ili otoka u genitalnoj ili perinealnoj oblasti, uz povišenu temperaturu ili slabost. Ima</w:t>
      </w:r>
      <w:r w:rsidR="00030C4D" w:rsidRPr="009F254D">
        <w:rPr>
          <w:noProof/>
          <w:sz w:val="22"/>
          <w:szCs w:val="22"/>
          <w:lang w:val="sr-Latn-ME"/>
        </w:rPr>
        <w:t>ti</w:t>
      </w:r>
      <w:r w:rsidRPr="009F254D">
        <w:rPr>
          <w:noProof/>
          <w:sz w:val="22"/>
          <w:szCs w:val="22"/>
          <w:lang w:val="sr-Latn-ME"/>
        </w:rPr>
        <w:t xml:space="preserve"> u vidu da urogenitalna infekcija ili perinealni apsces mogu prethoditi nekrotizirajućem fasciitisu. U slučaju sumnje na Furnijeovu gangrenu, primjenu lijeka Xigduo treba obustaviti i treba uvesti blagovremenu terapiju (uključujući i antibiotike i hirurški debridman).</w:t>
      </w:r>
    </w:p>
    <w:p w14:paraId="3E78E9E5" w14:textId="77777777" w:rsidR="00BA57F1" w:rsidRPr="009F254D" w:rsidRDefault="00BA57F1" w:rsidP="00FA635D">
      <w:pPr>
        <w:tabs>
          <w:tab w:val="left" w:pos="284"/>
        </w:tabs>
        <w:jc w:val="both"/>
        <w:rPr>
          <w:iCs/>
          <w:noProof/>
          <w:sz w:val="22"/>
          <w:szCs w:val="22"/>
          <w:lang w:val="sr-Latn-ME"/>
        </w:rPr>
      </w:pPr>
    </w:p>
    <w:p w14:paraId="3FB1D3A1" w14:textId="77777777" w:rsidR="00BA57F1" w:rsidRPr="009F254D" w:rsidRDefault="00BA57F1" w:rsidP="00FA635D">
      <w:pPr>
        <w:keepNext/>
        <w:keepLines/>
        <w:tabs>
          <w:tab w:val="left" w:pos="284"/>
        </w:tabs>
        <w:jc w:val="both"/>
        <w:rPr>
          <w:iCs/>
          <w:noProof/>
          <w:sz w:val="22"/>
          <w:szCs w:val="22"/>
          <w:u w:val="single"/>
          <w:lang w:val="sr-Latn-ME"/>
        </w:rPr>
      </w:pPr>
      <w:r w:rsidRPr="009F254D">
        <w:rPr>
          <w:noProof/>
          <w:sz w:val="22"/>
          <w:szCs w:val="22"/>
          <w:u w:val="single"/>
          <w:lang w:val="sr-Latn-ME"/>
        </w:rPr>
        <w:t>Infekcije urinarnog trakta</w:t>
      </w:r>
    </w:p>
    <w:p w14:paraId="24108E5F" w14:textId="77777777" w:rsidR="00BA57F1" w:rsidRPr="009F254D" w:rsidRDefault="00BA57F1" w:rsidP="00FA635D">
      <w:pPr>
        <w:tabs>
          <w:tab w:val="left" w:pos="284"/>
        </w:tabs>
        <w:jc w:val="both"/>
        <w:rPr>
          <w:iCs/>
          <w:noProof/>
          <w:sz w:val="22"/>
          <w:szCs w:val="22"/>
          <w:lang w:val="sr-Latn-ME"/>
        </w:rPr>
      </w:pPr>
      <w:r w:rsidRPr="009F254D">
        <w:rPr>
          <w:noProof/>
          <w:sz w:val="22"/>
          <w:szCs w:val="22"/>
          <w:lang w:val="sr-Latn-ME"/>
        </w:rPr>
        <w:t>Lučenje glukoze u urinu može biti povezano sa povišenim rizikom od infekcije urinarnog trakta, pa treba razmotriti privremeni prekid primene terapije tokom liječenja pijelonefritisa ili urosepse.</w:t>
      </w:r>
    </w:p>
    <w:p w14:paraId="2A32A5E9" w14:textId="77777777" w:rsidR="00BA57F1" w:rsidRPr="009F254D" w:rsidRDefault="00BA57F1" w:rsidP="00FA635D">
      <w:pPr>
        <w:tabs>
          <w:tab w:val="left" w:pos="284"/>
        </w:tabs>
        <w:jc w:val="both"/>
        <w:rPr>
          <w:iCs/>
          <w:noProof/>
          <w:sz w:val="22"/>
          <w:szCs w:val="22"/>
          <w:lang w:val="sr-Latn-ME"/>
        </w:rPr>
      </w:pPr>
    </w:p>
    <w:p w14:paraId="7413957C" w14:textId="77777777" w:rsidR="00BA57F1" w:rsidRPr="009F254D" w:rsidRDefault="00BA57F1" w:rsidP="00FA635D">
      <w:pPr>
        <w:keepNext/>
        <w:keepLines/>
        <w:tabs>
          <w:tab w:val="left" w:pos="284"/>
        </w:tabs>
        <w:jc w:val="both"/>
        <w:rPr>
          <w:noProof/>
          <w:sz w:val="22"/>
          <w:szCs w:val="22"/>
          <w:u w:val="single"/>
          <w:lang w:val="sr-Latn-ME"/>
        </w:rPr>
      </w:pPr>
      <w:r w:rsidRPr="009F254D">
        <w:rPr>
          <w:noProof/>
          <w:sz w:val="22"/>
          <w:szCs w:val="22"/>
          <w:u w:val="single"/>
          <w:lang w:val="sr-Latn-ME"/>
        </w:rPr>
        <w:t xml:space="preserve">Starije osobe </w:t>
      </w:r>
      <w:r w:rsidRPr="009F254D">
        <w:rPr>
          <w:sz w:val="22"/>
          <w:szCs w:val="22"/>
          <w:u w:val="single"/>
          <w:lang w:val="sr-Latn-ME"/>
        </w:rPr>
        <w:t>(≥ 65 godina)</w:t>
      </w:r>
    </w:p>
    <w:p w14:paraId="2E5ABEF1" w14:textId="62ED145B" w:rsidR="00BA57F1" w:rsidRPr="009F254D" w:rsidRDefault="00030C4D" w:rsidP="00FA635D">
      <w:pPr>
        <w:tabs>
          <w:tab w:val="left" w:pos="284"/>
        </w:tabs>
        <w:jc w:val="both"/>
        <w:rPr>
          <w:noProof/>
          <w:sz w:val="22"/>
          <w:szCs w:val="22"/>
          <w:lang w:val="sr-Latn-ME"/>
        </w:rPr>
      </w:pPr>
      <w:r w:rsidRPr="009F254D">
        <w:rPr>
          <w:noProof/>
          <w:sz w:val="22"/>
          <w:szCs w:val="22"/>
          <w:lang w:val="sr-Latn-ME"/>
        </w:rPr>
        <w:t>Kod s</w:t>
      </w:r>
      <w:r w:rsidR="00BA57F1" w:rsidRPr="009F254D">
        <w:rPr>
          <w:noProof/>
          <w:sz w:val="22"/>
          <w:szCs w:val="22"/>
          <w:lang w:val="sr-Latn-ME"/>
        </w:rPr>
        <w:t>tariji pacijen</w:t>
      </w:r>
      <w:r w:rsidRPr="009F254D">
        <w:rPr>
          <w:noProof/>
          <w:sz w:val="22"/>
          <w:szCs w:val="22"/>
          <w:lang w:val="sr-Latn-ME"/>
        </w:rPr>
        <w:t>ata</w:t>
      </w:r>
      <w:r w:rsidR="00BA57F1" w:rsidRPr="009F254D">
        <w:rPr>
          <w:noProof/>
          <w:sz w:val="22"/>
          <w:szCs w:val="22"/>
          <w:lang w:val="sr-Latn-ME"/>
        </w:rPr>
        <w:t xml:space="preserve"> mo</w:t>
      </w:r>
      <w:r w:rsidRPr="009F254D">
        <w:rPr>
          <w:noProof/>
          <w:sz w:val="22"/>
          <w:szCs w:val="22"/>
          <w:lang w:val="sr-Latn-ME"/>
        </w:rPr>
        <w:t>že postojati</w:t>
      </w:r>
      <w:r w:rsidR="00BA57F1" w:rsidRPr="009F254D">
        <w:rPr>
          <w:noProof/>
          <w:sz w:val="22"/>
          <w:szCs w:val="22"/>
          <w:lang w:val="sr-Latn-ME"/>
        </w:rPr>
        <w:t xml:space="preserve"> već</w:t>
      </w:r>
      <w:r w:rsidRPr="009F254D">
        <w:rPr>
          <w:noProof/>
          <w:sz w:val="22"/>
          <w:szCs w:val="22"/>
          <w:lang w:val="sr-Latn-ME"/>
        </w:rPr>
        <w:t>i</w:t>
      </w:r>
      <w:r w:rsidR="00BA57F1" w:rsidRPr="009F254D">
        <w:rPr>
          <w:noProof/>
          <w:sz w:val="22"/>
          <w:szCs w:val="22"/>
          <w:lang w:val="sr-Latn-ME"/>
        </w:rPr>
        <w:t xml:space="preserve"> rizik od smanjenja zapremine tečnosti i veća je vjerovatnoća da će biti liječeni diureticima.</w:t>
      </w:r>
    </w:p>
    <w:p w14:paraId="6A5BF7FE" w14:textId="77777777" w:rsidR="00BA57F1" w:rsidRPr="009F254D" w:rsidRDefault="00BA57F1" w:rsidP="00FA635D">
      <w:pPr>
        <w:tabs>
          <w:tab w:val="left" w:pos="284"/>
        </w:tabs>
        <w:jc w:val="both"/>
        <w:rPr>
          <w:noProof/>
          <w:sz w:val="22"/>
          <w:szCs w:val="22"/>
          <w:lang w:val="sr-Latn-ME"/>
        </w:rPr>
      </w:pPr>
    </w:p>
    <w:p w14:paraId="6545C04F" w14:textId="3D183527" w:rsidR="00BA57F1" w:rsidRPr="009F254D" w:rsidRDefault="00030C4D" w:rsidP="00FA635D">
      <w:pPr>
        <w:tabs>
          <w:tab w:val="left" w:pos="284"/>
        </w:tabs>
        <w:jc w:val="both"/>
        <w:rPr>
          <w:noProof/>
          <w:sz w:val="22"/>
          <w:szCs w:val="22"/>
          <w:lang w:val="sr-Latn-ME"/>
        </w:rPr>
      </w:pPr>
      <w:r w:rsidRPr="009F254D">
        <w:rPr>
          <w:noProof/>
          <w:sz w:val="22"/>
          <w:szCs w:val="22"/>
          <w:lang w:val="sr-Latn-ME"/>
        </w:rPr>
        <w:t>Kod starijih pacijenata p</w:t>
      </w:r>
      <w:r w:rsidR="00BA57F1" w:rsidRPr="009F254D">
        <w:rPr>
          <w:noProof/>
          <w:sz w:val="22"/>
          <w:szCs w:val="22"/>
          <w:lang w:val="sr-Latn-ME"/>
        </w:rPr>
        <w:t xml:space="preserve">ostoji veća vjerovatnoća </w:t>
      </w:r>
      <w:r w:rsidR="00180154" w:rsidRPr="009F254D">
        <w:rPr>
          <w:noProof/>
          <w:sz w:val="22"/>
          <w:szCs w:val="22"/>
          <w:lang w:val="sr-Latn-ME"/>
        </w:rPr>
        <w:t>za postojanje</w:t>
      </w:r>
      <w:r w:rsidR="00BA57F1" w:rsidRPr="009F254D">
        <w:rPr>
          <w:noProof/>
          <w:sz w:val="22"/>
          <w:szCs w:val="22"/>
          <w:lang w:val="sr-Latn-ME"/>
        </w:rPr>
        <w:t xml:space="preserve"> </w:t>
      </w:r>
      <w:r w:rsidRPr="009F254D">
        <w:rPr>
          <w:noProof/>
          <w:sz w:val="22"/>
          <w:szCs w:val="22"/>
          <w:lang w:val="sr-Latn-ME"/>
        </w:rPr>
        <w:t>insuficijencij</w:t>
      </w:r>
      <w:r w:rsidR="00180154" w:rsidRPr="009F254D">
        <w:rPr>
          <w:noProof/>
          <w:sz w:val="22"/>
          <w:szCs w:val="22"/>
          <w:lang w:val="sr-Latn-ME"/>
        </w:rPr>
        <w:t>e</w:t>
      </w:r>
      <w:r w:rsidR="00BA57F1" w:rsidRPr="009F254D">
        <w:rPr>
          <w:noProof/>
          <w:sz w:val="22"/>
          <w:szCs w:val="22"/>
          <w:lang w:val="sr-Latn-ME"/>
        </w:rPr>
        <w:t xml:space="preserve"> bubrega, </w:t>
      </w:r>
      <w:r w:rsidR="00180154" w:rsidRPr="009F254D">
        <w:rPr>
          <w:noProof/>
          <w:sz w:val="22"/>
          <w:szCs w:val="22"/>
          <w:lang w:val="sr-Latn-ME"/>
        </w:rPr>
        <w:t>i/ili</w:t>
      </w:r>
      <w:r w:rsidR="00BA57F1" w:rsidRPr="009F254D">
        <w:rPr>
          <w:noProof/>
          <w:sz w:val="22"/>
          <w:szCs w:val="22"/>
          <w:lang w:val="sr-Latn-ME"/>
        </w:rPr>
        <w:t xml:space="preserve"> liječen</w:t>
      </w:r>
      <w:r w:rsidR="00180154" w:rsidRPr="009F254D">
        <w:rPr>
          <w:noProof/>
          <w:sz w:val="22"/>
          <w:szCs w:val="22"/>
          <w:lang w:val="sr-Latn-ME"/>
        </w:rPr>
        <w:t>ja</w:t>
      </w:r>
      <w:r w:rsidR="00BA57F1" w:rsidRPr="009F254D">
        <w:rPr>
          <w:noProof/>
          <w:sz w:val="22"/>
          <w:szCs w:val="22"/>
          <w:lang w:val="sr-Latn-ME"/>
        </w:rPr>
        <w:t xml:space="preserve"> </w:t>
      </w:r>
      <w:r w:rsidR="00180154" w:rsidRPr="009F254D">
        <w:rPr>
          <w:noProof/>
          <w:sz w:val="22"/>
          <w:szCs w:val="22"/>
          <w:lang w:val="sr-Latn-ME"/>
        </w:rPr>
        <w:t>antihipertenzivima</w:t>
      </w:r>
      <w:r w:rsidR="00BA57F1" w:rsidRPr="009F254D">
        <w:rPr>
          <w:noProof/>
          <w:sz w:val="22"/>
          <w:szCs w:val="22"/>
          <w:lang w:val="sr-Latn-ME"/>
        </w:rPr>
        <w:t xml:space="preserve"> koji mogu da dovedu do promjena u funkcionisanju bubrega kao što su inhibitori angiotenzin konvertujućeg enzima (</w:t>
      </w:r>
      <w:r w:rsidR="00180154" w:rsidRPr="009F254D">
        <w:rPr>
          <w:i/>
          <w:noProof/>
          <w:sz w:val="22"/>
          <w:szCs w:val="22"/>
          <w:lang w:val="sr-Latn-ME"/>
        </w:rPr>
        <w:t>angiotensin-converting enzyme inhibitors</w:t>
      </w:r>
      <w:r w:rsidR="00180154" w:rsidRPr="009F254D">
        <w:rPr>
          <w:noProof/>
          <w:sz w:val="22"/>
          <w:szCs w:val="22"/>
          <w:lang w:val="sr-Latn-ME"/>
        </w:rPr>
        <w:t xml:space="preserve"> – </w:t>
      </w:r>
      <w:r w:rsidR="00BA57F1" w:rsidRPr="009F254D">
        <w:rPr>
          <w:noProof/>
          <w:sz w:val="22"/>
          <w:szCs w:val="22"/>
          <w:lang w:val="sr-Latn-ME"/>
        </w:rPr>
        <w:t xml:space="preserve">ACE-I) i blokatori </w:t>
      </w:r>
      <w:r w:rsidR="00180154" w:rsidRPr="009F254D">
        <w:rPr>
          <w:noProof/>
          <w:sz w:val="22"/>
          <w:szCs w:val="22"/>
          <w:lang w:val="sr-Latn-ME"/>
        </w:rPr>
        <w:t xml:space="preserve">receptora </w:t>
      </w:r>
      <w:r w:rsidR="00BA57F1" w:rsidRPr="009F254D">
        <w:rPr>
          <w:noProof/>
          <w:sz w:val="22"/>
          <w:szCs w:val="22"/>
          <w:lang w:val="sr-Latn-ME"/>
        </w:rPr>
        <w:t>angiotenzin</w:t>
      </w:r>
      <w:r w:rsidR="00180154" w:rsidRPr="009F254D">
        <w:rPr>
          <w:noProof/>
          <w:sz w:val="22"/>
          <w:szCs w:val="22"/>
          <w:lang w:val="sr-Latn-ME"/>
        </w:rPr>
        <w:t>a</w:t>
      </w:r>
      <w:r w:rsidR="00BA57F1" w:rsidRPr="009F254D">
        <w:rPr>
          <w:noProof/>
          <w:sz w:val="22"/>
          <w:szCs w:val="22"/>
          <w:lang w:val="sr-Latn-ME"/>
        </w:rPr>
        <w:t xml:space="preserve"> II tip</w:t>
      </w:r>
      <w:r w:rsidR="00180154" w:rsidRPr="009F254D">
        <w:rPr>
          <w:noProof/>
          <w:sz w:val="22"/>
          <w:szCs w:val="22"/>
          <w:lang w:val="sr-Latn-ME"/>
        </w:rPr>
        <w:t>a</w:t>
      </w:r>
      <w:r w:rsidR="00BA57F1" w:rsidRPr="009F254D">
        <w:rPr>
          <w:noProof/>
          <w:sz w:val="22"/>
          <w:szCs w:val="22"/>
          <w:lang w:val="sr-Latn-ME"/>
        </w:rPr>
        <w:t xml:space="preserve"> 1 (</w:t>
      </w:r>
      <w:r w:rsidR="00180154" w:rsidRPr="009F254D">
        <w:rPr>
          <w:i/>
          <w:noProof/>
          <w:sz w:val="22"/>
          <w:szCs w:val="22"/>
          <w:lang w:val="sr-Latn-ME"/>
        </w:rPr>
        <w:t>angiotensin II type 1 receptor blockers</w:t>
      </w:r>
      <w:r w:rsidR="00180154" w:rsidRPr="009F254D">
        <w:rPr>
          <w:noProof/>
          <w:sz w:val="22"/>
          <w:szCs w:val="22"/>
          <w:lang w:val="sr-Latn-ME"/>
        </w:rPr>
        <w:t xml:space="preserve"> – </w:t>
      </w:r>
      <w:r w:rsidR="00BA57F1" w:rsidRPr="009F254D">
        <w:rPr>
          <w:noProof/>
          <w:sz w:val="22"/>
          <w:szCs w:val="22"/>
          <w:lang w:val="sr-Latn-ME"/>
        </w:rPr>
        <w:t xml:space="preserve">ARB). Za starije pacijente važe iste preporuke za bubrežnu funkciju kao i za sve pacijente (pogledati </w:t>
      </w:r>
      <w:r w:rsidR="00180154" w:rsidRPr="009F254D">
        <w:rPr>
          <w:noProof/>
          <w:sz w:val="22"/>
          <w:szCs w:val="22"/>
          <w:lang w:val="sr-Latn-ME"/>
        </w:rPr>
        <w:t>djelove </w:t>
      </w:r>
      <w:r w:rsidR="00BA57F1" w:rsidRPr="009F254D">
        <w:rPr>
          <w:noProof/>
          <w:sz w:val="22"/>
          <w:szCs w:val="22"/>
          <w:lang w:val="sr-Latn-ME"/>
        </w:rPr>
        <w:t>4.2, 4.4, 4.8. i 5.1).</w:t>
      </w:r>
    </w:p>
    <w:p w14:paraId="151B8091" w14:textId="77777777" w:rsidR="00285237" w:rsidRDefault="00285237" w:rsidP="00FA635D">
      <w:pPr>
        <w:keepNext/>
        <w:keepLines/>
        <w:tabs>
          <w:tab w:val="left" w:pos="284"/>
        </w:tabs>
        <w:autoSpaceDE w:val="0"/>
        <w:autoSpaceDN w:val="0"/>
        <w:adjustRightInd w:val="0"/>
        <w:ind w:left="363" w:hanging="363"/>
        <w:jc w:val="both"/>
        <w:rPr>
          <w:kern w:val="24"/>
          <w:sz w:val="22"/>
          <w:szCs w:val="22"/>
          <w:u w:val="single"/>
          <w:lang w:val="sr-Latn-ME"/>
        </w:rPr>
      </w:pPr>
    </w:p>
    <w:p w14:paraId="63E4BFF4" w14:textId="44087FCC" w:rsidR="00BA57F1" w:rsidRPr="009F254D" w:rsidRDefault="00BA57F1" w:rsidP="00FA635D">
      <w:pPr>
        <w:keepNext/>
        <w:keepLines/>
        <w:tabs>
          <w:tab w:val="left" w:pos="284"/>
        </w:tabs>
        <w:autoSpaceDE w:val="0"/>
        <w:autoSpaceDN w:val="0"/>
        <w:adjustRightInd w:val="0"/>
        <w:ind w:left="363" w:hanging="363"/>
        <w:jc w:val="both"/>
        <w:rPr>
          <w:kern w:val="24"/>
          <w:sz w:val="22"/>
          <w:szCs w:val="22"/>
          <w:u w:val="single"/>
          <w:lang w:val="sr-Latn-ME"/>
        </w:rPr>
      </w:pPr>
      <w:r w:rsidRPr="009F254D">
        <w:rPr>
          <w:kern w:val="24"/>
          <w:sz w:val="22"/>
          <w:szCs w:val="22"/>
          <w:u w:val="single"/>
          <w:lang w:val="sr-Latn-ME"/>
        </w:rPr>
        <w:t>Srčana insuficijencija</w:t>
      </w:r>
    </w:p>
    <w:p w14:paraId="59A4D6C5" w14:textId="6553CBCB" w:rsidR="00BA57F1" w:rsidRPr="009F254D" w:rsidRDefault="00285237" w:rsidP="00FA635D">
      <w:pPr>
        <w:tabs>
          <w:tab w:val="left" w:pos="284"/>
        </w:tabs>
        <w:autoSpaceDE w:val="0"/>
        <w:autoSpaceDN w:val="0"/>
        <w:adjustRightInd w:val="0"/>
        <w:jc w:val="both"/>
        <w:rPr>
          <w:iCs/>
          <w:noProof/>
          <w:kern w:val="24"/>
          <w:sz w:val="22"/>
          <w:szCs w:val="22"/>
          <w:lang w:val="sr-Latn-ME"/>
        </w:rPr>
      </w:pPr>
      <w:r>
        <w:rPr>
          <w:kern w:val="24"/>
          <w:sz w:val="22"/>
          <w:szCs w:val="22"/>
          <w:lang w:val="sr-Latn-ME"/>
        </w:rPr>
        <w:t>I</w:t>
      </w:r>
      <w:r w:rsidR="008264B5">
        <w:rPr>
          <w:kern w:val="24"/>
          <w:sz w:val="22"/>
          <w:szCs w:val="22"/>
          <w:lang w:val="sr-Latn-ME"/>
        </w:rPr>
        <w:t xml:space="preserve">skustvo </w:t>
      </w:r>
      <w:r w:rsidR="00BA57F1" w:rsidRPr="009F254D">
        <w:rPr>
          <w:kern w:val="24"/>
          <w:sz w:val="22"/>
          <w:szCs w:val="22"/>
          <w:lang w:val="sr-Latn-ME"/>
        </w:rPr>
        <w:t xml:space="preserve"> sa </w:t>
      </w:r>
      <w:r>
        <w:rPr>
          <w:kern w:val="24"/>
          <w:sz w:val="22"/>
          <w:szCs w:val="22"/>
          <w:lang w:val="sr-Latn-ME"/>
        </w:rPr>
        <w:t xml:space="preserve">primjenom </w:t>
      </w:r>
      <w:r w:rsidR="00BA57F1" w:rsidRPr="009F254D">
        <w:rPr>
          <w:kern w:val="24"/>
          <w:sz w:val="22"/>
          <w:szCs w:val="22"/>
          <w:lang w:val="sr-Latn-ME"/>
        </w:rPr>
        <w:t xml:space="preserve">dapagliflozinom </w:t>
      </w:r>
      <w:r>
        <w:rPr>
          <w:kern w:val="24"/>
          <w:sz w:val="22"/>
          <w:szCs w:val="22"/>
          <w:lang w:val="sr-Latn-ME"/>
        </w:rPr>
        <w:t xml:space="preserve">kod pacijenata </w:t>
      </w:r>
      <w:r w:rsidR="00BA57F1" w:rsidRPr="009F254D">
        <w:rPr>
          <w:kern w:val="24"/>
          <w:sz w:val="22"/>
          <w:szCs w:val="22"/>
          <w:lang w:val="sr-Latn-ME"/>
        </w:rPr>
        <w:t xml:space="preserve">sa </w:t>
      </w:r>
      <w:r>
        <w:rPr>
          <w:kern w:val="24"/>
          <w:sz w:val="22"/>
          <w:szCs w:val="22"/>
          <w:lang w:val="sr-Latn-ME"/>
        </w:rPr>
        <w:t xml:space="preserve">srčanom insuficijencijom </w:t>
      </w:r>
      <w:r w:rsidR="00BA57F1" w:rsidRPr="009F254D">
        <w:rPr>
          <w:kern w:val="24"/>
          <w:sz w:val="22"/>
          <w:szCs w:val="22"/>
          <w:lang w:val="sr-Latn-ME"/>
        </w:rPr>
        <w:t>NYHA klase IV</w:t>
      </w:r>
      <w:r w:rsidR="008264B5">
        <w:rPr>
          <w:kern w:val="24"/>
          <w:sz w:val="22"/>
          <w:szCs w:val="22"/>
          <w:lang w:val="sr-Latn-ME"/>
        </w:rPr>
        <w:t xml:space="preserve"> je ograničeno</w:t>
      </w:r>
      <w:r w:rsidR="00BA57F1" w:rsidRPr="009F254D">
        <w:rPr>
          <w:kern w:val="24"/>
          <w:sz w:val="22"/>
          <w:szCs w:val="22"/>
          <w:lang w:val="sr-Latn-ME"/>
        </w:rPr>
        <w:t>.</w:t>
      </w:r>
    </w:p>
    <w:p w14:paraId="23D02952" w14:textId="77777777" w:rsidR="00BA57F1" w:rsidRPr="009F254D" w:rsidRDefault="00BA57F1" w:rsidP="00FA635D">
      <w:pPr>
        <w:tabs>
          <w:tab w:val="left" w:pos="284"/>
        </w:tabs>
        <w:jc w:val="both"/>
        <w:rPr>
          <w:iCs/>
          <w:noProof/>
          <w:sz w:val="22"/>
          <w:szCs w:val="22"/>
          <w:lang w:val="sr-Latn-ME"/>
        </w:rPr>
      </w:pPr>
    </w:p>
    <w:p w14:paraId="03CDFBE5" w14:textId="77777777" w:rsidR="00BA57F1" w:rsidRPr="009F254D" w:rsidRDefault="00BA57F1" w:rsidP="00FA635D">
      <w:pPr>
        <w:keepNext/>
        <w:keepLines/>
        <w:tabs>
          <w:tab w:val="left" w:pos="284"/>
        </w:tabs>
        <w:jc w:val="both"/>
        <w:rPr>
          <w:noProof/>
          <w:sz w:val="22"/>
          <w:szCs w:val="22"/>
          <w:u w:val="single"/>
          <w:lang w:val="sr-Latn-ME"/>
        </w:rPr>
      </w:pPr>
      <w:r w:rsidRPr="009F254D">
        <w:rPr>
          <w:noProof/>
          <w:sz w:val="22"/>
          <w:szCs w:val="22"/>
          <w:u w:val="single"/>
          <w:lang w:val="sr-Latn-ME"/>
        </w:rPr>
        <w:lastRenderedPageBreak/>
        <w:t>Amputacije donjih udova</w:t>
      </w:r>
    </w:p>
    <w:p w14:paraId="10453026" w14:textId="64BBF9AC" w:rsidR="00BA57F1" w:rsidRPr="009F254D" w:rsidRDefault="00BA57F1" w:rsidP="00FA635D">
      <w:pPr>
        <w:tabs>
          <w:tab w:val="left" w:pos="284"/>
        </w:tabs>
        <w:jc w:val="both"/>
        <w:rPr>
          <w:noProof/>
          <w:sz w:val="22"/>
          <w:szCs w:val="22"/>
          <w:lang w:val="sr-Latn-ME"/>
        </w:rPr>
      </w:pPr>
      <w:r w:rsidRPr="009F254D">
        <w:rPr>
          <w:noProof/>
          <w:sz w:val="22"/>
          <w:szCs w:val="22"/>
          <w:lang w:val="sr-Latn-ME"/>
        </w:rPr>
        <w:t>U tekućim dugoročnim kliničkim studijama sa drugim inhibitorom SGLT2 zabilježen je porast slučajeva amputacije donjih udova (prvenstveno prstiju na stopalima). Nije poznato da li to predstavlja dejstvo klase</w:t>
      </w:r>
      <w:r w:rsidR="00180154" w:rsidRPr="009F254D">
        <w:rPr>
          <w:noProof/>
          <w:sz w:val="22"/>
          <w:szCs w:val="22"/>
          <w:lang w:val="sr-Latn-ME"/>
        </w:rPr>
        <w:t xml:space="preserve"> ljekova (engl. </w:t>
      </w:r>
      <w:r w:rsidR="00180154" w:rsidRPr="009F254D">
        <w:rPr>
          <w:i/>
          <w:noProof/>
          <w:sz w:val="22"/>
          <w:szCs w:val="22"/>
          <w:lang w:val="sr-Latn-ME"/>
        </w:rPr>
        <w:t>class effect</w:t>
      </w:r>
      <w:r w:rsidR="00180154" w:rsidRPr="009F254D">
        <w:rPr>
          <w:noProof/>
          <w:sz w:val="22"/>
          <w:szCs w:val="22"/>
          <w:lang w:val="sr-Latn-ME"/>
        </w:rPr>
        <w:t>)</w:t>
      </w:r>
      <w:r w:rsidRPr="009F254D">
        <w:rPr>
          <w:noProof/>
          <w:sz w:val="22"/>
          <w:szCs w:val="22"/>
          <w:lang w:val="sr-Latn-ME"/>
        </w:rPr>
        <w:t>. Kao i sve pacijente sa dijabetesom, važno je savjetovati pacijente o rutinskoj</w:t>
      </w:r>
      <w:r w:rsidR="00180154" w:rsidRPr="009F254D">
        <w:rPr>
          <w:noProof/>
          <w:sz w:val="22"/>
          <w:szCs w:val="22"/>
          <w:lang w:val="sr-Latn-ME"/>
        </w:rPr>
        <w:t>,</w:t>
      </w:r>
      <w:r w:rsidRPr="009F254D">
        <w:rPr>
          <w:noProof/>
          <w:sz w:val="22"/>
          <w:szCs w:val="22"/>
          <w:lang w:val="sr-Latn-ME"/>
        </w:rPr>
        <w:t xml:space="preserve"> preventivnoj njezi stopala.</w:t>
      </w:r>
    </w:p>
    <w:p w14:paraId="4954DEDF" w14:textId="77777777" w:rsidR="00BA57F1" w:rsidRPr="009F254D" w:rsidRDefault="00BA57F1" w:rsidP="00FA635D">
      <w:pPr>
        <w:tabs>
          <w:tab w:val="left" w:pos="284"/>
        </w:tabs>
        <w:jc w:val="both"/>
        <w:rPr>
          <w:iCs/>
          <w:noProof/>
          <w:sz w:val="22"/>
          <w:szCs w:val="22"/>
          <w:lang w:val="sr-Latn-ME"/>
        </w:rPr>
      </w:pPr>
    </w:p>
    <w:p w14:paraId="57F6EC46" w14:textId="77777777" w:rsidR="00BA57F1" w:rsidRPr="009F254D" w:rsidRDefault="00BA57F1" w:rsidP="00FA635D">
      <w:pPr>
        <w:keepNext/>
        <w:keepLines/>
        <w:tabs>
          <w:tab w:val="left" w:pos="284"/>
        </w:tabs>
        <w:jc w:val="both"/>
        <w:rPr>
          <w:iCs/>
          <w:noProof/>
          <w:sz w:val="22"/>
          <w:szCs w:val="22"/>
          <w:u w:val="single"/>
          <w:lang w:val="sr-Latn-ME"/>
        </w:rPr>
      </w:pPr>
      <w:r w:rsidRPr="009F254D">
        <w:rPr>
          <w:noProof/>
          <w:sz w:val="22"/>
          <w:szCs w:val="22"/>
          <w:u w:val="single"/>
          <w:lang w:val="sr-Latn-ME"/>
        </w:rPr>
        <w:t>Laboratorijske analize urina</w:t>
      </w:r>
    </w:p>
    <w:p w14:paraId="36D31C69" w14:textId="77777777" w:rsidR="00BA57F1" w:rsidRPr="009F254D" w:rsidRDefault="00BA57F1" w:rsidP="00FA635D">
      <w:pPr>
        <w:tabs>
          <w:tab w:val="left" w:pos="284"/>
        </w:tabs>
        <w:jc w:val="both"/>
        <w:rPr>
          <w:iCs/>
          <w:noProof/>
          <w:sz w:val="22"/>
          <w:szCs w:val="22"/>
          <w:lang w:val="sr-Latn-ME"/>
        </w:rPr>
      </w:pPr>
      <w:r w:rsidRPr="009F254D">
        <w:rPr>
          <w:noProof/>
          <w:sz w:val="22"/>
          <w:szCs w:val="22"/>
          <w:lang w:val="sr-Latn-ME"/>
        </w:rPr>
        <w:t>Zbog njegovog mehanizma dejstva, pacijenti koji uzimaju ovaj lijek imaće pozitivne testove na glukozu u urinu.</w:t>
      </w:r>
    </w:p>
    <w:p w14:paraId="5BF5BFF6" w14:textId="77777777" w:rsidR="00BA57F1" w:rsidRPr="009F254D" w:rsidRDefault="00BA57F1" w:rsidP="00FA635D">
      <w:pPr>
        <w:tabs>
          <w:tab w:val="left" w:pos="284"/>
        </w:tabs>
        <w:jc w:val="both"/>
        <w:rPr>
          <w:iCs/>
          <w:noProof/>
          <w:sz w:val="22"/>
          <w:szCs w:val="22"/>
          <w:lang w:val="sr-Latn-ME"/>
        </w:rPr>
      </w:pPr>
    </w:p>
    <w:p w14:paraId="7DD215B5" w14:textId="77777777" w:rsidR="00BA57F1" w:rsidRPr="009F254D" w:rsidRDefault="00BA57F1" w:rsidP="00FA635D">
      <w:pPr>
        <w:keepNext/>
        <w:keepLines/>
        <w:tabs>
          <w:tab w:val="left" w:pos="284"/>
        </w:tabs>
        <w:jc w:val="both"/>
        <w:rPr>
          <w:iCs/>
          <w:noProof/>
          <w:sz w:val="22"/>
          <w:szCs w:val="22"/>
          <w:u w:val="single"/>
          <w:lang w:val="sr-Latn-ME"/>
        </w:rPr>
      </w:pPr>
      <w:r w:rsidRPr="009F254D">
        <w:rPr>
          <w:noProof/>
          <w:sz w:val="22"/>
          <w:szCs w:val="22"/>
          <w:u w:val="single"/>
          <w:lang w:val="sr-Latn-ME"/>
        </w:rPr>
        <w:t>Primjena jodiranih kontrastnih sredstava</w:t>
      </w:r>
    </w:p>
    <w:p w14:paraId="7F97BCAF" w14:textId="5EC7A3B6" w:rsidR="00BA57F1" w:rsidRPr="009F254D" w:rsidRDefault="00BA57F1" w:rsidP="00FA635D">
      <w:pPr>
        <w:tabs>
          <w:tab w:val="left" w:pos="284"/>
        </w:tabs>
        <w:jc w:val="both"/>
        <w:rPr>
          <w:iCs/>
          <w:noProof/>
          <w:sz w:val="22"/>
          <w:szCs w:val="22"/>
          <w:lang w:val="sr-Latn-ME"/>
        </w:rPr>
      </w:pPr>
      <w:r w:rsidRPr="009F254D">
        <w:rPr>
          <w:noProof/>
          <w:sz w:val="22"/>
          <w:szCs w:val="22"/>
          <w:lang w:val="sr-Latn-ME"/>
        </w:rPr>
        <w:t xml:space="preserve">Intravaskularna primjena jodiranih kontrastnih sredstava može dovesti do nefropatije izazvane kontrastom, što dovodi do nakupljanja metformina i povećanja rizika od laktatne acidoze. Liječenje lijekom Xigduo treba prekinuti prije ili za vrijeme snimanja i </w:t>
      </w:r>
      <w:r w:rsidR="0028680F" w:rsidRPr="009F254D">
        <w:rPr>
          <w:noProof/>
          <w:sz w:val="22"/>
          <w:szCs w:val="22"/>
          <w:lang w:val="sr-Latn-ME"/>
        </w:rPr>
        <w:t xml:space="preserve">ne </w:t>
      </w:r>
      <w:r w:rsidRPr="009F254D">
        <w:rPr>
          <w:noProof/>
          <w:sz w:val="22"/>
          <w:szCs w:val="22"/>
          <w:lang w:val="sr-Latn-ME"/>
        </w:rPr>
        <w:t xml:space="preserve">treba ga ponovno započeti </w:t>
      </w:r>
      <w:r w:rsidR="0028680F" w:rsidRPr="009F254D">
        <w:rPr>
          <w:noProof/>
          <w:sz w:val="22"/>
          <w:szCs w:val="22"/>
          <w:lang w:val="sr-Latn-ME"/>
        </w:rPr>
        <w:t xml:space="preserve">prije isteka najmanje </w:t>
      </w:r>
      <w:r w:rsidRPr="009F254D">
        <w:rPr>
          <w:noProof/>
          <w:sz w:val="22"/>
          <w:szCs w:val="22"/>
          <w:lang w:val="sr-Latn-ME"/>
        </w:rPr>
        <w:t>48 sati nakon toga, pod uslovom da se funkcija bubrega preispita i</w:t>
      </w:r>
      <w:r w:rsidR="0028680F" w:rsidRPr="009F254D">
        <w:rPr>
          <w:noProof/>
          <w:sz w:val="22"/>
          <w:szCs w:val="22"/>
          <w:lang w:val="sr-Latn-ME"/>
        </w:rPr>
        <w:t xml:space="preserve"> da se</w:t>
      </w:r>
      <w:r w:rsidRPr="009F254D">
        <w:rPr>
          <w:noProof/>
          <w:sz w:val="22"/>
          <w:szCs w:val="22"/>
          <w:lang w:val="sr-Latn-ME"/>
        </w:rPr>
        <w:t xml:space="preserve"> ustanovi da je stabilna (pogledati </w:t>
      </w:r>
      <w:r w:rsidR="0028680F" w:rsidRPr="009F254D">
        <w:rPr>
          <w:noProof/>
          <w:sz w:val="22"/>
          <w:szCs w:val="22"/>
          <w:lang w:val="sr-Latn-ME"/>
        </w:rPr>
        <w:t xml:space="preserve">djelove </w:t>
      </w:r>
      <w:r w:rsidRPr="009F254D">
        <w:rPr>
          <w:noProof/>
          <w:sz w:val="22"/>
          <w:szCs w:val="22"/>
          <w:lang w:val="sr-Latn-ME"/>
        </w:rPr>
        <w:t>4.2</w:t>
      </w:r>
      <w:r w:rsidR="0028680F" w:rsidRPr="009F254D">
        <w:rPr>
          <w:noProof/>
          <w:sz w:val="22"/>
          <w:szCs w:val="22"/>
          <w:lang w:val="sr-Latn-ME"/>
        </w:rPr>
        <w:t>.</w:t>
      </w:r>
      <w:r w:rsidRPr="009F254D">
        <w:rPr>
          <w:noProof/>
          <w:sz w:val="22"/>
          <w:szCs w:val="22"/>
          <w:lang w:val="sr-Latn-ME"/>
        </w:rPr>
        <w:t xml:space="preserve"> i 4.5.).</w:t>
      </w:r>
    </w:p>
    <w:p w14:paraId="7B2E7032" w14:textId="77777777" w:rsidR="00BA57F1" w:rsidRPr="009F254D" w:rsidRDefault="00BA57F1" w:rsidP="00FA635D">
      <w:pPr>
        <w:tabs>
          <w:tab w:val="left" w:pos="284"/>
        </w:tabs>
        <w:jc w:val="both"/>
        <w:rPr>
          <w:iCs/>
          <w:noProof/>
          <w:sz w:val="22"/>
          <w:szCs w:val="22"/>
          <w:lang w:val="sr-Latn-ME"/>
        </w:rPr>
      </w:pPr>
    </w:p>
    <w:p w14:paraId="3F931A49" w14:textId="77777777" w:rsidR="00BA57F1" w:rsidRPr="009F254D" w:rsidRDefault="00BA57F1" w:rsidP="00FA635D">
      <w:pPr>
        <w:keepNext/>
        <w:keepLines/>
        <w:tabs>
          <w:tab w:val="left" w:pos="284"/>
        </w:tabs>
        <w:jc w:val="both"/>
        <w:rPr>
          <w:iCs/>
          <w:noProof/>
          <w:sz w:val="22"/>
          <w:szCs w:val="22"/>
          <w:u w:val="single"/>
          <w:lang w:val="sr-Latn-ME"/>
        </w:rPr>
      </w:pPr>
      <w:r w:rsidRPr="009F254D">
        <w:rPr>
          <w:noProof/>
          <w:sz w:val="22"/>
          <w:szCs w:val="22"/>
          <w:u w:val="single"/>
          <w:lang w:val="sr-Latn-ME"/>
        </w:rPr>
        <w:t>Hirurški zahvati</w:t>
      </w:r>
    </w:p>
    <w:p w14:paraId="0964408F" w14:textId="5BB6612B" w:rsidR="00BA57F1" w:rsidRPr="009F254D" w:rsidRDefault="00BA57F1" w:rsidP="00FA635D">
      <w:pPr>
        <w:tabs>
          <w:tab w:val="left" w:pos="284"/>
        </w:tabs>
        <w:jc w:val="both"/>
        <w:rPr>
          <w:iCs/>
          <w:noProof/>
          <w:sz w:val="22"/>
          <w:szCs w:val="22"/>
          <w:lang w:val="sr-Latn-ME"/>
        </w:rPr>
      </w:pPr>
      <w:r w:rsidRPr="009F254D">
        <w:rPr>
          <w:noProof/>
          <w:sz w:val="22"/>
          <w:szCs w:val="22"/>
          <w:lang w:val="sr-Latn-ME"/>
        </w:rPr>
        <w:t>Liječenje lijekom Xigduo mora se prekinuti za vrijeme hirurškog zahvata pod opštom, spinalnom ili epiduralnom anestezijom. Terapija se ponovo smije započeti nakon najmanje 48 sati od hirurškog zahvata ili ponovn</w:t>
      </w:r>
      <w:r w:rsidR="0028680F" w:rsidRPr="009F254D">
        <w:rPr>
          <w:noProof/>
          <w:sz w:val="22"/>
          <w:szCs w:val="22"/>
          <w:lang w:val="sr-Latn-ME"/>
        </w:rPr>
        <w:t>og</w:t>
      </w:r>
      <w:r w:rsidRPr="009F254D">
        <w:rPr>
          <w:noProof/>
          <w:sz w:val="22"/>
          <w:szCs w:val="22"/>
          <w:lang w:val="sr-Latn-ME"/>
        </w:rPr>
        <w:t xml:space="preserve"> uspostav</w:t>
      </w:r>
      <w:r w:rsidR="0028680F" w:rsidRPr="009F254D">
        <w:rPr>
          <w:noProof/>
          <w:sz w:val="22"/>
          <w:szCs w:val="22"/>
          <w:lang w:val="sr-Latn-ME"/>
        </w:rPr>
        <w:t>ljanja</w:t>
      </w:r>
      <w:r w:rsidRPr="009F254D">
        <w:rPr>
          <w:noProof/>
          <w:sz w:val="22"/>
          <w:szCs w:val="22"/>
          <w:lang w:val="sr-Latn-ME"/>
        </w:rPr>
        <w:t xml:space="preserve"> oralne ishrane, </w:t>
      </w:r>
      <w:r w:rsidR="0028680F" w:rsidRPr="009F254D">
        <w:rPr>
          <w:noProof/>
          <w:sz w:val="22"/>
          <w:szCs w:val="22"/>
          <w:lang w:val="sr-Latn-ME"/>
        </w:rPr>
        <w:t xml:space="preserve">i </w:t>
      </w:r>
      <w:r w:rsidRPr="009F254D">
        <w:rPr>
          <w:noProof/>
          <w:sz w:val="22"/>
          <w:szCs w:val="22"/>
          <w:lang w:val="sr-Latn-ME"/>
        </w:rPr>
        <w:t xml:space="preserve">pod uslovom da se funkcija bubrega preispita i </w:t>
      </w:r>
      <w:r w:rsidR="0028680F" w:rsidRPr="009F254D">
        <w:rPr>
          <w:noProof/>
          <w:sz w:val="22"/>
          <w:szCs w:val="22"/>
          <w:lang w:val="sr-Latn-ME"/>
        </w:rPr>
        <w:t xml:space="preserve">da se </w:t>
      </w:r>
      <w:r w:rsidRPr="009F254D">
        <w:rPr>
          <w:noProof/>
          <w:sz w:val="22"/>
          <w:szCs w:val="22"/>
          <w:lang w:val="sr-Latn-ME"/>
        </w:rPr>
        <w:t>ustanovi da je stabilna.</w:t>
      </w:r>
    </w:p>
    <w:p w14:paraId="660D5FD9" w14:textId="77777777" w:rsidR="00BA57F1" w:rsidRPr="009F254D" w:rsidRDefault="00BA57F1" w:rsidP="00FA635D">
      <w:pPr>
        <w:tabs>
          <w:tab w:val="left" w:pos="284"/>
        </w:tabs>
        <w:jc w:val="both"/>
        <w:rPr>
          <w:iCs/>
          <w:noProof/>
          <w:sz w:val="22"/>
          <w:szCs w:val="22"/>
          <w:lang w:val="sr-Latn-ME"/>
        </w:rPr>
      </w:pPr>
    </w:p>
    <w:p w14:paraId="2A2306FD" w14:textId="77777777" w:rsidR="00BA57F1" w:rsidRPr="009F254D" w:rsidRDefault="00BA57F1" w:rsidP="00FA635D">
      <w:pPr>
        <w:keepNext/>
        <w:keepLines/>
        <w:tabs>
          <w:tab w:val="left" w:pos="284"/>
        </w:tabs>
        <w:jc w:val="both"/>
        <w:rPr>
          <w:iCs/>
          <w:noProof/>
          <w:sz w:val="22"/>
          <w:szCs w:val="22"/>
          <w:u w:val="single"/>
          <w:lang w:val="sr-Latn-ME"/>
        </w:rPr>
      </w:pPr>
      <w:r w:rsidRPr="009F254D">
        <w:rPr>
          <w:noProof/>
          <w:sz w:val="22"/>
          <w:szCs w:val="22"/>
          <w:u w:val="single"/>
          <w:lang w:val="sr-Latn-ME"/>
        </w:rPr>
        <w:t>Promjena kliničkog statusa pacijenata sa prethodno regulisanim dijabetesom tipa 2</w:t>
      </w:r>
    </w:p>
    <w:p w14:paraId="1CCFD4C1" w14:textId="0F4BEC6F" w:rsidR="00BA57F1" w:rsidRDefault="00BA57F1" w:rsidP="00FA635D">
      <w:pPr>
        <w:tabs>
          <w:tab w:val="left" w:pos="284"/>
        </w:tabs>
        <w:jc w:val="both"/>
        <w:rPr>
          <w:noProof/>
          <w:sz w:val="22"/>
          <w:szCs w:val="22"/>
          <w:lang w:val="sr-Latn-ME"/>
        </w:rPr>
      </w:pPr>
      <w:r w:rsidRPr="009F254D">
        <w:rPr>
          <w:noProof/>
          <w:sz w:val="22"/>
          <w:szCs w:val="22"/>
          <w:lang w:val="sr-Latn-ME"/>
        </w:rPr>
        <w:t>Imajući u vidu da ovaj lijek sadrži metformin, kod pacijenata sa dijabetesom tipa 2 kod kojih je glikemija do tada bila dobro regulisana</w:t>
      </w:r>
      <w:r w:rsidR="0028680F" w:rsidRPr="009F254D">
        <w:rPr>
          <w:noProof/>
          <w:sz w:val="22"/>
          <w:szCs w:val="22"/>
          <w:lang w:val="sr-Latn-ME"/>
        </w:rPr>
        <w:t xml:space="preserve"> ovim lijekom</w:t>
      </w:r>
      <w:r w:rsidRPr="009F254D">
        <w:rPr>
          <w:noProof/>
          <w:sz w:val="22"/>
          <w:szCs w:val="22"/>
          <w:lang w:val="sr-Latn-ME"/>
        </w:rPr>
        <w:t xml:space="preserve"> i </w:t>
      </w:r>
      <w:r w:rsidR="0028680F" w:rsidRPr="009F254D">
        <w:rPr>
          <w:noProof/>
          <w:sz w:val="22"/>
          <w:szCs w:val="22"/>
          <w:lang w:val="sr-Latn-ME"/>
        </w:rPr>
        <w:t xml:space="preserve">kod kojih se </w:t>
      </w:r>
      <w:r w:rsidRPr="009F254D">
        <w:rPr>
          <w:noProof/>
          <w:sz w:val="22"/>
          <w:szCs w:val="22"/>
          <w:lang w:val="sr-Latn-ME"/>
        </w:rPr>
        <w:t>razviju abnormalne vrijednosti laboratorijskih analiza ili kliničk</w:t>
      </w:r>
      <w:r w:rsidR="0028680F" w:rsidRPr="009F254D">
        <w:rPr>
          <w:noProof/>
          <w:sz w:val="22"/>
          <w:szCs w:val="22"/>
          <w:lang w:val="sr-Latn-ME"/>
        </w:rPr>
        <w:t>a</w:t>
      </w:r>
      <w:r w:rsidRPr="009F254D">
        <w:rPr>
          <w:noProof/>
          <w:sz w:val="22"/>
          <w:szCs w:val="22"/>
          <w:lang w:val="sr-Latn-ME"/>
        </w:rPr>
        <w:t xml:space="preserve"> bolest (naročito neodređen</w:t>
      </w:r>
      <w:r w:rsidR="0028680F" w:rsidRPr="009F254D">
        <w:rPr>
          <w:noProof/>
          <w:sz w:val="22"/>
          <w:szCs w:val="22"/>
          <w:lang w:val="sr-Latn-ME"/>
        </w:rPr>
        <w:t>a</w:t>
      </w:r>
      <w:r w:rsidRPr="009F254D">
        <w:rPr>
          <w:noProof/>
          <w:sz w:val="22"/>
          <w:szCs w:val="22"/>
          <w:lang w:val="sr-Latn-ME"/>
        </w:rPr>
        <w:t xml:space="preserve"> i slabo izražen</w:t>
      </w:r>
      <w:r w:rsidR="0028680F" w:rsidRPr="009F254D">
        <w:rPr>
          <w:noProof/>
          <w:sz w:val="22"/>
          <w:szCs w:val="22"/>
          <w:lang w:val="sr-Latn-ME"/>
        </w:rPr>
        <w:t>a</w:t>
      </w:r>
      <w:r w:rsidRPr="009F254D">
        <w:rPr>
          <w:noProof/>
          <w:sz w:val="22"/>
          <w:szCs w:val="22"/>
          <w:lang w:val="sr-Latn-ME"/>
        </w:rPr>
        <w:t xml:space="preserve"> bolest)</w:t>
      </w:r>
      <w:r w:rsidR="0028680F" w:rsidRPr="009F254D">
        <w:rPr>
          <w:noProof/>
          <w:sz w:val="22"/>
          <w:szCs w:val="22"/>
          <w:lang w:val="sr-Latn-ME"/>
        </w:rPr>
        <w:t>,</w:t>
      </w:r>
      <w:r w:rsidRPr="009F254D">
        <w:rPr>
          <w:noProof/>
          <w:sz w:val="22"/>
          <w:szCs w:val="22"/>
          <w:lang w:val="sr-Latn-ME"/>
        </w:rPr>
        <w:t xml:space="preserve"> treba odmah potražiti znake ketoacidoze ili laktatne </w:t>
      </w:r>
      <w:r w:rsidR="0028680F" w:rsidRPr="009F254D">
        <w:rPr>
          <w:noProof/>
          <w:sz w:val="22"/>
          <w:szCs w:val="22"/>
          <w:lang w:val="sr-Latn-ME"/>
        </w:rPr>
        <w:t>a</w:t>
      </w:r>
      <w:r w:rsidRPr="009F254D">
        <w:rPr>
          <w:noProof/>
          <w:sz w:val="22"/>
          <w:szCs w:val="22"/>
          <w:lang w:val="sr-Latn-ME"/>
        </w:rPr>
        <w:t>cidoze. Procjena treba da obuhvati određivanje vrijednosti elektrolita i ketona u serumu, glukoze u krvi i, ukoliko je indikovano, pH vrijednosti krvi i vrijednosti laktata, piruvata i metformina. Ukoliko se utvrdi bilo koji oblik acidoze, primjena lijeka mora odmah biti prekinuta i moraju se uvesti odgovarajuće korektivne mjere.</w:t>
      </w:r>
    </w:p>
    <w:p w14:paraId="12DF8B79" w14:textId="77777777" w:rsidR="00DA5B25" w:rsidRPr="00B84E31" w:rsidRDefault="00DA5B25" w:rsidP="00FA635D">
      <w:pPr>
        <w:tabs>
          <w:tab w:val="left" w:pos="284"/>
        </w:tabs>
        <w:jc w:val="both"/>
        <w:rPr>
          <w:noProof/>
          <w:sz w:val="22"/>
          <w:szCs w:val="22"/>
          <w:lang w:val="sr-Latn-ME"/>
        </w:rPr>
      </w:pPr>
    </w:p>
    <w:p w14:paraId="11D5E35D" w14:textId="1320C3EB" w:rsidR="00DA5B25" w:rsidRPr="00696788" w:rsidRDefault="00DA5B25" w:rsidP="00696788">
      <w:pPr>
        <w:jc w:val="both"/>
        <w:rPr>
          <w:sz w:val="22"/>
          <w:szCs w:val="22"/>
          <w:u w:val="single"/>
          <w:vertAlign w:val="subscript"/>
          <w:lang w:val="sr-Latn-RS"/>
        </w:rPr>
      </w:pPr>
      <w:r w:rsidRPr="00696788">
        <w:rPr>
          <w:sz w:val="22"/>
          <w:szCs w:val="22"/>
          <w:u w:val="single"/>
          <w:lang w:val="sr-Latn-RS"/>
        </w:rPr>
        <w:t xml:space="preserve">Smanjenje/nedostatak </w:t>
      </w:r>
      <w:r w:rsidR="00F6032D">
        <w:rPr>
          <w:sz w:val="22"/>
          <w:szCs w:val="22"/>
          <w:u w:val="single"/>
          <w:lang w:val="sr-Latn-RS"/>
        </w:rPr>
        <w:t>v</w:t>
      </w:r>
      <w:r w:rsidRPr="00696788">
        <w:rPr>
          <w:sz w:val="22"/>
          <w:szCs w:val="22"/>
          <w:u w:val="single"/>
          <w:lang w:val="sr-Latn-RS"/>
        </w:rPr>
        <w:t>itamina B</w:t>
      </w:r>
      <w:r w:rsidRPr="00696788">
        <w:rPr>
          <w:sz w:val="22"/>
          <w:szCs w:val="22"/>
          <w:u w:val="single"/>
          <w:vertAlign w:val="subscript"/>
          <w:lang w:val="sr-Latn-RS"/>
        </w:rPr>
        <w:t>12</w:t>
      </w:r>
    </w:p>
    <w:p w14:paraId="55802BCB" w14:textId="09F19DBF" w:rsidR="00DA5B25" w:rsidRPr="00696788" w:rsidRDefault="00DA5B25" w:rsidP="00696788">
      <w:pPr>
        <w:jc w:val="both"/>
        <w:rPr>
          <w:sz w:val="22"/>
          <w:szCs w:val="22"/>
          <w:vertAlign w:val="subscript"/>
          <w:lang w:val="sr-Latn-RS"/>
        </w:rPr>
      </w:pPr>
      <w:r w:rsidRPr="00696788">
        <w:rPr>
          <w:sz w:val="22"/>
          <w:szCs w:val="22"/>
          <w:lang w:val="sr-Latn-RS"/>
        </w:rPr>
        <w:t>Metformin može smanjiti serumske vr</w:t>
      </w:r>
      <w:r w:rsidR="00F6032D">
        <w:rPr>
          <w:sz w:val="22"/>
          <w:szCs w:val="22"/>
          <w:lang w:val="sr-Latn-RS"/>
        </w:rPr>
        <w:t>ij</w:t>
      </w:r>
      <w:r w:rsidRPr="00696788">
        <w:rPr>
          <w:sz w:val="22"/>
          <w:szCs w:val="22"/>
          <w:lang w:val="sr-Latn-RS"/>
        </w:rPr>
        <w:t>ednosti vitamina B</w:t>
      </w:r>
      <w:r w:rsidRPr="00696788">
        <w:rPr>
          <w:sz w:val="22"/>
          <w:szCs w:val="22"/>
          <w:vertAlign w:val="subscript"/>
          <w:lang w:val="sr-Latn-RS"/>
        </w:rPr>
        <w:t>12.</w:t>
      </w:r>
    </w:p>
    <w:p w14:paraId="311CEFC0" w14:textId="3BBDB3FB" w:rsidR="00DA5B25" w:rsidRPr="00696788" w:rsidRDefault="00DA5B25" w:rsidP="00696788">
      <w:pPr>
        <w:jc w:val="both"/>
        <w:rPr>
          <w:sz w:val="22"/>
          <w:szCs w:val="22"/>
          <w:vertAlign w:val="subscript"/>
          <w:lang w:val="sr-Latn-RS"/>
        </w:rPr>
      </w:pPr>
      <w:r w:rsidRPr="00696788">
        <w:rPr>
          <w:sz w:val="22"/>
          <w:szCs w:val="22"/>
          <w:lang w:val="sr-Latn-RS"/>
        </w:rPr>
        <w:t>Rizik od smanjenja vrijednosti vitamina B</w:t>
      </w:r>
      <w:r w:rsidRPr="00696788">
        <w:rPr>
          <w:sz w:val="22"/>
          <w:szCs w:val="22"/>
          <w:vertAlign w:val="subscript"/>
          <w:lang w:val="sr-Latn-RS"/>
        </w:rPr>
        <w:t xml:space="preserve">12 </w:t>
      </w:r>
      <w:r w:rsidRPr="00696788">
        <w:rPr>
          <w:sz w:val="22"/>
          <w:szCs w:val="22"/>
          <w:lang w:val="sr-Latn-RS"/>
        </w:rPr>
        <w:t>raste sa povećanjem doze metformina, dužinom liječenja, i/ili kod pacijenata sa prisutnim faktorima rizika za koje je poznato da uzrokuju nedostatak vitamina B</w:t>
      </w:r>
      <w:r w:rsidRPr="00696788">
        <w:rPr>
          <w:sz w:val="22"/>
          <w:szCs w:val="22"/>
          <w:vertAlign w:val="subscript"/>
          <w:lang w:val="sr-Latn-RS"/>
        </w:rPr>
        <w:t>12</w:t>
      </w:r>
      <w:r w:rsidRPr="007202BC">
        <w:rPr>
          <w:sz w:val="22"/>
          <w:szCs w:val="22"/>
          <w:lang w:val="sr-Latn-RS"/>
        </w:rPr>
        <w:t>.</w:t>
      </w:r>
    </w:p>
    <w:p w14:paraId="3E266CE5" w14:textId="17F44A00" w:rsidR="00DA5B25" w:rsidRPr="007202BC" w:rsidRDefault="00DA5B25" w:rsidP="00696788">
      <w:pPr>
        <w:jc w:val="both"/>
        <w:rPr>
          <w:sz w:val="22"/>
          <w:szCs w:val="22"/>
          <w:lang w:val="sr-Latn-RS"/>
        </w:rPr>
      </w:pPr>
      <w:r w:rsidRPr="00696788">
        <w:rPr>
          <w:sz w:val="22"/>
          <w:szCs w:val="22"/>
          <w:lang w:val="sr-Latn-RS"/>
        </w:rPr>
        <w:t>U slučaju sumnje na nedostatak vitamina B</w:t>
      </w:r>
      <w:r w:rsidRPr="00696788">
        <w:rPr>
          <w:sz w:val="22"/>
          <w:szCs w:val="22"/>
          <w:vertAlign w:val="subscript"/>
          <w:lang w:val="sr-Latn-RS"/>
        </w:rPr>
        <w:t>12</w:t>
      </w:r>
      <w:r w:rsidRPr="00696788">
        <w:rPr>
          <w:sz w:val="22"/>
          <w:szCs w:val="22"/>
          <w:lang w:val="sr-Latn-RS"/>
        </w:rPr>
        <w:t xml:space="preserve"> (kao</w:t>
      </w:r>
      <w:r w:rsidR="00F6032D">
        <w:rPr>
          <w:sz w:val="22"/>
          <w:szCs w:val="22"/>
          <w:lang w:val="sr-Latn-RS"/>
        </w:rPr>
        <w:t xml:space="preserve"> kod</w:t>
      </w:r>
      <w:r w:rsidRPr="00696788">
        <w:rPr>
          <w:sz w:val="22"/>
          <w:szCs w:val="22"/>
          <w:lang w:val="sr-Latn-RS"/>
        </w:rPr>
        <w:t xml:space="preserve"> anemij</w:t>
      </w:r>
      <w:r w:rsidR="00F6032D">
        <w:rPr>
          <w:sz w:val="22"/>
          <w:szCs w:val="22"/>
          <w:lang w:val="sr-Latn-RS"/>
        </w:rPr>
        <w:t>e</w:t>
      </w:r>
      <w:r w:rsidRPr="00696788">
        <w:rPr>
          <w:sz w:val="22"/>
          <w:szCs w:val="22"/>
          <w:lang w:val="sr-Latn-RS"/>
        </w:rPr>
        <w:t xml:space="preserve"> ili neuropatij</w:t>
      </w:r>
      <w:r w:rsidR="00F6032D">
        <w:rPr>
          <w:sz w:val="22"/>
          <w:szCs w:val="22"/>
          <w:lang w:val="sr-Latn-RS"/>
        </w:rPr>
        <w:t>e</w:t>
      </w:r>
      <w:r w:rsidRPr="00696788">
        <w:rPr>
          <w:sz w:val="22"/>
          <w:szCs w:val="22"/>
          <w:lang w:val="sr-Latn-RS"/>
        </w:rPr>
        <w:t>), potrebno je pažljivo pratiti serumske vrijednosti vitamina B</w:t>
      </w:r>
      <w:r w:rsidRPr="00696788">
        <w:rPr>
          <w:sz w:val="22"/>
          <w:szCs w:val="22"/>
          <w:vertAlign w:val="subscript"/>
          <w:lang w:val="sr-Latn-RS"/>
        </w:rPr>
        <w:t>12</w:t>
      </w:r>
      <w:r w:rsidRPr="007202BC">
        <w:rPr>
          <w:sz w:val="22"/>
          <w:szCs w:val="22"/>
          <w:lang w:val="sr-Latn-RS"/>
        </w:rPr>
        <w:t>.</w:t>
      </w:r>
      <w:r w:rsidRPr="00696788">
        <w:rPr>
          <w:sz w:val="22"/>
          <w:szCs w:val="22"/>
          <w:vertAlign w:val="subscript"/>
          <w:lang w:val="sr-Latn-RS"/>
        </w:rPr>
        <w:t xml:space="preserve"> </w:t>
      </w:r>
      <w:r w:rsidRPr="00696788">
        <w:rPr>
          <w:sz w:val="22"/>
          <w:szCs w:val="22"/>
          <w:lang w:val="sr-Latn-RS"/>
        </w:rPr>
        <w:t>Periodično praćenje vrijednosti vitamina B</w:t>
      </w:r>
      <w:r w:rsidRPr="00696788">
        <w:rPr>
          <w:sz w:val="22"/>
          <w:szCs w:val="22"/>
          <w:vertAlign w:val="subscript"/>
          <w:lang w:val="sr-Latn-RS"/>
        </w:rPr>
        <w:t xml:space="preserve">12 </w:t>
      </w:r>
      <w:r w:rsidRPr="00696788">
        <w:rPr>
          <w:sz w:val="22"/>
          <w:szCs w:val="22"/>
          <w:lang w:val="sr-Latn-RS"/>
        </w:rPr>
        <w:t xml:space="preserve">može biti potrebno kod pacijenata sa prisutnim faktorima rizika </w:t>
      </w:r>
      <w:r w:rsidR="00F6032D">
        <w:rPr>
          <w:sz w:val="22"/>
          <w:szCs w:val="22"/>
          <w:lang w:val="sr-Latn-RS"/>
        </w:rPr>
        <w:t>za</w:t>
      </w:r>
      <w:r w:rsidRPr="00696788">
        <w:rPr>
          <w:sz w:val="22"/>
          <w:szCs w:val="22"/>
          <w:lang w:val="sr-Latn-RS"/>
        </w:rPr>
        <w:t xml:space="preserve"> nedostat</w:t>
      </w:r>
      <w:r w:rsidR="00F6032D" w:rsidRPr="00696788">
        <w:rPr>
          <w:sz w:val="22"/>
          <w:szCs w:val="22"/>
          <w:lang w:val="sr-Latn-RS"/>
        </w:rPr>
        <w:t>a</w:t>
      </w:r>
      <w:r w:rsidRPr="00696788">
        <w:rPr>
          <w:sz w:val="22"/>
          <w:szCs w:val="22"/>
          <w:lang w:val="sr-Latn-RS"/>
        </w:rPr>
        <w:t>k vitamina B</w:t>
      </w:r>
      <w:r w:rsidRPr="00696788">
        <w:rPr>
          <w:sz w:val="22"/>
          <w:szCs w:val="22"/>
          <w:vertAlign w:val="subscript"/>
          <w:lang w:val="sr-Latn-RS"/>
        </w:rPr>
        <w:t>12</w:t>
      </w:r>
      <w:r w:rsidRPr="007202BC">
        <w:rPr>
          <w:sz w:val="22"/>
          <w:szCs w:val="22"/>
          <w:lang w:val="sr-Latn-RS"/>
        </w:rPr>
        <w:t>.</w:t>
      </w:r>
    </w:p>
    <w:p w14:paraId="632C665B" w14:textId="43A3A475" w:rsidR="00DA5B25" w:rsidRPr="00696788" w:rsidRDefault="00DA5B25" w:rsidP="00696788">
      <w:pPr>
        <w:jc w:val="both"/>
        <w:rPr>
          <w:sz w:val="22"/>
          <w:szCs w:val="22"/>
          <w:lang w:val="sr-Latn-RS"/>
        </w:rPr>
      </w:pPr>
      <w:r w:rsidRPr="00696788">
        <w:rPr>
          <w:sz w:val="22"/>
          <w:szCs w:val="22"/>
          <w:lang w:val="sr-Latn-RS"/>
        </w:rPr>
        <w:t>Liječenje metforminom treba nastaviti dokle god se toleriše i ukoliko nije kontraindikovano</w:t>
      </w:r>
      <w:r w:rsidR="005748B6">
        <w:rPr>
          <w:sz w:val="22"/>
          <w:szCs w:val="22"/>
          <w:lang w:val="sr-Latn-RS"/>
        </w:rPr>
        <w:t>,</w:t>
      </w:r>
      <w:r w:rsidRPr="00696788">
        <w:rPr>
          <w:sz w:val="22"/>
          <w:szCs w:val="22"/>
          <w:lang w:val="sr-Latn-RS"/>
        </w:rPr>
        <w:t xml:space="preserve"> i uz odgovarajući korektivni tretman za nedostatak vitamina B</w:t>
      </w:r>
      <w:r w:rsidRPr="00696788">
        <w:rPr>
          <w:sz w:val="22"/>
          <w:szCs w:val="22"/>
          <w:vertAlign w:val="subscript"/>
          <w:lang w:val="sr-Latn-RS"/>
        </w:rPr>
        <w:t>12</w:t>
      </w:r>
      <w:r w:rsidRPr="00696788">
        <w:rPr>
          <w:sz w:val="22"/>
          <w:szCs w:val="22"/>
          <w:lang w:val="sr-Latn-RS"/>
        </w:rPr>
        <w:t xml:space="preserve"> u skladu sa trenutnim vodičima dobre kliničke prakse.</w:t>
      </w:r>
    </w:p>
    <w:p w14:paraId="2806250A" w14:textId="77777777" w:rsidR="00057E35" w:rsidRPr="009F254D" w:rsidRDefault="00057E35" w:rsidP="00FA635D">
      <w:pPr>
        <w:tabs>
          <w:tab w:val="left" w:pos="540"/>
          <w:tab w:val="left" w:pos="569"/>
        </w:tabs>
        <w:rPr>
          <w:bCs/>
          <w:sz w:val="22"/>
          <w:szCs w:val="22"/>
          <w:lang w:val="sr-Latn-ME"/>
        </w:rPr>
      </w:pPr>
    </w:p>
    <w:p w14:paraId="0EC7C6B1" w14:textId="707A496A" w:rsidR="00411B4B" w:rsidRPr="009F254D" w:rsidRDefault="00411B4B" w:rsidP="00FA635D">
      <w:pPr>
        <w:tabs>
          <w:tab w:val="left" w:pos="540"/>
          <w:tab w:val="left" w:pos="569"/>
        </w:tabs>
        <w:rPr>
          <w:b/>
          <w:bCs/>
          <w:sz w:val="22"/>
          <w:szCs w:val="22"/>
          <w:lang w:val="sr-Latn-ME"/>
        </w:rPr>
      </w:pPr>
      <w:r w:rsidRPr="009F254D">
        <w:rPr>
          <w:b/>
          <w:bCs/>
          <w:sz w:val="22"/>
          <w:szCs w:val="22"/>
          <w:lang w:val="sr-Latn-ME"/>
        </w:rPr>
        <w:t>4.5.</w:t>
      </w:r>
      <w:r w:rsidR="000D60CC" w:rsidRPr="009F254D">
        <w:rPr>
          <w:b/>
          <w:bCs/>
          <w:sz w:val="22"/>
          <w:szCs w:val="22"/>
          <w:lang w:val="sr-Latn-ME"/>
        </w:rPr>
        <w:tab/>
      </w:r>
      <w:r w:rsidRPr="009F254D">
        <w:rPr>
          <w:b/>
          <w:bCs/>
          <w:sz w:val="22"/>
          <w:szCs w:val="22"/>
          <w:lang w:val="sr-Latn-ME"/>
        </w:rPr>
        <w:t>Interakcije sa drugim ljekovima i druge vrste interakcija</w:t>
      </w:r>
    </w:p>
    <w:p w14:paraId="1E5F658A" w14:textId="4CC726B0" w:rsidR="00855DF3" w:rsidRPr="009F254D" w:rsidRDefault="00855DF3" w:rsidP="00FA635D">
      <w:pPr>
        <w:tabs>
          <w:tab w:val="left" w:pos="540"/>
          <w:tab w:val="left" w:pos="569"/>
        </w:tabs>
        <w:rPr>
          <w:b/>
          <w:bCs/>
          <w:sz w:val="22"/>
          <w:szCs w:val="22"/>
          <w:lang w:val="sr-Latn-ME"/>
        </w:rPr>
      </w:pPr>
    </w:p>
    <w:p w14:paraId="76FA300E" w14:textId="77777777" w:rsidR="00855DF3" w:rsidRPr="009F254D" w:rsidRDefault="00855DF3" w:rsidP="00FA635D">
      <w:pPr>
        <w:tabs>
          <w:tab w:val="left" w:pos="284"/>
        </w:tabs>
        <w:jc w:val="both"/>
        <w:rPr>
          <w:noProof/>
          <w:sz w:val="22"/>
          <w:szCs w:val="22"/>
          <w:lang w:val="sr-Latn-ME"/>
        </w:rPr>
      </w:pPr>
      <w:r w:rsidRPr="009F254D">
        <w:rPr>
          <w:noProof/>
          <w:sz w:val="22"/>
          <w:szCs w:val="22"/>
          <w:lang w:val="sr-Latn-ME"/>
        </w:rPr>
        <w:t>Istovremeno uzimanje višestrukih doza dapagliflozina i metformina kod zdravih ispitanika nema značajan uticaj na farmakokinetiku dapagliflozina i metformina.</w:t>
      </w:r>
    </w:p>
    <w:p w14:paraId="77126EFC" w14:textId="77777777" w:rsidR="00855DF3" w:rsidRPr="009F254D" w:rsidRDefault="00855DF3" w:rsidP="00FA635D">
      <w:pPr>
        <w:tabs>
          <w:tab w:val="left" w:pos="284"/>
        </w:tabs>
        <w:jc w:val="both"/>
        <w:rPr>
          <w:noProof/>
          <w:sz w:val="22"/>
          <w:szCs w:val="22"/>
          <w:lang w:val="sr-Latn-ME"/>
        </w:rPr>
      </w:pPr>
    </w:p>
    <w:p w14:paraId="1938BAF3" w14:textId="0111A634" w:rsidR="00855DF3" w:rsidRPr="009F254D" w:rsidRDefault="00855DF3" w:rsidP="00FA635D">
      <w:pPr>
        <w:tabs>
          <w:tab w:val="left" w:pos="284"/>
        </w:tabs>
        <w:jc w:val="both"/>
        <w:rPr>
          <w:noProof/>
          <w:sz w:val="22"/>
          <w:szCs w:val="22"/>
          <w:lang w:val="sr-Latn-ME"/>
        </w:rPr>
      </w:pPr>
      <w:r w:rsidRPr="009F254D">
        <w:rPr>
          <w:noProof/>
          <w:sz w:val="22"/>
          <w:szCs w:val="22"/>
          <w:lang w:val="sr-Latn-ME"/>
        </w:rPr>
        <w:t>Studije interakcije lijeka Xigduo sa drugim ljekovima ni</w:t>
      </w:r>
      <w:r w:rsidR="0028680F" w:rsidRPr="009F254D">
        <w:rPr>
          <w:noProof/>
          <w:sz w:val="22"/>
          <w:szCs w:val="22"/>
          <w:lang w:val="sr-Latn-ME"/>
        </w:rPr>
        <w:t>je</w:t>
      </w:r>
      <w:r w:rsidRPr="009F254D">
        <w:rPr>
          <w:noProof/>
          <w:sz w:val="22"/>
          <w:szCs w:val="22"/>
          <w:lang w:val="sr-Latn-ME"/>
        </w:rPr>
        <w:t>su sprovedene. Sljedeće tvrdnje odražavaju dostupne informacije o pojedinačnim aktivnim supstancama.</w:t>
      </w:r>
    </w:p>
    <w:p w14:paraId="3068CA6E" w14:textId="77777777" w:rsidR="00855DF3" w:rsidRPr="009F254D" w:rsidRDefault="00855DF3" w:rsidP="00FA635D">
      <w:pPr>
        <w:tabs>
          <w:tab w:val="left" w:pos="284"/>
        </w:tabs>
        <w:jc w:val="both"/>
        <w:rPr>
          <w:noProof/>
          <w:sz w:val="22"/>
          <w:szCs w:val="22"/>
          <w:lang w:val="sr-Latn-ME"/>
        </w:rPr>
      </w:pPr>
    </w:p>
    <w:p w14:paraId="3F2AA2BF" w14:textId="77777777" w:rsidR="00855DF3" w:rsidRPr="009F254D" w:rsidRDefault="00855DF3" w:rsidP="00FA635D">
      <w:pPr>
        <w:keepNext/>
        <w:keepLines/>
        <w:tabs>
          <w:tab w:val="left" w:pos="284"/>
        </w:tabs>
        <w:jc w:val="both"/>
        <w:rPr>
          <w:noProof/>
          <w:sz w:val="22"/>
          <w:szCs w:val="22"/>
          <w:lang w:val="sr-Latn-ME"/>
        </w:rPr>
      </w:pPr>
      <w:r w:rsidRPr="009F254D">
        <w:rPr>
          <w:noProof/>
          <w:sz w:val="22"/>
          <w:szCs w:val="22"/>
          <w:u w:val="single"/>
          <w:lang w:val="sr-Latn-ME"/>
        </w:rPr>
        <w:t>Dapagliflozin</w:t>
      </w:r>
      <w:r w:rsidRPr="009F254D">
        <w:rPr>
          <w:noProof/>
          <w:sz w:val="22"/>
          <w:szCs w:val="22"/>
          <w:lang w:val="sr-Latn-ME"/>
        </w:rPr>
        <w:t xml:space="preserve"> </w:t>
      </w:r>
    </w:p>
    <w:p w14:paraId="61B2497C" w14:textId="77777777" w:rsidR="00855DF3" w:rsidRPr="009F254D" w:rsidRDefault="00855DF3" w:rsidP="00FA635D">
      <w:pPr>
        <w:keepNext/>
        <w:keepLines/>
        <w:tabs>
          <w:tab w:val="left" w:pos="284"/>
        </w:tabs>
        <w:jc w:val="both"/>
        <w:rPr>
          <w:i/>
          <w:iCs/>
          <w:noProof/>
          <w:sz w:val="22"/>
          <w:szCs w:val="22"/>
          <w:u w:val="single"/>
          <w:lang w:val="sr-Latn-ME"/>
        </w:rPr>
      </w:pPr>
      <w:r w:rsidRPr="009F254D">
        <w:rPr>
          <w:i/>
          <w:iCs/>
          <w:noProof/>
          <w:sz w:val="22"/>
          <w:szCs w:val="22"/>
          <w:u w:val="single"/>
          <w:lang w:val="sr-Latn-ME"/>
        </w:rPr>
        <w:t>Farmakodinamske interakcije</w:t>
      </w:r>
    </w:p>
    <w:p w14:paraId="0FB9FA8F" w14:textId="77777777" w:rsidR="00855DF3" w:rsidRPr="009F254D" w:rsidRDefault="00855DF3" w:rsidP="00FA635D">
      <w:pPr>
        <w:keepNext/>
        <w:keepLines/>
        <w:tabs>
          <w:tab w:val="left" w:pos="284"/>
        </w:tabs>
        <w:jc w:val="both"/>
        <w:rPr>
          <w:i/>
          <w:iCs/>
          <w:noProof/>
          <w:sz w:val="22"/>
          <w:szCs w:val="22"/>
          <w:lang w:val="sr-Latn-ME"/>
        </w:rPr>
      </w:pPr>
      <w:r w:rsidRPr="009F254D">
        <w:rPr>
          <w:i/>
          <w:iCs/>
          <w:noProof/>
          <w:sz w:val="22"/>
          <w:szCs w:val="22"/>
          <w:lang w:val="sr-Latn-ME"/>
        </w:rPr>
        <w:t>Diuretici</w:t>
      </w:r>
    </w:p>
    <w:p w14:paraId="6CCDF1A0" w14:textId="6EBA16BE" w:rsidR="00855DF3" w:rsidRPr="009F254D" w:rsidRDefault="00855DF3" w:rsidP="00FA635D">
      <w:pPr>
        <w:tabs>
          <w:tab w:val="left" w:pos="284"/>
        </w:tabs>
        <w:jc w:val="both"/>
        <w:rPr>
          <w:i/>
          <w:iCs/>
          <w:noProof/>
          <w:sz w:val="22"/>
          <w:szCs w:val="22"/>
          <w:lang w:val="sr-Latn-ME"/>
        </w:rPr>
      </w:pPr>
      <w:r w:rsidRPr="009F254D">
        <w:rPr>
          <w:noProof/>
          <w:sz w:val="22"/>
          <w:szCs w:val="22"/>
          <w:lang w:val="sr-Latn-ME"/>
        </w:rPr>
        <w:t xml:space="preserve">Ovaj lijek može da doprinese diuretskom dejstvu tiazida i diuretika Henleove petlje i može da poveća rizik od dehidratacije i hipotenzije (pogledati </w:t>
      </w:r>
      <w:r w:rsidR="0028680F" w:rsidRPr="009F254D">
        <w:rPr>
          <w:noProof/>
          <w:sz w:val="22"/>
          <w:szCs w:val="22"/>
          <w:lang w:val="sr-Latn-ME"/>
        </w:rPr>
        <w:t xml:space="preserve">dio </w:t>
      </w:r>
      <w:r w:rsidRPr="009F254D">
        <w:rPr>
          <w:noProof/>
          <w:sz w:val="22"/>
          <w:szCs w:val="22"/>
          <w:lang w:val="sr-Latn-ME"/>
        </w:rPr>
        <w:t>4.4).</w:t>
      </w:r>
    </w:p>
    <w:p w14:paraId="33BB7160" w14:textId="77777777" w:rsidR="00855DF3" w:rsidRPr="009F254D" w:rsidRDefault="00855DF3" w:rsidP="00FA635D">
      <w:pPr>
        <w:tabs>
          <w:tab w:val="left" w:pos="284"/>
        </w:tabs>
        <w:jc w:val="both"/>
        <w:rPr>
          <w:iCs/>
          <w:noProof/>
          <w:sz w:val="22"/>
          <w:szCs w:val="22"/>
          <w:lang w:val="sr-Latn-ME"/>
        </w:rPr>
      </w:pPr>
    </w:p>
    <w:p w14:paraId="38F9393B" w14:textId="77777777" w:rsidR="00855DF3" w:rsidRPr="009F254D" w:rsidRDefault="00855DF3" w:rsidP="00FA635D">
      <w:pPr>
        <w:keepNext/>
        <w:keepLines/>
        <w:tabs>
          <w:tab w:val="left" w:pos="284"/>
        </w:tabs>
        <w:jc w:val="both"/>
        <w:rPr>
          <w:noProof/>
          <w:sz w:val="22"/>
          <w:szCs w:val="22"/>
          <w:lang w:val="sr-Latn-ME"/>
        </w:rPr>
      </w:pPr>
      <w:r w:rsidRPr="009F254D">
        <w:rPr>
          <w:i/>
          <w:iCs/>
          <w:noProof/>
          <w:sz w:val="22"/>
          <w:szCs w:val="22"/>
          <w:lang w:val="sr-Latn-ME"/>
        </w:rPr>
        <w:lastRenderedPageBreak/>
        <w:t>Insulin i sekretagogi insulina</w:t>
      </w:r>
    </w:p>
    <w:p w14:paraId="4C155F9B" w14:textId="5C2B2C9D" w:rsidR="00855DF3" w:rsidRPr="009F254D" w:rsidRDefault="00855DF3" w:rsidP="00FA635D">
      <w:pPr>
        <w:tabs>
          <w:tab w:val="left" w:pos="284"/>
        </w:tabs>
        <w:jc w:val="both"/>
        <w:rPr>
          <w:noProof/>
          <w:sz w:val="22"/>
          <w:szCs w:val="22"/>
          <w:lang w:val="sr-Latn-ME"/>
        </w:rPr>
      </w:pPr>
      <w:r w:rsidRPr="009F254D">
        <w:rPr>
          <w:noProof/>
          <w:sz w:val="22"/>
          <w:szCs w:val="22"/>
          <w:lang w:val="sr-Latn-ME"/>
        </w:rPr>
        <w:t>Insulin i sekretagogi insulina, kao što su sulfoniluree, izazivaju hipoglikemiju. Stoga može biti potrebna niža doza insulina ili sekretagoga insulina kako bi se smanjio rizik od hipoglikemije kada se korist</w:t>
      </w:r>
      <w:r w:rsidR="00213E58" w:rsidRPr="009F254D">
        <w:rPr>
          <w:noProof/>
          <w:sz w:val="22"/>
          <w:szCs w:val="22"/>
          <w:lang w:val="sr-Latn-ME"/>
        </w:rPr>
        <w:t>e</w:t>
      </w:r>
      <w:r w:rsidRPr="009F254D">
        <w:rPr>
          <w:noProof/>
          <w:sz w:val="22"/>
          <w:szCs w:val="22"/>
          <w:lang w:val="sr-Latn-ME"/>
        </w:rPr>
        <w:t xml:space="preserve"> u kombinaciji sa dapagliflozinom (pogledati </w:t>
      </w:r>
      <w:r w:rsidR="00116E58" w:rsidRPr="009F254D">
        <w:rPr>
          <w:noProof/>
          <w:sz w:val="22"/>
          <w:szCs w:val="22"/>
          <w:lang w:val="sr-Latn-ME"/>
        </w:rPr>
        <w:t>djelove </w:t>
      </w:r>
      <w:r w:rsidRPr="009F254D">
        <w:rPr>
          <w:noProof/>
          <w:sz w:val="22"/>
          <w:szCs w:val="22"/>
          <w:lang w:val="sr-Latn-ME"/>
        </w:rPr>
        <w:t>4.2. i 4.8).</w:t>
      </w:r>
    </w:p>
    <w:p w14:paraId="6B01889C" w14:textId="77777777" w:rsidR="00855DF3" w:rsidRPr="009F254D" w:rsidRDefault="00855DF3" w:rsidP="00FA635D">
      <w:pPr>
        <w:tabs>
          <w:tab w:val="left" w:pos="284"/>
        </w:tabs>
        <w:jc w:val="both"/>
        <w:rPr>
          <w:noProof/>
          <w:sz w:val="22"/>
          <w:szCs w:val="22"/>
          <w:lang w:val="sr-Latn-ME"/>
        </w:rPr>
      </w:pPr>
    </w:p>
    <w:p w14:paraId="34E2B791" w14:textId="77777777" w:rsidR="00855DF3" w:rsidRPr="009F254D" w:rsidRDefault="00855DF3" w:rsidP="00FA635D">
      <w:pPr>
        <w:keepNext/>
        <w:keepLines/>
        <w:tabs>
          <w:tab w:val="left" w:pos="284"/>
        </w:tabs>
        <w:jc w:val="both"/>
        <w:rPr>
          <w:i/>
          <w:iCs/>
          <w:noProof/>
          <w:sz w:val="22"/>
          <w:szCs w:val="22"/>
          <w:u w:val="single"/>
          <w:lang w:val="sr-Latn-ME"/>
        </w:rPr>
      </w:pPr>
      <w:r w:rsidRPr="009F254D">
        <w:rPr>
          <w:i/>
          <w:iCs/>
          <w:noProof/>
          <w:sz w:val="22"/>
          <w:szCs w:val="22"/>
          <w:u w:val="single"/>
          <w:lang w:val="sr-Latn-ME"/>
        </w:rPr>
        <w:t>Farmakokinetičke interakcije</w:t>
      </w:r>
    </w:p>
    <w:p w14:paraId="78A908EB" w14:textId="77777777" w:rsidR="00855DF3" w:rsidRPr="009F254D" w:rsidRDefault="00855DF3" w:rsidP="00FA635D">
      <w:pPr>
        <w:tabs>
          <w:tab w:val="left" w:pos="284"/>
        </w:tabs>
        <w:jc w:val="both"/>
        <w:rPr>
          <w:noProof/>
          <w:sz w:val="22"/>
          <w:szCs w:val="22"/>
          <w:lang w:val="sr-Latn-ME"/>
        </w:rPr>
      </w:pPr>
      <w:r w:rsidRPr="009F254D">
        <w:rPr>
          <w:noProof/>
          <w:sz w:val="22"/>
          <w:szCs w:val="22"/>
          <w:lang w:val="sr-Latn-ME"/>
        </w:rPr>
        <w:t>Metabolizam dapagliflozina primarno se vrši putem konjugacije glukuronida posredovane od strane UDP glukuronoziltransferaze 1A9 (UGT1A9).</w:t>
      </w:r>
    </w:p>
    <w:p w14:paraId="224DC94A" w14:textId="77777777" w:rsidR="00855DF3" w:rsidRPr="009F254D" w:rsidRDefault="00855DF3" w:rsidP="00FA635D">
      <w:pPr>
        <w:tabs>
          <w:tab w:val="left" w:pos="284"/>
        </w:tabs>
        <w:jc w:val="both"/>
        <w:rPr>
          <w:noProof/>
          <w:sz w:val="22"/>
          <w:szCs w:val="22"/>
          <w:lang w:val="sr-Latn-ME"/>
        </w:rPr>
      </w:pPr>
      <w:r w:rsidRPr="009F254D">
        <w:rPr>
          <w:sz w:val="22"/>
          <w:szCs w:val="22"/>
          <w:lang w:val="sr-Latn-ME"/>
        </w:rPr>
        <w:t xml:space="preserve">U </w:t>
      </w:r>
      <w:r w:rsidRPr="009F254D">
        <w:rPr>
          <w:i/>
          <w:iCs/>
          <w:sz w:val="22"/>
          <w:szCs w:val="22"/>
          <w:lang w:val="sr-Latn-ME"/>
        </w:rPr>
        <w:t>in vitro</w:t>
      </w:r>
      <w:r w:rsidRPr="009F254D">
        <w:rPr>
          <w:sz w:val="22"/>
          <w:szCs w:val="22"/>
          <w:lang w:val="sr-Latn-ME"/>
        </w:rPr>
        <w:t xml:space="preserve"> studijama, dapagliflozin nije ni inhibirao citrohrom P450 (CYP) 1A2, CYP2A6, CYP2B6, CYP2C8, CYP2C9, CYP2C19, CYP2D6, CYP3A4, niti je indukovao CYP1A2, CYP2B6 ili CYP3A4. Stoga se od </w:t>
      </w:r>
      <w:r w:rsidRPr="009F254D">
        <w:rPr>
          <w:noProof/>
          <w:sz w:val="22"/>
          <w:szCs w:val="22"/>
          <w:lang w:val="sr-Latn-ME"/>
        </w:rPr>
        <w:t xml:space="preserve">ovog lijeka </w:t>
      </w:r>
      <w:r w:rsidRPr="009F254D">
        <w:rPr>
          <w:sz w:val="22"/>
          <w:szCs w:val="22"/>
          <w:lang w:val="sr-Latn-ME"/>
        </w:rPr>
        <w:t>ne očekuje da mijenja metabolički klirens ljekova koji se istovremeno primjenjuju, a koje ovi enzimi metabolišu.</w:t>
      </w:r>
    </w:p>
    <w:p w14:paraId="1D2FD714" w14:textId="77777777" w:rsidR="00855DF3" w:rsidRPr="009F254D" w:rsidRDefault="00855DF3" w:rsidP="00FA635D">
      <w:pPr>
        <w:tabs>
          <w:tab w:val="left" w:pos="284"/>
        </w:tabs>
        <w:jc w:val="both"/>
        <w:rPr>
          <w:noProof/>
          <w:sz w:val="22"/>
          <w:szCs w:val="22"/>
          <w:lang w:val="sr-Latn-ME"/>
        </w:rPr>
      </w:pPr>
    </w:p>
    <w:p w14:paraId="4F5AE0C6" w14:textId="77777777" w:rsidR="00855DF3" w:rsidRPr="009F254D" w:rsidRDefault="00855DF3" w:rsidP="00FA635D">
      <w:pPr>
        <w:keepNext/>
        <w:keepLines/>
        <w:tabs>
          <w:tab w:val="left" w:pos="284"/>
        </w:tabs>
        <w:jc w:val="both"/>
        <w:rPr>
          <w:i/>
          <w:iCs/>
          <w:noProof/>
          <w:sz w:val="22"/>
          <w:szCs w:val="22"/>
          <w:u w:val="single"/>
          <w:lang w:val="sr-Latn-ME"/>
        </w:rPr>
      </w:pPr>
      <w:r w:rsidRPr="009F254D">
        <w:rPr>
          <w:i/>
          <w:iCs/>
          <w:noProof/>
          <w:sz w:val="22"/>
          <w:szCs w:val="22"/>
          <w:u w:val="single"/>
          <w:lang w:val="sr-Latn-ME"/>
        </w:rPr>
        <w:t>Uticaj drugih ljekova na dapagliflozin</w:t>
      </w:r>
    </w:p>
    <w:p w14:paraId="6C6DE2D8" w14:textId="7F5B6A0F" w:rsidR="00855DF3" w:rsidRPr="009F254D" w:rsidRDefault="00855DF3" w:rsidP="00FA635D">
      <w:pPr>
        <w:tabs>
          <w:tab w:val="left" w:pos="284"/>
        </w:tabs>
        <w:jc w:val="both"/>
        <w:rPr>
          <w:noProof/>
          <w:sz w:val="22"/>
          <w:szCs w:val="22"/>
          <w:lang w:val="sr-Latn-ME"/>
        </w:rPr>
      </w:pPr>
      <w:r w:rsidRPr="009F254D">
        <w:rPr>
          <w:noProof/>
          <w:sz w:val="22"/>
          <w:szCs w:val="22"/>
          <w:lang w:val="sr-Latn-ME"/>
        </w:rPr>
        <w:t xml:space="preserve">Studije interakcije obavljene na zdravim ispitanicima, uz primjenu pretežno dizajna </w:t>
      </w:r>
      <w:r w:rsidR="00116E58" w:rsidRPr="009F254D">
        <w:rPr>
          <w:noProof/>
          <w:sz w:val="22"/>
          <w:szCs w:val="22"/>
          <w:lang w:val="sr-Latn-ME"/>
        </w:rPr>
        <w:t xml:space="preserve">pojedinačne </w:t>
      </w:r>
      <w:r w:rsidRPr="009F254D">
        <w:rPr>
          <w:noProof/>
          <w:sz w:val="22"/>
          <w:szCs w:val="22"/>
          <w:lang w:val="sr-Latn-ME"/>
        </w:rPr>
        <w:t>doze, ukazuju na to da farmakokinetiku dapagliflozina ne mijenjaju pioglitazon, sitagliptin, glimepirid, voglibos, hidrohlorotiazid, bumetanid, valsartan, niti simvastatin.</w:t>
      </w:r>
    </w:p>
    <w:p w14:paraId="4EA46D48" w14:textId="77777777" w:rsidR="00855DF3" w:rsidRPr="009F254D" w:rsidRDefault="00855DF3" w:rsidP="00FA635D">
      <w:pPr>
        <w:tabs>
          <w:tab w:val="left" w:pos="284"/>
        </w:tabs>
        <w:jc w:val="both"/>
        <w:rPr>
          <w:noProof/>
          <w:sz w:val="22"/>
          <w:szCs w:val="22"/>
          <w:lang w:val="sr-Latn-ME"/>
        </w:rPr>
      </w:pPr>
    </w:p>
    <w:p w14:paraId="150143E4" w14:textId="536D062B" w:rsidR="00855DF3" w:rsidRPr="009F254D" w:rsidRDefault="00855DF3" w:rsidP="00FA635D">
      <w:pPr>
        <w:tabs>
          <w:tab w:val="left" w:pos="284"/>
        </w:tabs>
        <w:jc w:val="both"/>
        <w:rPr>
          <w:noProof/>
          <w:sz w:val="22"/>
          <w:szCs w:val="22"/>
          <w:lang w:val="sr-Latn-ME"/>
        </w:rPr>
      </w:pPr>
      <w:r w:rsidRPr="009F254D">
        <w:rPr>
          <w:noProof/>
          <w:sz w:val="22"/>
          <w:szCs w:val="22"/>
          <w:lang w:val="sr-Latn-ME"/>
        </w:rPr>
        <w:t xml:space="preserve">Nakon istovremene primjene dapagliflozina sa rifampicinom (induktorom različitih aktivnih transportera i enzima koji metabolišu ljekove) zabilježeno je smanjenje </w:t>
      </w:r>
      <w:r w:rsidR="00116E58" w:rsidRPr="009F254D">
        <w:rPr>
          <w:noProof/>
          <w:sz w:val="22"/>
          <w:szCs w:val="22"/>
          <w:lang w:val="sr-Latn-ME"/>
        </w:rPr>
        <w:t>sistemske izloženosti dapagliflozinu</w:t>
      </w:r>
      <w:r w:rsidRPr="009F254D">
        <w:rPr>
          <w:noProof/>
          <w:sz w:val="22"/>
          <w:szCs w:val="22"/>
          <w:lang w:val="sr-Latn-ME"/>
        </w:rPr>
        <w:t xml:space="preserve"> (AUC)</w:t>
      </w:r>
      <w:r w:rsidR="00116E58" w:rsidRPr="009F254D">
        <w:rPr>
          <w:noProof/>
          <w:sz w:val="22"/>
          <w:szCs w:val="22"/>
          <w:lang w:val="sr-Latn-ME"/>
        </w:rPr>
        <w:t xml:space="preserve"> od 22%</w:t>
      </w:r>
      <w:r w:rsidRPr="009F254D">
        <w:rPr>
          <w:noProof/>
          <w:sz w:val="22"/>
          <w:szCs w:val="22"/>
          <w:lang w:val="sr-Latn-ME"/>
        </w:rPr>
        <w:t>, ali nije bilo klinički značajnog dejstva na izlučivanje glukoze urin</w:t>
      </w:r>
      <w:r w:rsidR="00116E58" w:rsidRPr="009F254D">
        <w:rPr>
          <w:noProof/>
          <w:sz w:val="22"/>
          <w:szCs w:val="22"/>
          <w:lang w:val="sr-Latn-ME"/>
        </w:rPr>
        <w:t>om</w:t>
      </w:r>
      <w:r w:rsidRPr="009F254D">
        <w:rPr>
          <w:noProof/>
          <w:sz w:val="22"/>
          <w:szCs w:val="22"/>
          <w:lang w:val="sr-Latn-ME"/>
        </w:rPr>
        <w:t xml:space="preserve"> tokom 24 sata. Ne preporučuje se podešavanje doze. Ne očekuje se klinički relevantno dejstvo sa drugim induktorima (npr. karbamazepinom, fenitoinom, fenobarbitalom).</w:t>
      </w:r>
    </w:p>
    <w:p w14:paraId="6C964868" w14:textId="77777777" w:rsidR="00855DF3" w:rsidRPr="009F254D" w:rsidRDefault="00855DF3" w:rsidP="00FA635D">
      <w:pPr>
        <w:tabs>
          <w:tab w:val="left" w:pos="284"/>
        </w:tabs>
        <w:jc w:val="both"/>
        <w:rPr>
          <w:noProof/>
          <w:sz w:val="22"/>
          <w:szCs w:val="22"/>
          <w:lang w:val="sr-Latn-ME"/>
        </w:rPr>
      </w:pPr>
    </w:p>
    <w:p w14:paraId="5C64C207" w14:textId="4667343F" w:rsidR="00855DF3" w:rsidRPr="009F254D" w:rsidRDefault="00855DF3" w:rsidP="00FA635D">
      <w:pPr>
        <w:tabs>
          <w:tab w:val="left" w:pos="284"/>
        </w:tabs>
        <w:jc w:val="both"/>
        <w:rPr>
          <w:noProof/>
          <w:sz w:val="22"/>
          <w:szCs w:val="22"/>
          <w:lang w:val="sr-Latn-ME"/>
        </w:rPr>
      </w:pPr>
      <w:r w:rsidRPr="009F254D">
        <w:rPr>
          <w:noProof/>
          <w:sz w:val="22"/>
          <w:szCs w:val="22"/>
          <w:lang w:val="sr-Latn-ME"/>
        </w:rPr>
        <w:t xml:space="preserve">Nakon istovremene primjene dapagliflozina sa mefenaminskom kiselinom (inhibitorom UGT1A9) zabilježeno je povećanje </w:t>
      </w:r>
      <w:r w:rsidR="00116E58" w:rsidRPr="009F254D">
        <w:rPr>
          <w:noProof/>
          <w:sz w:val="22"/>
          <w:szCs w:val="22"/>
          <w:lang w:val="sr-Latn-ME"/>
        </w:rPr>
        <w:t xml:space="preserve">sistemske izloženosti dapagliflozinu </w:t>
      </w:r>
      <w:r w:rsidRPr="009F254D">
        <w:rPr>
          <w:noProof/>
          <w:sz w:val="22"/>
          <w:szCs w:val="22"/>
          <w:lang w:val="sr-Latn-ME"/>
        </w:rPr>
        <w:t>od 55%, ali nije bilo klinički značajnog dejstva na izlučivanje glukoze urin</w:t>
      </w:r>
      <w:r w:rsidR="00116E58" w:rsidRPr="009F254D">
        <w:rPr>
          <w:noProof/>
          <w:sz w:val="22"/>
          <w:szCs w:val="22"/>
          <w:lang w:val="sr-Latn-ME"/>
        </w:rPr>
        <w:t>om</w:t>
      </w:r>
      <w:r w:rsidRPr="009F254D">
        <w:rPr>
          <w:noProof/>
          <w:sz w:val="22"/>
          <w:szCs w:val="22"/>
          <w:lang w:val="sr-Latn-ME"/>
        </w:rPr>
        <w:t xml:space="preserve"> tokom 24 sata. Ne preporučuje se podešavanje doze.</w:t>
      </w:r>
    </w:p>
    <w:p w14:paraId="20747750" w14:textId="77777777" w:rsidR="00855DF3" w:rsidRPr="009F254D" w:rsidRDefault="00855DF3" w:rsidP="00FA635D">
      <w:pPr>
        <w:tabs>
          <w:tab w:val="left" w:pos="284"/>
        </w:tabs>
        <w:jc w:val="both"/>
        <w:rPr>
          <w:noProof/>
          <w:sz w:val="22"/>
          <w:szCs w:val="22"/>
          <w:lang w:val="sr-Latn-ME"/>
        </w:rPr>
      </w:pPr>
    </w:p>
    <w:p w14:paraId="2F11F9B3" w14:textId="77777777" w:rsidR="00855DF3" w:rsidRPr="009F254D" w:rsidRDefault="00855DF3" w:rsidP="00FA635D">
      <w:pPr>
        <w:keepNext/>
        <w:keepLines/>
        <w:tabs>
          <w:tab w:val="left" w:pos="284"/>
        </w:tabs>
        <w:jc w:val="both"/>
        <w:rPr>
          <w:i/>
          <w:iCs/>
          <w:noProof/>
          <w:sz w:val="22"/>
          <w:szCs w:val="22"/>
          <w:u w:val="single"/>
          <w:lang w:val="sr-Latn-ME"/>
        </w:rPr>
      </w:pPr>
      <w:r w:rsidRPr="009F254D">
        <w:rPr>
          <w:i/>
          <w:iCs/>
          <w:noProof/>
          <w:sz w:val="22"/>
          <w:szCs w:val="22"/>
          <w:u w:val="single"/>
          <w:lang w:val="sr-Latn-ME"/>
        </w:rPr>
        <w:t>Uticaj dapagliflozina na druge ljekove</w:t>
      </w:r>
    </w:p>
    <w:p w14:paraId="5FA5265C" w14:textId="052AECF0" w:rsidR="00855DF3" w:rsidRPr="009F254D" w:rsidRDefault="00855DF3" w:rsidP="00FA635D">
      <w:pPr>
        <w:tabs>
          <w:tab w:val="left" w:pos="284"/>
        </w:tabs>
        <w:jc w:val="both"/>
        <w:rPr>
          <w:noProof/>
          <w:sz w:val="22"/>
          <w:szCs w:val="22"/>
          <w:lang w:val="sr-Latn-ME"/>
        </w:rPr>
      </w:pPr>
      <w:r w:rsidRPr="009F254D">
        <w:rPr>
          <w:noProof/>
          <w:sz w:val="22"/>
          <w:szCs w:val="22"/>
          <w:lang w:val="sr-Latn-ME"/>
        </w:rPr>
        <w:t>U studijama interakcije obavljeni</w:t>
      </w:r>
      <w:r w:rsidR="00116E58" w:rsidRPr="009F254D">
        <w:rPr>
          <w:noProof/>
          <w:sz w:val="22"/>
          <w:szCs w:val="22"/>
          <w:lang w:val="sr-Latn-ME"/>
        </w:rPr>
        <w:t>m</w:t>
      </w:r>
      <w:r w:rsidRPr="009F254D">
        <w:rPr>
          <w:noProof/>
          <w:sz w:val="22"/>
          <w:szCs w:val="22"/>
          <w:lang w:val="sr-Latn-ME"/>
        </w:rPr>
        <w:t xml:space="preserve"> na zdravim ispitanicima, uz primjenu pretežno dizajna </w:t>
      </w:r>
      <w:r w:rsidR="007C7C4F" w:rsidRPr="009F254D">
        <w:rPr>
          <w:noProof/>
          <w:sz w:val="22"/>
          <w:szCs w:val="22"/>
          <w:lang w:val="sr-Latn-ME"/>
        </w:rPr>
        <w:t xml:space="preserve">pojedinačne </w:t>
      </w:r>
      <w:r w:rsidRPr="009F254D">
        <w:rPr>
          <w:noProof/>
          <w:sz w:val="22"/>
          <w:szCs w:val="22"/>
          <w:lang w:val="sr-Latn-ME"/>
        </w:rPr>
        <w:t>doze, farmakokinetiku dapagliflozina ni</w:t>
      </w:r>
      <w:r w:rsidR="007C7C4F" w:rsidRPr="009F254D">
        <w:rPr>
          <w:noProof/>
          <w:sz w:val="22"/>
          <w:szCs w:val="22"/>
          <w:lang w:val="sr-Latn-ME"/>
        </w:rPr>
        <w:t>je</w:t>
      </w:r>
      <w:r w:rsidRPr="009F254D">
        <w:rPr>
          <w:noProof/>
          <w:sz w:val="22"/>
          <w:szCs w:val="22"/>
          <w:lang w:val="sr-Latn-ME"/>
        </w:rPr>
        <w:t>su mijenjali pioglitazon, sitagliptin, glimepirid, hidrohlorotiazid, bumetanid, valsartan, digoksin (supstrat P</w:t>
      </w:r>
      <w:r w:rsidRPr="009F254D">
        <w:rPr>
          <w:noProof/>
          <w:sz w:val="22"/>
          <w:szCs w:val="22"/>
          <w:lang w:val="sr-Latn-ME"/>
        </w:rPr>
        <w:noBreakHyphen/>
        <w:t>gp), niti varfarin (S</w:t>
      </w:r>
      <w:r w:rsidRPr="009F254D">
        <w:rPr>
          <w:noProof/>
          <w:sz w:val="22"/>
          <w:szCs w:val="22"/>
          <w:lang w:val="sr-Latn-ME"/>
        </w:rPr>
        <w:noBreakHyphen/>
        <w:t>varfarin, supstrat CYP2C9), kao ni antikoagulantna dejstva varfarina koja se mjere pomoću INR. Kombinacija jedne doze dapagliflozina od 20 mg i simvastatina (supstrata CYP3A4) dovela je do porasta od AUC simvastatina od 19% i porasta AUC simvastatinske kiseline od 31%. Porast izloženosti simvastatinu i simvastatinskoj kiselini ne smatra se klinički značajnim.</w:t>
      </w:r>
    </w:p>
    <w:p w14:paraId="5DBD8B8F" w14:textId="77777777" w:rsidR="00855DF3" w:rsidRPr="009F254D" w:rsidRDefault="00855DF3" w:rsidP="00FA635D">
      <w:pPr>
        <w:tabs>
          <w:tab w:val="left" w:pos="284"/>
        </w:tabs>
        <w:jc w:val="both"/>
        <w:rPr>
          <w:noProof/>
          <w:sz w:val="22"/>
          <w:szCs w:val="22"/>
          <w:lang w:val="sr-Latn-ME"/>
        </w:rPr>
      </w:pPr>
    </w:p>
    <w:p w14:paraId="4B9FDB9E" w14:textId="77777777" w:rsidR="00855DF3" w:rsidRPr="009F254D" w:rsidRDefault="00855DF3" w:rsidP="00FA635D">
      <w:pPr>
        <w:keepNext/>
        <w:keepLines/>
        <w:tabs>
          <w:tab w:val="left" w:pos="284"/>
        </w:tabs>
        <w:autoSpaceDE w:val="0"/>
        <w:autoSpaceDN w:val="0"/>
        <w:jc w:val="both"/>
        <w:rPr>
          <w:rFonts w:eastAsia="Calibri"/>
          <w:i/>
          <w:iCs/>
          <w:sz w:val="22"/>
          <w:szCs w:val="22"/>
          <w:u w:val="single"/>
          <w:lang w:val="sr-Latn-ME"/>
        </w:rPr>
      </w:pPr>
      <w:r w:rsidRPr="009F254D">
        <w:rPr>
          <w:rFonts w:eastAsia="Calibri"/>
          <w:i/>
          <w:iCs/>
          <w:sz w:val="22"/>
          <w:szCs w:val="22"/>
          <w:u w:val="single"/>
          <w:lang w:val="sr-Latn-ME"/>
        </w:rPr>
        <w:t>Interferencija sa testom 1,5-anhidroglucitol (1,5-AG)</w:t>
      </w:r>
    </w:p>
    <w:p w14:paraId="4EB9211A" w14:textId="77777777" w:rsidR="00855DF3" w:rsidRPr="009F254D" w:rsidRDefault="00855DF3" w:rsidP="00FA635D">
      <w:pPr>
        <w:tabs>
          <w:tab w:val="left" w:pos="284"/>
        </w:tabs>
        <w:jc w:val="both"/>
        <w:rPr>
          <w:rFonts w:eastAsia="Calibri"/>
          <w:sz w:val="22"/>
          <w:szCs w:val="22"/>
          <w:lang w:val="sr-Latn-ME"/>
        </w:rPr>
      </w:pPr>
      <w:r w:rsidRPr="009F254D">
        <w:rPr>
          <w:rFonts w:eastAsia="Calibri"/>
          <w:sz w:val="22"/>
          <w:szCs w:val="22"/>
          <w:lang w:val="sr-Latn-ME"/>
        </w:rPr>
        <w:t>Ne preporučuje se praćenje kontrole glikemije pomoću testa 1,5-AG jer su mjerenja 1,5-AG nepouzdana u procjeni kontrole glikemije kod pacijenata koji uzimaju inhibitore SGLT2. Savjetuje se primjena alternativnih metoda za praćenje kontrole glikemije.</w:t>
      </w:r>
    </w:p>
    <w:p w14:paraId="2F37C115" w14:textId="77777777" w:rsidR="00855DF3" w:rsidRPr="009F254D" w:rsidRDefault="00855DF3" w:rsidP="00FA635D">
      <w:pPr>
        <w:tabs>
          <w:tab w:val="left" w:pos="284"/>
        </w:tabs>
        <w:jc w:val="both"/>
        <w:rPr>
          <w:noProof/>
          <w:sz w:val="22"/>
          <w:szCs w:val="22"/>
          <w:u w:val="single"/>
          <w:lang w:val="sr-Latn-ME"/>
        </w:rPr>
      </w:pPr>
    </w:p>
    <w:p w14:paraId="08F705EB" w14:textId="77777777" w:rsidR="00855DF3" w:rsidRPr="009F254D" w:rsidRDefault="00855DF3" w:rsidP="00FA635D">
      <w:pPr>
        <w:keepNext/>
        <w:keepLines/>
        <w:tabs>
          <w:tab w:val="left" w:pos="284"/>
        </w:tabs>
        <w:jc w:val="both"/>
        <w:rPr>
          <w:i/>
          <w:iCs/>
          <w:noProof/>
          <w:sz w:val="22"/>
          <w:szCs w:val="22"/>
          <w:lang w:val="sr-Latn-ME"/>
        </w:rPr>
      </w:pPr>
      <w:r w:rsidRPr="009F254D">
        <w:rPr>
          <w:i/>
          <w:iCs/>
          <w:noProof/>
          <w:sz w:val="22"/>
          <w:szCs w:val="22"/>
          <w:u w:val="single"/>
          <w:lang w:val="sr-Latn-ME"/>
        </w:rPr>
        <w:t>Pedijatrijska populacija</w:t>
      </w:r>
    </w:p>
    <w:p w14:paraId="07AAC032" w14:textId="77777777" w:rsidR="00855DF3" w:rsidRPr="009F254D" w:rsidRDefault="00855DF3" w:rsidP="00FA635D">
      <w:pPr>
        <w:tabs>
          <w:tab w:val="left" w:pos="284"/>
        </w:tabs>
        <w:jc w:val="both"/>
        <w:rPr>
          <w:noProof/>
          <w:sz w:val="22"/>
          <w:szCs w:val="22"/>
          <w:lang w:val="sr-Latn-ME"/>
        </w:rPr>
      </w:pPr>
      <w:r w:rsidRPr="009F254D">
        <w:rPr>
          <w:noProof/>
          <w:sz w:val="22"/>
          <w:szCs w:val="22"/>
          <w:lang w:val="sr-Latn-ME"/>
        </w:rPr>
        <w:t>Studije interakcije sprovedene su samo na odraslima.</w:t>
      </w:r>
    </w:p>
    <w:p w14:paraId="3C9BFE01" w14:textId="77777777" w:rsidR="00855DF3" w:rsidRPr="009F254D" w:rsidRDefault="00855DF3" w:rsidP="00FA635D">
      <w:pPr>
        <w:tabs>
          <w:tab w:val="left" w:pos="284"/>
        </w:tabs>
        <w:jc w:val="both"/>
        <w:rPr>
          <w:noProof/>
          <w:sz w:val="22"/>
          <w:szCs w:val="22"/>
          <w:lang w:val="sr-Latn-ME"/>
        </w:rPr>
      </w:pPr>
    </w:p>
    <w:p w14:paraId="476C3CE9" w14:textId="77777777" w:rsidR="00855DF3" w:rsidRPr="009F254D" w:rsidRDefault="00855DF3" w:rsidP="00FA635D">
      <w:pPr>
        <w:keepNext/>
        <w:keepLines/>
        <w:tabs>
          <w:tab w:val="left" w:pos="284"/>
        </w:tabs>
        <w:jc w:val="both"/>
        <w:rPr>
          <w:noProof/>
          <w:sz w:val="22"/>
          <w:szCs w:val="22"/>
          <w:lang w:val="sr-Latn-ME"/>
        </w:rPr>
      </w:pPr>
      <w:r w:rsidRPr="009F254D">
        <w:rPr>
          <w:noProof/>
          <w:sz w:val="22"/>
          <w:szCs w:val="22"/>
          <w:u w:val="single"/>
          <w:lang w:val="sr-Latn-ME"/>
        </w:rPr>
        <w:t>Metformin</w:t>
      </w:r>
      <w:r w:rsidRPr="009F254D">
        <w:rPr>
          <w:noProof/>
          <w:sz w:val="22"/>
          <w:szCs w:val="22"/>
          <w:lang w:val="sr-Latn-ME"/>
        </w:rPr>
        <w:t xml:space="preserve"> </w:t>
      </w:r>
    </w:p>
    <w:p w14:paraId="1E699A9A" w14:textId="5AD05BB9" w:rsidR="00855DF3" w:rsidRPr="009F254D" w:rsidRDefault="007C7C4F" w:rsidP="00FA635D">
      <w:pPr>
        <w:keepNext/>
        <w:keepLines/>
        <w:tabs>
          <w:tab w:val="left" w:pos="284"/>
        </w:tabs>
        <w:jc w:val="both"/>
        <w:rPr>
          <w:i/>
          <w:iCs/>
          <w:noProof/>
          <w:sz w:val="22"/>
          <w:szCs w:val="22"/>
          <w:u w:val="single"/>
          <w:lang w:val="sr-Latn-ME"/>
        </w:rPr>
      </w:pPr>
      <w:r w:rsidRPr="009F254D">
        <w:rPr>
          <w:i/>
          <w:iCs/>
          <w:noProof/>
          <w:sz w:val="22"/>
          <w:szCs w:val="22"/>
          <w:u w:val="single"/>
          <w:lang w:val="sr-Latn-ME"/>
        </w:rPr>
        <w:t xml:space="preserve">Istovremena </w:t>
      </w:r>
      <w:r w:rsidR="00855DF3" w:rsidRPr="009F254D">
        <w:rPr>
          <w:i/>
          <w:iCs/>
          <w:noProof/>
          <w:sz w:val="22"/>
          <w:szCs w:val="22"/>
          <w:u w:val="single"/>
          <w:lang w:val="sr-Latn-ME"/>
        </w:rPr>
        <w:t>terapija se ne preporučuje</w:t>
      </w:r>
    </w:p>
    <w:p w14:paraId="545CC542" w14:textId="412FC86A" w:rsidR="00855DF3" w:rsidRPr="009F254D" w:rsidRDefault="00855DF3" w:rsidP="00FA635D">
      <w:pPr>
        <w:tabs>
          <w:tab w:val="left" w:pos="284"/>
        </w:tabs>
        <w:jc w:val="both"/>
        <w:rPr>
          <w:noProof/>
          <w:sz w:val="22"/>
          <w:szCs w:val="22"/>
          <w:lang w:val="sr-Latn-ME"/>
        </w:rPr>
      </w:pPr>
      <w:r w:rsidRPr="009F254D">
        <w:rPr>
          <w:noProof/>
          <w:sz w:val="22"/>
          <w:szCs w:val="22"/>
          <w:lang w:val="sr-Latn-ME"/>
        </w:rPr>
        <w:t xml:space="preserve">Moguća je interakcija između katjonskih supstanci koje se izlučuju putem bubrežnih tubula (npr. cimetidin) i metformina jer se međusobno nadmeću za </w:t>
      </w:r>
      <w:r w:rsidR="007C7C4F" w:rsidRPr="009F254D">
        <w:rPr>
          <w:noProof/>
          <w:sz w:val="22"/>
          <w:szCs w:val="22"/>
          <w:lang w:val="sr-Latn-ME"/>
        </w:rPr>
        <w:t xml:space="preserve">iste </w:t>
      </w:r>
      <w:r w:rsidRPr="009F254D">
        <w:rPr>
          <w:noProof/>
          <w:sz w:val="22"/>
          <w:szCs w:val="22"/>
          <w:lang w:val="sr-Latn-ME"/>
        </w:rPr>
        <w:t>bubrežne tubularne transportne sisteme. Studija sprovedena na sedam normalnih zdravih dobrovoljaca pokazala je da cimetidin u dozi od 400 mg dvaput dnevno povećava sistemsku izloženost metforminu (AUC) za 50%, a C</w:t>
      </w:r>
      <w:r w:rsidRPr="009F254D">
        <w:rPr>
          <w:noProof/>
          <w:sz w:val="22"/>
          <w:szCs w:val="22"/>
          <w:vertAlign w:val="subscript"/>
          <w:lang w:val="sr-Latn-ME"/>
        </w:rPr>
        <w:t>max</w:t>
      </w:r>
      <w:r w:rsidRPr="009F254D">
        <w:rPr>
          <w:noProof/>
          <w:sz w:val="22"/>
          <w:szCs w:val="22"/>
          <w:lang w:val="sr-Latn-ME"/>
        </w:rPr>
        <w:t xml:space="preserve"> za 81%. Stoga treba </w:t>
      </w:r>
      <w:r w:rsidR="007C7C4F" w:rsidRPr="009F254D">
        <w:rPr>
          <w:noProof/>
          <w:sz w:val="22"/>
          <w:szCs w:val="22"/>
          <w:lang w:val="sr-Latn-ME"/>
        </w:rPr>
        <w:t xml:space="preserve">razmotriti </w:t>
      </w:r>
      <w:r w:rsidRPr="009F254D">
        <w:rPr>
          <w:noProof/>
          <w:sz w:val="22"/>
          <w:szCs w:val="22"/>
          <w:lang w:val="sr-Latn-ME"/>
        </w:rPr>
        <w:t>pažljivo pra</w:t>
      </w:r>
      <w:r w:rsidR="007C7C4F" w:rsidRPr="009F254D">
        <w:rPr>
          <w:noProof/>
          <w:sz w:val="22"/>
          <w:szCs w:val="22"/>
          <w:lang w:val="sr-Latn-ME"/>
        </w:rPr>
        <w:t>ćenje</w:t>
      </w:r>
      <w:r w:rsidRPr="009F254D">
        <w:rPr>
          <w:noProof/>
          <w:sz w:val="22"/>
          <w:szCs w:val="22"/>
          <w:lang w:val="sr-Latn-ME"/>
        </w:rPr>
        <w:t xml:space="preserve"> regulacij</w:t>
      </w:r>
      <w:r w:rsidR="007C7C4F" w:rsidRPr="009F254D">
        <w:rPr>
          <w:noProof/>
          <w:sz w:val="22"/>
          <w:szCs w:val="22"/>
          <w:lang w:val="sr-Latn-ME"/>
        </w:rPr>
        <w:t>e</w:t>
      </w:r>
      <w:r w:rsidRPr="009F254D">
        <w:rPr>
          <w:noProof/>
          <w:sz w:val="22"/>
          <w:szCs w:val="22"/>
          <w:lang w:val="sr-Latn-ME"/>
        </w:rPr>
        <w:t xml:space="preserve"> glikemije, prilagođavanje doze u okviru preporučenog doziranja i promjene u liječenju dijabetičara kada se istovremeno primjenjuju katjonski ljekovi koji se eliminišu bubrežnom tubularnom sekrecijom.</w:t>
      </w:r>
    </w:p>
    <w:p w14:paraId="0608617A" w14:textId="77777777" w:rsidR="00855DF3" w:rsidRPr="009F254D" w:rsidRDefault="00855DF3" w:rsidP="00FA635D">
      <w:pPr>
        <w:tabs>
          <w:tab w:val="left" w:pos="284"/>
        </w:tabs>
        <w:jc w:val="both"/>
        <w:rPr>
          <w:noProof/>
          <w:sz w:val="22"/>
          <w:szCs w:val="22"/>
          <w:lang w:val="sr-Latn-ME"/>
        </w:rPr>
      </w:pPr>
    </w:p>
    <w:p w14:paraId="0A903966" w14:textId="77777777" w:rsidR="00855DF3" w:rsidRPr="009F254D" w:rsidRDefault="00855DF3" w:rsidP="00FA635D">
      <w:pPr>
        <w:keepNext/>
        <w:keepLines/>
        <w:tabs>
          <w:tab w:val="left" w:pos="284"/>
        </w:tabs>
        <w:jc w:val="both"/>
        <w:rPr>
          <w:i/>
          <w:noProof/>
          <w:sz w:val="22"/>
          <w:szCs w:val="22"/>
          <w:lang w:val="sr-Latn-ME"/>
        </w:rPr>
      </w:pPr>
      <w:r w:rsidRPr="009F254D">
        <w:rPr>
          <w:i/>
          <w:iCs/>
          <w:noProof/>
          <w:sz w:val="22"/>
          <w:szCs w:val="22"/>
          <w:lang w:val="sr-Latn-ME"/>
        </w:rPr>
        <w:lastRenderedPageBreak/>
        <w:t>Alkohol</w:t>
      </w:r>
    </w:p>
    <w:p w14:paraId="59F6BABF" w14:textId="5ABE2A93" w:rsidR="00855DF3" w:rsidRPr="009F254D" w:rsidRDefault="00855DF3" w:rsidP="00FA635D">
      <w:pPr>
        <w:tabs>
          <w:tab w:val="left" w:pos="284"/>
        </w:tabs>
        <w:jc w:val="both"/>
        <w:rPr>
          <w:noProof/>
          <w:sz w:val="22"/>
          <w:szCs w:val="22"/>
          <w:lang w:val="sr-Latn-ME"/>
        </w:rPr>
      </w:pPr>
      <w:r w:rsidRPr="009F254D">
        <w:rPr>
          <w:sz w:val="22"/>
          <w:szCs w:val="22"/>
          <w:lang w:val="sr-Latn-ME"/>
        </w:rPr>
        <w:t xml:space="preserve">Intoksikacija alkoholom povezana je sa povećanim rizikom od </w:t>
      </w:r>
      <w:r w:rsidRPr="009F254D">
        <w:rPr>
          <w:noProof/>
          <w:sz w:val="22"/>
          <w:szCs w:val="22"/>
          <w:lang w:val="sr-Latn-ME"/>
        </w:rPr>
        <w:t xml:space="preserve">laktatne acidoze, naročito u slučajevima gladovanja, pothranjenosti ili </w:t>
      </w:r>
      <w:r w:rsidR="007C7C4F" w:rsidRPr="009F254D">
        <w:rPr>
          <w:noProof/>
          <w:sz w:val="22"/>
          <w:szCs w:val="22"/>
          <w:lang w:val="sr-Latn-ME"/>
        </w:rPr>
        <w:t>insuficijencije</w:t>
      </w:r>
      <w:r w:rsidRPr="009F254D">
        <w:rPr>
          <w:noProof/>
          <w:sz w:val="22"/>
          <w:szCs w:val="22"/>
          <w:lang w:val="sr-Latn-ME"/>
        </w:rPr>
        <w:t xml:space="preserve"> jetre zbog metformina kao aktivne supstance ovog lijeka (pogledati </w:t>
      </w:r>
      <w:r w:rsidR="007C7C4F" w:rsidRPr="009F254D">
        <w:rPr>
          <w:noProof/>
          <w:sz w:val="22"/>
          <w:szCs w:val="22"/>
          <w:lang w:val="sr-Latn-ME"/>
        </w:rPr>
        <w:t xml:space="preserve">dio </w:t>
      </w:r>
      <w:r w:rsidRPr="009F254D">
        <w:rPr>
          <w:noProof/>
          <w:sz w:val="22"/>
          <w:szCs w:val="22"/>
          <w:lang w:val="sr-Latn-ME"/>
        </w:rPr>
        <w:t xml:space="preserve">4.4). Treba izbjegavati uzimanje alkohola i </w:t>
      </w:r>
      <w:r w:rsidR="00896A8E">
        <w:rPr>
          <w:noProof/>
          <w:sz w:val="22"/>
          <w:szCs w:val="22"/>
          <w:lang w:val="sr-Latn-ME"/>
        </w:rPr>
        <w:t>ljekova</w:t>
      </w:r>
      <w:r w:rsidR="00896A8E" w:rsidRPr="009F254D">
        <w:rPr>
          <w:noProof/>
          <w:sz w:val="22"/>
          <w:szCs w:val="22"/>
          <w:lang w:val="sr-Latn-ME"/>
        </w:rPr>
        <w:t xml:space="preserve"> </w:t>
      </w:r>
      <w:r w:rsidRPr="009F254D">
        <w:rPr>
          <w:noProof/>
          <w:sz w:val="22"/>
          <w:szCs w:val="22"/>
          <w:lang w:val="sr-Latn-ME"/>
        </w:rPr>
        <w:t>koji sadrže alkohol.</w:t>
      </w:r>
    </w:p>
    <w:p w14:paraId="6967102B" w14:textId="77777777" w:rsidR="00855DF3" w:rsidRPr="009F254D" w:rsidRDefault="00855DF3" w:rsidP="00FA635D">
      <w:pPr>
        <w:tabs>
          <w:tab w:val="left" w:pos="284"/>
        </w:tabs>
        <w:jc w:val="both"/>
        <w:rPr>
          <w:noProof/>
          <w:sz w:val="22"/>
          <w:szCs w:val="22"/>
          <w:lang w:val="sr-Latn-ME"/>
        </w:rPr>
      </w:pPr>
    </w:p>
    <w:p w14:paraId="31E43935" w14:textId="77777777" w:rsidR="00855DF3" w:rsidRPr="009F254D" w:rsidRDefault="00855DF3" w:rsidP="00FA635D">
      <w:pPr>
        <w:keepNext/>
        <w:keepLines/>
        <w:tabs>
          <w:tab w:val="left" w:pos="284"/>
        </w:tabs>
        <w:jc w:val="both"/>
        <w:rPr>
          <w:i/>
          <w:noProof/>
          <w:sz w:val="22"/>
          <w:szCs w:val="22"/>
          <w:lang w:val="sr-Latn-ME"/>
        </w:rPr>
      </w:pPr>
      <w:r w:rsidRPr="009F254D">
        <w:rPr>
          <w:i/>
          <w:iCs/>
          <w:noProof/>
          <w:sz w:val="22"/>
          <w:szCs w:val="22"/>
          <w:lang w:val="sr-Latn-ME"/>
        </w:rPr>
        <w:t>Jodirana kontrastna sredstva</w:t>
      </w:r>
    </w:p>
    <w:p w14:paraId="1B737C33" w14:textId="04EF677B" w:rsidR="00855DF3" w:rsidRPr="009F254D" w:rsidRDefault="00855DF3" w:rsidP="00FA635D">
      <w:pPr>
        <w:tabs>
          <w:tab w:val="left" w:pos="284"/>
        </w:tabs>
        <w:jc w:val="both"/>
        <w:rPr>
          <w:noProof/>
          <w:sz w:val="22"/>
          <w:szCs w:val="22"/>
          <w:lang w:val="sr-Latn-ME"/>
        </w:rPr>
      </w:pPr>
      <w:r w:rsidRPr="009F254D">
        <w:rPr>
          <w:noProof/>
          <w:sz w:val="22"/>
          <w:szCs w:val="22"/>
          <w:lang w:val="sr-Latn-ME"/>
        </w:rPr>
        <w:t xml:space="preserve">Intravaskularna primjena jodiranih kontrastnih sredstava može dovesti do nefropatije izazvane kontrastom, što dovodi do nakupljanja metformina i povećanja rizika od laktatne acidoze. Liječenje lijekom Xigduo mora biti prekinuto prije ili za vrijeme snimanja i </w:t>
      </w:r>
      <w:r w:rsidR="007C7C4F" w:rsidRPr="009F254D">
        <w:rPr>
          <w:noProof/>
          <w:sz w:val="22"/>
          <w:szCs w:val="22"/>
          <w:lang w:val="sr-Latn-ME"/>
        </w:rPr>
        <w:t xml:space="preserve">ne </w:t>
      </w:r>
      <w:r w:rsidRPr="009F254D">
        <w:rPr>
          <w:noProof/>
          <w:sz w:val="22"/>
          <w:szCs w:val="22"/>
          <w:lang w:val="sr-Latn-ME"/>
        </w:rPr>
        <w:t>treba ga ponovno započeti</w:t>
      </w:r>
      <w:r w:rsidR="007C7C4F" w:rsidRPr="009F254D">
        <w:rPr>
          <w:noProof/>
          <w:sz w:val="22"/>
          <w:szCs w:val="22"/>
          <w:lang w:val="sr-Latn-ME"/>
        </w:rPr>
        <w:t xml:space="preserve"> prije isteka</w:t>
      </w:r>
      <w:r w:rsidRPr="009F254D">
        <w:rPr>
          <w:noProof/>
          <w:sz w:val="22"/>
          <w:szCs w:val="22"/>
          <w:lang w:val="sr-Latn-ME"/>
        </w:rPr>
        <w:t xml:space="preserve"> najmanje 48 sati nakon toga, pod uslovom da je funkcija bubrega bila ponovno procijenjena i da je potvrđeno da je stabilna (pogledati </w:t>
      </w:r>
      <w:r w:rsidR="00213E58" w:rsidRPr="009F254D">
        <w:rPr>
          <w:noProof/>
          <w:sz w:val="22"/>
          <w:szCs w:val="22"/>
          <w:lang w:val="sr-Latn-ME"/>
        </w:rPr>
        <w:t xml:space="preserve">djelove </w:t>
      </w:r>
      <w:r w:rsidRPr="009F254D">
        <w:rPr>
          <w:noProof/>
          <w:sz w:val="22"/>
          <w:szCs w:val="22"/>
          <w:lang w:val="sr-Latn-ME"/>
        </w:rPr>
        <w:t>4.2</w:t>
      </w:r>
      <w:r w:rsidR="00213E58" w:rsidRPr="009F254D">
        <w:rPr>
          <w:noProof/>
          <w:sz w:val="22"/>
          <w:szCs w:val="22"/>
          <w:lang w:val="sr-Latn-ME"/>
        </w:rPr>
        <w:t>.</w:t>
      </w:r>
      <w:r w:rsidRPr="009F254D">
        <w:rPr>
          <w:noProof/>
          <w:sz w:val="22"/>
          <w:szCs w:val="22"/>
          <w:lang w:val="sr-Latn-ME"/>
        </w:rPr>
        <w:t xml:space="preserve"> i 4.4.).</w:t>
      </w:r>
    </w:p>
    <w:p w14:paraId="3870711E" w14:textId="77777777" w:rsidR="00855DF3" w:rsidRPr="009F254D" w:rsidRDefault="00855DF3" w:rsidP="00FA635D">
      <w:pPr>
        <w:tabs>
          <w:tab w:val="left" w:pos="284"/>
        </w:tabs>
        <w:jc w:val="both"/>
        <w:rPr>
          <w:noProof/>
          <w:sz w:val="22"/>
          <w:szCs w:val="22"/>
          <w:lang w:val="sr-Latn-ME"/>
        </w:rPr>
      </w:pPr>
    </w:p>
    <w:p w14:paraId="4CB05567" w14:textId="77777777" w:rsidR="00855DF3" w:rsidRPr="009F254D" w:rsidRDefault="00855DF3" w:rsidP="00FA635D">
      <w:pPr>
        <w:keepNext/>
        <w:keepLines/>
        <w:tabs>
          <w:tab w:val="left" w:pos="284"/>
        </w:tabs>
        <w:jc w:val="both"/>
        <w:rPr>
          <w:i/>
          <w:iCs/>
          <w:noProof/>
          <w:sz w:val="22"/>
          <w:szCs w:val="22"/>
          <w:u w:val="single"/>
          <w:lang w:val="sr-Latn-ME"/>
        </w:rPr>
      </w:pPr>
      <w:r w:rsidRPr="009F254D">
        <w:rPr>
          <w:i/>
          <w:iCs/>
          <w:noProof/>
          <w:sz w:val="22"/>
          <w:szCs w:val="22"/>
          <w:u w:val="single"/>
          <w:lang w:val="sr-Latn-ME"/>
        </w:rPr>
        <w:t>Kombinacije čija primjena zahtijeva mjere opreza pri upotrebi lijeka</w:t>
      </w:r>
    </w:p>
    <w:p w14:paraId="23C93187" w14:textId="6F618BBC" w:rsidR="00855DF3" w:rsidRPr="009F254D" w:rsidRDefault="00855DF3" w:rsidP="00FA635D">
      <w:pPr>
        <w:tabs>
          <w:tab w:val="left" w:pos="284"/>
        </w:tabs>
        <w:jc w:val="both"/>
        <w:rPr>
          <w:noProof/>
          <w:sz w:val="22"/>
          <w:szCs w:val="22"/>
          <w:lang w:val="sr-Latn-ME"/>
        </w:rPr>
      </w:pPr>
      <w:r w:rsidRPr="009F254D">
        <w:rPr>
          <w:noProof/>
          <w:sz w:val="22"/>
          <w:szCs w:val="22"/>
          <w:lang w:val="sr-Latn-ME"/>
        </w:rPr>
        <w:t xml:space="preserve">Glukokortikoidi (koji se primjenjuju sistemski i lokalno), beta-2 agonisti i diuretici </w:t>
      </w:r>
      <w:r w:rsidR="00213E58" w:rsidRPr="009F254D">
        <w:rPr>
          <w:noProof/>
          <w:sz w:val="22"/>
          <w:szCs w:val="22"/>
          <w:lang w:val="sr-Latn-ME"/>
        </w:rPr>
        <w:t xml:space="preserve">sami po sebi </w:t>
      </w:r>
      <w:r w:rsidRPr="009F254D">
        <w:rPr>
          <w:noProof/>
          <w:sz w:val="22"/>
          <w:szCs w:val="22"/>
          <w:lang w:val="sr-Latn-ME"/>
        </w:rPr>
        <w:t>imaju</w:t>
      </w:r>
      <w:r w:rsidR="00213E58" w:rsidRPr="009F254D">
        <w:rPr>
          <w:noProof/>
          <w:sz w:val="22"/>
          <w:szCs w:val="22"/>
          <w:lang w:val="sr-Latn-ME"/>
        </w:rPr>
        <w:t xml:space="preserve"> </w:t>
      </w:r>
      <w:r w:rsidRPr="009F254D">
        <w:rPr>
          <w:noProof/>
          <w:sz w:val="22"/>
          <w:szCs w:val="22"/>
          <w:lang w:val="sr-Latn-ME"/>
        </w:rPr>
        <w:t>hiperglikemijsku aktivnost. O tome treba obavijestiti pacijenta, a glukozu u krvi treba češće kontrolisati, naročito na početku liječenja ovim ljekovima. Ako je potrebno, dozu ljekova za snižavanje nivoa glukoze u krvi treba prilagoditi tokom i po završetku liječenja drugim ljekovima.</w:t>
      </w:r>
    </w:p>
    <w:p w14:paraId="787DCB1A" w14:textId="77777777" w:rsidR="00855DF3" w:rsidRPr="009F254D" w:rsidRDefault="00855DF3" w:rsidP="00FA635D">
      <w:pPr>
        <w:tabs>
          <w:tab w:val="left" w:pos="284"/>
        </w:tabs>
        <w:jc w:val="both"/>
        <w:rPr>
          <w:noProof/>
          <w:sz w:val="22"/>
          <w:szCs w:val="22"/>
          <w:lang w:val="sr-Latn-ME"/>
        </w:rPr>
      </w:pPr>
    </w:p>
    <w:p w14:paraId="0CE59418" w14:textId="77777777" w:rsidR="00855DF3" w:rsidRPr="009F254D" w:rsidRDefault="00855DF3" w:rsidP="00FA635D">
      <w:pPr>
        <w:tabs>
          <w:tab w:val="left" w:pos="284"/>
        </w:tabs>
        <w:jc w:val="both"/>
        <w:rPr>
          <w:sz w:val="22"/>
          <w:szCs w:val="22"/>
          <w:lang w:val="sr-Latn-ME"/>
        </w:rPr>
      </w:pPr>
      <w:r w:rsidRPr="009F254D">
        <w:rPr>
          <w:sz w:val="22"/>
          <w:szCs w:val="22"/>
          <w:lang w:val="sr-Latn-ME"/>
        </w:rPr>
        <w:t>Neki ljekovi mogu štetno uticati na funkciju bubrega, što može povećati rizik od laktatne acidoze, npr. NSAIL ljekovi, uključujući selektivne inhibitore ciklooksigenaze (COX) II, ACE inhibitore, antagoniste receptora angiotenzina II i diuretike, a naročito diuretike Henleove petlje. Kada se takvi ljekovi uvode ili primjenjuju u kombinaciji sa metforminom, potrebno je pažljivo praćenje funkcije bubrega.</w:t>
      </w:r>
    </w:p>
    <w:p w14:paraId="5E6F02B5" w14:textId="77777777" w:rsidR="00855DF3" w:rsidRPr="009F254D" w:rsidRDefault="00855DF3" w:rsidP="00FA635D">
      <w:pPr>
        <w:tabs>
          <w:tab w:val="left" w:pos="284"/>
        </w:tabs>
        <w:jc w:val="both"/>
        <w:rPr>
          <w:sz w:val="22"/>
          <w:szCs w:val="22"/>
          <w:lang w:val="sr-Latn-ME"/>
        </w:rPr>
      </w:pPr>
    </w:p>
    <w:p w14:paraId="63C7B71D" w14:textId="77777777" w:rsidR="00855DF3" w:rsidRPr="009F254D" w:rsidRDefault="00855DF3" w:rsidP="00FA635D">
      <w:pPr>
        <w:keepNext/>
        <w:keepLines/>
        <w:tabs>
          <w:tab w:val="left" w:pos="284"/>
        </w:tabs>
        <w:jc w:val="both"/>
        <w:rPr>
          <w:i/>
          <w:sz w:val="22"/>
          <w:szCs w:val="22"/>
          <w:lang w:val="sr-Latn-ME"/>
        </w:rPr>
      </w:pPr>
      <w:r w:rsidRPr="009F254D">
        <w:rPr>
          <w:i/>
          <w:iCs/>
          <w:sz w:val="22"/>
          <w:szCs w:val="22"/>
          <w:lang w:val="sr-Latn-ME"/>
        </w:rPr>
        <w:t>Insulin i sekretagogi insulina</w:t>
      </w:r>
    </w:p>
    <w:p w14:paraId="7FC8B9CF" w14:textId="3E00CB38" w:rsidR="00855DF3" w:rsidRPr="009F254D" w:rsidRDefault="00855DF3" w:rsidP="00FA635D">
      <w:pPr>
        <w:tabs>
          <w:tab w:val="left" w:pos="284"/>
        </w:tabs>
        <w:jc w:val="both"/>
        <w:rPr>
          <w:noProof/>
          <w:sz w:val="22"/>
          <w:szCs w:val="22"/>
          <w:lang w:val="sr-Latn-ME"/>
        </w:rPr>
      </w:pPr>
      <w:r w:rsidRPr="009F254D">
        <w:rPr>
          <w:sz w:val="22"/>
          <w:szCs w:val="22"/>
          <w:lang w:val="sr-Latn-ME"/>
        </w:rPr>
        <w:t>Insulin i sekretagogi insulina, kao što su sulfoniluree, izazivaju hipoglikemiju. Stoga može biti potrebna niža doza insulina ili sekretagoga insulina kako bi se smanjio rizik od hipoglikemije kada se korist</w:t>
      </w:r>
      <w:r w:rsidR="00213E58" w:rsidRPr="009F254D">
        <w:rPr>
          <w:sz w:val="22"/>
          <w:szCs w:val="22"/>
          <w:lang w:val="sr-Latn-ME"/>
        </w:rPr>
        <w:t>e</w:t>
      </w:r>
      <w:r w:rsidRPr="009F254D">
        <w:rPr>
          <w:sz w:val="22"/>
          <w:szCs w:val="22"/>
          <w:lang w:val="sr-Latn-ME"/>
        </w:rPr>
        <w:t xml:space="preserve"> u kombinaciji sa metforminom (pogledati </w:t>
      </w:r>
      <w:r w:rsidR="00213E58" w:rsidRPr="009F254D">
        <w:rPr>
          <w:sz w:val="22"/>
          <w:szCs w:val="22"/>
          <w:lang w:val="sr-Latn-ME"/>
        </w:rPr>
        <w:t>djelove </w:t>
      </w:r>
      <w:r w:rsidRPr="009F254D">
        <w:rPr>
          <w:sz w:val="22"/>
          <w:szCs w:val="22"/>
          <w:lang w:val="sr-Latn-ME"/>
        </w:rPr>
        <w:t>4.2. i 4.8).</w:t>
      </w:r>
    </w:p>
    <w:p w14:paraId="211E2C29" w14:textId="77777777" w:rsidR="0072020E" w:rsidRPr="009F254D" w:rsidRDefault="0072020E" w:rsidP="00FA635D">
      <w:pPr>
        <w:tabs>
          <w:tab w:val="left" w:pos="540"/>
          <w:tab w:val="left" w:pos="569"/>
        </w:tabs>
        <w:rPr>
          <w:bCs/>
          <w:sz w:val="22"/>
          <w:szCs w:val="22"/>
          <w:lang w:val="sr-Latn-ME"/>
        </w:rPr>
      </w:pPr>
    </w:p>
    <w:p w14:paraId="1D90F767" w14:textId="77777777" w:rsidR="0072020E" w:rsidRPr="009F254D" w:rsidRDefault="0072020E" w:rsidP="00FA635D">
      <w:pPr>
        <w:tabs>
          <w:tab w:val="left" w:pos="540"/>
          <w:tab w:val="left" w:pos="569"/>
        </w:tabs>
        <w:rPr>
          <w:b/>
          <w:sz w:val="22"/>
          <w:szCs w:val="22"/>
          <w:lang w:val="sr-Latn-ME"/>
        </w:rPr>
      </w:pPr>
      <w:r w:rsidRPr="009F254D">
        <w:rPr>
          <w:b/>
          <w:bCs/>
          <w:sz w:val="22"/>
          <w:szCs w:val="22"/>
          <w:lang w:val="sr-Latn-ME"/>
        </w:rPr>
        <w:t xml:space="preserve">4.6. </w:t>
      </w:r>
      <w:r w:rsidR="00480FB1" w:rsidRPr="009F254D">
        <w:rPr>
          <w:b/>
          <w:bCs/>
          <w:sz w:val="22"/>
          <w:szCs w:val="22"/>
          <w:lang w:val="sr-Latn-ME"/>
        </w:rPr>
        <w:tab/>
      </w:r>
      <w:r w:rsidR="006D20A5" w:rsidRPr="009F254D">
        <w:rPr>
          <w:b/>
          <w:sz w:val="22"/>
          <w:szCs w:val="22"/>
          <w:lang w:val="sr-Latn-ME"/>
        </w:rPr>
        <w:t>Plodnost, trudnoća i dojenje</w:t>
      </w:r>
    </w:p>
    <w:p w14:paraId="5D6FE5B9" w14:textId="77777777" w:rsidR="002031B3" w:rsidRPr="009F254D" w:rsidRDefault="002031B3" w:rsidP="00FA635D">
      <w:pPr>
        <w:tabs>
          <w:tab w:val="left" w:pos="540"/>
          <w:tab w:val="left" w:pos="569"/>
        </w:tabs>
        <w:rPr>
          <w:sz w:val="22"/>
          <w:szCs w:val="22"/>
          <w:u w:val="single"/>
          <w:lang w:val="sr-Latn-ME"/>
        </w:rPr>
      </w:pPr>
    </w:p>
    <w:p w14:paraId="3DA19A8D" w14:textId="77777777" w:rsidR="00855DF3" w:rsidRPr="009F254D" w:rsidRDefault="00855DF3" w:rsidP="00FA635D">
      <w:pPr>
        <w:tabs>
          <w:tab w:val="left" w:pos="540"/>
          <w:tab w:val="left" w:pos="569"/>
        </w:tabs>
        <w:rPr>
          <w:sz w:val="22"/>
          <w:szCs w:val="22"/>
          <w:u w:val="single"/>
          <w:lang w:val="sr-Latn-ME"/>
        </w:rPr>
      </w:pPr>
      <w:r w:rsidRPr="009F254D">
        <w:rPr>
          <w:sz w:val="22"/>
          <w:szCs w:val="22"/>
          <w:u w:val="single"/>
          <w:lang w:val="sr-Latn-ME"/>
        </w:rPr>
        <w:t>Plodnost</w:t>
      </w:r>
    </w:p>
    <w:p w14:paraId="7BB2D8C1" w14:textId="77777777" w:rsidR="00855DF3" w:rsidRPr="009F254D" w:rsidRDefault="00855DF3" w:rsidP="00FA635D">
      <w:pPr>
        <w:tabs>
          <w:tab w:val="left" w:pos="540"/>
          <w:tab w:val="left" w:pos="569"/>
        </w:tabs>
        <w:rPr>
          <w:sz w:val="22"/>
          <w:szCs w:val="22"/>
          <w:u w:val="single"/>
          <w:lang w:val="sr-Latn-ME"/>
        </w:rPr>
      </w:pPr>
    </w:p>
    <w:p w14:paraId="17325389" w14:textId="1CE918F2" w:rsidR="00855DF3" w:rsidRPr="009F254D" w:rsidRDefault="00855DF3" w:rsidP="00FA635D">
      <w:pPr>
        <w:tabs>
          <w:tab w:val="left" w:pos="284"/>
        </w:tabs>
        <w:jc w:val="both"/>
        <w:rPr>
          <w:noProof/>
          <w:sz w:val="22"/>
          <w:szCs w:val="22"/>
          <w:lang w:val="sr-Latn-ME"/>
        </w:rPr>
      </w:pPr>
      <w:r w:rsidRPr="009F254D">
        <w:rPr>
          <w:noProof/>
          <w:sz w:val="22"/>
          <w:szCs w:val="22"/>
          <w:lang w:val="sr-Latn-ME"/>
        </w:rPr>
        <w:t xml:space="preserve">Uticaj ovog lijeka ili dapagliflozina na </w:t>
      </w:r>
      <w:r w:rsidR="00213E58" w:rsidRPr="009F254D">
        <w:rPr>
          <w:noProof/>
          <w:sz w:val="22"/>
          <w:szCs w:val="22"/>
          <w:lang w:val="sr-Latn-ME"/>
        </w:rPr>
        <w:t xml:space="preserve">plodnost </w:t>
      </w:r>
      <w:r w:rsidRPr="009F254D">
        <w:rPr>
          <w:noProof/>
          <w:sz w:val="22"/>
          <w:szCs w:val="22"/>
          <w:lang w:val="sr-Latn-ME"/>
        </w:rPr>
        <w:t xml:space="preserve">kod ljudi nije proučavan. Kod muških i ženskih pacova dapagliflozin nije pokazao nikakav uticaj na </w:t>
      </w:r>
      <w:r w:rsidR="00213E58" w:rsidRPr="009F254D">
        <w:rPr>
          <w:noProof/>
          <w:sz w:val="22"/>
          <w:szCs w:val="22"/>
          <w:lang w:val="sr-Latn-ME"/>
        </w:rPr>
        <w:t xml:space="preserve">plodnost </w:t>
      </w:r>
      <w:r w:rsidRPr="009F254D">
        <w:rPr>
          <w:noProof/>
          <w:sz w:val="22"/>
          <w:szCs w:val="22"/>
          <w:lang w:val="sr-Latn-ME"/>
        </w:rPr>
        <w:t>ni u jednoj testiranoj dozi. Istraživanja metformina na životinjama ni</w:t>
      </w:r>
      <w:r w:rsidR="00F02E80" w:rsidRPr="009F254D">
        <w:rPr>
          <w:noProof/>
          <w:sz w:val="22"/>
          <w:szCs w:val="22"/>
          <w:lang w:val="sr-Latn-ME"/>
        </w:rPr>
        <w:t>je</w:t>
      </w:r>
      <w:r w:rsidRPr="009F254D">
        <w:rPr>
          <w:noProof/>
          <w:sz w:val="22"/>
          <w:szCs w:val="22"/>
          <w:lang w:val="sr-Latn-ME"/>
        </w:rPr>
        <w:t xml:space="preserve">su ukazala na reproduktivnu toksičnost (pogledati </w:t>
      </w:r>
      <w:r w:rsidR="00F02E80" w:rsidRPr="009F254D">
        <w:rPr>
          <w:noProof/>
          <w:sz w:val="22"/>
          <w:szCs w:val="22"/>
          <w:lang w:val="sr-Latn-ME"/>
        </w:rPr>
        <w:t xml:space="preserve">dio </w:t>
      </w:r>
      <w:r w:rsidRPr="009F254D">
        <w:rPr>
          <w:noProof/>
          <w:sz w:val="22"/>
          <w:szCs w:val="22"/>
          <w:lang w:val="sr-Latn-ME"/>
        </w:rPr>
        <w:t>5.3).</w:t>
      </w:r>
    </w:p>
    <w:p w14:paraId="00BB6625" w14:textId="77777777" w:rsidR="00855DF3" w:rsidRPr="009F254D" w:rsidRDefault="00855DF3" w:rsidP="00FA635D">
      <w:pPr>
        <w:tabs>
          <w:tab w:val="left" w:pos="540"/>
          <w:tab w:val="left" w:pos="569"/>
        </w:tabs>
        <w:rPr>
          <w:sz w:val="22"/>
          <w:szCs w:val="22"/>
          <w:u w:val="single"/>
          <w:lang w:val="sr-Latn-ME"/>
        </w:rPr>
      </w:pPr>
    </w:p>
    <w:p w14:paraId="304A55D6" w14:textId="77777777" w:rsidR="00855DF3" w:rsidRPr="009F254D" w:rsidRDefault="00855DF3" w:rsidP="00FA635D">
      <w:pPr>
        <w:tabs>
          <w:tab w:val="left" w:pos="540"/>
          <w:tab w:val="left" w:pos="569"/>
        </w:tabs>
        <w:rPr>
          <w:sz w:val="22"/>
          <w:szCs w:val="22"/>
          <w:u w:val="single"/>
          <w:lang w:val="sr-Latn-ME"/>
        </w:rPr>
      </w:pPr>
      <w:r w:rsidRPr="009F254D">
        <w:rPr>
          <w:sz w:val="22"/>
          <w:szCs w:val="22"/>
          <w:u w:val="single"/>
          <w:lang w:val="sr-Latn-ME"/>
        </w:rPr>
        <w:t>Trudnoća</w:t>
      </w:r>
    </w:p>
    <w:p w14:paraId="2ECBB5A8" w14:textId="77777777" w:rsidR="00855DF3" w:rsidRPr="009F254D" w:rsidRDefault="00855DF3" w:rsidP="00FA635D">
      <w:pPr>
        <w:tabs>
          <w:tab w:val="left" w:pos="540"/>
          <w:tab w:val="left" w:pos="569"/>
        </w:tabs>
        <w:rPr>
          <w:sz w:val="22"/>
          <w:szCs w:val="22"/>
          <w:u w:val="single"/>
          <w:lang w:val="sr-Latn-ME"/>
        </w:rPr>
      </w:pPr>
    </w:p>
    <w:p w14:paraId="5804B4E0" w14:textId="733CD622" w:rsidR="00855DF3" w:rsidRPr="009F254D" w:rsidRDefault="00855DF3" w:rsidP="00FA635D">
      <w:pPr>
        <w:tabs>
          <w:tab w:val="left" w:pos="284"/>
        </w:tabs>
        <w:jc w:val="both"/>
        <w:rPr>
          <w:noProof/>
          <w:sz w:val="22"/>
          <w:szCs w:val="22"/>
          <w:lang w:val="sr-Latn-ME"/>
        </w:rPr>
      </w:pPr>
      <w:r w:rsidRPr="009F254D">
        <w:rPr>
          <w:noProof/>
          <w:sz w:val="22"/>
          <w:szCs w:val="22"/>
          <w:lang w:val="sr-Latn-ME"/>
        </w:rPr>
        <w:t>Nema podataka o primjeni lijeka Xigduo kod trudnica. Studije na pacovima koji su liječeni dapagliflozinom pokazale su toksičnost za bubreg</w:t>
      </w:r>
      <w:r w:rsidR="00F02E80" w:rsidRPr="009F254D">
        <w:rPr>
          <w:noProof/>
          <w:sz w:val="22"/>
          <w:szCs w:val="22"/>
          <w:lang w:val="sr-Latn-ME"/>
        </w:rPr>
        <w:t>e</w:t>
      </w:r>
      <w:r w:rsidRPr="009F254D">
        <w:rPr>
          <w:noProof/>
          <w:sz w:val="22"/>
          <w:szCs w:val="22"/>
          <w:lang w:val="sr-Latn-ME"/>
        </w:rPr>
        <w:t xml:space="preserve"> u razvoju u vremenskom periodu koji odgovara drugom i trećem trimestru ljudske trudnoće (pogledati </w:t>
      </w:r>
      <w:r w:rsidR="00F02E80" w:rsidRPr="009F254D">
        <w:rPr>
          <w:noProof/>
          <w:sz w:val="22"/>
          <w:szCs w:val="22"/>
          <w:lang w:val="sr-Latn-ME"/>
        </w:rPr>
        <w:t xml:space="preserve">dio </w:t>
      </w:r>
      <w:r w:rsidRPr="009F254D">
        <w:rPr>
          <w:noProof/>
          <w:sz w:val="22"/>
          <w:szCs w:val="22"/>
          <w:lang w:val="sr-Latn-ME"/>
        </w:rPr>
        <w:t>5.3). Stoga se primjena ovog lijeka ne preporučuje tokom drugog i trećeg trimestra trudnoće. Ograničeni podaci primjene metformina kod trudnica ne ukazuju na povećan rizik od urođenih deformiteta. Studije metformina sprovedene na životinjama ni</w:t>
      </w:r>
      <w:r w:rsidR="00F02E80" w:rsidRPr="009F254D">
        <w:rPr>
          <w:noProof/>
          <w:sz w:val="22"/>
          <w:szCs w:val="22"/>
          <w:lang w:val="sr-Latn-ME"/>
        </w:rPr>
        <w:t>je</w:t>
      </w:r>
      <w:r w:rsidRPr="009F254D">
        <w:rPr>
          <w:noProof/>
          <w:sz w:val="22"/>
          <w:szCs w:val="22"/>
          <w:lang w:val="sr-Latn-ME"/>
        </w:rPr>
        <w:t xml:space="preserve">su ukazale na štetne uticaje na trudnoću, razvoj embriona i ploda, okot ili postnatalni razvoj (pogledati </w:t>
      </w:r>
      <w:r w:rsidR="00F02E80" w:rsidRPr="009F254D">
        <w:rPr>
          <w:noProof/>
          <w:sz w:val="22"/>
          <w:szCs w:val="22"/>
          <w:lang w:val="sr-Latn-ME"/>
        </w:rPr>
        <w:t xml:space="preserve">dio </w:t>
      </w:r>
      <w:r w:rsidRPr="009F254D">
        <w:rPr>
          <w:noProof/>
          <w:sz w:val="22"/>
          <w:szCs w:val="22"/>
          <w:lang w:val="sr-Latn-ME"/>
        </w:rPr>
        <w:t>5.3).</w:t>
      </w:r>
    </w:p>
    <w:p w14:paraId="479BD878" w14:textId="77777777" w:rsidR="00855DF3" w:rsidRPr="009F254D" w:rsidRDefault="00855DF3" w:rsidP="00FA635D">
      <w:pPr>
        <w:tabs>
          <w:tab w:val="left" w:pos="284"/>
        </w:tabs>
        <w:jc w:val="both"/>
        <w:rPr>
          <w:noProof/>
          <w:sz w:val="22"/>
          <w:szCs w:val="22"/>
          <w:lang w:val="sr-Latn-ME"/>
        </w:rPr>
      </w:pPr>
    </w:p>
    <w:p w14:paraId="40CC42B8" w14:textId="7FEFD534" w:rsidR="00855DF3" w:rsidRPr="009F254D" w:rsidRDefault="00855DF3" w:rsidP="00FA635D">
      <w:pPr>
        <w:tabs>
          <w:tab w:val="left" w:pos="284"/>
        </w:tabs>
        <w:jc w:val="both"/>
        <w:rPr>
          <w:noProof/>
          <w:sz w:val="22"/>
          <w:szCs w:val="22"/>
          <w:lang w:val="sr-Latn-ME"/>
        </w:rPr>
      </w:pPr>
      <w:r w:rsidRPr="009F254D">
        <w:rPr>
          <w:noProof/>
          <w:sz w:val="22"/>
          <w:szCs w:val="22"/>
          <w:lang w:val="sr-Latn-ME"/>
        </w:rPr>
        <w:t>Kada pacijentkinja planira da ostane u drugom stanju, kao i tokom trudnoće, preporučuje se da se dijabetes ne liječi ovim lijekom, već da se primjeni insulin kako bi se nivo glukoze u krvi održavao što je moguće bliže normalnoj vrijednosti, a time smanjio rizik deformiteta fetusa koji je povezan sa abnormalnim nivo</w:t>
      </w:r>
      <w:r w:rsidR="00F02E80" w:rsidRPr="009F254D">
        <w:rPr>
          <w:noProof/>
          <w:sz w:val="22"/>
          <w:szCs w:val="22"/>
          <w:lang w:val="sr-Latn-ME"/>
        </w:rPr>
        <w:t>ima</w:t>
      </w:r>
      <w:r w:rsidRPr="009F254D">
        <w:rPr>
          <w:noProof/>
          <w:sz w:val="22"/>
          <w:szCs w:val="22"/>
          <w:lang w:val="sr-Latn-ME"/>
        </w:rPr>
        <w:t xml:space="preserve"> glukoze u krvi.</w:t>
      </w:r>
    </w:p>
    <w:p w14:paraId="77285F7D" w14:textId="77777777" w:rsidR="00855DF3" w:rsidRPr="009F254D" w:rsidRDefault="00855DF3" w:rsidP="00FA635D">
      <w:pPr>
        <w:tabs>
          <w:tab w:val="left" w:pos="540"/>
          <w:tab w:val="left" w:pos="569"/>
        </w:tabs>
        <w:rPr>
          <w:sz w:val="22"/>
          <w:szCs w:val="22"/>
          <w:u w:val="single"/>
          <w:lang w:val="sr-Latn-ME"/>
        </w:rPr>
      </w:pPr>
    </w:p>
    <w:p w14:paraId="62E425A9" w14:textId="77777777" w:rsidR="00855DF3" w:rsidRPr="009F254D" w:rsidRDefault="00855DF3" w:rsidP="00FA635D">
      <w:pPr>
        <w:tabs>
          <w:tab w:val="left" w:pos="540"/>
          <w:tab w:val="left" w:pos="569"/>
        </w:tabs>
        <w:rPr>
          <w:b/>
          <w:bCs/>
          <w:sz w:val="22"/>
          <w:szCs w:val="22"/>
          <w:lang w:val="sr-Latn-ME"/>
        </w:rPr>
      </w:pPr>
      <w:r w:rsidRPr="009F254D">
        <w:rPr>
          <w:sz w:val="22"/>
          <w:szCs w:val="22"/>
          <w:u w:val="single"/>
          <w:lang w:val="sr-Latn-ME"/>
        </w:rPr>
        <w:t xml:space="preserve">Dojenje </w:t>
      </w:r>
    </w:p>
    <w:p w14:paraId="6585A9EC" w14:textId="77777777" w:rsidR="00855DF3" w:rsidRPr="009F254D" w:rsidRDefault="00855DF3" w:rsidP="00FA635D">
      <w:pPr>
        <w:tabs>
          <w:tab w:val="left" w:pos="540"/>
          <w:tab w:val="left" w:pos="569"/>
        </w:tabs>
        <w:ind w:left="540" w:hanging="540"/>
        <w:rPr>
          <w:b/>
          <w:bCs/>
          <w:sz w:val="22"/>
          <w:szCs w:val="22"/>
          <w:lang w:val="sr-Latn-ME"/>
        </w:rPr>
      </w:pPr>
    </w:p>
    <w:p w14:paraId="53D4A14B" w14:textId="75793013" w:rsidR="00855DF3" w:rsidRPr="009F254D" w:rsidRDefault="00855DF3" w:rsidP="00FA635D">
      <w:pPr>
        <w:tabs>
          <w:tab w:val="left" w:pos="284"/>
        </w:tabs>
        <w:jc w:val="both"/>
        <w:rPr>
          <w:noProof/>
          <w:sz w:val="22"/>
          <w:szCs w:val="22"/>
          <w:lang w:val="sr-Latn-ME"/>
        </w:rPr>
      </w:pPr>
      <w:r w:rsidRPr="009F254D">
        <w:rPr>
          <w:noProof/>
          <w:sz w:val="22"/>
          <w:szCs w:val="22"/>
          <w:lang w:val="sr-Latn-ME"/>
        </w:rPr>
        <w:t>Nije poznato da li se ovaj lijek ili dapagliflozin (</w:t>
      </w:r>
      <w:r w:rsidR="00F02E80" w:rsidRPr="009F254D">
        <w:rPr>
          <w:noProof/>
          <w:sz w:val="22"/>
          <w:szCs w:val="22"/>
          <w:lang w:val="sr-Latn-ME"/>
        </w:rPr>
        <w:t xml:space="preserve">i/ili </w:t>
      </w:r>
      <w:r w:rsidRPr="009F254D">
        <w:rPr>
          <w:noProof/>
          <w:sz w:val="22"/>
          <w:szCs w:val="22"/>
          <w:lang w:val="sr-Latn-ME"/>
        </w:rPr>
        <w:t xml:space="preserve">njegovi metaboliti) izlučuju u </w:t>
      </w:r>
      <w:r w:rsidR="00F02E80" w:rsidRPr="009F254D">
        <w:rPr>
          <w:noProof/>
          <w:sz w:val="22"/>
          <w:szCs w:val="22"/>
          <w:lang w:val="sr-Latn-ME"/>
        </w:rPr>
        <w:t xml:space="preserve">majčino </w:t>
      </w:r>
      <w:r w:rsidRPr="009F254D">
        <w:rPr>
          <w:noProof/>
          <w:sz w:val="22"/>
          <w:szCs w:val="22"/>
          <w:lang w:val="sr-Latn-ME"/>
        </w:rPr>
        <w:t>mlijeko</w:t>
      </w:r>
      <w:r w:rsidR="00F02E80" w:rsidRPr="009F254D">
        <w:rPr>
          <w:noProof/>
          <w:sz w:val="22"/>
          <w:szCs w:val="22"/>
          <w:lang w:val="sr-Latn-ME"/>
        </w:rPr>
        <w:t xml:space="preserve"> kod ljudi</w:t>
      </w:r>
      <w:r w:rsidRPr="009F254D">
        <w:rPr>
          <w:noProof/>
          <w:sz w:val="22"/>
          <w:szCs w:val="22"/>
          <w:lang w:val="sr-Latn-ME"/>
        </w:rPr>
        <w:t xml:space="preserve">. Postojeći podaci o farmakodinamici/toksikologiji kod životinja pokazali su da se dapagliflozin/metaboliti izlučuju u mlijeko, kao i da postoje farmakološki posredovana dejstva prilikom </w:t>
      </w:r>
      <w:r w:rsidRPr="009F254D">
        <w:rPr>
          <w:noProof/>
          <w:sz w:val="22"/>
          <w:szCs w:val="22"/>
          <w:lang w:val="sr-Latn-ME"/>
        </w:rPr>
        <w:lastRenderedPageBreak/>
        <w:t xml:space="preserve">dojenja mladunaca (pogledati </w:t>
      </w:r>
      <w:r w:rsidR="00F02E80" w:rsidRPr="009F254D">
        <w:rPr>
          <w:noProof/>
          <w:sz w:val="22"/>
          <w:szCs w:val="22"/>
          <w:lang w:val="sr-Latn-ME"/>
        </w:rPr>
        <w:t xml:space="preserve">dio </w:t>
      </w:r>
      <w:r w:rsidRPr="009F254D">
        <w:rPr>
          <w:noProof/>
          <w:sz w:val="22"/>
          <w:szCs w:val="22"/>
          <w:lang w:val="sr-Latn-ME"/>
        </w:rPr>
        <w:t xml:space="preserve">5.3). Metformin se izlučuje u </w:t>
      </w:r>
      <w:r w:rsidR="00F02E80" w:rsidRPr="009F254D">
        <w:rPr>
          <w:noProof/>
          <w:sz w:val="22"/>
          <w:szCs w:val="22"/>
          <w:lang w:val="sr-Latn-ME"/>
        </w:rPr>
        <w:t xml:space="preserve">majčino </w:t>
      </w:r>
      <w:r w:rsidRPr="009F254D">
        <w:rPr>
          <w:noProof/>
          <w:sz w:val="22"/>
          <w:szCs w:val="22"/>
          <w:lang w:val="sr-Latn-ME"/>
        </w:rPr>
        <w:t xml:space="preserve">mlijeko </w:t>
      </w:r>
      <w:r w:rsidR="00F02E80" w:rsidRPr="009F254D">
        <w:rPr>
          <w:noProof/>
          <w:sz w:val="22"/>
          <w:szCs w:val="22"/>
          <w:lang w:val="sr-Latn-ME"/>
        </w:rPr>
        <w:t xml:space="preserve">kod ljudi </w:t>
      </w:r>
      <w:r w:rsidRPr="009F254D">
        <w:rPr>
          <w:noProof/>
          <w:sz w:val="22"/>
          <w:szCs w:val="22"/>
          <w:lang w:val="sr-Latn-ME"/>
        </w:rPr>
        <w:t>u malim količinama. Nije moguće isključiti rizik za novorođenčad/odojčad.</w:t>
      </w:r>
    </w:p>
    <w:p w14:paraId="1F3C9CEE" w14:textId="77777777" w:rsidR="00855DF3" w:rsidRPr="009F254D" w:rsidRDefault="00855DF3" w:rsidP="00FA635D">
      <w:pPr>
        <w:tabs>
          <w:tab w:val="left" w:pos="284"/>
        </w:tabs>
        <w:jc w:val="both"/>
        <w:rPr>
          <w:noProof/>
          <w:sz w:val="22"/>
          <w:szCs w:val="22"/>
          <w:lang w:val="sr-Latn-ME"/>
        </w:rPr>
      </w:pPr>
    </w:p>
    <w:p w14:paraId="735D1267" w14:textId="77777777" w:rsidR="00855DF3" w:rsidRPr="009F254D" w:rsidRDefault="00855DF3" w:rsidP="00FA635D">
      <w:pPr>
        <w:tabs>
          <w:tab w:val="left" w:pos="284"/>
        </w:tabs>
        <w:jc w:val="both"/>
        <w:rPr>
          <w:noProof/>
          <w:sz w:val="22"/>
          <w:szCs w:val="22"/>
          <w:lang w:val="sr-Latn-ME"/>
        </w:rPr>
      </w:pPr>
      <w:r w:rsidRPr="009F254D">
        <w:rPr>
          <w:noProof/>
          <w:sz w:val="22"/>
          <w:szCs w:val="22"/>
          <w:lang w:val="sr-Latn-ME"/>
        </w:rPr>
        <w:t>Ovaj lijek ne smije se primjenjivati tokom dojenja.</w:t>
      </w:r>
    </w:p>
    <w:p w14:paraId="0B2E1D85" w14:textId="0F78BCB7" w:rsidR="005730BD" w:rsidRPr="009F254D" w:rsidRDefault="005730BD" w:rsidP="00E43FA0">
      <w:pPr>
        <w:tabs>
          <w:tab w:val="left" w:pos="540"/>
          <w:tab w:val="left" w:pos="569"/>
        </w:tabs>
        <w:rPr>
          <w:b/>
          <w:bCs/>
          <w:sz w:val="22"/>
          <w:szCs w:val="22"/>
          <w:lang w:val="sr-Latn-ME"/>
        </w:rPr>
      </w:pPr>
    </w:p>
    <w:p w14:paraId="313323FB" w14:textId="30D79D82" w:rsidR="0072020E" w:rsidRPr="009F254D" w:rsidRDefault="0072020E" w:rsidP="00FA635D">
      <w:pPr>
        <w:tabs>
          <w:tab w:val="left" w:pos="540"/>
          <w:tab w:val="left" w:pos="569"/>
        </w:tabs>
        <w:ind w:left="540" w:hanging="540"/>
        <w:rPr>
          <w:b/>
          <w:bCs/>
          <w:sz w:val="22"/>
          <w:szCs w:val="22"/>
          <w:lang w:val="sr-Latn-ME"/>
        </w:rPr>
      </w:pPr>
      <w:r w:rsidRPr="009F254D">
        <w:rPr>
          <w:b/>
          <w:bCs/>
          <w:sz w:val="22"/>
          <w:szCs w:val="22"/>
          <w:lang w:val="sr-Latn-ME"/>
        </w:rPr>
        <w:t xml:space="preserve">4.7. </w:t>
      </w:r>
      <w:r w:rsidR="00480FB1" w:rsidRPr="009F254D">
        <w:rPr>
          <w:b/>
          <w:bCs/>
          <w:sz w:val="22"/>
          <w:szCs w:val="22"/>
          <w:lang w:val="sr-Latn-ME"/>
        </w:rPr>
        <w:tab/>
      </w:r>
      <w:r w:rsidRPr="009F254D">
        <w:rPr>
          <w:b/>
          <w:bCs/>
          <w:sz w:val="22"/>
          <w:szCs w:val="22"/>
          <w:lang w:val="sr-Latn-ME"/>
        </w:rPr>
        <w:t xml:space="preserve">Uticaj na </w:t>
      </w:r>
      <w:r w:rsidR="002031B3" w:rsidRPr="009F254D">
        <w:rPr>
          <w:b/>
          <w:bCs/>
          <w:sz w:val="22"/>
          <w:szCs w:val="22"/>
          <w:lang w:val="sr-Latn-ME"/>
        </w:rPr>
        <w:t xml:space="preserve">sposobnost </w:t>
      </w:r>
      <w:r w:rsidR="00F34554" w:rsidRPr="009F254D">
        <w:rPr>
          <w:b/>
          <w:bCs/>
          <w:sz w:val="22"/>
          <w:szCs w:val="22"/>
          <w:lang w:val="sr-Latn-ME"/>
        </w:rPr>
        <w:t>upravljanja vozili</w:t>
      </w:r>
      <w:r w:rsidRPr="009F254D">
        <w:rPr>
          <w:b/>
          <w:bCs/>
          <w:sz w:val="22"/>
          <w:szCs w:val="22"/>
          <w:lang w:val="sr-Latn-ME"/>
        </w:rPr>
        <w:t>m</w:t>
      </w:r>
      <w:r w:rsidR="00F34554" w:rsidRPr="009F254D">
        <w:rPr>
          <w:b/>
          <w:bCs/>
          <w:sz w:val="22"/>
          <w:szCs w:val="22"/>
          <w:lang w:val="sr-Latn-ME"/>
        </w:rPr>
        <w:t>a</w:t>
      </w:r>
      <w:r w:rsidRPr="009F254D">
        <w:rPr>
          <w:b/>
          <w:bCs/>
          <w:sz w:val="22"/>
          <w:szCs w:val="22"/>
          <w:lang w:val="sr-Latn-ME"/>
        </w:rPr>
        <w:t xml:space="preserve"> i </w:t>
      </w:r>
      <w:r w:rsidR="000D3449" w:rsidRPr="009F254D">
        <w:rPr>
          <w:b/>
          <w:bCs/>
          <w:sz w:val="22"/>
          <w:szCs w:val="22"/>
          <w:lang w:val="sr-Latn-ME"/>
        </w:rPr>
        <w:t xml:space="preserve">rukovanje </w:t>
      </w:r>
      <w:r w:rsidRPr="009F254D">
        <w:rPr>
          <w:b/>
          <w:bCs/>
          <w:sz w:val="22"/>
          <w:szCs w:val="22"/>
          <w:lang w:val="sr-Latn-ME"/>
        </w:rPr>
        <w:t>mašinama</w:t>
      </w:r>
    </w:p>
    <w:p w14:paraId="5AC25DC4" w14:textId="6D94045D" w:rsidR="00855DF3" w:rsidRPr="009F254D" w:rsidRDefault="00855DF3" w:rsidP="00FA635D">
      <w:pPr>
        <w:tabs>
          <w:tab w:val="left" w:pos="540"/>
          <w:tab w:val="left" w:pos="569"/>
        </w:tabs>
        <w:ind w:left="540" w:hanging="540"/>
        <w:rPr>
          <w:b/>
          <w:bCs/>
          <w:sz w:val="22"/>
          <w:szCs w:val="22"/>
          <w:lang w:val="sr-Latn-ME"/>
        </w:rPr>
      </w:pPr>
    </w:p>
    <w:p w14:paraId="3C481932" w14:textId="7A7E4DB0" w:rsidR="00855DF3" w:rsidRDefault="00855DF3" w:rsidP="00FA635D">
      <w:pPr>
        <w:tabs>
          <w:tab w:val="left" w:pos="284"/>
        </w:tabs>
        <w:jc w:val="both"/>
        <w:rPr>
          <w:noProof/>
          <w:sz w:val="22"/>
          <w:szCs w:val="22"/>
          <w:lang w:val="sr-Latn-ME"/>
        </w:rPr>
      </w:pPr>
      <w:r w:rsidRPr="009F254D">
        <w:rPr>
          <w:noProof/>
          <w:sz w:val="22"/>
          <w:szCs w:val="22"/>
          <w:lang w:val="sr-Latn-ME"/>
        </w:rPr>
        <w:t>Lijek Xigduo nema nikakav ili ima zanemarljiv uticaj na sposobnost upravljanja motornim vozilima i rukovanj</w:t>
      </w:r>
      <w:r w:rsidR="00F02E80" w:rsidRPr="009F254D">
        <w:rPr>
          <w:noProof/>
          <w:sz w:val="22"/>
          <w:szCs w:val="22"/>
          <w:lang w:val="sr-Latn-ME"/>
        </w:rPr>
        <w:t>e</w:t>
      </w:r>
      <w:r w:rsidRPr="009F254D">
        <w:rPr>
          <w:noProof/>
          <w:sz w:val="22"/>
          <w:szCs w:val="22"/>
          <w:lang w:val="sr-Latn-ME"/>
        </w:rPr>
        <w:t xml:space="preserve"> mašinama. Pacijente treba upozoriti na rizik od hipoglikemije kada se ovaj lijek koristi u kombinaciji sa drugim ljekovima koji snižavaju nivo glukoze za koje se zna da uzrokuju hipoglikemiju.</w:t>
      </w:r>
    </w:p>
    <w:p w14:paraId="5A775445" w14:textId="77777777" w:rsidR="005730BD" w:rsidRPr="009F254D" w:rsidRDefault="005730BD" w:rsidP="00FA635D">
      <w:pPr>
        <w:tabs>
          <w:tab w:val="left" w:pos="284"/>
        </w:tabs>
        <w:jc w:val="both"/>
        <w:rPr>
          <w:noProof/>
          <w:sz w:val="22"/>
          <w:szCs w:val="22"/>
          <w:lang w:val="sr-Latn-ME"/>
        </w:rPr>
      </w:pPr>
    </w:p>
    <w:p w14:paraId="7721C3D5" w14:textId="4B6B1239" w:rsidR="0072020E" w:rsidRPr="009F254D" w:rsidRDefault="0072020E" w:rsidP="00FA635D">
      <w:pPr>
        <w:tabs>
          <w:tab w:val="left" w:pos="540"/>
          <w:tab w:val="left" w:pos="569"/>
        </w:tabs>
        <w:rPr>
          <w:b/>
          <w:bCs/>
          <w:sz w:val="22"/>
          <w:szCs w:val="22"/>
          <w:lang w:val="sr-Latn-ME"/>
        </w:rPr>
      </w:pPr>
      <w:r w:rsidRPr="009F254D">
        <w:rPr>
          <w:b/>
          <w:bCs/>
          <w:sz w:val="22"/>
          <w:szCs w:val="22"/>
          <w:lang w:val="sr-Latn-ME"/>
        </w:rPr>
        <w:t xml:space="preserve">4.8. </w:t>
      </w:r>
      <w:r w:rsidR="00480FB1" w:rsidRPr="009F254D">
        <w:rPr>
          <w:b/>
          <w:bCs/>
          <w:sz w:val="22"/>
          <w:szCs w:val="22"/>
          <w:lang w:val="sr-Latn-ME"/>
        </w:rPr>
        <w:tab/>
      </w:r>
      <w:r w:rsidRPr="009F254D">
        <w:rPr>
          <w:b/>
          <w:bCs/>
          <w:sz w:val="22"/>
          <w:szCs w:val="22"/>
          <w:lang w:val="sr-Latn-ME"/>
        </w:rPr>
        <w:t>Neželjena dejstva</w:t>
      </w:r>
    </w:p>
    <w:p w14:paraId="65A6F417" w14:textId="50EEF8F6" w:rsidR="00855DF3" w:rsidRPr="009F254D" w:rsidRDefault="00855DF3" w:rsidP="00FA635D">
      <w:pPr>
        <w:tabs>
          <w:tab w:val="left" w:pos="540"/>
          <w:tab w:val="left" w:pos="569"/>
        </w:tabs>
        <w:rPr>
          <w:b/>
          <w:bCs/>
          <w:sz w:val="22"/>
          <w:szCs w:val="22"/>
          <w:lang w:val="sr-Latn-ME"/>
        </w:rPr>
      </w:pPr>
    </w:p>
    <w:p w14:paraId="5E407356" w14:textId="4FE9F3C2" w:rsidR="00855DF3" w:rsidRPr="009F254D" w:rsidRDefault="00855DF3" w:rsidP="00FA635D">
      <w:pPr>
        <w:tabs>
          <w:tab w:val="left" w:pos="284"/>
        </w:tabs>
        <w:jc w:val="both"/>
        <w:rPr>
          <w:iCs/>
          <w:sz w:val="22"/>
          <w:szCs w:val="22"/>
          <w:lang w:val="sr-Latn-ME"/>
        </w:rPr>
      </w:pPr>
      <w:r w:rsidRPr="009F254D">
        <w:rPr>
          <w:sz w:val="22"/>
          <w:szCs w:val="22"/>
          <w:lang w:val="sr-Latn-ME"/>
        </w:rPr>
        <w:t xml:space="preserve">Utvrđena je bioekvivalencija lijeka Xigduo sa dapagliflozinom i metforminom koji se primjenjuju istovremeno (pogledati </w:t>
      </w:r>
      <w:r w:rsidR="000E5F84" w:rsidRPr="009F254D">
        <w:rPr>
          <w:sz w:val="22"/>
          <w:szCs w:val="22"/>
          <w:lang w:val="sr-Latn-ME"/>
        </w:rPr>
        <w:t>dio</w:t>
      </w:r>
      <w:r w:rsidRPr="009F254D">
        <w:rPr>
          <w:sz w:val="22"/>
          <w:szCs w:val="22"/>
          <w:lang w:val="sr-Latn-ME"/>
        </w:rPr>
        <w:t xml:space="preserve"> 5.2). Nisu sprovedena terapijska klinička ispitivanja sa </w:t>
      </w:r>
      <w:r w:rsidRPr="009F254D">
        <w:rPr>
          <w:noProof/>
          <w:sz w:val="22"/>
          <w:szCs w:val="22"/>
          <w:lang w:val="sr-Latn-ME"/>
        </w:rPr>
        <w:t>Xigduo</w:t>
      </w:r>
      <w:r w:rsidRPr="009F254D">
        <w:rPr>
          <w:sz w:val="22"/>
          <w:szCs w:val="22"/>
          <w:lang w:val="sr-Latn-ME"/>
        </w:rPr>
        <w:t xml:space="preserve"> tabletama.</w:t>
      </w:r>
    </w:p>
    <w:p w14:paraId="6995A473" w14:textId="77777777" w:rsidR="00855DF3" w:rsidRPr="009F254D" w:rsidRDefault="00855DF3" w:rsidP="00FA635D">
      <w:pPr>
        <w:tabs>
          <w:tab w:val="left" w:pos="284"/>
        </w:tabs>
        <w:autoSpaceDE w:val="0"/>
        <w:autoSpaceDN w:val="0"/>
        <w:adjustRightInd w:val="0"/>
        <w:jc w:val="both"/>
        <w:rPr>
          <w:iCs/>
          <w:sz w:val="22"/>
          <w:szCs w:val="22"/>
          <w:lang w:val="sr-Latn-ME"/>
        </w:rPr>
      </w:pPr>
    </w:p>
    <w:p w14:paraId="2CD2B36F" w14:textId="77777777" w:rsidR="00855DF3" w:rsidRPr="009F254D" w:rsidRDefault="00855DF3" w:rsidP="00FA635D">
      <w:pPr>
        <w:keepNext/>
        <w:tabs>
          <w:tab w:val="left" w:pos="284"/>
        </w:tabs>
        <w:jc w:val="both"/>
        <w:rPr>
          <w:sz w:val="22"/>
          <w:szCs w:val="22"/>
          <w:u w:val="single"/>
          <w:lang w:val="sr-Latn-ME"/>
        </w:rPr>
      </w:pPr>
      <w:r w:rsidRPr="009F254D">
        <w:rPr>
          <w:sz w:val="22"/>
          <w:szCs w:val="22"/>
          <w:u w:val="single"/>
          <w:lang w:val="sr-Latn-ME"/>
        </w:rPr>
        <w:t>Dapagliflozin u kombinaciji sa metforminom</w:t>
      </w:r>
    </w:p>
    <w:p w14:paraId="03819FE4" w14:textId="77777777" w:rsidR="00593D7C" w:rsidRPr="009F254D" w:rsidRDefault="00593D7C" w:rsidP="00FA635D">
      <w:pPr>
        <w:keepNext/>
        <w:tabs>
          <w:tab w:val="left" w:pos="284"/>
        </w:tabs>
        <w:jc w:val="both"/>
        <w:rPr>
          <w:i/>
          <w:iCs/>
          <w:sz w:val="22"/>
          <w:szCs w:val="22"/>
          <w:u w:val="single"/>
          <w:lang w:val="sr-Latn-ME"/>
        </w:rPr>
      </w:pPr>
    </w:p>
    <w:p w14:paraId="2A3A7321" w14:textId="5D39333D" w:rsidR="00855DF3" w:rsidRPr="009F254D" w:rsidRDefault="005A3F24" w:rsidP="00FA635D">
      <w:pPr>
        <w:keepNext/>
        <w:tabs>
          <w:tab w:val="left" w:pos="284"/>
        </w:tabs>
        <w:jc w:val="both"/>
        <w:rPr>
          <w:i/>
          <w:sz w:val="22"/>
          <w:szCs w:val="22"/>
          <w:u w:val="single"/>
          <w:lang w:val="sr-Latn-ME"/>
        </w:rPr>
      </w:pPr>
      <w:r w:rsidRPr="009F254D">
        <w:rPr>
          <w:i/>
          <w:iCs/>
          <w:sz w:val="22"/>
          <w:szCs w:val="22"/>
          <w:u w:val="single"/>
          <w:lang w:val="sr-Latn-ME"/>
        </w:rPr>
        <w:t>Sažetak</w:t>
      </w:r>
      <w:r w:rsidR="00593D7C" w:rsidRPr="009F254D">
        <w:rPr>
          <w:i/>
          <w:iCs/>
          <w:sz w:val="22"/>
          <w:szCs w:val="22"/>
          <w:u w:val="single"/>
          <w:lang w:val="sr-Latn-ME"/>
        </w:rPr>
        <w:t xml:space="preserve"> </w:t>
      </w:r>
      <w:r w:rsidR="00855DF3" w:rsidRPr="009F254D">
        <w:rPr>
          <w:i/>
          <w:iCs/>
          <w:sz w:val="22"/>
          <w:szCs w:val="22"/>
          <w:u w:val="single"/>
          <w:lang w:val="sr-Latn-ME"/>
        </w:rPr>
        <w:t>bezbjednosnog profila</w:t>
      </w:r>
    </w:p>
    <w:p w14:paraId="1F5F8F9C" w14:textId="1DC69B37" w:rsidR="00855DF3" w:rsidRPr="009F254D" w:rsidRDefault="00855DF3" w:rsidP="00FA635D">
      <w:pPr>
        <w:tabs>
          <w:tab w:val="left" w:pos="284"/>
        </w:tabs>
        <w:autoSpaceDE w:val="0"/>
        <w:autoSpaceDN w:val="0"/>
        <w:adjustRightInd w:val="0"/>
        <w:jc w:val="both"/>
        <w:rPr>
          <w:noProof/>
          <w:sz w:val="22"/>
          <w:szCs w:val="22"/>
          <w:lang w:val="sr-Latn-ME"/>
        </w:rPr>
      </w:pPr>
      <w:r w:rsidRPr="009F254D">
        <w:rPr>
          <w:noProof/>
          <w:sz w:val="22"/>
          <w:szCs w:val="22"/>
          <w:lang w:val="sr-Latn-ME"/>
        </w:rPr>
        <w:t xml:space="preserve">U analizi pet placebom kontrolisanih studija dapagliflozina kao dodatka metforminu, rezultati koji se odnose na bezbjednost lijeka bili su slični rezultatima unaprijed određene objedinjene analize 13 placebom kontrolisanih studija dapagliflozina (pogledati pododjeljak Dapagliflozin, </w:t>
      </w:r>
      <w:r w:rsidR="007F7C9D" w:rsidRPr="0014766F">
        <w:rPr>
          <w:i/>
          <w:noProof/>
          <w:sz w:val="22"/>
          <w:szCs w:val="22"/>
          <w:lang w:val="sr-Latn-ME"/>
        </w:rPr>
        <w:t>Sažetak bezbjednosnog profila</w:t>
      </w:r>
      <w:r w:rsidR="007F7C9D">
        <w:rPr>
          <w:noProof/>
          <w:sz w:val="22"/>
          <w:szCs w:val="22"/>
          <w:lang w:val="sr-Latn-ME"/>
        </w:rPr>
        <w:t xml:space="preserve"> </w:t>
      </w:r>
      <w:r w:rsidRPr="009F254D">
        <w:rPr>
          <w:noProof/>
          <w:sz w:val="22"/>
          <w:szCs w:val="22"/>
          <w:lang w:val="sr-Latn-ME"/>
        </w:rPr>
        <w:t xml:space="preserve">u nastavku). Nisu primijećene dodatne neželjene reakcije u grupi koja je primala dapagliflozin u kombinaciji sa metforminom u poređenju sa neželjenim reakcijama prijavljenim kod primjene svakog od ta dva lijeka pojedinačno. U zasebnoj objedinjenoj analizi podataka o dapagliflozinu kao dodatku liječenju metforminom, 623 ispitanika liječena su dapagliflozinom u dozi od 10 mg kao dodatak metforminu, a 523 ispitanika su uz metformin primala placebo. </w:t>
      </w:r>
    </w:p>
    <w:p w14:paraId="30150640" w14:textId="77777777" w:rsidR="00855DF3" w:rsidRPr="009F254D" w:rsidRDefault="00855DF3" w:rsidP="00FA635D">
      <w:pPr>
        <w:tabs>
          <w:tab w:val="left" w:pos="284"/>
        </w:tabs>
        <w:autoSpaceDE w:val="0"/>
        <w:autoSpaceDN w:val="0"/>
        <w:adjustRightInd w:val="0"/>
        <w:jc w:val="both"/>
        <w:rPr>
          <w:noProof/>
          <w:sz w:val="22"/>
          <w:szCs w:val="22"/>
          <w:lang w:val="sr-Latn-ME"/>
        </w:rPr>
      </w:pPr>
    </w:p>
    <w:p w14:paraId="319D9008" w14:textId="77777777" w:rsidR="00855DF3" w:rsidRPr="009F254D" w:rsidRDefault="00855DF3" w:rsidP="00FA635D">
      <w:pPr>
        <w:keepNext/>
        <w:keepLines/>
        <w:tabs>
          <w:tab w:val="left" w:pos="284"/>
        </w:tabs>
        <w:jc w:val="both"/>
        <w:rPr>
          <w:sz w:val="22"/>
          <w:szCs w:val="22"/>
          <w:u w:val="single"/>
          <w:lang w:val="sr-Latn-ME"/>
        </w:rPr>
      </w:pPr>
      <w:r w:rsidRPr="009F254D">
        <w:rPr>
          <w:sz w:val="22"/>
          <w:szCs w:val="22"/>
          <w:u w:val="single"/>
          <w:lang w:val="sr-Latn-ME"/>
        </w:rPr>
        <w:t>Dapagliflozin</w:t>
      </w:r>
    </w:p>
    <w:p w14:paraId="4B6054DE" w14:textId="77777777" w:rsidR="00593D7C" w:rsidRPr="009F254D" w:rsidRDefault="00593D7C" w:rsidP="00FA635D">
      <w:pPr>
        <w:keepNext/>
        <w:keepLines/>
        <w:tabs>
          <w:tab w:val="left" w:pos="284"/>
        </w:tabs>
        <w:autoSpaceDE w:val="0"/>
        <w:autoSpaceDN w:val="0"/>
        <w:adjustRightInd w:val="0"/>
        <w:jc w:val="both"/>
        <w:rPr>
          <w:i/>
          <w:iCs/>
          <w:sz w:val="22"/>
          <w:szCs w:val="22"/>
          <w:u w:val="single"/>
          <w:lang w:val="sr-Latn-ME"/>
        </w:rPr>
      </w:pPr>
    </w:p>
    <w:p w14:paraId="04AB4107" w14:textId="766F9C39" w:rsidR="00855DF3" w:rsidRPr="009F254D" w:rsidRDefault="005A3F24" w:rsidP="00FA635D">
      <w:pPr>
        <w:keepNext/>
        <w:keepLines/>
        <w:tabs>
          <w:tab w:val="left" w:pos="284"/>
        </w:tabs>
        <w:autoSpaceDE w:val="0"/>
        <w:autoSpaceDN w:val="0"/>
        <w:adjustRightInd w:val="0"/>
        <w:jc w:val="both"/>
        <w:rPr>
          <w:iCs/>
          <w:sz w:val="22"/>
          <w:szCs w:val="22"/>
          <w:lang w:val="sr-Latn-ME"/>
        </w:rPr>
      </w:pPr>
      <w:r w:rsidRPr="009F254D">
        <w:rPr>
          <w:i/>
          <w:iCs/>
          <w:sz w:val="22"/>
          <w:szCs w:val="22"/>
          <w:u w:val="single"/>
          <w:lang w:val="sr-Latn-ME"/>
        </w:rPr>
        <w:t>Sažetak</w:t>
      </w:r>
      <w:r w:rsidR="00855DF3" w:rsidRPr="009F254D">
        <w:rPr>
          <w:i/>
          <w:iCs/>
          <w:sz w:val="22"/>
          <w:szCs w:val="22"/>
          <w:u w:val="single"/>
          <w:lang w:val="sr-Latn-ME"/>
        </w:rPr>
        <w:t xml:space="preserve"> bezbjednosnog profila</w:t>
      </w:r>
    </w:p>
    <w:p w14:paraId="38EA4CE9" w14:textId="77777777" w:rsidR="00855DF3" w:rsidRPr="009F254D" w:rsidRDefault="00855DF3" w:rsidP="00FA635D">
      <w:pPr>
        <w:tabs>
          <w:tab w:val="left" w:pos="284"/>
        </w:tabs>
        <w:jc w:val="both"/>
        <w:rPr>
          <w:noProof/>
          <w:sz w:val="22"/>
          <w:szCs w:val="22"/>
          <w:lang w:val="sr-Latn-ME"/>
        </w:rPr>
      </w:pPr>
      <w:r w:rsidRPr="009F254D">
        <w:rPr>
          <w:noProof/>
          <w:sz w:val="22"/>
          <w:szCs w:val="22"/>
          <w:lang w:val="sr-Latn-ME"/>
        </w:rPr>
        <w:t>U kliničkim ispitivanjima koja su se bavila dijabetesom tipa 2 dapagliflozinom je liječeno više od 15.000 pacijenata.</w:t>
      </w:r>
    </w:p>
    <w:p w14:paraId="0F95564C" w14:textId="77777777" w:rsidR="00855DF3" w:rsidRPr="009F254D" w:rsidRDefault="00855DF3" w:rsidP="00FA635D">
      <w:pPr>
        <w:tabs>
          <w:tab w:val="left" w:pos="284"/>
        </w:tabs>
        <w:jc w:val="both"/>
        <w:rPr>
          <w:noProof/>
          <w:sz w:val="22"/>
          <w:szCs w:val="22"/>
          <w:lang w:val="sr-Latn-ME"/>
        </w:rPr>
      </w:pPr>
    </w:p>
    <w:p w14:paraId="6F1C584E" w14:textId="77777777" w:rsidR="00855DF3" w:rsidRPr="009F254D" w:rsidRDefault="00855DF3" w:rsidP="00FA635D">
      <w:pPr>
        <w:tabs>
          <w:tab w:val="left" w:pos="284"/>
        </w:tabs>
        <w:jc w:val="both"/>
        <w:rPr>
          <w:noProof/>
          <w:sz w:val="22"/>
          <w:szCs w:val="22"/>
          <w:lang w:val="sr-Latn-ME"/>
        </w:rPr>
      </w:pPr>
      <w:r w:rsidRPr="009F254D">
        <w:rPr>
          <w:noProof/>
          <w:sz w:val="22"/>
          <w:szCs w:val="22"/>
          <w:lang w:val="sr-Latn-ME"/>
        </w:rPr>
        <w:t>Primarna procjena bezbjednosti i podnošljivosti urađena je u unaprijed određenoj objedinjenoj analizi 13 kratkoročnih (trajale su najduže 24 nedjelje) placebom kontrolisanih studija sa 2.360 ispitanika liječenih dapagliflozinom od 10 mg i 2.295 liječenih placebom.</w:t>
      </w:r>
    </w:p>
    <w:p w14:paraId="2D74991B" w14:textId="77777777" w:rsidR="00855DF3" w:rsidRPr="009F254D" w:rsidRDefault="00855DF3" w:rsidP="00FA635D">
      <w:pPr>
        <w:tabs>
          <w:tab w:val="left" w:pos="284"/>
        </w:tabs>
        <w:jc w:val="both"/>
        <w:rPr>
          <w:noProof/>
          <w:sz w:val="22"/>
          <w:szCs w:val="22"/>
          <w:lang w:val="sr-Latn-ME"/>
        </w:rPr>
      </w:pPr>
    </w:p>
    <w:p w14:paraId="6D226285" w14:textId="1F9651BD" w:rsidR="00855DF3" w:rsidRPr="009F254D" w:rsidRDefault="00855DF3" w:rsidP="00FA635D">
      <w:pPr>
        <w:tabs>
          <w:tab w:val="left" w:pos="284"/>
        </w:tabs>
        <w:jc w:val="both"/>
        <w:rPr>
          <w:noProof/>
          <w:sz w:val="22"/>
          <w:szCs w:val="22"/>
          <w:lang w:val="sr-Latn-ME"/>
        </w:rPr>
      </w:pPr>
      <w:r w:rsidRPr="009F254D">
        <w:rPr>
          <w:noProof/>
          <w:sz w:val="22"/>
          <w:szCs w:val="22"/>
          <w:lang w:val="sr-Latn-ME"/>
        </w:rPr>
        <w:t>U studiji kardiovaskularnih ishoda pri primjeni dapagliflozina (</w:t>
      </w:r>
      <w:r w:rsidR="008264B5" w:rsidRPr="008264B5">
        <w:rPr>
          <w:noProof/>
          <w:sz w:val="22"/>
          <w:szCs w:val="22"/>
          <w:lang w:val="sr-Latn-ME"/>
        </w:rPr>
        <w:t xml:space="preserve">DECLARE </w:t>
      </w:r>
      <w:r w:rsidRPr="009F254D">
        <w:rPr>
          <w:noProof/>
          <w:sz w:val="22"/>
          <w:szCs w:val="22"/>
          <w:lang w:val="sr-Latn-ME"/>
        </w:rPr>
        <w:t xml:space="preserve">pogledati </w:t>
      </w:r>
      <w:r w:rsidR="000E5F84" w:rsidRPr="009F254D">
        <w:rPr>
          <w:noProof/>
          <w:sz w:val="22"/>
          <w:szCs w:val="22"/>
          <w:lang w:val="sr-Latn-ME"/>
        </w:rPr>
        <w:t>dio</w:t>
      </w:r>
      <w:r w:rsidRPr="009F254D">
        <w:rPr>
          <w:noProof/>
          <w:sz w:val="22"/>
          <w:szCs w:val="22"/>
          <w:lang w:val="sr-Latn-ME"/>
        </w:rPr>
        <w:t> 5.1) 8.574 pacijenta primalo je dapagliflozin od 10 mg, a 8.569 je primalo placebo u srednjem vremenu izloženosti od 48 mjeseci. Ukupno je bilo 30.623 pacijent-godina izloženosti dapagliflozinu.</w:t>
      </w:r>
    </w:p>
    <w:p w14:paraId="5B2A6D9E" w14:textId="77777777" w:rsidR="00855DF3" w:rsidRPr="009F254D" w:rsidRDefault="00855DF3" w:rsidP="00FA635D">
      <w:pPr>
        <w:tabs>
          <w:tab w:val="left" w:pos="284"/>
        </w:tabs>
        <w:jc w:val="both"/>
        <w:rPr>
          <w:noProof/>
          <w:sz w:val="22"/>
          <w:szCs w:val="22"/>
          <w:lang w:val="sr-Latn-ME"/>
        </w:rPr>
      </w:pPr>
    </w:p>
    <w:p w14:paraId="05BC366C" w14:textId="77777777" w:rsidR="00855DF3" w:rsidRPr="009F254D" w:rsidRDefault="00855DF3" w:rsidP="00FA635D">
      <w:pPr>
        <w:tabs>
          <w:tab w:val="left" w:pos="284"/>
        </w:tabs>
        <w:jc w:val="both"/>
        <w:rPr>
          <w:noProof/>
          <w:sz w:val="22"/>
          <w:szCs w:val="22"/>
          <w:lang w:val="sr-Latn-ME"/>
        </w:rPr>
      </w:pPr>
      <w:r w:rsidRPr="009F254D">
        <w:rPr>
          <w:noProof/>
          <w:sz w:val="22"/>
          <w:szCs w:val="22"/>
          <w:lang w:val="sr-Latn-ME"/>
        </w:rPr>
        <w:t>Najčešće prijavljivanje neželjene reakcije u kliničkim studijama bile su genitalne infekcije.</w:t>
      </w:r>
    </w:p>
    <w:p w14:paraId="20806F8E" w14:textId="77777777" w:rsidR="00855DF3" w:rsidRPr="009F254D" w:rsidRDefault="00855DF3" w:rsidP="00FA635D">
      <w:pPr>
        <w:tabs>
          <w:tab w:val="left" w:pos="284"/>
        </w:tabs>
        <w:autoSpaceDE w:val="0"/>
        <w:autoSpaceDN w:val="0"/>
        <w:adjustRightInd w:val="0"/>
        <w:jc w:val="both"/>
        <w:rPr>
          <w:iCs/>
          <w:sz w:val="22"/>
          <w:szCs w:val="22"/>
          <w:lang w:val="sr-Latn-ME"/>
        </w:rPr>
      </w:pPr>
    </w:p>
    <w:p w14:paraId="7A445567" w14:textId="673D5955" w:rsidR="00855DF3" w:rsidRPr="009F254D" w:rsidRDefault="00855DF3" w:rsidP="00FA635D">
      <w:pPr>
        <w:keepNext/>
        <w:keepLines/>
        <w:tabs>
          <w:tab w:val="left" w:pos="284"/>
        </w:tabs>
        <w:jc w:val="both"/>
        <w:rPr>
          <w:iCs/>
          <w:noProof/>
          <w:sz w:val="22"/>
          <w:szCs w:val="22"/>
          <w:u w:val="single"/>
          <w:lang w:val="sr-Latn-ME"/>
        </w:rPr>
      </w:pPr>
      <w:r w:rsidRPr="009F254D">
        <w:rPr>
          <w:noProof/>
          <w:sz w:val="22"/>
          <w:szCs w:val="22"/>
          <w:u w:val="single"/>
          <w:lang w:val="sr-Latn-ME"/>
        </w:rPr>
        <w:t xml:space="preserve">Tabelarni prikaz neželjenih </w:t>
      </w:r>
      <w:r w:rsidR="00664123">
        <w:rPr>
          <w:noProof/>
          <w:sz w:val="22"/>
          <w:szCs w:val="22"/>
          <w:u w:val="single"/>
          <w:lang w:val="sr-Latn-ME"/>
        </w:rPr>
        <w:t>dejstava</w:t>
      </w:r>
    </w:p>
    <w:p w14:paraId="421AEF74" w14:textId="77777777" w:rsidR="00593D7C" w:rsidRPr="009F254D" w:rsidRDefault="00593D7C" w:rsidP="00FA635D">
      <w:pPr>
        <w:keepNext/>
        <w:keepLines/>
        <w:tabs>
          <w:tab w:val="left" w:pos="284"/>
        </w:tabs>
        <w:jc w:val="both"/>
        <w:rPr>
          <w:noProof/>
          <w:sz w:val="22"/>
          <w:szCs w:val="22"/>
          <w:lang w:val="sr-Latn-ME"/>
        </w:rPr>
      </w:pPr>
    </w:p>
    <w:p w14:paraId="2A8D40D0" w14:textId="5E98D310" w:rsidR="00855DF3" w:rsidRPr="009F254D" w:rsidRDefault="00855DF3" w:rsidP="00FA635D">
      <w:pPr>
        <w:keepNext/>
        <w:keepLines/>
        <w:tabs>
          <w:tab w:val="left" w:pos="284"/>
        </w:tabs>
        <w:jc w:val="both"/>
        <w:rPr>
          <w:noProof/>
          <w:sz w:val="22"/>
          <w:szCs w:val="22"/>
          <w:lang w:val="sr-Latn-ME"/>
        </w:rPr>
      </w:pPr>
      <w:r w:rsidRPr="009F254D">
        <w:rPr>
          <w:noProof/>
          <w:sz w:val="22"/>
          <w:szCs w:val="22"/>
          <w:lang w:val="sr-Latn-ME"/>
        </w:rPr>
        <w:t>Sljedeće neželjen</w:t>
      </w:r>
      <w:r w:rsidR="00664123">
        <w:rPr>
          <w:noProof/>
          <w:sz w:val="22"/>
          <w:szCs w:val="22"/>
          <w:lang w:val="sr-Latn-ME"/>
        </w:rPr>
        <w:t xml:space="preserve">a dejstva </w:t>
      </w:r>
      <w:r w:rsidR="00664123" w:rsidRPr="009F254D">
        <w:rPr>
          <w:noProof/>
          <w:sz w:val="22"/>
          <w:szCs w:val="22"/>
          <w:lang w:val="sr-Latn-ME"/>
        </w:rPr>
        <w:t>primijećen</w:t>
      </w:r>
      <w:r w:rsidR="00664123">
        <w:rPr>
          <w:noProof/>
          <w:sz w:val="22"/>
          <w:szCs w:val="22"/>
          <w:lang w:val="sr-Latn-ME"/>
        </w:rPr>
        <w:t>a</w:t>
      </w:r>
      <w:r w:rsidR="00664123" w:rsidRPr="009F254D">
        <w:rPr>
          <w:noProof/>
          <w:sz w:val="22"/>
          <w:szCs w:val="22"/>
          <w:lang w:val="sr-Latn-ME"/>
        </w:rPr>
        <w:t xml:space="preserve"> </w:t>
      </w:r>
      <w:r w:rsidRPr="009F254D">
        <w:rPr>
          <w:noProof/>
          <w:sz w:val="22"/>
          <w:szCs w:val="22"/>
          <w:lang w:val="sr-Latn-ME"/>
        </w:rPr>
        <w:t xml:space="preserve">su u placebom kontrolisanim kliničkim studijama dapagliflozina u kombinaciji s metforminom, kliničkim studijama dapagliflozina i kliničkim studijama metformina, kao i nakon stavljanja lijeka u promet. Nijedna od njih nije povezana sa dozom. </w:t>
      </w:r>
      <w:r w:rsidR="00664123" w:rsidRPr="009F254D">
        <w:rPr>
          <w:noProof/>
          <w:sz w:val="22"/>
          <w:szCs w:val="22"/>
          <w:lang w:val="sr-Latn-ME"/>
        </w:rPr>
        <w:t>Neželjen</w:t>
      </w:r>
      <w:r w:rsidR="00664123">
        <w:rPr>
          <w:noProof/>
          <w:sz w:val="22"/>
          <w:szCs w:val="22"/>
          <w:lang w:val="sr-Latn-ME"/>
        </w:rPr>
        <w:t>a</w:t>
      </w:r>
      <w:r w:rsidR="00664123" w:rsidRPr="009F254D">
        <w:rPr>
          <w:noProof/>
          <w:sz w:val="22"/>
          <w:szCs w:val="22"/>
          <w:lang w:val="sr-Latn-ME"/>
        </w:rPr>
        <w:t xml:space="preserve"> </w:t>
      </w:r>
      <w:r w:rsidR="00664123">
        <w:rPr>
          <w:noProof/>
          <w:sz w:val="22"/>
          <w:szCs w:val="22"/>
          <w:lang w:val="sr-Latn-ME"/>
        </w:rPr>
        <w:t>dejstva</w:t>
      </w:r>
      <w:r w:rsidR="00664123" w:rsidRPr="009F254D">
        <w:rPr>
          <w:noProof/>
          <w:sz w:val="22"/>
          <w:szCs w:val="22"/>
          <w:lang w:val="sr-Latn-ME"/>
        </w:rPr>
        <w:t xml:space="preserve"> koj</w:t>
      </w:r>
      <w:r w:rsidR="00664123">
        <w:rPr>
          <w:noProof/>
          <w:sz w:val="22"/>
          <w:szCs w:val="22"/>
          <w:lang w:val="sr-Latn-ME"/>
        </w:rPr>
        <w:t>a</w:t>
      </w:r>
      <w:r w:rsidR="00664123" w:rsidRPr="009F254D">
        <w:rPr>
          <w:noProof/>
          <w:sz w:val="22"/>
          <w:szCs w:val="22"/>
          <w:lang w:val="sr-Latn-ME"/>
        </w:rPr>
        <w:t xml:space="preserve"> </w:t>
      </w:r>
      <w:r w:rsidRPr="009F254D">
        <w:rPr>
          <w:noProof/>
          <w:sz w:val="22"/>
          <w:szCs w:val="22"/>
          <w:lang w:val="sr-Latn-ME"/>
        </w:rPr>
        <w:t xml:space="preserve">se navode u nastavku </w:t>
      </w:r>
      <w:r w:rsidR="00664123" w:rsidRPr="009F254D">
        <w:rPr>
          <w:noProof/>
          <w:sz w:val="22"/>
          <w:szCs w:val="22"/>
          <w:lang w:val="sr-Latn-ME"/>
        </w:rPr>
        <w:t>klasifikovan</w:t>
      </w:r>
      <w:r w:rsidR="00664123">
        <w:rPr>
          <w:noProof/>
          <w:sz w:val="22"/>
          <w:szCs w:val="22"/>
          <w:lang w:val="sr-Latn-ME"/>
        </w:rPr>
        <w:t>a</w:t>
      </w:r>
      <w:r w:rsidR="00664123" w:rsidRPr="009F254D">
        <w:rPr>
          <w:noProof/>
          <w:sz w:val="22"/>
          <w:szCs w:val="22"/>
          <w:lang w:val="sr-Latn-ME"/>
        </w:rPr>
        <w:t xml:space="preserve"> </w:t>
      </w:r>
      <w:r w:rsidRPr="009F254D">
        <w:rPr>
          <w:noProof/>
          <w:sz w:val="22"/>
          <w:szCs w:val="22"/>
          <w:lang w:val="sr-Latn-ME"/>
        </w:rPr>
        <w:t>su prema učestalosti i klasi sistema organa. Kategorije učestalosti definišu se na sljedeći način: veoma čest</w:t>
      </w:r>
      <w:r w:rsidR="000E5F84" w:rsidRPr="009F254D">
        <w:rPr>
          <w:noProof/>
          <w:sz w:val="22"/>
          <w:szCs w:val="22"/>
          <w:lang w:val="sr-Latn-ME"/>
        </w:rPr>
        <w:t>o</w:t>
      </w:r>
      <w:r w:rsidRPr="009F254D">
        <w:rPr>
          <w:noProof/>
          <w:sz w:val="22"/>
          <w:szCs w:val="22"/>
          <w:lang w:val="sr-Latn-ME"/>
        </w:rPr>
        <w:t xml:space="preserve"> (≥ 1/10), čest</w:t>
      </w:r>
      <w:r w:rsidR="000E5F84" w:rsidRPr="009F254D">
        <w:rPr>
          <w:noProof/>
          <w:sz w:val="22"/>
          <w:szCs w:val="22"/>
          <w:lang w:val="sr-Latn-ME"/>
        </w:rPr>
        <w:t>o</w:t>
      </w:r>
      <w:r w:rsidRPr="009F254D">
        <w:rPr>
          <w:noProof/>
          <w:sz w:val="22"/>
          <w:szCs w:val="22"/>
          <w:lang w:val="sr-Latn-ME"/>
        </w:rPr>
        <w:t xml:space="preserve"> ( ≥ 1/100 do &lt;1/10), povremen</w:t>
      </w:r>
      <w:r w:rsidR="000E5F84" w:rsidRPr="009F254D">
        <w:rPr>
          <w:noProof/>
          <w:sz w:val="22"/>
          <w:szCs w:val="22"/>
          <w:lang w:val="sr-Latn-ME"/>
        </w:rPr>
        <w:t>o</w:t>
      </w:r>
      <w:r w:rsidRPr="009F254D">
        <w:rPr>
          <w:noProof/>
          <w:sz w:val="22"/>
          <w:szCs w:val="22"/>
          <w:lang w:val="sr-Latn-ME"/>
        </w:rPr>
        <w:t xml:space="preserve"> (≥ 1/1000 do &lt; 1/100), rijetk</w:t>
      </w:r>
      <w:r w:rsidR="000E5F84" w:rsidRPr="009F254D">
        <w:rPr>
          <w:noProof/>
          <w:sz w:val="22"/>
          <w:szCs w:val="22"/>
          <w:lang w:val="sr-Latn-ME"/>
        </w:rPr>
        <w:t>o</w:t>
      </w:r>
      <w:r w:rsidRPr="009F254D">
        <w:rPr>
          <w:noProof/>
          <w:sz w:val="22"/>
          <w:szCs w:val="22"/>
          <w:lang w:val="sr-Latn-ME"/>
        </w:rPr>
        <w:t xml:space="preserve"> ( ≥ 1/10000 do &lt; 1/1000), veoma rijetk</w:t>
      </w:r>
      <w:r w:rsidR="000E5F84" w:rsidRPr="009F254D">
        <w:rPr>
          <w:noProof/>
          <w:sz w:val="22"/>
          <w:szCs w:val="22"/>
          <w:lang w:val="sr-Latn-ME"/>
        </w:rPr>
        <w:t>o</w:t>
      </w:r>
      <w:r w:rsidRPr="009F254D">
        <w:rPr>
          <w:noProof/>
          <w:sz w:val="22"/>
          <w:szCs w:val="22"/>
          <w:lang w:val="sr-Latn-ME"/>
        </w:rPr>
        <w:t xml:space="preserve"> (&lt; 1/10000), n</w:t>
      </w:r>
      <w:r w:rsidR="000E5F84" w:rsidRPr="009F254D">
        <w:rPr>
          <w:noProof/>
          <w:sz w:val="22"/>
          <w:szCs w:val="22"/>
          <w:lang w:val="sr-Latn-ME"/>
        </w:rPr>
        <w:t>e</w:t>
      </w:r>
      <w:r w:rsidRPr="009F254D">
        <w:rPr>
          <w:noProof/>
          <w:sz w:val="22"/>
          <w:szCs w:val="22"/>
          <w:lang w:val="sr-Latn-ME"/>
        </w:rPr>
        <w:t>poznato (ne može se procijeniti na osnovu postojećih podataka).</w:t>
      </w:r>
    </w:p>
    <w:p w14:paraId="07FC30BA" w14:textId="77777777" w:rsidR="00855DF3" w:rsidRPr="009F254D" w:rsidRDefault="00855DF3" w:rsidP="00FA635D">
      <w:pPr>
        <w:tabs>
          <w:tab w:val="left" w:pos="284"/>
        </w:tabs>
        <w:jc w:val="both"/>
        <w:rPr>
          <w:noProof/>
          <w:sz w:val="22"/>
          <w:szCs w:val="22"/>
          <w:lang w:val="sr-Latn-ME"/>
        </w:rPr>
      </w:pPr>
    </w:p>
    <w:p w14:paraId="70E5F5C8" w14:textId="3938ED11" w:rsidR="00855DF3" w:rsidRPr="009F254D" w:rsidRDefault="00855DF3" w:rsidP="00FA635D">
      <w:pPr>
        <w:keepNext/>
        <w:keepLines/>
        <w:tabs>
          <w:tab w:val="left" w:pos="284"/>
        </w:tabs>
        <w:autoSpaceDE w:val="0"/>
        <w:autoSpaceDN w:val="0"/>
        <w:adjustRightInd w:val="0"/>
        <w:jc w:val="both"/>
        <w:rPr>
          <w:b/>
          <w:noProof/>
          <w:sz w:val="22"/>
          <w:szCs w:val="22"/>
          <w:lang w:val="sr-Latn-ME"/>
        </w:rPr>
      </w:pPr>
      <w:r w:rsidRPr="009F254D">
        <w:rPr>
          <w:b/>
          <w:bCs/>
          <w:noProof/>
          <w:sz w:val="22"/>
          <w:szCs w:val="22"/>
          <w:lang w:val="sr-Latn-ME"/>
        </w:rPr>
        <w:lastRenderedPageBreak/>
        <w:t xml:space="preserve">Tabela 2. </w:t>
      </w:r>
      <w:r w:rsidR="00664123" w:rsidRPr="009F254D">
        <w:rPr>
          <w:b/>
          <w:bCs/>
          <w:noProof/>
          <w:sz w:val="22"/>
          <w:szCs w:val="22"/>
          <w:lang w:val="sr-Latn-ME"/>
        </w:rPr>
        <w:t>Neželjen</w:t>
      </w:r>
      <w:r w:rsidR="00664123">
        <w:rPr>
          <w:b/>
          <w:bCs/>
          <w:noProof/>
          <w:sz w:val="22"/>
          <w:szCs w:val="22"/>
          <w:lang w:val="sr-Latn-ME"/>
        </w:rPr>
        <w:t>a</w:t>
      </w:r>
      <w:r w:rsidR="00664123" w:rsidRPr="009F254D">
        <w:rPr>
          <w:b/>
          <w:bCs/>
          <w:noProof/>
          <w:sz w:val="22"/>
          <w:szCs w:val="22"/>
          <w:lang w:val="sr-Latn-ME"/>
        </w:rPr>
        <w:t xml:space="preserve"> </w:t>
      </w:r>
      <w:r w:rsidR="00664123">
        <w:rPr>
          <w:b/>
          <w:bCs/>
          <w:noProof/>
          <w:sz w:val="22"/>
          <w:szCs w:val="22"/>
          <w:lang w:val="sr-Latn-ME"/>
        </w:rPr>
        <w:t>dejstva</w:t>
      </w:r>
      <w:r w:rsidR="00664123" w:rsidRPr="009F254D">
        <w:rPr>
          <w:b/>
          <w:bCs/>
          <w:noProof/>
          <w:sz w:val="22"/>
          <w:szCs w:val="22"/>
          <w:lang w:val="sr-Latn-ME"/>
        </w:rPr>
        <w:t xml:space="preserve"> </w:t>
      </w:r>
      <w:r w:rsidRPr="009F254D">
        <w:rPr>
          <w:b/>
          <w:bCs/>
          <w:noProof/>
          <w:sz w:val="22"/>
          <w:szCs w:val="22"/>
          <w:lang w:val="sr-Latn-ME"/>
        </w:rPr>
        <w:t>iz kliničkog ispitivanja dapagliflozina i metformina sa trenutnim otpuštanjem i iz podataka prikupljenih nakon stavljanja lijeka u promet</w:t>
      </w:r>
      <w:r w:rsidRPr="009F254D">
        <w:rPr>
          <w:b/>
          <w:bCs/>
          <w:noProof/>
          <w:sz w:val="22"/>
          <w:szCs w:val="22"/>
          <w:vertAlign w:val="superscript"/>
          <w:lang w:val="sr-Latn-ME"/>
        </w:rPr>
        <w:t>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76"/>
        <w:gridCol w:w="1545"/>
        <w:gridCol w:w="1897"/>
        <w:gridCol w:w="1378"/>
        <w:gridCol w:w="1320"/>
        <w:gridCol w:w="1347"/>
      </w:tblGrid>
      <w:tr w:rsidR="009B72D9" w:rsidRPr="009F254D" w14:paraId="39678CC7" w14:textId="77777777" w:rsidTr="00E43FA0">
        <w:tc>
          <w:tcPr>
            <w:tcW w:w="0" w:type="auto"/>
            <w:tcBorders>
              <w:top w:val="single" w:sz="4" w:space="0" w:color="000000"/>
              <w:left w:val="single" w:sz="4" w:space="0" w:color="000000"/>
              <w:bottom w:val="single" w:sz="4" w:space="0" w:color="000000"/>
              <w:right w:val="single" w:sz="4" w:space="0" w:color="000000"/>
            </w:tcBorders>
          </w:tcPr>
          <w:p w14:paraId="06D89ED3" w14:textId="77777777" w:rsidR="00855DF3" w:rsidRPr="009F254D" w:rsidRDefault="00855DF3" w:rsidP="00FA635D">
            <w:pPr>
              <w:keepNext/>
              <w:keepLines/>
              <w:tabs>
                <w:tab w:val="left" w:pos="284"/>
              </w:tabs>
              <w:jc w:val="both"/>
              <w:rPr>
                <w:sz w:val="22"/>
                <w:szCs w:val="22"/>
                <w:lang w:val="sr-Latn-ME"/>
              </w:rPr>
            </w:pPr>
            <w:r w:rsidRPr="009F254D">
              <w:rPr>
                <w:b/>
                <w:bCs/>
                <w:sz w:val="22"/>
                <w:szCs w:val="22"/>
                <w:lang w:val="sr-Latn-ME"/>
              </w:rPr>
              <w:t>Klasa sistema organa</w:t>
            </w:r>
          </w:p>
        </w:tc>
        <w:tc>
          <w:tcPr>
            <w:tcW w:w="0" w:type="auto"/>
            <w:tcBorders>
              <w:top w:val="single" w:sz="4" w:space="0" w:color="000000"/>
              <w:left w:val="single" w:sz="4" w:space="0" w:color="000000"/>
              <w:bottom w:val="single" w:sz="4" w:space="0" w:color="000000"/>
              <w:right w:val="single" w:sz="4" w:space="0" w:color="000000"/>
            </w:tcBorders>
          </w:tcPr>
          <w:p w14:paraId="3F51BBCD" w14:textId="43E253ED" w:rsidR="00855DF3" w:rsidRPr="009F254D" w:rsidRDefault="00855DF3" w:rsidP="00FA635D">
            <w:pPr>
              <w:keepNext/>
              <w:keepLines/>
              <w:tabs>
                <w:tab w:val="left" w:pos="284"/>
              </w:tabs>
              <w:jc w:val="center"/>
              <w:rPr>
                <w:b/>
                <w:bCs/>
                <w:sz w:val="22"/>
                <w:szCs w:val="22"/>
                <w:lang w:val="sr-Latn-ME"/>
              </w:rPr>
            </w:pPr>
            <w:r w:rsidRPr="009F254D">
              <w:rPr>
                <w:b/>
                <w:bCs/>
                <w:sz w:val="22"/>
                <w:szCs w:val="22"/>
                <w:lang w:val="sr-Latn-ME"/>
              </w:rPr>
              <w:t>Veoma čest</w:t>
            </w:r>
            <w:r w:rsidR="000E5F84" w:rsidRPr="009F254D">
              <w:rPr>
                <w:b/>
                <w:bCs/>
                <w:sz w:val="22"/>
                <w:szCs w:val="22"/>
                <w:lang w:val="sr-Latn-ME"/>
              </w:rPr>
              <w:t>o</w:t>
            </w:r>
          </w:p>
        </w:tc>
        <w:tc>
          <w:tcPr>
            <w:tcW w:w="0" w:type="auto"/>
            <w:tcBorders>
              <w:top w:val="single" w:sz="4" w:space="0" w:color="000000"/>
              <w:left w:val="single" w:sz="4" w:space="0" w:color="000000"/>
              <w:bottom w:val="single" w:sz="4" w:space="0" w:color="000000"/>
              <w:right w:val="single" w:sz="4" w:space="0" w:color="000000"/>
            </w:tcBorders>
          </w:tcPr>
          <w:p w14:paraId="3D9E7553" w14:textId="5CBA8D2D" w:rsidR="00855DF3" w:rsidRPr="009F254D" w:rsidRDefault="00855DF3" w:rsidP="00FA635D">
            <w:pPr>
              <w:keepNext/>
              <w:keepLines/>
              <w:tabs>
                <w:tab w:val="left" w:pos="284"/>
              </w:tabs>
              <w:jc w:val="center"/>
              <w:rPr>
                <w:b/>
                <w:bCs/>
                <w:sz w:val="22"/>
                <w:szCs w:val="22"/>
                <w:lang w:val="sr-Latn-ME"/>
              </w:rPr>
            </w:pPr>
            <w:r w:rsidRPr="009F254D">
              <w:rPr>
                <w:b/>
                <w:bCs/>
                <w:sz w:val="22"/>
                <w:szCs w:val="22"/>
                <w:lang w:val="sr-Latn-ME"/>
              </w:rPr>
              <w:t>Čest</w:t>
            </w:r>
            <w:r w:rsidR="000E5F84" w:rsidRPr="009F254D">
              <w:rPr>
                <w:b/>
                <w:bCs/>
                <w:sz w:val="22"/>
                <w:szCs w:val="22"/>
                <w:lang w:val="sr-Latn-ME"/>
              </w:rPr>
              <w:t>o</w:t>
            </w:r>
          </w:p>
          <w:p w14:paraId="0307C06E" w14:textId="77777777" w:rsidR="00855DF3" w:rsidRPr="009F254D" w:rsidRDefault="00855DF3" w:rsidP="00FA635D">
            <w:pPr>
              <w:keepNext/>
              <w:keepLines/>
              <w:tabs>
                <w:tab w:val="left" w:pos="284"/>
              </w:tabs>
              <w:jc w:val="center"/>
              <w:rPr>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5B6DF62E" w14:textId="7BC6EEA1" w:rsidR="00855DF3" w:rsidRPr="009F254D" w:rsidRDefault="00855DF3" w:rsidP="00FA635D">
            <w:pPr>
              <w:keepNext/>
              <w:keepLines/>
              <w:tabs>
                <w:tab w:val="left" w:pos="284"/>
              </w:tabs>
              <w:jc w:val="center"/>
              <w:rPr>
                <w:b/>
                <w:bCs/>
                <w:sz w:val="22"/>
                <w:szCs w:val="22"/>
                <w:lang w:val="sr-Latn-ME"/>
              </w:rPr>
            </w:pPr>
            <w:r w:rsidRPr="009F254D">
              <w:rPr>
                <w:b/>
                <w:bCs/>
                <w:sz w:val="22"/>
                <w:szCs w:val="22"/>
                <w:lang w:val="sr-Latn-ME"/>
              </w:rPr>
              <w:t>Povremen</w:t>
            </w:r>
            <w:r w:rsidR="000E5F84" w:rsidRPr="009F254D">
              <w:rPr>
                <w:b/>
                <w:bCs/>
                <w:sz w:val="22"/>
                <w:szCs w:val="22"/>
                <w:lang w:val="sr-Latn-ME"/>
              </w:rPr>
              <w:t>o</w:t>
            </w:r>
          </w:p>
          <w:p w14:paraId="248A21B9" w14:textId="77777777" w:rsidR="00855DF3" w:rsidRPr="009F254D" w:rsidRDefault="00855DF3" w:rsidP="00FA635D">
            <w:pPr>
              <w:keepNext/>
              <w:keepLines/>
              <w:tabs>
                <w:tab w:val="left" w:pos="284"/>
              </w:tabs>
              <w:jc w:val="center"/>
              <w:rPr>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623C8CF9" w14:textId="19BD9D49" w:rsidR="00855DF3" w:rsidRPr="009F254D" w:rsidRDefault="00855DF3" w:rsidP="00FA635D">
            <w:pPr>
              <w:keepNext/>
              <w:keepLines/>
              <w:tabs>
                <w:tab w:val="left" w:pos="284"/>
              </w:tabs>
              <w:jc w:val="center"/>
              <w:rPr>
                <w:b/>
                <w:bCs/>
                <w:sz w:val="22"/>
                <w:szCs w:val="22"/>
                <w:lang w:val="sr-Latn-ME"/>
              </w:rPr>
            </w:pPr>
            <w:r w:rsidRPr="009F254D">
              <w:rPr>
                <w:b/>
                <w:bCs/>
                <w:sz w:val="22"/>
                <w:szCs w:val="22"/>
                <w:lang w:val="sr-Latn-ME"/>
              </w:rPr>
              <w:t>Rijetk</w:t>
            </w:r>
            <w:r w:rsidR="000E5F84" w:rsidRPr="009F254D">
              <w:rPr>
                <w:b/>
                <w:bCs/>
                <w:sz w:val="22"/>
                <w:szCs w:val="22"/>
                <w:lang w:val="sr-Latn-ME"/>
              </w:rPr>
              <w:t>o</w:t>
            </w:r>
          </w:p>
        </w:tc>
        <w:tc>
          <w:tcPr>
            <w:tcW w:w="0" w:type="auto"/>
            <w:tcBorders>
              <w:top w:val="single" w:sz="4" w:space="0" w:color="000000"/>
              <w:left w:val="single" w:sz="4" w:space="0" w:color="000000"/>
              <w:bottom w:val="single" w:sz="4" w:space="0" w:color="000000"/>
              <w:right w:val="single" w:sz="4" w:space="0" w:color="000000"/>
            </w:tcBorders>
          </w:tcPr>
          <w:p w14:paraId="47F91355" w14:textId="1A47CAAB" w:rsidR="00855DF3" w:rsidRPr="009F254D" w:rsidRDefault="00855DF3" w:rsidP="00FA635D">
            <w:pPr>
              <w:keepNext/>
              <w:keepLines/>
              <w:tabs>
                <w:tab w:val="left" w:pos="284"/>
              </w:tabs>
              <w:jc w:val="center"/>
              <w:rPr>
                <w:b/>
                <w:bCs/>
                <w:sz w:val="22"/>
                <w:szCs w:val="22"/>
                <w:lang w:val="sr-Latn-ME"/>
              </w:rPr>
            </w:pPr>
            <w:r w:rsidRPr="009F254D">
              <w:rPr>
                <w:b/>
                <w:bCs/>
                <w:sz w:val="22"/>
                <w:szCs w:val="22"/>
                <w:lang w:val="sr-Latn-ME"/>
              </w:rPr>
              <w:t>Veoma rijetk</w:t>
            </w:r>
            <w:r w:rsidR="000E5F84" w:rsidRPr="009F254D">
              <w:rPr>
                <w:b/>
                <w:bCs/>
                <w:sz w:val="22"/>
                <w:szCs w:val="22"/>
                <w:lang w:val="sr-Latn-ME"/>
              </w:rPr>
              <w:t>o</w:t>
            </w:r>
          </w:p>
        </w:tc>
      </w:tr>
      <w:tr w:rsidR="009B72D9" w:rsidRPr="00E43FA0" w14:paraId="781C8294" w14:textId="77777777" w:rsidTr="00E43FA0">
        <w:tc>
          <w:tcPr>
            <w:tcW w:w="0" w:type="auto"/>
            <w:tcBorders>
              <w:top w:val="single" w:sz="4" w:space="0" w:color="000000"/>
              <w:left w:val="single" w:sz="4" w:space="0" w:color="000000"/>
              <w:bottom w:val="single" w:sz="4" w:space="0" w:color="000000"/>
              <w:right w:val="single" w:sz="4" w:space="0" w:color="000000"/>
            </w:tcBorders>
          </w:tcPr>
          <w:p w14:paraId="54909385" w14:textId="77777777" w:rsidR="00855DF3" w:rsidRPr="009F254D" w:rsidRDefault="00855DF3" w:rsidP="00FA635D">
            <w:pPr>
              <w:tabs>
                <w:tab w:val="left" w:pos="284"/>
              </w:tabs>
              <w:rPr>
                <w:sz w:val="22"/>
                <w:szCs w:val="22"/>
                <w:lang w:val="sr-Latn-ME"/>
              </w:rPr>
            </w:pPr>
            <w:r w:rsidRPr="009F254D">
              <w:rPr>
                <w:i/>
                <w:iCs/>
                <w:sz w:val="22"/>
                <w:szCs w:val="22"/>
                <w:lang w:val="sr-Latn-ME"/>
              </w:rPr>
              <w:t>Infekcije i infestacije</w:t>
            </w:r>
          </w:p>
        </w:tc>
        <w:tc>
          <w:tcPr>
            <w:tcW w:w="0" w:type="auto"/>
            <w:tcBorders>
              <w:top w:val="single" w:sz="4" w:space="0" w:color="000000"/>
              <w:left w:val="single" w:sz="4" w:space="0" w:color="000000"/>
              <w:bottom w:val="single" w:sz="4" w:space="0" w:color="000000"/>
              <w:right w:val="single" w:sz="4" w:space="0" w:color="000000"/>
            </w:tcBorders>
          </w:tcPr>
          <w:p w14:paraId="49783E5E" w14:textId="77777777" w:rsidR="00855DF3" w:rsidRPr="009F254D" w:rsidRDefault="00855DF3" w:rsidP="00FA635D">
            <w:pPr>
              <w:keepNext/>
              <w:keepLines/>
              <w:tabs>
                <w:tab w:val="left" w:pos="284"/>
              </w:tabs>
              <w:jc w:val="both"/>
              <w:rPr>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24FD68F4" w14:textId="4F36D118" w:rsidR="00855DF3" w:rsidRPr="009F254D" w:rsidRDefault="00855DF3" w:rsidP="00FA635D">
            <w:pPr>
              <w:keepNext/>
              <w:keepLines/>
              <w:tabs>
                <w:tab w:val="left" w:pos="284"/>
              </w:tabs>
              <w:rPr>
                <w:sz w:val="22"/>
                <w:szCs w:val="22"/>
                <w:lang w:val="sr-Latn-ME"/>
              </w:rPr>
            </w:pPr>
            <w:r w:rsidRPr="009F254D">
              <w:rPr>
                <w:sz w:val="22"/>
                <w:szCs w:val="22"/>
                <w:lang w:val="sr-Latn-ME"/>
              </w:rPr>
              <w:t xml:space="preserve">Vulvovaginitis, balanitis i </w:t>
            </w:r>
            <w:r w:rsidR="005A3F24" w:rsidRPr="009F254D">
              <w:rPr>
                <w:sz w:val="22"/>
                <w:szCs w:val="22"/>
                <w:lang w:val="sr-Latn-ME"/>
              </w:rPr>
              <w:t>srodne</w:t>
            </w:r>
            <w:r w:rsidRPr="009F254D">
              <w:rPr>
                <w:sz w:val="22"/>
                <w:szCs w:val="22"/>
                <w:lang w:val="sr-Latn-ME"/>
              </w:rPr>
              <w:t xml:space="preserve"> genitalne infekcije</w:t>
            </w:r>
            <w:r w:rsidRPr="009F254D">
              <w:rPr>
                <w:sz w:val="22"/>
                <w:szCs w:val="22"/>
                <w:vertAlign w:val="superscript"/>
                <w:lang w:val="sr-Latn-ME"/>
              </w:rPr>
              <w:t>*,b,c</w:t>
            </w:r>
          </w:p>
          <w:p w14:paraId="28B01316" w14:textId="77777777" w:rsidR="00855DF3" w:rsidRPr="009F254D" w:rsidRDefault="00855DF3" w:rsidP="00FA635D">
            <w:pPr>
              <w:tabs>
                <w:tab w:val="left" w:pos="284"/>
              </w:tabs>
              <w:rPr>
                <w:sz w:val="22"/>
                <w:szCs w:val="22"/>
                <w:lang w:val="sr-Latn-ME"/>
              </w:rPr>
            </w:pPr>
            <w:r w:rsidRPr="009F254D">
              <w:rPr>
                <w:sz w:val="22"/>
                <w:szCs w:val="22"/>
                <w:lang w:val="sr-Latn-ME"/>
              </w:rPr>
              <w:t>Infekcija urinarnog trakta</w:t>
            </w:r>
            <w:r w:rsidRPr="009F254D">
              <w:rPr>
                <w:sz w:val="22"/>
                <w:szCs w:val="22"/>
                <w:vertAlign w:val="superscript"/>
                <w:lang w:val="sr-Latn-ME"/>
              </w:rPr>
              <w:t>*,b,d</w:t>
            </w:r>
          </w:p>
        </w:tc>
        <w:tc>
          <w:tcPr>
            <w:tcW w:w="0" w:type="auto"/>
            <w:tcBorders>
              <w:top w:val="single" w:sz="4" w:space="0" w:color="000000"/>
              <w:left w:val="single" w:sz="4" w:space="0" w:color="000000"/>
              <w:bottom w:val="single" w:sz="4" w:space="0" w:color="000000"/>
              <w:right w:val="single" w:sz="4" w:space="0" w:color="000000"/>
            </w:tcBorders>
          </w:tcPr>
          <w:p w14:paraId="05D9008C" w14:textId="77777777" w:rsidR="00855DF3" w:rsidRPr="009F254D" w:rsidRDefault="00855DF3" w:rsidP="00FA635D">
            <w:pPr>
              <w:keepNext/>
              <w:keepLines/>
              <w:tabs>
                <w:tab w:val="left" w:pos="284"/>
              </w:tabs>
              <w:rPr>
                <w:sz w:val="22"/>
                <w:szCs w:val="22"/>
                <w:lang w:val="sr-Latn-ME"/>
              </w:rPr>
            </w:pPr>
            <w:r w:rsidRPr="009F254D">
              <w:rPr>
                <w:sz w:val="22"/>
                <w:szCs w:val="22"/>
                <w:lang w:val="sr-Latn-ME"/>
              </w:rPr>
              <w:t>Gljivična infekcija**</w:t>
            </w:r>
          </w:p>
        </w:tc>
        <w:tc>
          <w:tcPr>
            <w:tcW w:w="0" w:type="auto"/>
            <w:tcBorders>
              <w:top w:val="single" w:sz="4" w:space="0" w:color="000000"/>
              <w:left w:val="single" w:sz="4" w:space="0" w:color="000000"/>
              <w:bottom w:val="single" w:sz="4" w:space="0" w:color="000000"/>
              <w:right w:val="single" w:sz="4" w:space="0" w:color="000000"/>
            </w:tcBorders>
          </w:tcPr>
          <w:p w14:paraId="70F6AE42" w14:textId="77777777" w:rsidR="00855DF3" w:rsidRPr="009F254D" w:rsidRDefault="00855DF3" w:rsidP="00FA635D">
            <w:pPr>
              <w:keepNext/>
              <w:keepLines/>
              <w:tabs>
                <w:tab w:val="left" w:pos="284"/>
              </w:tabs>
              <w:rPr>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42880B0B" w14:textId="77777777" w:rsidR="00855DF3" w:rsidRPr="009F254D" w:rsidRDefault="00855DF3" w:rsidP="00FA635D">
            <w:pPr>
              <w:keepNext/>
              <w:keepLines/>
              <w:tabs>
                <w:tab w:val="left" w:pos="284"/>
              </w:tabs>
              <w:rPr>
                <w:sz w:val="22"/>
                <w:szCs w:val="22"/>
                <w:lang w:val="sr-Latn-ME"/>
              </w:rPr>
            </w:pPr>
            <w:r w:rsidRPr="009F254D">
              <w:rPr>
                <w:sz w:val="22"/>
                <w:szCs w:val="22"/>
                <w:lang w:val="sr-Latn-ME"/>
              </w:rPr>
              <w:t>Nekrotizirajući fasciitis perineuma (Furnijeova gangrena)</w:t>
            </w:r>
            <w:r w:rsidRPr="009F254D">
              <w:rPr>
                <w:sz w:val="22"/>
                <w:szCs w:val="22"/>
                <w:vertAlign w:val="superscript"/>
                <w:lang w:val="sr-Latn-ME"/>
              </w:rPr>
              <w:t>b,k</w:t>
            </w:r>
          </w:p>
        </w:tc>
      </w:tr>
      <w:tr w:rsidR="009B72D9" w:rsidRPr="009F254D" w14:paraId="750C0317" w14:textId="77777777" w:rsidTr="00E43FA0">
        <w:tc>
          <w:tcPr>
            <w:tcW w:w="0" w:type="auto"/>
            <w:tcBorders>
              <w:top w:val="single" w:sz="4" w:space="0" w:color="000000"/>
              <w:left w:val="single" w:sz="4" w:space="0" w:color="000000"/>
              <w:bottom w:val="single" w:sz="4" w:space="0" w:color="000000"/>
              <w:right w:val="single" w:sz="4" w:space="0" w:color="000000"/>
            </w:tcBorders>
          </w:tcPr>
          <w:p w14:paraId="78CA62F2" w14:textId="77777777" w:rsidR="00855DF3" w:rsidRPr="009F254D" w:rsidRDefault="00855DF3" w:rsidP="00FA635D">
            <w:pPr>
              <w:tabs>
                <w:tab w:val="left" w:pos="284"/>
              </w:tabs>
              <w:rPr>
                <w:sz w:val="22"/>
                <w:szCs w:val="22"/>
                <w:lang w:val="sr-Latn-ME"/>
              </w:rPr>
            </w:pPr>
            <w:r w:rsidRPr="009F254D">
              <w:rPr>
                <w:i/>
                <w:iCs/>
                <w:sz w:val="22"/>
                <w:szCs w:val="22"/>
                <w:lang w:val="sr-Latn-ME"/>
              </w:rPr>
              <w:t>Poremećaji metabolizma i ishrane</w:t>
            </w:r>
          </w:p>
        </w:tc>
        <w:tc>
          <w:tcPr>
            <w:tcW w:w="0" w:type="auto"/>
            <w:tcBorders>
              <w:top w:val="single" w:sz="4" w:space="0" w:color="000000"/>
              <w:left w:val="single" w:sz="4" w:space="0" w:color="000000"/>
              <w:bottom w:val="single" w:sz="4" w:space="0" w:color="000000"/>
              <w:right w:val="single" w:sz="4" w:space="0" w:color="000000"/>
            </w:tcBorders>
          </w:tcPr>
          <w:p w14:paraId="0742CF6F" w14:textId="77777777" w:rsidR="00855DF3" w:rsidRPr="009F254D" w:rsidRDefault="00855DF3" w:rsidP="00FA635D">
            <w:pPr>
              <w:tabs>
                <w:tab w:val="left" w:pos="567"/>
              </w:tabs>
              <w:rPr>
                <w:rFonts w:eastAsia="MS Mincho"/>
                <w:sz w:val="22"/>
                <w:szCs w:val="22"/>
                <w:lang w:val="sr-Latn-ME"/>
              </w:rPr>
            </w:pPr>
            <w:r w:rsidRPr="009F254D">
              <w:rPr>
                <w:rFonts w:eastAsia="MS Mincho"/>
                <w:sz w:val="22"/>
                <w:szCs w:val="22"/>
                <w:lang w:val="sr-Latn-ME"/>
              </w:rPr>
              <w:t>Hipoglikemija (kada se koristi sa SU ili insulinom)</w:t>
            </w:r>
            <w:r w:rsidRPr="009F254D">
              <w:rPr>
                <w:rFonts w:eastAsia="MS Mincho"/>
                <w:sz w:val="22"/>
                <w:szCs w:val="22"/>
                <w:vertAlign w:val="superscript"/>
                <w:lang w:val="sr-Latn-ME"/>
              </w:rPr>
              <w:t>b</w:t>
            </w:r>
          </w:p>
        </w:tc>
        <w:tc>
          <w:tcPr>
            <w:tcW w:w="0" w:type="auto"/>
            <w:tcBorders>
              <w:top w:val="single" w:sz="4" w:space="0" w:color="000000"/>
              <w:left w:val="single" w:sz="4" w:space="0" w:color="000000"/>
              <w:bottom w:val="single" w:sz="4" w:space="0" w:color="000000"/>
              <w:right w:val="single" w:sz="4" w:space="0" w:color="000000"/>
            </w:tcBorders>
          </w:tcPr>
          <w:p w14:paraId="2859EF2D" w14:textId="77777777" w:rsidR="00CD5627" w:rsidRPr="00B84E31" w:rsidRDefault="00CD5627" w:rsidP="00FA635D">
            <w:pPr>
              <w:tabs>
                <w:tab w:val="left" w:pos="567"/>
              </w:tabs>
              <w:rPr>
                <w:rFonts w:eastAsia="MS Mincho"/>
                <w:sz w:val="22"/>
                <w:szCs w:val="22"/>
                <w:lang w:val="sr-Latn-ME"/>
              </w:rPr>
            </w:pPr>
            <w:r w:rsidRPr="00B84E31">
              <w:rPr>
                <w:rFonts w:eastAsia="MS Mincho"/>
                <w:sz w:val="22"/>
                <w:szCs w:val="22"/>
                <w:lang w:val="sr-Latn-ME"/>
              </w:rPr>
              <w:t xml:space="preserve">Smanjenje/Nedostatak vitamina </w:t>
            </w:r>
          </w:p>
          <w:p w14:paraId="291C8FFF" w14:textId="649E4F6D" w:rsidR="00855DF3" w:rsidRPr="00CD5627" w:rsidRDefault="00CD5627" w:rsidP="00FA635D">
            <w:pPr>
              <w:tabs>
                <w:tab w:val="left" w:pos="567"/>
              </w:tabs>
              <w:rPr>
                <w:rFonts w:eastAsia="MS Mincho"/>
                <w:sz w:val="22"/>
                <w:szCs w:val="22"/>
                <w:lang w:val="sr-Latn-ME"/>
              </w:rPr>
            </w:pPr>
            <w:r w:rsidRPr="00B84E31">
              <w:rPr>
                <w:rFonts w:eastAsia="MS Mincho"/>
                <w:sz w:val="22"/>
                <w:szCs w:val="22"/>
                <w:lang w:val="sr-Latn-ME"/>
              </w:rPr>
              <w:t>B</w:t>
            </w:r>
            <w:r w:rsidRPr="00696788">
              <w:rPr>
                <w:rFonts w:eastAsia="MS Mincho"/>
                <w:sz w:val="22"/>
                <w:szCs w:val="22"/>
                <w:vertAlign w:val="subscript"/>
                <w:lang w:val="sr-Latn-ME"/>
              </w:rPr>
              <w:t>12</w:t>
            </w:r>
            <w:r w:rsidRPr="00B84E31">
              <w:rPr>
                <w:sz w:val="20"/>
                <w:szCs w:val="20"/>
                <w:vertAlign w:val="superscript"/>
              </w:rPr>
              <w:t xml:space="preserve"> j,</w:t>
            </w:r>
            <w:r w:rsidRPr="00B84E31">
              <w:rPr>
                <w:sz w:val="20"/>
                <w:vertAlign w:val="superscript"/>
              </w:rPr>
              <w:t>§</w:t>
            </w:r>
          </w:p>
        </w:tc>
        <w:tc>
          <w:tcPr>
            <w:tcW w:w="0" w:type="auto"/>
            <w:tcBorders>
              <w:top w:val="single" w:sz="4" w:space="0" w:color="000000"/>
              <w:left w:val="single" w:sz="4" w:space="0" w:color="000000"/>
              <w:bottom w:val="single" w:sz="4" w:space="0" w:color="000000"/>
              <w:right w:val="single" w:sz="4" w:space="0" w:color="000000"/>
            </w:tcBorders>
          </w:tcPr>
          <w:p w14:paraId="47CCE5BB" w14:textId="77777777" w:rsidR="00855DF3" w:rsidRPr="009F254D" w:rsidRDefault="00855DF3" w:rsidP="00FA635D">
            <w:pPr>
              <w:tabs>
                <w:tab w:val="left" w:pos="0"/>
                <w:tab w:val="left" w:pos="284"/>
              </w:tabs>
              <w:rPr>
                <w:sz w:val="22"/>
                <w:szCs w:val="22"/>
                <w:lang w:val="sr-Latn-ME"/>
              </w:rPr>
            </w:pPr>
            <w:r w:rsidRPr="009F254D">
              <w:rPr>
                <w:sz w:val="22"/>
                <w:szCs w:val="22"/>
                <w:lang w:val="sr-Latn-ME"/>
              </w:rPr>
              <w:t>Smanjenje zapremine tečnosti</w:t>
            </w:r>
            <w:r w:rsidRPr="009F254D">
              <w:rPr>
                <w:sz w:val="22"/>
                <w:szCs w:val="22"/>
                <w:vertAlign w:val="superscript"/>
                <w:lang w:val="sr-Latn-ME"/>
              </w:rPr>
              <w:t>b,e</w:t>
            </w:r>
          </w:p>
          <w:p w14:paraId="1A960456" w14:textId="77777777" w:rsidR="00855DF3" w:rsidRPr="009F254D" w:rsidRDefault="00855DF3" w:rsidP="00FA635D">
            <w:pPr>
              <w:tabs>
                <w:tab w:val="left" w:pos="284"/>
              </w:tabs>
              <w:rPr>
                <w:sz w:val="22"/>
                <w:szCs w:val="22"/>
                <w:lang w:val="sr-Latn-ME"/>
              </w:rPr>
            </w:pPr>
            <w:r w:rsidRPr="009F254D">
              <w:rPr>
                <w:sz w:val="22"/>
                <w:szCs w:val="22"/>
                <w:lang w:val="sr-Latn-ME"/>
              </w:rPr>
              <w:t>Žeđ</w:t>
            </w:r>
            <w:r w:rsidRPr="009F254D">
              <w:rPr>
                <w:b/>
                <w:bCs/>
                <w:sz w:val="22"/>
                <w:szCs w:val="22"/>
                <w:vertAlign w:val="superscript"/>
                <w:lang w:val="sr-Latn-ME"/>
              </w:rPr>
              <w:t>**</w:t>
            </w:r>
          </w:p>
        </w:tc>
        <w:tc>
          <w:tcPr>
            <w:tcW w:w="0" w:type="auto"/>
            <w:tcBorders>
              <w:top w:val="single" w:sz="4" w:space="0" w:color="000000"/>
              <w:left w:val="single" w:sz="4" w:space="0" w:color="000000"/>
              <w:bottom w:val="single" w:sz="4" w:space="0" w:color="000000"/>
              <w:right w:val="single" w:sz="4" w:space="0" w:color="000000"/>
            </w:tcBorders>
          </w:tcPr>
          <w:p w14:paraId="08312313" w14:textId="77777777" w:rsidR="00855DF3" w:rsidRPr="009F254D" w:rsidRDefault="00855DF3" w:rsidP="00FA635D">
            <w:pPr>
              <w:keepNext/>
              <w:keepLines/>
              <w:tabs>
                <w:tab w:val="left" w:pos="0"/>
                <w:tab w:val="left" w:pos="284"/>
              </w:tabs>
              <w:rPr>
                <w:sz w:val="22"/>
                <w:szCs w:val="22"/>
                <w:lang w:val="sr-Latn-ME"/>
              </w:rPr>
            </w:pPr>
            <w:r w:rsidRPr="009F254D">
              <w:rPr>
                <w:sz w:val="22"/>
                <w:szCs w:val="22"/>
                <w:lang w:val="sr-Latn-ME"/>
              </w:rPr>
              <w:t>Dijabetesna ketoacidoza</w:t>
            </w:r>
            <w:r w:rsidRPr="009F254D">
              <w:rPr>
                <w:sz w:val="22"/>
                <w:szCs w:val="22"/>
                <w:vertAlign w:val="superscript"/>
                <w:lang w:val="sr-Latn-ME"/>
              </w:rPr>
              <w:t>b,k,l</w:t>
            </w:r>
          </w:p>
        </w:tc>
        <w:tc>
          <w:tcPr>
            <w:tcW w:w="0" w:type="auto"/>
            <w:tcBorders>
              <w:top w:val="single" w:sz="4" w:space="0" w:color="000000"/>
              <w:left w:val="single" w:sz="4" w:space="0" w:color="000000"/>
              <w:bottom w:val="single" w:sz="4" w:space="0" w:color="000000"/>
              <w:right w:val="single" w:sz="4" w:space="0" w:color="000000"/>
            </w:tcBorders>
          </w:tcPr>
          <w:p w14:paraId="601B3C7C" w14:textId="77777777" w:rsidR="00855DF3" w:rsidRPr="009F254D" w:rsidRDefault="00855DF3" w:rsidP="00FA635D">
            <w:pPr>
              <w:keepNext/>
              <w:keepLines/>
              <w:tabs>
                <w:tab w:val="left" w:pos="0"/>
                <w:tab w:val="left" w:pos="284"/>
              </w:tabs>
              <w:rPr>
                <w:sz w:val="22"/>
                <w:szCs w:val="22"/>
                <w:lang w:val="sr-Latn-ME"/>
              </w:rPr>
            </w:pPr>
            <w:r w:rsidRPr="009F254D">
              <w:rPr>
                <w:sz w:val="22"/>
                <w:szCs w:val="22"/>
                <w:lang w:val="sr-Latn-ME"/>
              </w:rPr>
              <w:t>Laktatna acidoza</w:t>
            </w:r>
          </w:p>
          <w:p w14:paraId="0FEC3DD0" w14:textId="57C3421D" w:rsidR="00855DF3" w:rsidRPr="009F254D" w:rsidRDefault="00855DF3" w:rsidP="00FA635D">
            <w:pPr>
              <w:tabs>
                <w:tab w:val="left" w:pos="0"/>
                <w:tab w:val="left" w:pos="284"/>
              </w:tabs>
              <w:rPr>
                <w:sz w:val="22"/>
                <w:szCs w:val="22"/>
                <w:lang w:val="sr-Latn-ME"/>
              </w:rPr>
            </w:pPr>
          </w:p>
        </w:tc>
      </w:tr>
      <w:tr w:rsidR="009B72D9" w:rsidRPr="009F254D" w14:paraId="55077A41" w14:textId="77777777" w:rsidTr="00E43FA0">
        <w:tc>
          <w:tcPr>
            <w:tcW w:w="0" w:type="auto"/>
            <w:tcBorders>
              <w:top w:val="single" w:sz="4" w:space="0" w:color="000000"/>
              <w:left w:val="single" w:sz="4" w:space="0" w:color="000000"/>
              <w:bottom w:val="single" w:sz="4" w:space="0" w:color="000000"/>
              <w:right w:val="single" w:sz="4" w:space="0" w:color="000000"/>
            </w:tcBorders>
          </w:tcPr>
          <w:p w14:paraId="68DF81D7" w14:textId="77777777" w:rsidR="00855DF3" w:rsidRPr="009F254D" w:rsidRDefault="00855DF3" w:rsidP="00FA635D">
            <w:pPr>
              <w:tabs>
                <w:tab w:val="left" w:pos="284"/>
              </w:tabs>
              <w:rPr>
                <w:i/>
                <w:sz w:val="22"/>
                <w:szCs w:val="22"/>
                <w:lang w:val="sr-Latn-ME"/>
              </w:rPr>
            </w:pPr>
            <w:r w:rsidRPr="009F254D">
              <w:rPr>
                <w:i/>
                <w:iCs/>
                <w:sz w:val="22"/>
                <w:szCs w:val="22"/>
                <w:lang w:val="sr-Latn-ME"/>
              </w:rPr>
              <w:t>Poremećaji nervnog sistema</w:t>
            </w:r>
          </w:p>
        </w:tc>
        <w:tc>
          <w:tcPr>
            <w:tcW w:w="0" w:type="auto"/>
            <w:tcBorders>
              <w:top w:val="single" w:sz="4" w:space="0" w:color="000000"/>
              <w:left w:val="single" w:sz="4" w:space="0" w:color="000000"/>
              <w:bottom w:val="single" w:sz="4" w:space="0" w:color="000000"/>
              <w:right w:val="single" w:sz="4" w:space="0" w:color="000000"/>
            </w:tcBorders>
          </w:tcPr>
          <w:p w14:paraId="6184F1F1" w14:textId="77777777" w:rsidR="00855DF3" w:rsidRPr="009F254D" w:rsidRDefault="00855DF3" w:rsidP="00FA635D">
            <w:pPr>
              <w:tabs>
                <w:tab w:val="left" w:pos="567"/>
              </w:tabs>
              <w:rPr>
                <w:rFonts w:eastAsia="MS Mincho"/>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4442866A" w14:textId="77777777" w:rsidR="00855DF3" w:rsidRPr="009F254D" w:rsidRDefault="00855DF3" w:rsidP="00FA635D">
            <w:pPr>
              <w:tabs>
                <w:tab w:val="left" w:pos="567"/>
              </w:tabs>
              <w:rPr>
                <w:rFonts w:eastAsia="MS Mincho"/>
                <w:sz w:val="22"/>
                <w:szCs w:val="22"/>
                <w:vertAlign w:val="superscript"/>
                <w:lang w:val="sr-Latn-ME"/>
              </w:rPr>
            </w:pPr>
            <w:r w:rsidRPr="009F254D">
              <w:rPr>
                <w:rFonts w:eastAsia="MS Mincho"/>
                <w:sz w:val="22"/>
                <w:szCs w:val="22"/>
                <w:lang w:val="sr-Latn-ME"/>
              </w:rPr>
              <w:t>Poremećaj čula ukusa</w:t>
            </w:r>
            <w:r w:rsidRPr="009F254D">
              <w:rPr>
                <w:rFonts w:eastAsia="MS Mincho"/>
                <w:sz w:val="22"/>
                <w:szCs w:val="22"/>
                <w:vertAlign w:val="superscript"/>
                <w:lang w:val="sr-Latn-ME"/>
              </w:rPr>
              <w:t>§</w:t>
            </w:r>
          </w:p>
          <w:p w14:paraId="472B5E82" w14:textId="77777777" w:rsidR="00855DF3" w:rsidRPr="009F254D" w:rsidRDefault="00855DF3" w:rsidP="00FA635D">
            <w:pPr>
              <w:tabs>
                <w:tab w:val="left" w:pos="567"/>
              </w:tabs>
              <w:rPr>
                <w:rFonts w:eastAsia="MS Mincho"/>
                <w:sz w:val="22"/>
                <w:szCs w:val="22"/>
                <w:lang w:val="sr-Latn-ME"/>
              </w:rPr>
            </w:pPr>
            <w:r w:rsidRPr="009F254D">
              <w:rPr>
                <w:rFonts w:eastAsia="MS Mincho"/>
                <w:sz w:val="22"/>
                <w:szCs w:val="22"/>
                <w:lang w:val="sr-Latn-ME"/>
              </w:rPr>
              <w:t>Vrtoglavica</w:t>
            </w:r>
          </w:p>
          <w:p w14:paraId="65D57E6F" w14:textId="77777777" w:rsidR="00855DF3" w:rsidRPr="009F254D" w:rsidRDefault="00855DF3" w:rsidP="00FA635D">
            <w:pPr>
              <w:tabs>
                <w:tab w:val="left" w:pos="567"/>
              </w:tabs>
              <w:rPr>
                <w:rFonts w:eastAsia="MS Mincho"/>
                <w:sz w:val="22"/>
                <w:szCs w:val="22"/>
                <w:vertAlign w:val="superscript"/>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4A606707" w14:textId="77777777" w:rsidR="00855DF3" w:rsidRPr="009F254D" w:rsidRDefault="00855DF3" w:rsidP="00FA635D">
            <w:pPr>
              <w:tabs>
                <w:tab w:val="left" w:pos="0"/>
                <w:tab w:val="left" w:pos="284"/>
              </w:tabs>
              <w:rPr>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6F5D574C" w14:textId="77777777" w:rsidR="00855DF3" w:rsidRPr="009F254D" w:rsidRDefault="00855DF3" w:rsidP="00FA635D">
            <w:pPr>
              <w:keepNext/>
              <w:keepLines/>
              <w:tabs>
                <w:tab w:val="left" w:pos="0"/>
                <w:tab w:val="left" w:pos="284"/>
              </w:tabs>
              <w:rPr>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6AEB040E" w14:textId="77777777" w:rsidR="00855DF3" w:rsidRPr="009F254D" w:rsidRDefault="00855DF3" w:rsidP="00FA635D">
            <w:pPr>
              <w:keepNext/>
              <w:keepLines/>
              <w:tabs>
                <w:tab w:val="left" w:pos="0"/>
                <w:tab w:val="left" w:pos="284"/>
              </w:tabs>
              <w:rPr>
                <w:sz w:val="22"/>
                <w:szCs w:val="22"/>
                <w:lang w:val="sr-Latn-ME"/>
              </w:rPr>
            </w:pPr>
          </w:p>
        </w:tc>
      </w:tr>
      <w:tr w:rsidR="009B72D9" w:rsidRPr="009F254D" w14:paraId="01375CA6" w14:textId="77777777" w:rsidTr="00E43FA0">
        <w:tc>
          <w:tcPr>
            <w:tcW w:w="0" w:type="auto"/>
            <w:tcBorders>
              <w:top w:val="single" w:sz="4" w:space="0" w:color="000000"/>
              <w:left w:val="single" w:sz="4" w:space="0" w:color="000000"/>
              <w:bottom w:val="single" w:sz="4" w:space="0" w:color="000000"/>
              <w:right w:val="single" w:sz="4" w:space="0" w:color="000000"/>
            </w:tcBorders>
          </w:tcPr>
          <w:p w14:paraId="1AEA027B" w14:textId="77777777" w:rsidR="00855DF3" w:rsidRPr="009F254D" w:rsidRDefault="00855DF3" w:rsidP="00FA635D">
            <w:pPr>
              <w:tabs>
                <w:tab w:val="left" w:pos="284"/>
              </w:tabs>
              <w:rPr>
                <w:i/>
                <w:sz w:val="22"/>
                <w:szCs w:val="22"/>
                <w:lang w:val="sr-Latn-ME"/>
              </w:rPr>
            </w:pPr>
            <w:r w:rsidRPr="009F254D">
              <w:rPr>
                <w:i/>
                <w:iCs/>
                <w:sz w:val="22"/>
                <w:szCs w:val="22"/>
                <w:lang w:val="sr-Latn-ME"/>
              </w:rPr>
              <w:t>Gastrointestinalni poremećaji</w:t>
            </w:r>
          </w:p>
        </w:tc>
        <w:tc>
          <w:tcPr>
            <w:tcW w:w="0" w:type="auto"/>
            <w:tcBorders>
              <w:top w:val="single" w:sz="4" w:space="0" w:color="000000"/>
              <w:left w:val="single" w:sz="4" w:space="0" w:color="000000"/>
              <w:bottom w:val="single" w:sz="4" w:space="0" w:color="000000"/>
              <w:right w:val="single" w:sz="4" w:space="0" w:color="000000"/>
            </w:tcBorders>
          </w:tcPr>
          <w:p w14:paraId="1E6DED9F" w14:textId="77777777" w:rsidR="00855DF3" w:rsidRPr="009F254D" w:rsidRDefault="00855DF3" w:rsidP="00FA635D">
            <w:pPr>
              <w:tabs>
                <w:tab w:val="left" w:pos="284"/>
              </w:tabs>
              <w:rPr>
                <w:strike/>
                <w:sz w:val="22"/>
                <w:szCs w:val="22"/>
                <w:lang w:val="sr-Latn-ME"/>
              </w:rPr>
            </w:pPr>
            <w:r w:rsidRPr="009F254D">
              <w:rPr>
                <w:sz w:val="22"/>
                <w:szCs w:val="22"/>
                <w:lang w:val="sr-Latn-ME"/>
              </w:rPr>
              <w:t>Gastrointestinalni simptomi</w:t>
            </w:r>
            <w:r w:rsidRPr="009F254D">
              <w:rPr>
                <w:sz w:val="22"/>
                <w:szCs w:val="22"/>
                <w:vertAlign w:val="superscript"/>
                <w:lang w:val="sr-Latn-ME"/>
              </w:rPr>
              <w:t>i,§</w:t>
            </w:r>
          </w:p>
        </w:tc>
        <w:tc>
          <w:tcPr>
            <w:tcW w:w="0" w:type="auto"/>
            <w:tcBorders>
              <w:top w:val="single" w:sz="4" w:space="0" w:color="000000"/>
              <w:left w:val="single" w:sz="4" w:space="0" w:color="000000"/>
              <w:bottom w:val="single" w:sz="4" w:space="0" w:color="000000"/>
              <w:right w:val="single" w:sz="4" w:space="0" w:color="000000"/>
            </w:tcBorders>
          </w:tcPr>
          <w:p w14:paraId="7A41A46E" w14:textId="77777777" w:rsidR="00855DF3" w:rsidRPr="009F254D" w:rsidRDefault="00855DF3" w:rsidP="00FA635D">
            <w:pPr>
              <w:tabs>
                <w:tab w:val="left" w:pos="284"/>
              </w:tabs>
              <w:rPr>
                <w:strike/>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434E0E97" w14:textId="77777777" w:rsidR="00855DF3" w:rsidRPr="009F254D" w:rsidRDefault="00855DF3" w:rsidP="00FA635D">
            <w:pPr>
              <w:tabs>
                <w:tab w:val="left" w:pos="284"/>
              </w:tabs>
              <w:rPr>
                <w:b/>
                <w:bCs/>
                <w:sz w:val="22"/>
                <w:szCs w:val="22"/>
                <w:vertAlign w:val="superscript"/>
                <w:lang w:val="sr-Latn-ME"/>
              </w:rPr>
            </w:pPr>
            <w:r w:rsidRPr="009F254D">
              <w:rPr>
                <w:sz w:val="22"/>
                <w:szCs w:val="22"/>
                <w:lang w:val="sr-Latn-ME"/>
              </w:rPr>
              <w:t>Zatvor</w:t>
            </w:r>
            <w:r w:rsidRPr="009F254D">
              <w:rPr>
                <w:b/>
                <w:bCs/>
                <w:sz w:val="22"/>
                <w:szCs w:val="22"/>
                <w:vertAlign w:val="superscript"/>
                <w:lang w:val="sr-Latn-ME"/>
              </w:rPr>
              <w:t>**</w:t>
            </w:r>
          </w:p>
          <w:p w14:paraId="24928FCC" w14:textId="77777777" w:rsidR="00855DF3" w:rsidRPr="009F254D" w:rsidRDefault="00855DF3" w:rsidP="00FA635D">
            <w:pPr>
              <w:tabs>
                <w:tab w:val="left" w:pos="284"/>
              </w:tabs>
              <w:rPr>
                <w:strike/>
                <w:sz w:val="22"/>
                <w:szCs w:val="22"/>
                <w:lang w:val="sr-Latn-ME"/>
              </w:rPr>
            </w:pPr>
            <w:r w:rsidRPr="009F254D">
              <w:rPr>
                <w:sz w:val="22"/>
                <w:szCs w:val="22"/>
                <w:lang w:val="sr-Latn-ME"/>
              </w:rPr>
              <w:t>Suva usta**</w:t>
            </w:r>
          </w:p>
        </w:tc>
        <w:tc>
          <w:tcPr>
            <w:tcW w:w="0" w:type="auto"/>
            <w:tcBorders>
              <w:top w:val="single" w:sz="4" w:space="0" w:color="000000"/>
              <w:left w:val="single" w:sz="4" w:space="0" w:color="000000"/>
              <w:bottom w:val="single" w:sz="4" w:space="0" w:color="000000"/>
              <w:right w:val="single" w:sz="4" w:space="0" w:color="000000"/>
            </w:tcBorders>
          </w:tcPr>
          <w:p w14:paraId="25A34FE4" w14:textId="77777777" w:rsidR="00855DF3" w:rsidRPr="009F254D" w:rsidRDefault="00855DF3" w:rsidP="00FA635D">
            <w:pPr>
              <w:tabs>
                <w:tab w:val="left" w:pos="567"/>
              </w:tabs>
              <w:rPr>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053C9BF3" w14:textId="77777777" w:rsidR="00855DF3" w:rsidRPr="009F254D" w:rsidRDefault="00855DF3" w:rsidP="00FA635D">
            <w:pPr>
              <w:tabs>
                <w:tab w:val="left" w:pos="567"/>
              </w:tabs>
              <w:rPr>
                <w:sz w:val="22"/>
                <w:szCs w:val="22"/>
                <w:lang w:val="sr-Latn-ME"/>
              </w:rPr>
            </w:pPr>
          </w:p>
        </w:tc>
      </w:tr>
      <w:tr w:rsidR="009B72D9" w:rsidRPr="009F254D" w14:paraId="64404C06" w14:textId="77777777" w:rsidTr="00E43FA0">
        <w:tc>
          <w:tcPr>
            <w:tcW w:w="0" w:type="auto"/>
            <w:tcBorders>
              <w:top w:val="single" w:sz="4" w:space="0" w:color="000000"/>
              <w:left w:val="single" w:sz="4" w:space="0" w:color="000000"/>
              <w:bottom w:val="single" w:sz="4" w:space="0" w:color="000000"/>
              <w:right w:val="single" w:sz="4" w:space="0" w:color="000000"/>
            </w:tcBorders>
          </w:tcPr>
          <w:p w14:paraId="43E9F597" w14:textId="77777777" w:rsidR="00855DF3" w:rsidRPr="009F254D" w:rsidRDefault="00855DF3" w:rsidP="00FA635D">
            <w:pPr>
              <w:tabs>
                <w:tab w:val="left" w:pos="284"/>
              </w:tabs>
              <w:rPr>
                <w:i/>
                <w:noProof/>
                <w:sz w:val="22"/>
                <w:szCs w:val="22"/>
                <w:lang w:val="sr-Latn-ME"/>
              </w:rPr>
            </w:pPr>
            <w:r w:rsidRPr="009F254D">
              <w:rPr>
                <w:i/>
                <w:iCs/>
                <w:noProof/>
                <w:sz w:val="22"/>
                <w:szCs w:val="22"/>
                <w:lang w:val="sr-Latn-ME"/>
              </w:rPr>
              <w:t>Hepatobilijarni poremećaji</w:t>
            </w:r>
          </w:p>
        </w:tc>
        <w:tc>
          <w:tcPr>
            <w:tcW w:w="0" w:type="auto"/>
            <w:tcBorders>
              <w:top w:val="single" w:sz="4" w:space="0" w:color="000000"/>
              <w:left w:val="single" w:sz="4" w:space="0" w:color="000000"/>
              <w:bottom w:val="single" w:sz="4" w:space="0" w:color="000000"/>
              <w:right w:val="single" w:sz="4" w:space="0" w:color="000000"/>
            </w:tcBorders>
          </w:tcPr>
          <w:p w14:paraId="017F7EEC" w14:textId="77777777" w:rsidR="00855DF3" w:rsidRPr="009F254D" w:rsidRDefault="00855DF3" w:rsidP="00FA635D">
            <w:pPr>
              <w:tabs>
                <w:tab w:val="left" w:pos="284"/>
              </w:tabs>
              <w:rPr>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1334D33E" w14:textId="77777777" w:rsidR="00855DF3" w:rsidRPr="009F254D" w:rsidRDefault="00855DF3" w:rsidP="00FA635D">
            <w:pPr>
              <w:tabs>
                <w:tab w:val="left" w:pos="284"/>
              </w:tabs>
              <w:rPr>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6C98AB24" w14:textId="77777777" w:rsidR="00855DF3" w:rsidRPr="009F254D" w:rsidRDefault="00855DF3" w:rsidP="00FA635D">
            <w:pPr>
              <w:tabs>
                <w:tab w:val="left" w:pos="284"/>
              </w:tabs>
              <w:rPr>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37EA8392" w14:textId="77777777" w:rsidR="00855DF3" w:rsidRPr="009F254D" w:rsidRDefault="00855DF3" w:rsidP="00FA635D">
            <w:pPr>
              <w:tabs>
                <w:tab w:val="left" w:pos="284"/>
              </w:tabs>
              <w:rPr>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3AC64118" w14:textId="77777777" w:rsidR="00855DF3" w:rsidRPr="009F254D" w:rsidRDefault="00855DF3" w:rsidP="00FA635D">
            <w:pPr>
              <w:tabs>
                <w:tab w:val="left" w:pos="284"/>
              </w:tabs>
              <w:rPr>
                <w:sz w:val="22"/>
                <w:szCs w:val="22"/>
                <w:lang w:val="sr-Latn-ME"/>
              </w:rPr>
            </w:pPr>
            <w:r w:rsidRPr="009F254D">
              <w:rPr>
                <w:sz w:val="22"/>
                <w:szCs w:val="22"/>
                <w:lang w:val="sr-Latn-ME"/>
              </w:rPr>
              <w:t>Poremećaji funkcije jetre</w:t>
            </w:r>
            <w:r w:rsidRPr="009F254D">
              <w:rPr>
                <w:sz w:val="22"/>
                <w:szCs w:val="22"/>
                <w:vertAlign w:val="superscript"/>
                <w:lang w:val="sr-Latn-ME"/>
              </w:rPr>
              <w:t>§</w:t>
            </w:r>
          </w:p>
          <w:p w14:paraId="62BC1361" w14:textId="112FDA11" w:rsidR="00BE1219" w:rsidRPr="00BE1219" w:rsidRDefault="00855DF3" w:rsidP="00FA635D">
            <w:pPr>
              <w:tabs>
                <w:tab w:val="left" w:pos="284"/>
              </w:tabs>
              <w:rPr>
                <w:sz w:val="22"/>
                <w:szCs w:val="22"/>
                <w:vertAlign w:val="superscript"/>
                <w:lang w:val="sr-Latn-ME"/>
              </w:rPr>
            </w:pPr>
            <w:r w:rsidRPr="009F254D">
              <w:rPr>
                <w:sz w:val="22"/>
                <w:szCs w:val="22"/>
                <w:lang w:val="sr-Latn-ME"/>
              </w:rPr>
              <w:t>Hepatitis</w:t>
            </w:r>
            <w:r w:rsidRPr="009F254D">
              <w:rPr>
                <w:sz w:val="22"/>
                <w:szCs w:val="22"/>
                <w:vertAlign w:val="superscript"/>
                <w:lang w:val="sr-Latn-ME"/>
              </w:rPr>
              <w:t>§</w:t>
            </w:r>
          </w:p>
        </w:tc>
      </w:tr>
      <w:tr w:rsidR="009B72D9" w:rsidRPr="009F254D" w14:paraId="5F5D91BF" w14:textId="77777777" w:rsidTr="00E43FA0">
        <w:tc>
          <w:tcPr>
            <w:tcW w:w="0" w:type="auto"/>
            <w:tcBorders>
              <w:top w:val="single" w:sz="4" w:space="0" w:color="000000"/>
              <w:left w:val="single" w:sz="4" w:space="0" w:color="000000"/>
              <w:bottom w:val="single" w:sz="4" w:space="0" w:color="000000"/>
              <w:right w:val="single" w:sz="4" w:space="0" w:color="000000"/>
            </w:tcBorders>
          </w:tcPr>
          <w:p w14:paraId="11B16F94" w14:textId="77777777" w:rsidR="00855DF3" w:rsidRPr="009F254D" w:rsidRDefault="00855DF3" w:rsidP="00FA635D">
            <w:pPr>
              <w:tabs>
                <w:tab w:val="left" w:pos="284"/>
              </w:tabs>
              <w:rPr>
                <w:i/>
                <w:noProof/>
                <w:sz w:val="22"/>
                <w:szCs w:val="22"/>
                <w:lang w:val="sr-Latn-ME"/>
              </w:rPr>
            </w:pPr>
            <w:r w:rsidRPr="009F254D">
              <w:rPr>
                <w:i/>
                <w:iCs/>
                <w:noProof/>
                <w:sz w:val="22"/>
                <w:szCs w:val="22"/>
                <w:lang w:val="sr-Latn-ME"/>
              </w:rPr>
              <w:t>Poremećaji kože i potkožnih tkiva</w:t>
            </w:r>
          </w:p>
        </w:tc>
        <w:tc>
          <w:tcPr>
            <w:tcW w:w="0" w:type="auto"/>
            <w:tcBorders>
              <w:top w:val="single" w:sz="4" w:space="0" w:color="000000"/>
              <w:left w:val="single" w:sz="4" w:space="0" w:color="000000"/>
              <w:bottom w:val="single" w:sz="4" w:space="0" w:color="000000"/>
              <w:right w:val="single" w:sz="4" w:space="0" w:color="000000"/>
            </w:tcBorders>
          </w:tcPr>
          <w:p w14:paraId="5F123BBC" w14:textId="77777777" w:rsidR="00855DF3" w:rsidRPr="009F254D" w:rsidRDefault="00855DF3" w:rsidP="00FA635D">
            <w:pPr>
              <w:tabs>
                <w:tab w:val="left" w:pos="284"/>
              </w:tabs>
              <w:rPr>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598A7343" w14:textId="77777777" w:rsidR="00855DF3" w:rsidRPr="009F254D" w:rsidRDefault="00855DF3" w:rsidP="00FA635D">
            <w:pPr>
              <w:tabs>
                <w:tab w:val="left" w:pos="284"/>
              </w:tabs>
              <w:rPr>
                <w:sz w:val="22"/>
                <w:szCs w:val="22"/>
                <w:lang w:val="sr-Latn-ME"/>
              </w:rPr>
            </w:pPr>
            <w:r w:rsidRPr="009F254D">
              <w:rPr>
                <w:sz w:val="22"/>
                <w:szCs w:val="22"/>
                <w:lang w:val="sr-Latn-ME"/>
              </w:rPr>
              <w:t>Osip</w:t>
            </w:r>
            <w:r w:rsidRPr="009F254D">
              <w:rPr>
                <w:sz w:val="22"/>
                <w:szCs w:val="22"/>
                <w:vertAlign w:val="superscript"/>
                <w:lang w:val="sr-Latn-ME"/>
              </w:rPr>
              <w:t>m</w:t>
            </w:r>
          </w:p>
        </w:tc>
        <w:tc>
          <w:tcPr>
            <w:tcW w:w="0" w:type="auto"/>
            <w:tcBorders>
              <w:top w:val="single" w:sz="4" w:space="0" w:color="000000"/>
              <w:left w:val="single" w:sz="4" w:space="0" w:color="000000"/>
              <w:bottom w:val="single" w:sz="4" w:space="0" w:color="000000"/>
              <w:right w:val="single" w:sz="4" w:space="0" w:color="000000"/>
            </w:tcBorders>
          </w:tcPr>
          <w:p w14:paraId="2F74B49F" w14:textId="77777777" w:rsidR="00855DF3" w:rsidRPr="009F254D" w:rsidRDefault="00855DF3" w:rsidP="00FA635D">
            <w:pPr>
              <w:tabs>
                <w:tab w:val="left" w:pos="284"/>
              </w:tabs>
              <w:rPr>
                <w:strike/>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2B420517" w14:textId="77777777" w:rsidR="00855DF3" w:rsidRPr="009F254D" w:rsidRDefault="00855DF3" w:rsidP="00FA635D">
            <w:pPr>
              <w:tabs>
                <w:tab w:val="left" w:pos="284"/>
              </w:tabs>
              <w:rPr>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1ECA0838" w14:textId="77777777" w:rsidR="00855DF3" w:rsidRPr="009F254D" w:rsidRDefault="00855DF3" w:rsidP="00FA635D">
            <w:pPr>
              <w:tabs>
                <w:tab w:val="left" w:pos="284"/>
              </w:tabs>
              <w:rPr>
                <w:sz w:val="22"/>
                <w:szCs w:val="22"/>
                <w:lang w:val="sr-Latn-ME"/>
              </w:rPr>
            </w:pPr>
            <w:r w:rsidRPr="009F254D">
              <w:rPr>
                <w:sz w:val="22"/>
                <w:szCs w:val="22"/>
                <w:lang w:val="sr-Latn-ME"/>
              </w:rPr>
              <w:t>Urtikarija</w:t>
            </w:r>
            <w:r w:rsidRPr="009F254D">
              <w:rPr>
                <w:sz w:val="22"/>
                <w:szCs w:val="22"/>
                <w:vertAlign w:val="superscript"/>
                <w:lang w:val="sr-Latn-ME"/>
              </w:rPr>
              <w:t>§</w:t>
            </w:r>
            <w:r w:rsidRPr="009F254D">
              <w:rPr>
                <w:sz w:val="22"/>
                <w:szCs w:val="22"/>
                <w:lang w:val="sr-Latn-ME"/>
              </w:rPr>
              <w:t xml:space="preserve"> Eritema</w:t>
            </w:r>
            <w:r w:rsidRPr="009F254D">
              <w:rPr>
                <w:sz w:val="22"/>
                <w:szCs w:val="22"/>
                <w:vertAlign w:val="superscript"/>
                <w:lang w:val="sr-Latn-ME"/>
              </w:rPr>
              <w:t>§</w:t>
            </w:r>
          </w:p>
          <w:p w14:paraId="47A9FD0C" w14:textId="77777777" w:rsidR="00855DF3" w:rsidRPr="009F254D" w:rsidRDefault="00855DF3" w:rsidP="00FA635D">
            <w:pPr>
              <w:tabs>
                <w:tab w:val="left" w:pos="284"/>
              </w:tabs>
              <w:rPr>
                <w:sz w:val="22"/>
                <w:szCs w:val="22"/>
                <w:lang w:val="sr-Latn-ME"/>
              </w:rPr>
            </w:pPr>
            <w:r w:rsidRPr="009F254D">
              <w:rPr>
                <w:sz w:val="22"/>
                <w:szCs w:val="22"/>
                <w:lang w:val="sr-Latn-ME"/>
              </w:rPr>
              <w:t>Pruritus</w:t>
            </w:r>
            <w:r w:rsidRPr="009F254D">
              <w:rPr>
                <w:sz w:val="22"/>
                <w:szCs w:val="22"/>
                <w:vertAlign w:val="superscript"/>
                <w:lang w:val="sr-Latn-ME"/>
              </w:rPr>
              <w:t>§</w:t>
            </w:r>
          </w:p>
        </w:tc>
      </w:tr>
      <w:tr w:rsidR="009B72D9" w:rsidRPr="009F254D" w14:paraId="4862A0FA" w14:textId="77777777" w:rsidTr="00E43FA0">
        <w:tc>
          <w:tcPr>
            <w:tcW w:w="0" w:type="auto"/>
            <w:tcBorders>
              <w:top w:val="single" w:sz="4" w:space="0" w:color="000000"/>
              <w:left w:val="single" w:sz="4" w:space="0" w:color="000000"/>
              <w:bottom w:val="single" w:sz="4" w:space="0" w:color="000000"/>
              <w:right w:val="single" w:sz="4" w:space="0" w:color="000000"/>
            </w:tcBorders>
          </w:tcPr>
          <w:p w14:paraId="23AD24CE" w14:textId="33A04A01" w:rsidR="00855DF3" w:rsidRPr="009F254D" w:rsidRDefault="009B72D9" w:rsidP="00FA635D">
            <w:pPr>
              <w:tabs>
                <w:tab w:val="left" w:pos="284"/>
              </w:tabs>
              <w:rPr>
                <w:i/>
                <w:sz w:val="22"/>
                <w:szCs w:val="22"/>
                <w:lang w:val="sr-Latn-ME"/>
              </w:rPr>
            </w:pPr>
            <w:r w:rsidRPr="009F254D">
              <w:rPr>
                <w:i/>
                <w:iCs/>
                <w:noProof/>
                <w:sz w:val="22"/>
                <w:szCs w:val="22"/>
                <w:lang w:val="sr-Latn-ME"/>
              </w:rPr>
              <w:t>Poremećaji mišićno-koštanog sistema</w:t>
            </w:r>
            <w:r w:rsidR="00855DF3" w:rsidRPr="009F254D">
              <w:rPr>
                <w:i/>
                <w:iCs/>
                <w:noProof/>
                <w:sz w:val="22"/>
                <w:szCs w:val="22"/>
                <w:lang w:val="sr-Latn-ME"/>
              </w:rPr>
              <w:t xml:space="preserve">  i  vezivnog tkiva</w:t>
            </w:r>
          </w:p>
        </w:tc>
        <w:tc>
          <w:tcPr>
            <w:tcW w:w="0" w:type="auto"/>
            <w:tcBorders>
              <w:top w:val="single" w:sz="4" w:space="0" w:color="000000"/>
              <w:left w:val="single" w:sz="4" w:space="0" w:color="000000"/>
              <w:bottom w:val="single" w:sz="4" w:space="0" w:color="000000"/>
              <w:right w:val="single" w:sz="4" w:space="0" w:color="000000"/>
            </w:tcBorders>
          </w:tcPr>
          <w:p w14:paraId="4469B333" w14:textId="77777777" w:rsidR="00855DF3" w:rsidRPr="009F254D" w:rsidRDefault="00855DF3" w:rsidP="00FA635D">
            <w:pPr>
              <w:tabs>
                <w:tab w:val="left" w:pos="284"/>
              </w:tabs>
              <w:rPr>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260C867E" w14:textId="77777777" w:rsidR="00855DF3" w:rsidRPr="009F254D" w:rsidRDefault="00855DF3" w:rsidP="00FA635D">
            <w:pPr>
              <w:tabs>
                <w:tab w:val="left" w:pos="284"/>
              </w:tabs>
              <w:rPr>
                <w:sz w:val="22"/>
                <w:szCs w:val="22"/>
                <w:lang w:val="sr-Latn-ME"/>
              </w:rPr>
            </w:pPr>
            <w:r w:rsidRPr="009F254D">
              <w:rPr>
                <w:sz w:val="22"/>
                <w:szCs w:val="22"/>
                <w:lang w:val="sr-Latn-ME"/>
              </w:rPr>
              <w:t>Bol u leđima*</w:t>
            </w:r>
          </w:p>
        </w:tc>
        <w:tc>
          <w:tcPr>
            <w:tcW w:w="0" w:type="auto"/>
            <w:tcBorders>
              <w:top w:val="single" w:sz="4" w:space="0" w:color="000000"/>
              <w:left w:val="single" w:sz="4" w:space="0" w:color="000000"/>
              <w:bottom w:val="single" w:sz="4" w:space="0" w:color="000000"/>
              <w:right w:val="single" w:sz="4" w:space="0" w:color="000000"/>
            </w:tcBorders>
          </w:tcPr>
          <w:p w14:paraId="499056E1" w14:textId="77777777" w:rsidR="00855DF3" w:rsidRPr="009F254D" w:rsidRDefault="00855DF3" w:rsidP="00FA635D">
            <w:pPr>
              <w:tabs>
                <w:tab w:val="left" w:pos="284"/>
              </w:tabs>
              <w:rPr>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4161DE0A" w14:textId="77777777" w:rsidR="00855DF3" w:rsidRPr="009F254D" w:rsidRDefault="00855DF3" w:rsidP="00FA635D">
            <w:pPr>
              <w:tabs>
                <w:tab w:val="left" w:pos="284"/>
              </w:tabs>
              <w:rPr>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628FF97A" w14:textId="77777777" w:rsidR="00855DF3" w:rsidRPr="009F254D" w:rsidRDefault="00855DF3" w:rsidP="00FA635D">
            <w:pPr>
              <w:tabs>
                <w:tab w:val="left" w:pos="284"/>
              </w:tabs>
              <w:rPr>
                <w:sz w:val="22"/>
                <w:szCs w:val="22"/>
                <w:lang w:val="sr-Latn-ME"/>
              </w:rPr>
            </w:pPr>
          </w:p>
        </w:tc>
      </w:tr>
      <w:tr w:rsidR="009B72D9" w:rsidRPr="009F254D" w14:paraId="1395EBE8" w14:textId="77777777" w:rsidTr="00E43FA0">
        <w:tc>
          <w:tcPr>
            <w:tcW w:w="0" w:type="auto"/>
            <w:tcBorders>
              <w:top w:val="single" w:sz="4" w:space="0" w:color="000000"/>
              <w:left w:val="single" w:sz="4" w:space="0" w:color="000000"/>
              <w:bottom w:val="single" w:sz="4" w:space="0" w:color="000000"/>
              <w:right w:val="single" w:sz="4" w:space="0" w:color="000000"/>
            </w:tcBorders>
          </w:tcPr>
          <w:p w14:paraId="0AC660A1" w14:textId="2743E01B" w:rsidR="00855DF3" w:rsidRPr="009F254D" w:rsidRDefault="00855DF3" w:rsidP="00FA635D">
            <w:pPr>
              <w:tabs>
                <w:tab w:val="left" w:pos="284"/>
              </w:tabs>
              <w:rPr>
                <w:sz w:val="22"/>
                <w:szCs w:val="22"/>
                <w:lang w:val="sr-Latn-ME"/>
              </w:rPr>
            </w:pPr>
            <w:r w:rsidRPr="009F254D">
              <w:rPr>
                <w:i/>
                <w:iCs/>
                <w:sz w:val="22"/>
                <w:szCs w:val="22"/>
                <w:lang w:val="sr-Latn-ME"/>
              </w:rPr>
              <w:t>Poremećaji</w:t>
            </w:r>
            <w:r w:rsidR="000E5F84" w:rsidRPr="009F254D">
              <w:rPr>
                <w:i/>
                <w:iCs/>
                <w:sz w:val="22"/>
                <w:szCs w:val="22"/>
                <w:lang w:val="sr-Latn-ME"/>
              </w:rPr>
              <w:t xml:space="preserve"> </w:t>
            </w:r>
            <w:r w:rsidRPr="009F254D">
              <w:rPr>
                <w:i/>
                <w:iCs/>
                <w:sz w:val="22"/>
                <w:szCs w:val="22"/>
                <w:lang w:val="sr-Latn-ME"/>
              </w:rPr>
              <w:t xml:space="preserve"> bubrega i urinarnog sistema</w:t>
            </w:r>
          </w:p>
        </w:tc>
        <w:tc>
          <w:tcPr>
            <w:tcW w:w="0" w:type="auto"/>
            <w:tcBorders>
              <w:top w:val="single" w:sz="4" w:space="0" w:color="000000"/>
              <w:left w:val="single" w:sz="4" w:space="0" w:color="000000"/>
              <w:bottom w:val="single" w:sz="4" w:space="0" w:color="000000"/>
              <w:right w:val="single" w:sz="4" w:space="0" w:color="000000"/>
            </w:tcBorders>
          </w:tcPr>
          <w:p w14:paraId="7775B0BD" w14:textId="77777777" w:rsidR="00855DF3" w:rsidRPr="009F254D" w:rsidRDefault="00855DF3" w:rsidP="00FA635D">
            <w:pPr>
              <w:tabs>
                <w:tab w:val="left" w:pos="284"/>
              </w:tabs>
              <w:rPr>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790A41F6" w14:textId="77777777" w:rsidR="00855DF3" w:rsidRPr="009F254D" w:rsidRDefault="00855DF3" w:rsidP="00FA635D">
            <w:pPr>
              <w:tabs>
                <w:tab w:val="left" w:pos="284"/>
              </w:tabs>
              <w:rPr>
                <w:sz w:val="22"/>
                <w:szCs w:val="22"/>
                <w:vertAlign w:val="superscript"/>
                <w:lang w:val="sr-Latn-ME"/>
              </w:rPr>
            </w:pPr>
            <w:r w:rsidRPr="009F254D">
              <w:rPr>
                <w:sz w:val="22"/>
                <w:szCs w:val="22"/>
                <w:lang w:val="sr-Latn-ME"/>
              </w:rPr>
              <w:t>Dizurija</w:t>
            </w:r>
          </w:p>
          <w:p w14:paraId="19916B96" w14:textId="77777777" w:rsidR="00855DF3" w:rsidRPr="009F254D" w:rsidRDefault="00855DF3" w:rsidP="00FA635D">
            <w:pPr>
              <w:tabs>
                <w:tab w:val="left" w:pos="284"/>
              </w:tabs>
              <w:rPr>
                <w:sz w:val="22"/>
                <w:szCs w:val="22"/>
                <w:lang w:val="sr-Latn-ME"/>
              </w:rPr>
            </w:pPr>
            <w:r w:rsidRPr="009F254D">
              <w:rPr>
                <w:sz w:val="22"/>
                <w:szCs w:val="22"/>
                <w:lang w:val="sr-Latn-ME"/>
              </w:rPr>
              <w:t>Poliurija</w:t>
            </w:r>
            <w:r w:rsidRPr="009F254D">
              <w:rPr>
                <w:sz w:val="22"/>
                <w:szCs w:val="22"/>
                <w:vertAlign w:val="superscript"/>
                <w:lang w:val="sr-Latn-ME"/>
              </w:rPr>
              <w:t>*,f</w:t>
            </w:r>
          </w:p>
        </w:tc>
        <w:tc>
          <w:tcPr>
            <w:tcW w:w="0" w:type="auto"/>
            <w:tcBorders>
              <w:top w:val="single" w:sz="4" w:space="0" w:color="000000"/>
              <w:left w:val="single" w:sz="4" w:space="0" w:color="000000"/>
              <w:bottom w:val="single" w:sz="4" w:space="0" w:color="000000"/>
              <w:right w:val="single" w:sz="4" w:space="0" w:color="000000"/>
            </w:tcBorders>
          </w:tcPr>
          <w:p w14:paraId="7AD91EA6" w14:textId="77777777" w:rsidR="00855DF3" w:rsidRPr="009F254D" w:rsidRDefault="00855DF3" w:rsidP="00FA635D">
            <w:pPr>
              <w:tabs>
                <w:tab w:val="left" w:pos="284"/>
              </w:tabs>
              <w:rPr>
                <w:b/>
                <w:bCs/>
                <w:sz w:val="22"/>
                <w:szCs w:val="22"/>
                <w:vertAlign w:val="superscript"/>
                <w:lang w:val="sr-Latn-ME"/>
              </w:rPr>
            </w:pPr>
            <w:r w:rsidRPr="009F254D">
              <w:rPr>
                <w:sz w:val="22"/>
                <w:szCs w:val="22"/>
                <w:lang w:val="sr-Latn-ME"/>
              </w:rPr>
              <w:t>Nokturija</w:t>
            </w:r>
            <w:r w:rsidRPr="009F254D">
              <w:rPr>
                <w:b/>
                <w:bCs/>
                <w:sz w:val="22"/>
                <w:szCs w:val="22"/>
                <w:vertAlign w:val="superscript"/>
                <w:lang w:val="sr-Latn-ME"/>
              </w:rPr>
              <w:t>**</w:t>
            </w:r>
          </w:p>
          <w:p w14:paraId="7679B93E" w14:textId="77777777" w:rsidR="00855DF3" w:rsidRPr="009F254D" w:rsidRDefault="00855DF3" w:rsidP="00FA635D">
            <w:pPr>
              <w:tabs>
                <w:tab w:val="left" w:pos="284"/>
              </w:tabs>
              <w:rPr>
                <w:strike/>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36C471F1" w14:textId="77777777" w:rsidR="00855DF3" w:rsidRPr="009F254D" w:rsidRDefault="00855DF3" w:rsidP="00FA635D">
            <w:pPr>
              <w:tabs>
                <w:tab w:val="left" w:pos="284"/>
              </w:tabs>
              <w:rPr>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2953EC1D" w14:textId="77777777" w:rsidR="00855DF3" w:rsidRPr="009F254D" w:rsidRDefault="00855DF3" w:rsidP="00FA635D">
            <w:pPr>
              <w:tabs>
                <w:tab w:val="left" w:pos="284"/>
              </w:tabs>
              <w:rPr>
                <w:sz w:val="22"/>
                <w:szCs w:val="22"/>
                <w:lang w:val="sr-Latn-ME"/>
              </w:rPr>
            </w:pPr>
          </w:p>
        </w:tc>
      </w:tr>
      <w:tr w:rsidR="009B72D9" w:rsidRPr="009F254D" w14:paraId="1BDD0F79" w14:textId="77777777" w:rsidTr="00E43FA0">
        <w:tc>
          <w:tcPr>
            <w:tcW w:w="0" w:type="auto"/>
            <w:tcBorders>
              <w:top w:val="single" w:sz="4" w:space="0" w:color="000000"/>
              <w:left w:val="single" w:sz="4" w:space="0" w:color="000000"/>
              <w:bottom w:val="single" w:sz="4" w:space="0" w:color="000000"/>
              <w:right w:val="single" w:sz="4" w:space="0" w:color="000000"/>
            </w:tcBorders>
          </w:tcPr>
          <w:p w14:paraId="7987CED0" w14:textId="0139F6C4" w:rsidR="00855DF3" w:rsidRPr="009F254D" w:rsidRDefault="00855DF3" w:rsidP="00FA635D">
            <w:pPr>
              <w:tabs>
                <w:tab w:val="left" w:pos="284"/>
              </w:tabs>
              <w:jc w:val="both"/>
              <w:rPr>
                <w:i/>
                <w:sz w:val="22"/>
                <w:szCs w:val="22"/>
                <w:lang w:val="sr-Latn-ME"/>
              </w:rPr>
            </w:pPr>
            <w:r w:rsidRPr="009F254D">
              <w:rPr>
                <w:i/>
                <w:iCs/>
                <w:sz w:val="22"/>
                <w:szCs w:val="22"/>
                <w:lang w:val="sr-Latn-ME"/>
              </w:rPr>
              <w:t xml:space="preserve">Poremećaji reproduktivnog sistema i </w:t>
            </w:r>
            <w:r w:rsidR="009B72D9" w:rsidRPr="009F254D">
              <w:rPr>
                <w:i/>
                <w:iCs/>
                <w:sz w:val="22"/>
                <w:szCs w:val="22"/>
                <w:lang w:val="sr-Latn-ME"/>
              </w:rPr>
              <w:t>dojki</w:t>
            </w:r>
          </w:p>
        </w:tc>
        <w:tc>
          <w:tcPr>
            <w:tcW w:w="0" w:type="auto"/>
            <w:tcBorders>
              <w:top w:val="single" w:sz="4" w:space="0" w:color="000000"/>
              <w:left w:val="single" w:sz="4" w:space="0" w:color="000000"/>
              <w:bottom w:val="single" w:sz="4" w:space="0" w:color="000000"/>
              <w:right w:val="single" w:sz="4" w:space="0" w:color="000000"/>
            </w:tcBorders>
          </w:tcPr>
          <w:p w14:paraId="6A15EFDB" w14:textId="77777777" w:rsidR="00855DF3" w:rsidRPr="009F254D" w:rsidRDefault="00855DF3" w:rsidP="00FA635D">
            <w:pPr>
              <w:keepNext/>
              <w:keepLines/>
              <w:tabs>
                <w:tab w:val="left" w:pos="0"/>
                <w:tab w:val="left" w:pos="284"/>
              </w:tabs>
              <w:jc w:val="both"/>
              <w:rPr>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669F8CC8" w14:textId="77777777" w:rsidR="00855DF3" w:rsidRPr="009F254D" w:rsidRDefault="00855DF3" w:rsidP="00FA635D">
            <w:pPr>
              <w:keepNext/>
              <w:keepLines/>
              <w:tabs>
                <w:tab w:val="left" w:pos="0"/>
                <w:tab w:val="left" w:pos="284"/>
              </w:tabs>
              <w:jc w:val="both"/>
              <w:rPr>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11E8C7E6" w14:textId="77777777" w:rsidR="00855DF3" w:rsidRPr="009F254D" w:rsidRDefault="00855DF3" w:rsidP="00FA635D">
            <w:pPr>
              <w:keepNext/>
              <w:keepLines/>
              <w:tabs>
                <w:tab w:val="left" w:pos="0"/>
                <w:tab w:val="left" w:pos="284"/>
              </w:tabs>
              <w:jc w:val="both"/>
              <w:rPr>
                <w:sz w:val="22"/>
                <w:szCs w:val="22"/>
                <w:lang w:val="sr-Latn-ME"/>
              </w:rPr>
            </w:pPr>
            <w:r w:rsidRPr="009F254D">
              <w:rPr>
                <w:sz w:val="22"/>
                <w:szCs w:val="22"/>
                <w:lang w:val="sr-Latn-ME"/>
              </w:rPr>
              <w:t>Vulvovaginalni pruritus</w:t>
            </w:r>
            <w:r w:rsidRPr="009F254D">
              <w:rPr>
                <w:sz w:val="22"/>
                <w:szCs w:val="22"/>
                <w:vertAlign w:val="superscript"/>
                <w:lang w:val="sr-Latn-ME"/>
              </w:rPr>
              <w:t>**</w:t>
            </w:r>
          </w:p>
          <w:p w14:paraId="2A4983F8" w14:textId="77777777" w:rsidR="00855DF3" w:rsidRPr="009F254D" w:rsidRDefault="00855DF3" w:rsidP="00FA635D">
            <w:pPr>
              <w:tabs>
                <w:tab w:val="left" w:pos="0"/>
                <w:tab w:val="left" w:pos="284"/>
              </w:tabs>
              <w:jc w:val="both"/>
              <w:rPr>
                <w:sz w:val="22"/>
                <w:szCs w:val="22"/>
                <w:lang w:val="sr-Latn-ME"/>
              </w:rPr>
            </w:pPr>
            <w:r w:rsidRPr="009F254D">
              <w:rPr>
                <w:sz w:val="22"/>
                <w:szCs w:val="22"/>
                <w:lang w:val="sr-Latn-ME"/>
              </w:rPr>
              <w:t>Genitalni pruritus**</w:t>
            </w:r>
          </w:p>
        </w:tc>
        <w:tc>
          <w:tcPr>
            <w:tcW w:w="0" w:type="auto"/>
            <w:tcBorders>
              <w:top w:val="single" w:sz="4" w:space="0" w:color="000000"/>
              <w:left w:val="single" w:sz="4" w:space="0" w:color="000000"/>
              <w:bottom w:val="single" w:sz="4" w:space="0" w:color="000000"/>
              <w:right w:val="single" w:sz="4" w:space="0" w:color="000000"/>
            </w:tcBorders>
          </w:tcPr>
          <w:p w14:paraId="61588A86" w14:textId="77777777" w:rsidR="00855DF3" w:rsidRPr="009F254D" w:rsidRDefault="00855DF3" w:rsidP="00FA635D">
            <w:pPr>
              <w:keepNext/>
              <w:keepLines/>
              <w:tabs>
                <w:tab w:val="left" w:pos="0"/>
                <w:tab w:val="left" w:pos="284"/>
              </w:tabs>
              <w:jc w:val="both"/>
              <w:rPr>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1CC710D2" w14:textId="77777777" w:rsidR="00855DF3" w:rsidRPr="009F254D" w:rsidRDefault="00855DF3" w:rsidP="00FA635D">
            <w:pPr>
              <w:keepNext/>
              <w:keepLines/>
              <w:tabs>
                <w:tab w:val="left" w:pos="0"/>
                <w:tab w:val="left" w:pos="284"/>
              </w:tabs>
              <w:jc w:val="both"/>
              <w:rPr>
                <w:sz w:val="22"/>
                <w:szCs w:val="22"/>
                <w:lang w:val="sr-Latn-ME"/>
              </w:rPr>
            </w:pPr>
          </w:p>
        </w:tc>
      </w:tr>
      <w:tr w:rsidR="00A55AE4" w:rsidRPr="00E43FA0" w14:paraId="0A0E4B4C" w14:textId="77777777" w:rsidTr="00E43FA0">
        <w:tc>
          <w:tcPr>
            <w:tcW w:w="0" w:type="auto"/>
            <w:tcBorders>
              <w:top w:val="single" w:sz="4" w:space="0" w:color="000000"/>
              <w:left w:val="single" w:sz="4" w:space="0" w:color="000000"/>
              <w:bottom w:val="single" w:sz="4" w:space="0" w:color="000000"/>
              <w:right w:val="single" w:sz="4" w:space="0" w:color="000000"/>
            </w:tcBorders>
          </w:tcPr>
          <w:p w14:paraId="043C841B" w14:textId="2A263A0F" w:rsidR="00A55AE4" w:rsidRPr="00E43FA0" w:rsidRDefault="00A55AE4" w:rsidP="00E43FA0">
            <w:pPr>
              <w:tabs>
                <w:tab w:val="left" w:pos="284"/>
              </w:tabs>
              <w:jc w:val="both"/>
              <w:rPr>
                <w:i/>
                <w:iCs/>
                <w:sz w:val="20"/>
                <w:szCs w:val="22"/>
                <w:lang w:val="sr-Latn-ME"/>
              </w:rPr>
            </w:pPr>
            <w:r w:rsidRPr="00E43FA0">
              <w:rPr>
                <w:i/>
                <w:iCs/>
                <w:sz w:val="20"/>
                <w:szCs w:val="22"/>
                <w:lang w:val="sr-Latn-ME"/>
              </w:rPr>
              <w:t>Ispitivanja</w:t>
            </w:r>
          </w:p>
        </w:tc>
        <w:tc>
          <w:tcPr>
            <w:tcW w:w="0" w:type="auto"/>
            <w:tcBorders>
              <w:top w:val="single" w:sz="4" w:space="0" w:color="000000"/>
              <w:left w:val="single" w:sz="4" w:space="0" w:color="000000"/>
              <w:bottom w:val="single" w:sz="4" w:space="0" w:color="000000"/>
              <w:right w:val="single" w:sz="4" w:space="0" w:color="000000"/>
            </w:tcBorders>
          </w:tcPr>
          <w:p w14:paraId="20A4BB87" w14:textId="77777777" w:rsidR="00A55AE4" w:rsidRPr="00E43FA0" w:rsidRDefault="00A55AE4" w:rsidP="00E43FA0">
            <w:pPr>
              <w:keepNext/>
              <w:keepLines/>
              <w:tabs>
                <w:tab w:val="left" w:pos="0"/>
                <w:tab w:val="left" w:pos="284"/>
              </w:tabs>
              <w:jc w:val="both"/>
              <w:rPr>
                <w:sz w:val="20"/>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178E2D8A" w14:textId="77777777" w:rsidR="00A55AE4" w:rsidRPr="00E43FA0" w:rsidRDefault="00A55AE4" w:rsidP="00E43FA0">
            <w:pPr>
              <w:keepNext/>
              <w:keepLines/>
              <w:tabs>
                <w:tab w:val="left" w:pos="0"/>
                <w:tab w:val="left" w:pos="284"/>
              </w:tabs>
              <w:jc w:val="both"/>
              <w:rPr>
                <w:bCs/>
                <w:noProof/>
                <w:sz w:val="20"/>
                <w:szCs w:val="22"/>
                <w:vertAlign w:val="superscript"/>
                <w:lang w:val="sr-Latn-ME"/>
              </w:rPr>
            </w:pPr>
            <w:r w:rsidRPr="00E43FA0">
              <w:rPr>
                <w:noProof/>
                <w:sz w:val="20"/>
                <w:szCs w:val="22"/>
                <w:lang w:val="sr-Latn-ME"/>
              </w:rPr>
              <w:t>Povišen hematokrit</w:t>
            </w:r>
            <w:r w:rsidRPr="00E43FA0">
              <w:rPr>
                <w:noProof/>
                <w:sz w:val="20"/>
                <w:szCs w:val="22"/>
                <w:vertAlign w:val="superscript"/>
                <w:lang w:val="sr-Latn-ME"/>
              </w:rPr>
              <w:t>g</w:t>
            </w:r>
          </w:p>
          <w:p w14:paraId="4475C3AD" w14:textId="77777777" w:rsidR="00A55AE4" w:rsidRPr="00E43FA0" w:rsidRDefault="00A55AE4" w:rsidP="00E43FA0">
            <w:pPr>
              <w:keepNext/>
              <w:keepLines/>
              <w:tabs>
                <w:tab w:val="left" w:pos="0"/>
                <w:tab w:val="left" w:pos="284"/>
              </w:tabs>
              <w:jc w:val="both"/>
              <w:rPr>
                <w:bCs/>
                <w:noProof/>
                <w:sz w:val="20"/>
                <w:szCs w:val="22"/>
                <w:lang w:val="sr-Latn-ME"/>
              </w:rPr>
            </w:pPr>
            <w:r w:rsidRPr="00E43FA0">
              <w:rPr>
                <w:noProof/>
                <w:sz w:val="20"/>
                <w:szCs w:val="22"/>
                <w:lang w:val="sr-Latn-ME"/>
              </w:rPr>
              <w:t>Smanjen renalni klirens kreatinina tokom inicijalne terapije</w:t>
            </w:r>
            <w:r w:rsidRPr="00E43FA0">
              <w:rPr>
                <w:noProof/>
                <w:sz w:val="20"/>
                <w:szCs w:val="22"/>
                <w:vertAlign w:val="superscript"/>
                <w:lang w:val="sr-Latn-ME"/>
              </w:rPr>
              <w:t>b</w:t>
            </w:r>
          </w:p>
          <w:p w14:paraId="6ABAFAF7" w14:textId="74E094B1" w:rsidR="00A55AE4" w:rsidRPr="00E43FA0" w:rsidRDefault="00A55AE4" w:rsidP="00E43FA0">
            <w:pPr>
              <w:keepNext/>
              <w:keepLines/>
              <w:tabs>
                <w:tab w:val="left" w:pos="0"/>
                <w:tab w:val="left" w:pos="284"/>
              </w:tabs>
              <w:jc w:val="both"/>
              <w:rPr>
                <w:sz w:val="20"/>
                <w:szCs w:val="22"/>
                <w:lang w:val="sr-Latn-ME"/>
              </w:rPr>
            </w:pPr>
            <w:r w:rsidRPr="00E43FA0">
              <w:rPr>
                <w:sz w:val="20"/>
                <w:szCs w:val="22"/>
                <w:lang w:val="sr-Latn-ME"/>
              </w:rPr>
              <w:t>Dislipidemija</w:t>
            </w:r>
            <w:r w:rsidRPr="00E43FA0">
              <w:rPr>
                <w:sz w:val="20"/>
                <w:szCs w:val="22"/>
                <w:vertAlign w:val="superscript"/>
                <w:lang w:val="sr-Latn-ME"/>
              </w:rPr>
              <w:t>h</w:t>
            </w:r>
          </w:p>
        </w:tc>
        <w:tc>
          <w:tcPr>
            <w:tcW w:w="0" w:type="auto"/>
            <w:tcBorders>
              <w:top w:val="single" w:sz="4" w:space="0" w:color="000000"/>
              <w:left w:val="single" w:sz="4" w:space="0" w:color="000000"/>
              <w:bottom w:val="single" w:sz="4" w:space="0" w:color="000000"/>
              <w:right w:val="single" w:sz="4" w:space="0" w:color="000000"/>
            </w:tcBorders>
          </w:tcPr>
          <w:p w14:paraId="66B54A20" w14:textId="77777777" w:rsidR="00A55AE4" w:rsidRPr="00E43FA0" w:rsidRDefault="00A55AE4" w:rsidP="00E43FA0">
            <w:pPr>
              <w:keepNext/>
              <w:keepLines/>
              <w:tabs>
                <w:tab w:val="left" w:pos="0"/>
                <w:tab w:val="left" w:pos="284"/>
              </w:tabs>
              <w:jc w:val="both"/>
              <w:rPr>
                <w:sz w:val="20"/>
                <w:szCs w:val="22"/>
                <w:lang w:val="sr-Latn-ME"/>
              </w:rPr>
            </w:pPr>
            <w:r w:rsidRPr="00E43FA0">
              <w:rPr>
                <w:sz w:val="20"/>
                <w:szCs w:val="22"/>
                <w:lang w:val="sr-Latn-ME"/>
              </w:rPr>
              <w:t>Povišen nivo kreatinina u krvi tokom inicijalne terapije</w:t>
            </w:r>
            <w:r w:rsidRPr="00E43FA0">
              <w:rPr>
                <w:b/>
                <w:bCs/>
                <w:sz w:val="20"/>
                <w:szCs w:val="22"/>
                <w:vertAlign w:val="superscript"/>
                <w:lang w:val="sr-Latn-ME"/>
              </w:rPr>
              <w:t>**,b</w:t>
            </w:r>
          </w:p>
          <w:p w14:paraId="53E9A955" w14:textId="77777777" w:rsidR="00A55AE4" w:rsidRPr="00E43FA0" w:rsidRDefault="00A55AE4" w:rsidP="00E43FA0">
            <w:pPr>
              <w:keepNext/>
              <w:keepLines/>
              <w:tabs>
                <w:tab w:val="left" w:pos="0"/>
                <w:tab w:val="left" w:pos="284"/>
              </w:tabs>
              <w:jc w:val="both"/>
              <w:rPr>
                <w:b/>
                <w:bCs/>
                <w:sz w:val="20"/>
                <w:szCs w:val="22"/>
                <w:vertAlign w:val="superscript"/>
                <w:lang w:val="sr-Latn-ME"/>
              </w:rPr>
            </w:pPr>
            <w:r w:rsidRPr="00E43FA0">
              <w:rPr>
                <w:sz w:val="20"/>
                <w:szCs w:val="22"/>
                <w:lang w:val="sr-Latn-ME"/>
              </w:rPr>
              <w:t>Povišen nivo uree u krvi</w:t>
            </w:r>
            <w:r w:rsidRPr="00E43FA0">
              <w:rPr>
                <w:b/>
                <w:bCs/>
                <w:sz w:val="20"/>
                <w:szCs w:val="22"/>
                <w:vertAlign w:val="superscript"/>
                <w:lang w:val="sr-Latn-ME"/>
              </w:rPr>
              <w:t>**</w:t>
            </w:r>
          </w:p>
          <w:p w14:paraId="223AB62A" w14:textId="4611F772" w:rsidR="00A55AE4" w:rsidRPr="00E43FA0" w:rsidRDefault="00A55AE4" w:rsidP="00E43FA0">
            <w:pPr>
              <w:keepNext/>
              <w:keepLines/>
              <w:tabs>
                <w:tab w:val="left" w:pos="0"/>
                <w:tab w:val="left" w:pos="284"/>
              </w:tabs>
              <w:jc w:val="both"/>
              <w:rPr>
                <w:sz w:val="20"/>
                <w:szCs w:val="22"/>
                <w:lang w:val="sr-Latn-ME"/>
              </w:rPr>
            </w:pPr>
            <w:r w:rsidRPr="00E43FA0">
              <w:rPr>
                <w:sz w:val="20"/>
                <w:szCs w:val="22"/>
                <w:lang w:val="sr-Latn-ME"/>
              </w:rPr>
              <w:t>Smanjenje tjelesne mase</w:t>
            </w:r>
            <w:r w:rsidRPr="00E43FA0">
              <w:rPr>
                <w:sz w:val="20"/>
                <w:szCs w:val="22"/>
                <w:vertAlign w:val="superscript"/>
                <w:lang w:val="sr-Latn-ME"/>
              </w:rPr>
              <w:t>**</w:t>
            </w:r>
          </w:p>
        </w:tc>
        <w:tc>
          <w:tcPr>
            <w:tcW w:w="0" w:type="auto"/>
            <w:tcBorders>
              <w:top w:val="single" w:sz="4" w:space="0" w:color="000000"/>
              <w:left w:val="single" w:sz="4" w:space="0" w:color="000000"/>
              <w:bottom w:val="single" w:sz="4" w:space="0" w:color="000000"/>
              <w:right w:val="single" w:sz="4" w:space="0" w:color="000000"/>
            </w:tcBorders>
          </w:tcPr>
          <w:p w14:paraId="416B3A55" w14:textId="77777777" w:rsidR="00A55AE4" w:rsidRPr="00E43FA0" w:rsidRDefault="00A55AE4" w:rsidP="00E43FA0">
            <w:pPr>
              <w:keepNext/>
              <w:keepLines/>
              <w:tabs>
                <w:tab w:val="left" w:pos="0"/>
                <w:tab w:val="left" w:pos="284"/>
              </w:tabs>
              <w:jc w:val="both"/>
              <w:rPr>
                <w:sz w:val="20"/>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49A996E2" w14:textId="77777777" w:rsidR="00A55AE4" w:rsidRPr="00E43FA0" w:rsidRDefault="00A55AE4" w:rsidP="00E43FA0">
            <w:pPr>
              <w:keepNext/>
              <w:keepLines/>
              <w:tabs>
                <w:tab w:val="left" w:pos="0"/>
                <w:tab w:val="left" w:pos="284"/>
              </w:tabs>
              <w:jc w:val="both"/>
              <w:rPr>
                <w:sz w:val="20"/>
                <w:szCs w:val="22"/>
                <w:lang w:val="sr-Latn-ME"/>
              </w:rPr>
            </w:pPr>
          </w:p>
        </w:tc>
      </w:tr>
    </w:tbl>
    <w:p w14:paraId="463F86DB" w14:textId="1E98E43E" w:rsidR="003B2D97" w:rsidRPr="00E43FA0" w:rsidRDefault="003B2D97" w:rsidP="00E43FA0">
      <w:pPr>
        <w:tabs>
          <w:tab w:val="left" w:pos="284"/>
        </w:tabs>
        <w:jc w:val="both"/>
        <w:rPr>
          <w:noProof/>
          <w:sz w:val="20"/>
          <w:szCs w:val="22"/>
          <w:lang w:val="sr-Latn-ME"/>
        </w:rPr>
      </w:pPr>
      <w:r w:rsidRPr="00B84E31">
        <w:rPr>
          <w:noProof/>
          <w:sz w:val="20"/>
          <w:szCs w:val="20"/>
          <w:vertAlign w:val="superscript"/>
          <w:lang w:val="sr-Latn-ME"/>
        </w:rPr>
        <w:t>a</w:t>
      </w:r>
      <w:r w:rsidRPr="00B84E31">
        <w:rPr>
          <w:noProof/>
          <w:sz w:val="20"/>
          <w:szCs w:val="20"/>
          <w:lang w:val="sr-Latn-ME"/>
        </w:rPr>
        <w:t xml:space="preserve">Tablica prikazuje </w:t>
      </w:r>
      <w:r w:rsidR="007F7C9D" w:rsidRPr="00B84E31">
        <w:rPr>
          <w:noProof/>
          <w:sz w:val="20"/>
          <w:szCs w:val="20"/>
          <w:lang w:val="sr-Latn-ME"/>
        </w:rPr>
        <w:t xml:space="preserve">neželjena dejstva utvrđena </w:t>
      </w:r>
      <w:r w:rsidRPr="00B84E31">
        <w:rPr>
          <w:noProof/>
          <w:sz w:val="20"/>
          <w:szCs w:val="20"/>
          <w:lang w:val="sr-Latn-ME"/>
        </w:rPr>
        <w:t>na osnovu podataka do najviše 24 nedjelje liječenja (kratkoročni podaci)</w:t>
      </w:r>
      <w:r w:rsidR="00320431">
        <w:rPr>
          <w:noProof/>
          <w:sz w:val="20"/>
          <w:szCs w:val="20"/>
          <w:lang w:val="sr-Latn-ME"/>
        </w:rPr>
        <w:t>,</w:t>
      </w:r>
      <w:r w:rsidRPr="00B84E31">
        <w:rPr>
          <w:noProof/>
          <w:sz w:val="20"/>
          <w:szCs w:val="20"/>
          <w:lang w:val="sr-Latn-ME"/>
        </w:rPr>
        <w:t xml:space="preserve"> nezavisno od ljekova za hitnu regulaciju glikemije, osim neželjenih </w:t>
      </w:r>
      <w:r w:rsidR="007F7C9D" w:rsidRPr="00B84E31">
        <w:rPr>
          <w:noProof/>
          <w:sz w:val="20"/>
          <w:szCs w:val="20"/>
          <w:lang w:val="sr-Latn-ME"/>
        </w:rPr>
        <w:t xml:space="preserve">dejstava </w:t>
      </w:r>
      <w:r w:rsidRPr="00B84E31">
        <w:rPr>
          <w:noProof/>
          <w:sz w:val="20"/>
          <w:szCs w:val="20"/>
          <w:lang w:val="sr-Latn-ME"/>
        </w:rPr>
        <w:t>označenih znakom §</w:t>
      </w:r>
      <w:r w:rsidR="00CD5627" w:rsidRPr="00B84E31">
        <w:rPr>
          <w:noProof/>
          <w:sz w:val="20"/>
          <w:szCs w:val="20"/>
          <w:lang w:val="sr-Latn-ME"/>
        </w:rPr>
        <w:t xml:space="preserve"> (vidjeti niže).</w:t>
      </w:r>
    </w:p>
    <w:p w14:paraId="0E254851" w14:textId="77777777" w:rsidR="003B2D97" w:rsidRPr="00E43FA0" w:rsidRDefault="003B2D97" w:rsidP="00E43FA0">
      <w:pPr>
        <w:tabs>
          <w:tab w:val="left" w:pos="284"/>
        </w:tabs>
        <w:ind w:hanging="57"/>
        <w:jc w:val="both"/>
        <w:rPr>
          <w:noProof/>
          <w:sz w:val="20"/>
          <w:szCs w:val="22"/>
          <w:lang w:val="sr-Latn-ME"/>
        </w:rPr>
      </w:pPr>
      <w:r w:rsidRPr="00E43FA0">
        <w:rPr>
          <w:noProof/>
          <w:sz w:val="20"/>
          <w:szCs w:val="22"/>
          <w:vertAlign w:val="superscript"/>
          <w:lang w:val="sr-Latn-ME"/>
        </w:rPr>
        <w:t>b</w:t>
      </w:r>
      <w:r w:rsidRPr="00E43FA0">
        <w:rPr>
          <w:noProof/>
          <w:sz w:val="20"/>
          <w:szCs w:val="22"/>
          <w:lang w:val="sr-Latn-ME"/>
        </w:rPr>
        <w:t>Pogledajte odgovarajući pododeljak u nastavku radi dodatnih informacija.</w:t>
      </w:r>
    </w:p>
    <w:p w14:paraId="47540D36" w14:textId="07C1B329" w:rsidR="003B2D97" w:rsidRPr="00E43FA0" w:rsidRDefault="003B2D97" w:rsidP="00E43FA0">
      <w:pPr>
        <w:tabs>
          <w:tab w:val="left" w:pos="284"/>
        </w:tabs>
        <w:ind w:hanging="57"/>
        <w:jc w:val="both"/>
        <w:rPr>
          <w:noProof/>
          <w:sz w:val="20"/>
          <w:szCs w:val="22"/>
          <w:lang w:val="sr-Latn-ME"/>
        </w:rPr>
      </w:pPr>
      <w:r w:rsidRPr="00E43FA0">
        <w:rPr>
          <w:noProof/>
          <w:sz w:val="20"/>
          <w:szCs w:val="22"/>
          <w:vertAlign w:val="superscript"/>
          <w:lang w:val="sr-Latn-ME"/>
        </w:rPr>
        <w:t>c</w:t>
      </w:r>
      <w:r w:rsidRPr="00E43FA0">
        <w:rPr>
          <w:noProof/>
          <w:sz w:val="20"/>
          <w:szCs w:val="22"/>
          <w:lang w:val="sr-Latn-ME"/>
        </w:rPr>
        <w:t xml:space="preserve">Vulvovaginitis, balanitis i </w:t>
      </w:r>
      <w:r w:rsidR="00593D7C" w:rsidRPr="00E43FA0">
        <w:rPr>
          <w:noProof/>
          <w:sz w:val="20"/>
          <w:szCs w:val="22"/>
          <w:lang w:val="sr-Latn-ME"/>
        </w:rPr>
        <w:t>srodne</w:t>
      </w:r>
      <w:r w:rsidRPr="00E43FA0">
        <w:rPr>
          <w:noProof/>
          <w:sz w:val="20"/>
          <w:szCs w:val="22"/>
          <w:lang w:val="sr-Latn-ME"/>
        </w:rPr>
        <w:t xml:space="preserve"> genitalne infekcije odnose se na, na primjer, unaprijed definisane </w:t>
      </w:r>
      <w:r w:rsidR="004063BF" w:rsidRPr="00E43FA0">
        <w:rPr>
          <w:noProof/>
          <w:sz w:val="20"/>
          <w:szCs w:val="22"/>
          <w:lang w:val="sr-Latn-ME"/>
        </w:rPr>
        <w:t>preporučene</w:t>
      </w:r>
      <w:r w:rsidRPr="00E43FA0">
        <w:rPr>
          <w:noProof/>
          <w:sz w:val="20"/>
          <w:szCs w:val="22"/>
          <w:lang w:val="sr-Latn-ME"/>
        </w:rPr>
        <w:t xml:space="preserve"> termine: vulvovaginalna mikotična infekcija, vaginalna infekcija, balanitis, genitalna gljivična infekcija, </w:t>
      </w:r>
      <w:r w:rsidRPr="00E43FA0">
        <w:rPr>
          <w:noProof/>
          <w:sz w:val="20"/>
          <w:szCs w:val="22"/>
          <w:lang w:val="sr-Latn-ME"/>
        </w:rPr>
        <w:lastRenderedPageBreak/>
        <w:t>vulvovaginalna kandidijaza, vulvovaginitis, balanitis kandida, genitalna kandidijaza, genitalna infekcija, muška genitalna infekcija, infekcija penisa, vulvitis, bakterijski vaginitis, apsces vulve.</w:t>
      </w:r>
    </w:p>
    <w:p w14:paraId="7E8BBCE3" w14:textId="2D02E75A" w:rsidR="003B2D97" w:rsidRPr="00E43FA0" w:rsidRDefault="003B2D97" w:rsidP="00E43FA0">
      <w:pPr>
        <w:tabs>
          <w:tab w:val="left" w:pos="284"/>
        </w:tabs>
        <w:ind w:hanging="57"/>
        <w:jc w:val="both"/>
        <w:rPr>
          <w:noProof/>
          <w:sz w:val="20"/>
          <w:szCs w:val="22"/>
          <w:lang w:val="sr-Latn-ME"/>
        </w:rPr>
      </w:pPr>
      <w:r w:rsidRPr="00E43FA0">
        <w:rPr>
          <w:noProof/>
          <w:sz w:val="20"/>
          <w:szCs w:val="22"/>
          <w:vertAlign w:val="superscript"/>
          <w:lang w:val="sr-Latn-ME"/>
        </w:rPr>
        <w:t>d</w:t>
      </w:r>
      <w:r w:rsidRPr="00E43FA0">
        <w:rPr>
          <w:noProof/>
          <w:sz w:val="20"/>
          <w:szCs w:val="22"/>
          <w:lang w:val="sr-Latn-ME"/>
        </w:rPr>
        <w:t xml:space="preserve">Infekcija urinarnog trakta obuhvata sljedeće unaprijed definisane </w:t>
      </w:r>
      <w:r w:rsidR="00070E65" w:rsidRPr="00E43FA0">
        <w:rPr>
          <w:noProof/>
          <w:sz w:val="20"/>
          <w:szCs w:val="22"/>
          <w:lang w:val="sr-Latn-ME"/>
        </w:rPr>
        <w:t>preporučene</w:t>
      </w:r>
      <w:r w:rsidRPr="00E43FA0">
        <w:rPr>
          <w:noProof/>
          <w:sz w:val="20"/>
          <w:szCs w:val="22"/>
          <w:lang w:val="sr-Latn-ME"/>
        </w:rPr>
        <w:t xml:space="preserve"> termine, navedene prema prijavljenoj učestalosti: infekcija urinarnog trakta, cistitis, infekcija urinarnog trakta Ešerihijom, infekcija genitourinarnog trakta, pijelonefritis, trigonitis, uretritis, bubrežna infekcija i prostatitis.</w:t>
      </w:r>
    </w:p>
    <w:p w14:paraId="51DA3C5C" w14:textId="63723369" w:rsidR="003B2D97" w:rsidRPr="00E43FA0" w:rsidRDefault="003B2D97" w:rsidP="00E43FA0">
      <w:pPr>
        <w:tabs>
          <w:tab w:val="left" w:pos="284"/>
        </w:tabs>
        <w:ind w:hanging="57"/>
        <w:jc w:val="both"/>
        <w:rPr>
          <w:noProof/>
          <w:sz w:val="20"/>
          <w:szCs w:val="22"/>
          <w:lang w:val="sr-Latn-ME"/>
        </w:rPr>
      </w:pPr>
      <w:r w:rsidRPr="00E43FA0">
        <w:rPr>
          <w:noProof/>
          <w:sz w:val="20"/>
          <w:szCs w:val="22"/>
          <w:vertAlign w:val="superscript"/>
          <w:lang w:val="sr-Latn-ME"/>
        </w:rPr>
        <w:t>e</w:t>
      </w:r>
      <w:r w:rsidRPr="00E43FA0">
        <w:rPr>
          <w:noProof/>
          <w:sz w:val="20"/>
          <w:szCs w:val="22"/>
          <w:lang w:val="sr-Latn-ME"/>
        </w:rPr>
        <w:t>Smanjenje zapremine tečnosti obuhvata, recimo, unaprijed definisane p</w:t>
      </w:r>
      <w:r w:rsidR="00070E65" w:rsidRPr="00E43FA0">
        <w:rPr>
          <w:noProof/>
          <w:sz w:val="20"/>
          <w:szCs w:val="22"/>
          <w:lang w:val="sr-Latn-ME"/>
        </w:rPr>
        <w:t>reporučene</w:t>
      </w:r>
      <w:r w:rsidRPr="00E43FA0">
        <w:rPr>
          <w:noProof/>
          <w:sz w:val="20"/>
          <w:szCs w:val="22"/>
          <w:lang w:val="sr-Latn-ME"/>
        </w:rPr>
        <w:t xml:space="preserve"> termine: dehidrataciju, hipovolemiju, hipotenziju.</w:t>
      </w:r>
    </w:p>
    <w:p w14:paraId="3C4A84D7" w14:textId="2F2B1ED2" w:rsidR="003B2D97" w:rsidRPr="00E43FA0" w:rsidRDefault="003B2D97" w:rsidP="00E43FA0">
      <w:pPr>
        <w:tabs>
          <w:tab w:val="left" w:pos="284"/>
        </w:tabs>
        <w:ind w:hanging="57"/>
        <w:jc w:val="both"/>
        <w:rPr>
          <w:noProof/>
          <w:sz w:val="20"/>
          <w:szCs w:val="22"/>
          <w:lang w:val="sr-Latn-ME"/>
        </w:rPr>
      </w:pPr>
      <w:r w:rsidRPr="00E43FA0">
        <w:rPr>
          <w:noProof/>
          <w:sz w:val="20"/>
          <w:szCs w:val="22"/>
          <w:vertAlign w:val="superscript"/>
          <w:lang w:val="sr-Latn-ME"/>
        </w:rPr>
        <w:t>f</w:t>
      </w:r>
      <w:r w:rsidRPr="00E43FA0">
        <w:rPr>
          <w:noProof/>
          <w:sz w:val="20"/>
          <w:szCs w:val="22"/>
          <w:lang w:val="sr-Latn-ME"/>
        </w:rPr>
        <w:t>Poliurija obuhvata p</w:t>
      </w:r>
      <w:r w:rsidR="00070E65" w:rsidRPr="00E43FA0">
        <w:rPr>
          <w:noProof/>
          <w:sz w:val="20"/>
          <w:szCs w:val="22"/>
          <w:lang w:val="sr-Latn-ME"/>
        </w:rPr>
        <w:t>reporučene</w:t>
      </w:r>
      <w:r w:rsidRPr="00E43FA0">
        <w:rPr>
          <w:noProof/>
          <w:sz w:val="20"/>
          <w:szCs w:val="22"/>
          <w:lang w:val="sr-Latn-ME"/>
        </w:rPr>
        <w:t xml:space="preserve"> termine: polakiuriju, poliuriju, povišeno izlučivanje mokraće.</w:t>
      </w:r>
    </w:p>
    <w:p w14:paraId="11D709C5" w14:textId="77777777" w:rsidR="003B2D97" w:rsidRPr="00E43FA0" w:rsidRDefault="003B2D97" w:rsidP="00E43FA0">
      <w:pPr>
        <w:tabs>
          <w:tab w:val="left" w:pos="284"/>
        </w:tabs>
        <w:ind w:hanging="57"/>
        <w:jc w:val="both"/>
        <w:rPr>
          <w:color w:val="1F497D"/>
          <w:sz w:val="20"/>
          <w:szCs w:val="22"/>
          <w:lang w:val="sr-Latn-ME"/>
        </w:rPr>
      </w:pPr>
      <w:r w:rsidRPr="00E43FA0">
        <w:rPr>
          <w:noProof/>
          <w:sz w:val="20"/>
          <w:szCs w:val="22"/>
          <w:vertAlign w:val="superscript"/>
          <w:lang w:val="sr-Latn-ME"/>
        </w:rPr>
        <w:t>g</w:t>
      </w:r>
      <w:r w:rsidRPr="00E43FA0">
        <w:rPr>
          <w:noProof/>
          <w:sz w:val="20"/>
          <w:szCs w:val="22"/>
          <w:lang w:val="sr-Latn-ME"/>
        </w:rPr>
        <w:t xml:space="preserve">Srednja vrijednost promjena u hematokritu u odnosu na početne vrijednosti bila je 2,30% za dapagliflozin od 10 mg u poređenju sa -0,33% za placebo. </w:t>
      </w:r>
      <w:r w:rsidRPr="00E43FA0">
        <w:rPr>
          <w:sz w:val="20"/>
          <w:szCs w:val="22"/>
          <w:lang w:val="sr-Latn-ME"/>
        </w:rPr>
        <w:t>Vrijednosti hematokrita veće od 55% zabilježene su kod 1,3% ispitanika liječenih dapagliflozinom od 10 mg u poređenju sa 0,4% ispitanika koji su uzimali placebo.</w:t>
      </w:r>
    </w:p>
    <w:p w14:paraId="38A0FA4E" w14:textId="54868DD3" w:rsidR="003B2D97" w:rsidRPr="00E43FA0" w:rsidRDefault="00CD5627" w:rsidP="00E43FA0">
      <w:pPr>
        <w:tabs>
          <w:tab w:val="left" w:pos="284"/>
        </w:tabs>
        <w:ind w:hanging="57"/>
        <w:jc w:val="both"/>
        <w:rPr>
          <w:noProof/>
          <w:sz w:val="20"/>
          <w:szCs w:val="22"/>
          <w:lang w:val="sr-Latn-ME"/>
        </w:rPr>
      </w:pPr>
      <w:r>
        <w:rPr>
          <w:noProof/>
          <w:sz w:val="20"/>
          <w:szCs w:val="22"/>
          <w:vertAlign w:val="superscript"/>
          <w:lang w:val="sr-Latn-ME"/>
        </w:rPr>
        <w:t>h</w:t>
      </w:r>
      <w:r w:rsidR="003B2D97" w:rsidRPr="00E43FA0">
        <w:rPr>
          <w:noProof/>
          <w:sz w:val="20"/>
          <w:szCs w:val="22"/>
          <w:lang w:val="sr-Latn-ME"/>
        </w:rPr>
        <w:t>Gastrointestinalni simptomi, kao što su mučnina, povraćanje, proliv, bol u abdomenu i gubitak apetita, najčešće se javljaju na početku liječenja, a u većini slučajeva se povlače spontano.</w:t>
      </w:r>
    </w:p>
    <w:p w14:paraId="12AF63AC" w14:textId="7D9B0080" w:rsidR="003B2D97" w:rsidRPr="00E43FA0" w:rsidRDefault="00CD5627" w:rsidP="00E43FA0">
      <w:pPr>
        <w:tabs>
          <w:tab w:val="left" w:pos="284"/>
        </w:tabs>
        <w:ind w:hanging="57"/>
        <w:jc w:val="both"/>
        <w:rPr>
          <w:noProof/>
          <w:sz w:val="20"/>
          <w:szCs w:val="22"/>
          <w:lang w:val="sr-Latn-ME"/>
        </w:rPr>
      </w:pPr>
      <w:r>
        <w:rPr>
          <w:noProof/>
          <w:sz w:val="20"/>
          <w:szCs w:val="22"/>
          <w:vertAlign w:val="superscript"/>
          <w:lang w:val="sr-Latn-ME"/>
        </w:rPr>
        <w:t>i</w:t>
      </w:r>
      <w:r w:rsidRPr="00E43FA0">
        <w:rPr>
          <w:noProof/>
          <w:sz w:val="20"/>
          <w:szCs w:val="22"/>
          <w:lang w:val="sr-Latn-ME"/>
        </w:rPr>
        <w:t xml:space="preserve">Srednja </w:t>
      </w:r>
      <w:r w:rsidR="003B2D97" w:rsidRPr="00E43FA0">
        <w:rPr>
          <w:noProof/>
          <w:sz w:val="20"/>
          <w:szCs w:val="22"/>
          <w:lang w:val="sr-Latn-ME"/>
        </w:rPr>
        <w:t xml:space="preserve">procentualna promjena u odnosu na početnu za dapagliflozin od 10 mg u poređenju sa placebom bila je redom: ukupni holesterol 2,5% prema 0,0%; HDL holesterol 6,0% prema 2,7%; LDL holesterol 2,9% prema </w:t>
      </w:r>
      <w:r w:rsidR="003B2D97" w:rsidRPr="00E43FA0">
        <w:rPr>
          <w:noProof/>
          <w:sz w:val="20"/>
          <w:szCs w:val="22"/>
          <w:lang w:val="sr-Latn-ME"/>
        </w:rPr>
        <w:noBreakHyphen/>
        <w:t>1,0%; trigliceridi </w:t>
      </w:r>
      <w:r w:rsidR="003B2D97" w:rsidRPr="00E43FA0">
        <w:rPr>
          <w:noProof/>
          <w:sz w:val="20"/>
          <w:szCs w:val="22"/>
          <w:lang w:val="sr-Latn-ME"/>
        </w:rPr>
        <w:noBreakHyphen/>
        <w:t xml:space="preserve">2,7% prema </w:t>
      </w:r>
      <w:r w:rsidR="003B2D97" w:rsidRPr="00E43FA0">
        <w:rPr>
          <w:noProof/>
          <w:sz w:val="20"/>
          <w:szCs w:val="22"/>
          <w:lang w:val="sr-Latn-ME"/>
        </w:rPr>
        <w:noBreakHyphen/>
        <w:t>0,7%.</w:t>
      </w:r>
    </w:p>
    <w:p w14:paraId="6D8F7A8C" w14:textId="473D8525" w:rsidR="003B2D97" w:rsidRPr="00E43FA0" w:rsidRDefault="00CD5627" w:rsidP="00E43FA0">
      <w:pPr>
        <w:tabs>
          <w:tab w:val="left" w:pos="284"/>
        </w:tabs>
        <w:ind w:hanging="57"/>
        <w:jc w:val="both"/>
        <w:rPr>
          <w:noProof/>
          <w:sz w:val="20"/>
          <w:szCs w:val="22"/>
          <w:lang w:val="sr-Latn-ME"/>
        </w:rPr>
      </w:pPr>
      <w:r>
        <w:rPr>
          <w:noProof/>
          <w:sz w:val="20"/>
          <w:szCs w:val="22"/>
          <w:vertAlign w:val="superscript"/>
          <w:lang w:val="sr-Latn-ME"/>
        </w:rPr>
        <w:t>j</w:t>
      </w:r>
      <w:r w:rsidRPr="00E43FA0">
        <w:rPr>
          <w:noProof/>
          <w:sz w:val="20"/>
          <w:szCs w:val="22"/>
          <w:lang w:val="sr-Latn-ME"/>
        </w:rPr>
        <w:t xml:space="preserve">Pogledajte </w:t>
      </w:r>
      <w:r w:rsidR="00070E65" w:rsidRPr="00E43FA0">
        <w:rPr>
          <w:noProof/>
          <w:sz w:val="20"/>
          <w:szCs w:val="22"/>
          <w:lang w:val="sr-Latn-ME"/>
        </w:rPr>
        <w:t>dio</w:t>
      </w:r>
      <w:r w:rsidR="003B2D97" w:rsidRPr="00E43FA0">
        <w:rPr>
          <w:noProof/>
          <w:sz w:val="20"/>
          <w:szCs w:val="22"/>
          <w:lang w:val="sr-Latn-ME"/>
        </w:rPr>
        <w:t xml:space="preserve"> 4.4</w:t>
      </w:r>
    </w:p>
    <w:p w14:paraId="345D4E7D" w14:textId="11C78E36" w:rsidR="003B2D97" w:rsidRPr="00E43FA0" w:rsidRDefault="00CD5627" w:rsidP="00E43FA0">
      <w:pPr>
        <w:tabs>
          <w:tab w:val="left" w:pos="284"/>
        </w:tabs>
        <w:ind w:hanging="57"/>
        <w:jc w:val="both"/>
        <w:rPr>
          <w:noProof/>
          <w:sz w:val="20"/>
          <w:szCs w:val="22"/>
          <w:lang w:val="sr-Latn-ME"/>
        </w:rPr>
      </w:pPr>
      <w:r>
        <w:rPr>
          <w:noProof/>
          <w:sz w:val="20"/>
          <w:szCs w:val="22"/>
          <w:vertAlign w:val="superscript"/>
          <w:lang w:val="sr-Latn-ME"/>
        </w:rPr>
        <w:t>k</w:t>
      </w:r>
      <w:r w:rsidR="003B2D97" w:rsidRPr="00E43FA0">
        <w:rPr>
          <w:noProof/>
          <w:sz w:val="20"/>
          <w:szCs w:val="22"/>
          <w:lang w:val="sr-Latn-ME"/>
        </w:rPr>
        <w:t>Zabilježeno u studiji kardiovaskularnih ishoda kod pacijenata sa dijabetesom melitusom tipa 2</w:t>
      </w:r>
      <w:r w:rsidR="008264B5" w:rsidRPr="00E43FA0">
        <w:rPr>
          <w:noProof/>
          <w:sz w:val="20"/>
          <w:szCs w:val="22"/>
          <w:lang w:val="sr-Latn-ME"/>
        </w:rPr>
        <w:t xml:space="preserve"> (DECLARE)</w:t>
      </w:r>
      <w:r w:rsidR="003B2D97" w:rsidRPr="00E43FA0">
        <w:rPr>
          <w:noProof/>
          <w:sz w:val="20"/>
          <w:szCs w:val="22"/>
          <w:lang w:val="sr-Latn-ME"/>
        </w:rPr>
        <w:t>. Učestalost se zasniva na godišnjoj stopi.</w:t>
      </w:r>
    </w:p>
    <w:p w14:paraId="7A98CE2C" w14:textId="5B7B76BF" w:rsidR="003B2D97" w:rsidRPr="00E43FA0" w:rsidRDefault="00CD5627" w:rsidP="00E43FA0">
      <w:pPr>
        <w:tabs>
          <w:tab w:val="left" w:pos="284"/>
        </w:tabs>
        <w:ind w:hanging="57"/>
        <w:jc w:val="both"/>
        <w:rPr>
          <w:noProof/>
          <w:sz w:val="20"/>
          <w:szCs w:val="22"/>
          <w:lang w:val="sr-Latn-ME"/>
        </w:rPr>
      </w:pPr>
      <w:r>
        <w:rPr>
          <w:noProof/>
          <w:sz w:val="20"/>
          <w:szCs w:val="22"/>
          <w:vertAlign w:val="superscript"/>
          <w:lang w:val="sr-Latn-ME"/>
        </w:rPr>
        <w:t>l</w:t>
      </w:r>
      <w:r w:rsidRPr="00E43FA0">
        <w:rPr>
          <w:noProof/>
          <w:sz w:val="20"/>
          <w:szCs w:val="22"/>
          <w:lang w:val="sr-Latn-ME"/>
        </w:rPr>
        <w:t xml:space="preserve">Neželjeno </w:t>
      </w:r>
      <w:r w:rsidR="00D6452B" w:rsidRPr="00E43FA0">
        <w:rPr>
          <w:noProof/>
          <w:sz w:val="20"/>
          <w:szCs w:val="22"/>
          <w:lang w:val="sr-Latn-ME"/>
        </w:rPr>
        <w:t>dejstvo</w:t>
      </w:r>
      <w:r w:rsidR="003B2D97" w:rsidRPr="00E43FA0">
        <w:rPr>
          <w:noProof/>
          <w:sz w:val="20"/>
          <w:szCs w:val="22"/>
          <w:lang w:val="sr-Latn-ME"/>
        </w:rPr>
        <w:t xml:space="preserve"> je zabilježen</w:t>
      </w:r>
      <w:r w:rsidR="00D6452B" w:rsidRPr="00E43FA0">
        <w:rPr>
          <w:noProof/>
          <w:sz w:val="20"/>
          <w:szCs w:val="22"/>
          <w:lang w:val="sr-Latn-ME"/>
        </w:rPr>
        <w:t>o</w:t>
      </w:r>
      <w:r w:rsidR="003B2D97" w:rsidRPr="00E43FA0">
        <w:rPr>
          <w:noProof/>
          <w:sz w:val="20"/>
          <w:szCs w:val="22"/>
          <w:lang w:val="sr-Latn-ME"/>
        </w:rPr>
        <w:t xml:space="preserve"> u postmarketinškom praćenju upotrebe dapagliflozina. Osip obuhvata sljedeće p</w:t>
      </w:r>
      <w:r w:rsidR="00070E65" w:rsidRPr="00E43FA0">
        <w:rPr>
          <w:noProof/>
          <w:sz w:val="20"/>
          <w:szCs w:val="22"/>
          <w:lang w:val="sr-Latn-ME"/>
        </w:rPr>
        <w:t>reporučene</w:t>
      </w:r>
      <w:r w:rsidR="003B2D97" w:rsidRPr="00E43FA0">
        <w:rPr>
          <w:noProof/>
          <w:sz w:val="20"/>
          <w:szCs w:val="22"/>
          <w:lang w:val="sr-Latn-ME"/>
        </w:rPr>
        <w:t xml:space="preserve"> termine, navedene po redu učestalosti u kliničkim ispitivanjima: osip, generalizovani osip, pruritusni osip, makularni osip, makulopapularni osip, pustularni osip, vezikularni osip i eritematozni osip. U aktivnim i placebom kontrolisanim kliničkim ispitivanjima (dapagliflozin, N = 5936, sve kontrolne, N = 3403), učestalost osipa bila je slična za dapagliflozin (1,4%), odnosno sve kontrolne (1,4%).</w:t>
      </w:r>
    </w:p>
    <w:p w14:paraId="532A7A19" w14:textId="7D9D3A16" w:rsidR="003B2D97" w:rsidRPr="00E43FA0" w:rsidRDefault="003B2D97" w:rsidP="00E43FA0">
      <w:pPr>
        <w:tabs>
          <w:tab w:val="left" w:pos="284"/>
        </w:tabs>
        <w:ind w:hanging="57"/>
        <w:jc w:val="both"/>
        <w:rPr>
          <w:noProof/>
          <w:sz w:val="20"/>
          <w:szCs w:val="22"/>
          <w:lang w:val="sr-Latn-ME"/>
        </w:rPr>
      </w:pPr>
      <w:r w:rsidRPr="00E43FA0">
        <w:rPr>
          <w:noProof/>
          <w:sz w:val="20"/>
          <w:szCs w:val="22"/>
          <w:vertAlign w:val="superscript"/>
          <w:lang w:val="sr-Latn-ME"/>
        </w:rPr>
        <w:t>*</w:t>
      </w:r>
      <w:r w:rsidRPr="00E43FA0">
        <w:rPr>
          <w:noProof/>
          <w:sz w:val="20"/>
          <w:szCs w:val="22"/>
          <w:lang w:val="sr-Latn-ME"/>
        </w:rPr>
        <w:t xml:space="preserve">Zabilježeno kod ≥ 2% ispitanika i </w:t>
      </w:r>
      <w:r w:rsidR="004B497E" w:rsidRPr="00E43FA0">
        <w:rPr>
          <w:noProof/>
          <w:sz w:val="20"/>
          <w:szCs w:val="22"/>
          <w:lang w:val="sr-Latn-ME"/>
        </w:rPr>
        <w:t xml:space="preserve">kod </w:t>
      </w:r>
      <w:r w:rsidRPr="00E43FA0">
        <w:rPr>
          <w:noProof/>
          <w:sz w:val="20"/>
          <w:szCs w:val="22"/>
          <w:lang w:val="sr-Latn-ME"/>
        </w:rPr>
        <w:t>još ≥ 1%</w:t>
      </w:r>
      <w:r w:rsidR="00D6452B" w:rsidRPr="00E43FA0">
        <w:rPr>
          <w:noProof/>
          <w:sz w:val="20"/>
          <w:szCs w:val="22"/>
          <w:lang w:val="sr-Latn-ME"/>
        </w:rPr>
        <w:t xml:space="preserve"> </w:t>
      </w:r>
      <w:r w:rsidRPr="00E43FA0">
        <w:rPr>
          <w:noProof/>
          <w:sz w:val="20"/>
          <w:szCs w:val="22"/>
          <w:lang w:val="sr-Latn-ME"/>
        </w:rPr>
        <w:t>i najmanje još 3 ispitanika liječenih dapagliflozinom od 10 mg u poređenju sa placebom.</w:t>
      </w:r>
    </w:p>
    <w:p w14:paraId="1F9B04B3" w14:textId="77777777" w:rsidR="003B2D97" w:rsidRDefault="003B2D97" w:rsidP="00E43FA0">
      <w:pPr>
        <w:tabs>
          <w:tab w:val="left" w:pos="284"/>
        </w:tabs>
        <w:autoSpaceDE w:val="0"/>
        <w:autoSpaceDN w:val="0"/>
        <w:adjustRightInd w:val="0"/>
        <w:ind w:hanging="57"/>
        <w:jc w:val="both"/>
        <w:rPr>
          <w:noProof/>
          <w:sz w:val="20"/>
          <w:szCs w:val="22"/>
          <w:lang w:val="sr-Latn-ME"/>
        </w:rPr>
      </w:pPr>
      <w:r w:rsidRPr="00E43FA0">
        <w:rPr>
          <w:noProof/>
          <w:sz w:val="20"/>
          <w:szCs w:val="22"/>
          <w:vertAlign w:val="superscript"/>
          <w:lang w:val="sr-Latn-ME"/>
        </w:rPr>
        <w:t>**</w:t>
      </w:r>
      <w:r w:rsidRPr="00E43FA0">
        <w:rPr>
          <w:noProof/>
          <w:sz w:val="20"/>
          <w:szCs w:val="22"/>
          <w:lang w:val="sr-Latn-ME"/>
        </w:rPr>
        <w:t>Zabilježio istraživač kao moguću povezanost, vjerovatnu povezanost ili povezanost sa studijskom terapijom, i zabilježeno kod ≥ 0,2% ispitanika i kod još ≥ 0,1% i najmanje još 3 ispitanika liječenih dapagliflozinom od 10 mg u poređenju sa placebom.</w:t>
      </w:r>
    </w:p>
    <w:p w14:paraId="6B081CCB" w14:textId="1FDEA726" w:rsidR="00CD5627" w:rsidRPr="00C35449" w:rsidRDefault="00CD5627" w:rsidP="00696788">
      <w:pPr>
        <w:autoSpaceDE w:val="0"/>
        <w:autoSpaceDN w:val="0"/>
        <w:adjustRightInd w:val="0"/>
        <w:ind w:left="57" w:hanging="57"/>
        <w:jc w:val="both"/>
        <w:rPr>
          <w:noProof/>
          <w:lang w:val="sr-Latn-RS"/>
        </w:rPr>
      </w:pPr>
      <w:r w:rsidRPr="00696788">
        <w:rPr>
          <w:noProof/>
          <w:sz w:val="20"/>
          <w:vertAlign w:val="superscript"/>
          <w:lang w:val="sr-Latn-RS"/>
        </w:rPr>
        <w:t>§</w:t>
      </w:r>
      <w:r w:rsidRPr="00696788">
        <w:rPr>
          <w:noProof/>
          <w:sz w:val="20"/>
          <w:lang w:val="sr-Latn-RS"/>
        </w:rPr>
        <w:t>Kategorija i učestalost neželjenih dejstava se zasnivaju na informacijama iz Sažetka karakteristika lijeka za metformin koji je dostupan u Evropskoj Uniji.</w:t>
      </w:r>
    </w:p>
    <w:p w14:paraId="219F5FBF" w14:textId="77777777" w:rsidR="00CD5627" w:rsidRPr="00E43FA0" w:rsidRDefault="00CD5627" w:rsidP="00E43FA0">
      <w:pPr>
        <w:tabs>
          <w:tab w:val="left" w:pos="284"/>
        </w:tabs>
        <w:autoSpaceDE w:val="0"/>
        <w:autoSpaceDN w:val="0"/>
        <w:adjustRightInd w:val="0"/>
        <w:ind w:hanging="57"/>
        <w:jc w:val="both"/>
        <w:rPr>
          <w:noProof/>
          <w:sz w:val="20"/>
          <w:szCs w:val="22"/>
          <w:lang w:val="sr-Latn-ME"/>
        </w:rPr>
      </w:pPr>
    </w:p>
    <w:p w14:paraId="191004EC" w14:textId="77777777" w:rsidR="003B2D97" w:rsidRPr="009F254D" w:rsidRDefault="003B2D97" w:rsidP="00FA635D">
      <w:pPr>
        <w:tabs>
          <w:tab w:val="left" w:pos="284"/>
        </w:tabs>
        <w:jc w:val="both"/>
        <w:rPr>
          <w:noProof/>
          <w:sz w:val="22"/>
          <w:szCs w:val="22"/>
          <w:lang w:val="sr-Latn-ME"/>
        </w:rPr>
      </w:pPr>
    </w:p>
    <w:p w14:paraId="16998690" w14:textId="13CA5AD3" w:rsidR="003B2D97" w:rsidRPr="009F254D" w:rsidRDefault="003B2D97" w:rsidP="00FA635D">
      <w:pPr>
        <w:keepNext/>
        <w:keepLines/>
        <w:tabs>
          <w:tab w:val="left" w:pos="284"/>
        </w:tabs>
        <w:jc w:val="both"/>
        <w:rPr>
          <w:noProof/>
          <w:sz w:val="22"/>
          <w:szCs w:val="22"/>
          <w:u w:val="single"/>
          <w:lang w:val="sr-Latn-ME"/>
        </w:rPr>
      </w:pPr>
      <w:r w:rsidRPr="009F254D">
        <w:rPr>
          <w:noProof/>
          <w:sz w:val="22"/>
          <w:szCs w:val="22"/>
          <w:u w:val="single"/>
          <w:lang w:val="sr-Latn-ME"/>
        </w:rPr>
        <w:t xml:space="preserve">Opis odabranih neželjenih </w:t>
      </w:r>
      <w:r w:rsidR="004B497E">
        <w:rPr>
          <w:noProof/>
          <w:sz w:val="22"/>
          <w:szCs w:val="22"/>
          <w:u w:val="single"/>
          <w:lang w:val="sr-Latn-ME"/>
        </w:rPr>
        <w:t>dejstava</w:t>
      </w:r>
    </w:p>
    <w:p w14:paraId="408EB287" w14:textId="77777777" w:rsidR="00593D7C" w:rsidRPr="009F254D" w:rsidRDefault="00593D7C" w:rsidP="00FA635D">
      <w:pPr>
        <w:keepNext/>
        <w:keepLines/>
        <w:tabs>
          <w:tab w:val="left" w:pos="284"/>
        </w:tabs>
        <w:jc w:val="both"/>
        <w:rPr>
          <w:i/>
          <w:iCs/>
          <w:noProof/>
          <w:sz w:val="22"/>
          <w:szCs w:val="22"/>
          <w:u w:val="single"/>
          <w:lang w:val="sr-Latn-ME"/>
        </w:rPr>
      </w:pPr>
    </w:p>
    <w:p w14:paraId="1ACBF7F7" w14:textId="1AAED784" w:rsidR="003B2D97" w:rsidRPr="009F254D" w:rsidRDefault="003B2D97" w:rsidP="00FA635D">
      <w:pPr>
        <w:keepNext/>
        <w:keepLines/>
        <w:tabs>
          <w:tab w:val="left" w:pos="284"/>
        </w:tabs>
        <w:jc w:val="both"/>
        <w:rPr>
          <w:i/>
          <w:noProof/>
          <w:sz w:val="22"/>
          <w:szCs w:val="22"/>
          <w:u w:val="single"/>
          <w:lang w:val="sr-Latn-ME"/>
        </w:rPr>
      </w:pPr>
      <w:r w:rsidRPr="009F254D">
        <w:rPr>
          <w:i/>
          <w:iCs/>
          <w:noProof/>
          <w:sz w:val="22"/>
          <w:szCs w:val="22"/>
          <w:u w:val="single"/>
          <w:lang w:val="sr-Latn-ME"/>
        </w:rPr>
        <w:t>Dapagliflozin u kombinaciji sa metforminom</w:t>
      </w:r>
    </w:p>
    <w:p w14:paraId="1DF4744E" w14:textId="77777777" w:rsidR="003B2D97" w:rsidRPr="009F254D" w:rsidRDefault="003B2D97" w:rsidP="00FA635D">
      <w:pPr>
        <w:keepNext/>
        <w:keepLines/>
        <w:tabs>
          <w:tab w:val="left" w:pos="284"/>
        </w:tabs>
        <w:jc w:val="both"/>
        <w:rPr>
          <w:iCs/>
          <w:noProof/>
          <w:sz w:val="22"/>
          <w:szCs w:val="22"/>
          <w:lang w:val="sr-Latn-ME"/>
        </w:rPr>
      </w:pPr>
      <w:r w:rsidRPr="009F254D">
        <w:rPr>
          <w:i/>
          <w:iCs/>
          <w:noProof/>
          <w:sz w:val="22"/>
          <w:szCs w:val="22"/>
          <w:lang w:val="sr-Latn-ME"/>
        </w:rPr>
        <w:t>Hipoglikemija</w:t>
      </w:r>
    </w:p>
    <w:p w14:paraId="461EA94E" w14:textId="7E08248A" w:rsidR="003B2D97" w:rsidRPr="009F254D" w:rsidRDefault="003B2D97" w:rsidP="00FA635D">
      <w:pPr>
        <w:tabs>
          <w:tab w:val="left" w:pos="284"/>
        </w:tabs>
        <w:jc w:val="both"/>
        <w:rPr>
          <w:noProof/>
          <w:sz w:val="22"/>
          <w:szCs w:val="22"/>
          <w:lang w:val="sr-Latn-ME"/>
        </w:rPr>
      </w:pPr>
      <w:r w:rsidRPr="009F254D">
        <w:rPr>
          <w:noProof/>
          <w:sz w:val="22"/>
          <w:szCs w:val="22"/>
          <w:lang w:val="sr-Latn-ME"/>
        </w:rPr>
        <w:t>U studijama dapagliflozina kao dodatka liječenju metforminom, blaže epizode hipoglikemije bilježene su s jednakom učestalošću u grupi koja je liječena dapagliflozinom u dozi od 10 mg i metforminom (6,9%), odnosno u grupi koja je uz metformin primala placebo (5,5%). Nisu zabilježeni teži slučajevi hipoglikemije. Slična zapažanja zabilježena su kada je u pitanju kombinacij</w:t>
      </w:r>
      <w:r w:rsidR="009B72D9" w:rsidRPr="009F254D">
        <w:rPr>
          <w:noProof/>
          <w:sz w:val="22"/>
          <w:szCs w:val="22"/>
          <w:lang w:val="sr-Latn-ME"/>
        </w:rPr>
        <w:t>a</w:t>
      </w:r>
      <w:r w:rsidRPr="009F254D">
        <w:rPr>
          <w:noProof/>
          <w:sz w:val="22"/>
          <w:szCs w:val="22"/>
          <w:lang w:val="sr-Latn-ME"/>
        </w:rPr>
        <w:t xml:space="preserve"> dapagliflozina i metformina kod pacijenata koji nisu bili prethodno liječeni.</w:t>
      </w:r>
    </w:p>
    <w:p w14:paraId="2151EE6E" w14:textId="77777777" w:rsidR="003B2D97" w:rsidRPr="009F254D" w:rsidRDefault="003B2D97" w:rsidP="00FA635D">
      <w:pPr>
        <w:tabs>
          <w:tab w:val="left" w:pos="284"/>
        </w:tabs>
        <w:jc w:val="both"/>
        <w:rPr>
          <w:noProof/>
          <w:sz w:val="22"/>
          <w:szCs w:val="22"/>
          <w:lang w:val="sr-Latn-ME"/>
        </w:rPr>
      </w:pPr>
    </w:p>
    <w:p w14:paraId="5F34A450" w14:textId="196ED0E0" w:rsidR="003B2D97" w:rsidRPr="009F254D" w:rsidRDefault="003B2D97" w:rsidP="00FA635D">
      <w:pPr>
        <w:tabs>
          <w:tab w:val="left" w:pos="284"/>
        </w:tabs>
        <w:jc w:val="both"/>
        <w:rPr>
          <w:sz w:val="22"/>
          <w:szCs w:val="22"/>
          <w:lang w:val="sr-Latn-ME"/>
        </w:rPr>
      </w:pPr>
      <w:r w:rsidRPr="009F254D">
        <w:rPr>
          <w:snapToGrid w:val="0"/>
          <w:sz w:val="22"/>
          <w:szCs w:val="22"/>
          <w:lang w:val="sr-Latn-ME"/>
        </w:rPr>
        <w:t>U ispitivanju dapagliflozina kao dodatka metforminu i sulfonilurei u trajanju do 24 nedjelje, manje epizode hipoglikemije zab</w:t>
      </w:r>
      <w:r w:rsidR="005A3F24" w:rsidRPr="009F254D">
        <w:rPr>
          <w:snapToGrid w:val="0"/>
          <w:sz w:val="22"/>
          <w:szCs w:val="22"/>
          <w:lang w:val="sr-Latn-ME"/>
        </w:rPr>
        <w:t>i</w:t>
      </w:r>
      <w:r w:rsidRPr="009F254D">
        <w:rPr>
          <w:snapToGrid w:val="0"/>
          <w:sz w:val="22"/>
          <w:szCs w:val="22"/>
          <w:lang w:val="sr-Latn-ME"/>
        </w:rPr>
        <w:t>l</w:t>
      </w:r>
      <w:r w:rsidR="005A3F24" w:rsidRPr="009F254D">
        <w:rPr>
          <w:snapToGrid w:val="0"/>
          <w:sz w:val="22"/>
          <w:szCs w:val="22"/>
          <w:lang w:val="sr-Latn-ME"/>
        </w:rPr>
        <w:t>j</w:t>
      </w:r>
      <w:r w:rsidRPr="009F254D">
        <w:rPr>
          <w:snapToGrid w:val="0"/>
          <w:sz w:val="22"/>
          <w:szCs w:val="22"/>
          <w:lang w:val="sr-Latn-ME"/>
        </w:rPr>
        <w:t xml:space="preserve">ežene su kod 12,8% ispitanika koji su primali dapagliflozin od 10 mg u kombinaciji sa metforminom i sulfonilureom i kod 3,7% ispitanika koji su primali placebo u kombinaciji sa metforminom i sulfonilureom. </w:t>
      </w:r>
      <w:r w:rsidRPr="009F254D">
        <w:rPr>
          <w:sz w:val="22"/>
          <w:szCs w:val="22"/>
          <w:lang w:val="sr-Latn-ME"/>
        </w:rPr>
        <w:t>Nisu zabilježeni teži slučajevi hipoglikemije.</w:t>
      </w:r>
    </w:p>
    <w:p w14:paraId="01906D4E" w14:textId="77777777" w:rsidR="003B2D97" w:rsidRPr="009F254D" w:rsidRDefault="003B2D97" w:rsidP="00FA635D">
      <w:pPr>
        <w:tabs>
          <w:tab w:val="left" w:pos="284"/>
        </w:tabs>
        <w:jc w:val="both"/>
        <w:rPr>
          <w:noProof/>
          <w:sz w:val="22"/>
          <w:szCs w:val="22"/>
          <w:lang w:val="sr-Latn-ME"/>
        </w:rPr>
      </w:pPr>
    </w:p>
    <w:p w14:paraId="1CBDED74" w14:textId="77777777" w:rsidR="003B2D97" w:rsidRPr="009F254D" w:rsidRDefault="003B2D97" w:rsidP="00FA635D">
      <w:pPr>
        <w:keepNext/>
        <w:keepLines/>
        <w:tabs>
          <w:tab w:val="left" w:pos="284"/>
        </w:tabs>
        <w:jc w:val="both"/>
        <w:rPr>
          <w:i/>
          <w:noProof/>
          <w:sz w:val="22"/>
          <w:szCs w:val="22"/>
          <w:u w:val="single"/>
          <w:lang w:val="sr-Latn-ME"/>
        </w:rPr>
      </w:pPr>
      <w:r w:rsidRPr="009F254D">
        <w:rPr>
          <w:i/>
          <w:iCs/>
          <w:noProof/>
          <w:sz w:val="22"/>
          <w:szCs w:val="22"/>
          <w:u w:val="single"/>
          <w:lang w:val="sr-Latn-ME"/>
        </w:rPr>
        <w:t>Dapagliflozin</w:t>
      </w:r>
    </w:p>
    <w:p w14:paraId="3D4B43BF" w14:textId="4B4FD5E6" w:rsidR="003B2D97" w:rsidRPr="009F254D" w:rsidRDefault="003B2D97" w:rsidP="00FA635D">
      <w:pPr>
        <w:keepNext/>
        <w:keepLines/>
        <w:tabs>
          <w:tab w:val="left" w:pos="284"/>
        </w:tabs>
        <w:jc w:val="both"/>
        <w:rPr>
          <w:i/>
          <w:iCs/>
          <w:noProof/>
          <w:sz w:val="22"/>
          <w:szCs w:val="22"/>
          <w:lang w:val="sr-Latn-ME"/>
        </w:rPr>
      </w:pPr>
      <w:r w:rsidRPr="009F254D">
        <w:rPr>
          <w:i/>
          <w:iCs/>
          <w:noProof/>
          <w:sz w:val="22"/>
          <w:szCs w:val="22"/>
          <w:lang w:val="sr-Latn-ME"/>
        </w:rPr>
        <w:t xml:space="preserve">Vulvovaginitis, balanitis i </w:t>
      </w:r>
      <w:r w:rsidR="00374C31" w:rsidRPr="009F254D">
        <w:rPr>
          <w:i/>
          <w:iCs/>
          <w:noProof/>
          <w:sz w:val="22"/>
          <w:szCs w:val="22"/>
          <w:lang w:val="sr-Latn-ME"/>
        </w:rPr>
        <w:t>srodne</w:t>
      </w:r>
      <w:r w:rsidRPr="009F254D">
        <w:rPr>
          <w:i/>
          <w:iCs/>
          <w:noProof/>
          <w:sz w:val="22"/>
          <w:szCs w:val="22"/>
          <w:lang w:val="sr-Latn-ME"/>
        </w:rPr>
        <w:t xml:space="preserve"> genitalne infekcije</w:t>
      </w:r>
    </w:p>
    <w:p w14:paraId="0B72DC1B" w14:textId="1610DD3D" w:rsidR="003B2D97" w:rsidRPr="009F254D" w:rsidRDefault="003B2D97" w:rsidP="00FA635D">
      <w:pPr>
        <w:tabs>
          <w:tab w:val="left" w:pos="284"/>
        </w:tabs>
        <w:jc w:val="both"/>
        <w:rPr>
          <w:noProof/>
          <w:sz w:val="22"/>
          <w:szCs w:val="22"/>
          <w:lang w:val="sr-Latn-ME"/>
        </w:rPr>
      </w:pPr>
      <w:r w:rsidRPr="009F254D">
        <w:rPr>
          <w:noProof/>
          <w:sz w:val="22"/>
          <w:szCs w:val="22"/>
          <w:lang w:val="sr-Latn-ME"/>
        </w:rPr>
        <w:t xml:space="preserve">U objedinjenim podacima o bezbjednosti iz 13 studija, vulvovaginitis, balanitis i </w:t>
      </w:r>
      <w:r w:rsidR="00374C31" w:rsidRPr="009F254D">
        <w:rPr>
          <w:noProof/>
          <w:sz w:val="22"/>
          <w:szCs w:val="22"/>
          <w:lang w:val="sr-Latn-ME"/>
        </w:rPr>
        <w:t>srodne</w:t>
      </w:r>
      <w:r w:rsidRPr="009F254D">
        <w:rPr>
          <w:noProof/>
          <w:sz w:val="22"/>
          <w:szCs w:val="22"/>
          <w:lang w:val="sr-Latn-ME"/>
        </w:rPr>
        <w:t xml:space="preserve"> genitalne infekcije zabilježene su u 5,5%</w:t>
      </w:r>
      <w:r w:rsidR="004B497E">
        <w:rPr>
          <w:noProof/>
          <w:sz w:val="22"/>
          <w:szCs w:val="22"/>
          <w:lang w:val="sr-Latn-ME"/>
        </w:rPr>
        <w:t xml:space="preserve"> </w:t>
      </w:r>
      <w:r w:rsidR="004B497E" w:rsidRPr="009F254D">
        <w:rPr>
          <w:noProof/>
          <w:sz w:val="22"/>
          <w:szCs w:val="22"/>
          <w:lang w:val="sr-Latn-ME"/>
        </w:rPr>
        <w:t>koji su primili dapagliflozin od 10 mg</w:t>
      </w:r>
      <w:r w:rsidR="004B497E">
        <w:rPr>
          <w:noProof/>
          <w:sz w:val="22"/>
          <w:szCs w:val="22"/>
          <w:lang w:val="sr-Latn-ME"/>
        </w:rPr>
        <w:t>,</w:t>
      </w:r>
      <w:r w:rsidR="004B497E" w:rsidRPr="009F254D">
        <w:rPr>
          <w:noProof/>
          <w:sz w:val="22"/>
          <w:szCs w:val="22"/>
          <w:lang w:val="sr-Latn-ME"/>
        </w:rPr>
        <w:t xml:space="preserve"> </w:t>
      </w:r>
      <w:r w:rsidRPr="009F254D">
        <w:rPr>
          <w:noProof/>
          <w:sz w:val="22"/>
          <w:szCs w:val="22"/>
          <w:lang w:val="sr-Latn-ME"/>
        </w:rPr>
        <w:t>odnosno 0,6% ispitanika</w:t>
      </w:r>
      <w:r w:rsidR="004B497E">
        <w:rPr>
          <w:noProof/>
          <w:sz w:val="22"/>
          <w:szCs w:val="22"/>
          <w:lang w:val="sr-Latn-ME"/>
        </w:rPr>
        <w:t xml:space="preserve"> koji sun primali placebo</w:t>
      </w:r>
      <w:r w:rsidRPr="009F254D">
        <w:rPr>
          <w:noProof/>
          <w:sz w:val="22"/>
          <w:szCs w:val="22"/>
          <w:lang w:val="sr-Latn-ME"/>
        </w:rPr>
        <w:t xml:space="preserve"> odnosno placebo.</w:t>
      </w:r>
      <w:r w:rsidRPr="009F254D">
        <w:rPr>
          <w:sz w:val="22"/>
          <w:szCs w:val="22"/>
          <w:lang w:val="sr-Latn-ME"/>
        </w:rPr>
        <w:t xml:space="preserve"> Većina infekcija bile su blage do umjerene, a ispitanici su reagovali na inicijalnu standardnu terapiju i rijetko je bilo trajnog prekida terapije dapagliflozinom.</w:t>
      </w:r>
      <w:r w:rsidRPr="009F254D">
        <w:rPr>
          <w:noProof/>
          <w:sz w:val="22"/>
          <w:szCs w:val="22"/>
          <w:lang w:val="sr-Latn-ME"/>
        </w:rPr>
        <w:t xml:space="preserve"> Te infekcije su bile češće kod žena (8,4% </w:t>
      </w:r>
      <w:r w:rsidR="004B497E">
        <w:rPr>
          <w:noProof/>
          <w:sz w:val="22"/>
          <w:szCs w:val="22"/>
          <w:lang w:val="sr-Latn-ME"/>
        </w:rPr>
        <w:t xml:space="preserve">liječenih </w:t>
      </w:r>
      <w:r w:rsidR="004B497E" w:rsidRPr="009F254D">
        <w:rPr>
          <w:noProof/>
          <w:sz w:val="22"/>
          <w:szCs w:val="22"/>
          <w:lang w:val="sr-Latn-ME"/>
        </w:rPr>
        <w:t xml:space="preserve">dapagliflozin </w:t>
      </w:r>
      <w:r w:rsidRPr="009F254D">
        <w:rPr>
          <w:noProof/>
          <w:sz w:val="22"/>
          <w:szCs w:val="22"/>
          <w:lang w:val="sr-Latn-ME"/>
        </w:rPr>
        <w:t xml:space="preserve">i 1,2% </w:t>
      </w:r>
      <w:r w:rsidR="004B497E">
        <w:rPr>
          <w:noProof/>
          <w:sz w:val="22"/>
          <w:szCs w:val="22"/>
          <w:lang w:val="sr-Latn-ME"/>
        </w:rPr>
        <w:t>onih koje su primale</w:t>
      </w:r>
      <w:r w:rsidRPr="009F254D">
        <w:rPr>
          <w:noProof/>
          <w:sz w:val="22"/>
          <w:szCs w:val="22"/>
          <w:lang w:val="sr-Latn-ME"/>
        </w:rPr>
        <w:t xml:space="preserve"> placebo), a pojava rekurentne infekcije vjerovatnija je kod ispitanika kod kojih se i ranije javljala.</w:t>
      </w:r>
    </w:p>
    <w:p w14:paraId="5072AE35" w14:textId="77777777" w:rsidR="003B2D97" w:rsidRPr="009F254D" w:rsidRDefault="003B2D97" w:rsidP="00FA635D">
      <w:pPr>
        <w:tabs>
          <w:tab w:val="left" w:pos="284"/>
        </w:tabs>
        <w:jc w:val="both"/>
        <w:rPr>
          <w:noProof/>
          <w:sz w:val="22"/>
          <w:szCs w:val="22"/>
          <w:lang w:val="sr-Latn-ME"/>
        </w:rPr>
      </w:pPr>
    </w:p>
    <w:p w14:paraId="5A91FC25" w14:textId="55BA6646" w:rsidR="003B2D97" w:rsidRPr="009F254D" w:rsidRDefault="003B2D97" w:rsidP="00FA635D">
      <w:pPr>
        <w:tabs>
          <w:tab w:val="left" w:pos="284"/>
        </w:tabs>
        <w:jc w:val="both"/>
        <w:rPr>
          <w:noProof/>
          <w:sz w:val="22"/>
          <w:szCs w:val="22"/>
          <w:lang w:val="sr-Latn-ME"/>
        </w:rPr>
      </w:pPr>
      <w:r w:rsidRPr="009F254D">
        <w:rPr>
          <w:noProof/>
          <w:sz w:val="22"/>
          <w:szCs w:val="22"/>
          <w:lang w:val="sr-Latn-ME"/>
        </w:rPr>
        <w:t xml:space="preserve">U </w:t>
      </w:r>
      <w:r w:rsidR="008264B5" w:rsidRPr="008264B5">
        <w:rPr>
          <w:noProof/>
          <w:sz w:val="22"/>
          <w:szCs w:val="22"/>
          <w:lang w:val="sr-Latn-ME"/>
        </w:rPr>
        <w:t xml:space="preserve">DECLARE </w:t>
      </w:r>
      <w:r w:rsidRPr="009F254D">
        <w:rPr>
          <w:noProof/>
          <w:sz w:val="22"/>
          <w:szCs w:val="22"/>
          <w:lang w:val="sr-Latn-ME"/>
        </w:rPr>
        <w:t>studiji, broj pacijenata sa ozbiljnim neželjenim događajima genitalnih infekcija bio je malobrojan i uravnotežen: 2 pacijenta u svakoj grupi koja je primala i dapagliflozin i placebo.</w:t>
      </w:r>
    </w:p>
    <w:p w14:paraId="2D830FED" w14:textId="77777777" w:rsidR="003B2D97" w:rsidRPr="009F254D" w:rsidRDefault="003B2D97" w:rsidP="00FA635D">
      <w:pPr>
        <w:tabs>
          <w:tab w:val="left" w:pos="284"/>
        </w:tabs>
        <w:jc w:val="both"/>
        <w:rPr>
          <w:noProof/>
          <w:sz w:val="22"/>
          <w:szCs w:val="22"/>
          <w:lang w:val="sr-Latn-ME"/>
        </w:rPr>
      </w:pPr>
    </w:p>
    <w:p w14:paraId="1806D3F0" w14:textId="77777777" w:rsidR="003B2D97" w:rsidRPr="009F254D" w:rsidRDefault="003B2D97" w:rsidP="00FA635D">
      <w:pPr>
        <w:keepNext/>
        <w:keepLines/>
        <w:tabs>
          <w:tab w:val="left" w:pos="284"/>
        </w:tabs>
        <w:jc w:val="both"/>
        <w:rPr>
          <w:i/>
          <w:noProof/>
          <w:sz w:val="22"/>
          <w:szCs w:val="22"/>
          <w:lang w:val="sr-Latn-ME"/>
        </w:rPr>
      </w:pPr>
      <w:r w:rsidRPr="009F254D">
        <w:rPr>
          <w:i/>
          <w:iCs/>
          <w:noProof/>
          <w:sz w:val="22"/>
          <w:szCs w:val="22"/>
          <w:lang w:val="sr-Latn-ME"/>
        </w:rPr>
        <w:lastRenderedPageBreak/>
        <w:t>Nekrotizirajući fasciitis perineuma (Furnijeova gangrena)</w:t>
      </w:r>
    </w:p>
    <w:p w14:paraId="58FD53AF" w14:textId="02E116B3" w:rsidR="003B2D97" w:rsidRPr="009F254D" w:rsidRDefault="003B2D97" w:rsidP="00FA635D">
      <w:pPr>
        <w:tabs>
          <w:tab w:val="left" w:pos="284"/>
        </w:tabs>
        <w:jc w:val="both"/>
        <w:rPr>
          <w:noProof/>
          <w:sz w:val="22"/>
          <w:szCs w:val="22"/>
          <w:lang w:val="sr-Latn-ME"/>
        </w:rPr>
      </w:pPr>
      <w:r w:rsidRPr="009F254D">
        <w:rPr>
          <w:noProof/>
          <w:sz w:val="22"/>
          <w:szCs w:val="22"/>
          <w:lang w:val="sr-Latn-ME"/>
        </w:rPr>
        <w:t xml:space="preserve">Slučajevi Furnijeove gangrene zabilježeni su u postmarketinškom praćenju pacijenata koji su uzimali inhibitore SGLT2, uključujući dapagliflozin (pogledati </w:t>
      </w:r>
      <w:r w:rsidR="000128F6" w:rsidRPr="009F254D">
        <w:rPr>
          <w:noProof/>
          <w:sz w:val="22"/>
          <w:szCs w:val="22"/>
          <w:lang w:val="sr-Latn-ME"/>
        </w:rPr>
        <w:t>dio</w:t>
      </w:r>
      <w:r w:rsidRPr="009F254D">
        <w:rPr>
          <w:noProof/>
          <w:sz w:val="22"/>
          <w:szCs w:val="22"/>
          <w:lang w:val="sr-Latn-ME"/>
        </w:rPr>
        <w:t xml:space="preserve"> 4.4).</w:t>
      </w:r>
    </w:p>
    <w:p w14:paraId="098054F1" w14:textId="77777777" w:rsidR="003B2D97" w:rsidRPr="009F254D" w:rsidRDefault="003B2D97" w:rsidP="00FA635D">
      <w:pPr>
        <w:tabs>
          <w:tab w:val="left" w:pos="284"/>
        </w:tabs>
        <w:jc w:val="both"/>
        <w:rPr>
          <w:noProof/>
          <w:sz w:val="22"/>
          <w:szCs w:val="22"/>
          <w:lang w:val="sr-Latn-ME"/>
        </w:rPr>
      </w:pPr>
    </w:p>
    <w:p w14:paraId="1B475867" w14:textId="6AF2675D" w:rsidR="003B2D97" w:rsidRPr="009F254D" w:rsidRDefault="003B2D97" w:rsidP="00FA635D">
      <w:pPr>
        <w:tabs>
          <w:tab w:val="left" w:pos="284"/>
        </w:tabs>
        <w:jc w:val="both"/>
        <w:rPr>
          <w:noProof/>
          <w:sz w:val="22"/>
          <w:szCs w:val="22"/>
          <w:lang w:val="sr-Latn-ME"/>
        </w:rPr>
      </w:pPr>
      <w:r w:rsidRPr="009F254D">
        <w:rPr>
          <w:noProof/>
          <w:sz w:val="22"/>
          <w:szCs w:val="22"/>
          <w:lang w:val="sr-Latn-ME"/>
        </w:rPr>
        <w:t xml:space="preserve">U </w:t>
      </w:r>
      <w:r w:rsidR="008264B5" w:rsidRPr="008264B5">
        <w:rPr>
          <w:noProof/>
          <w:sz w:val="22"/>
          <w:szCs w:val="22"/>
          <w:lang w:val="sr-Latn-ME"/>
        </w:rPr>
        <w:t xml:space="preserve">DECLARE </w:t>
      </w:r>
      <w:r w:rsidRPr="009F254D">
        <w:rPr>
          <w:noProof/>
          <w:sz w:val="22"/>
          <w:szCs w:val="22"/>
          <w:lang w:val="sr-Latn-ME"/>
        </w:rPr>
        <w:t>studiji na 17.160 pacijenata sa dijabetesom tipa 2 i medijanom vremena izloženosti od 48 mjeseci, ukupno je zabilježeno šest slučajeva Furnijeove gangrene – jedan u grupi koja je liječena dapagliflozinom i 5 u grupi koja je primala placebo.</w:t>
      </w:r>
    </w:p>
    <w:p w14:paraId="1B171966" w14:textId="77777777" w:rsidR="003B2D97" w:rsidRPr="009F254D" w:rsidRDefault="003B2D97" w:rsidP="00FA635D">
      <w:pPr>
        <w:tabs>
          <w:tab w:val="left" w:pos="284"/>
        </w:tabs>
        <w:jc w:val="both"/>
        <w:rPr>
          <w:noProof/>
          <w:sz w:val="22"/>
          <w:szCs w:val="22"/>
          <w:lang w:val="sr-Latn-ME"/>
        </w:rPr>
      </w:pPr>
    </w:p>
    <w:p w14:paraId="60361773" w14:textId="77777777" w:rsidR="003B2D97" w:rsidRPr="009F254D" w:rsidRDefault="003B2D97" w:rsidP="00FA635D">
      <w:pPr>
        <w:keepNext/>
        <w:keepLines/>
        <w:tabs>
          <w:tab w:val="left" w:pos="284"/>
        </w:tabs>
        <w:jc w:val="both"/>
        <w:rPr>
          <w:iCs/>
          <w:noProof/>
          <w:sz w:val="22"/>
          <w:szCs w:val="22"/>
          <w:lang w:val="sr-Latn-ME"/>
        </w:rPr>
      </w:pPr>
      <w:r w:rsidRPr="009F254D">
        <w:rPr>
          <w:i/>
          <w:iCs/>
          <w:noProof/>
          <w:sz w:val="22"/>
          <w:szCs w:val="22"/>
          <w:lang w:val="sr-Latn-ME"/>
        </w:rPr>
        <w:t>Hipoglikemija</w:t>
      </w:r>
    </w:p>
    <w:p w14:paraId="162E75DD" w14:textId="77777777" w:rsidR="003B2D97" w:rsidRPr="009F254D" w:rsidRDefault="003B2D97" w:rsidP="00FA635D">
      <w:pPr>
        <w:tabs>
          <w:tab w:val="left" w:pos="284"/>
        </w:tabs>
        <w:jc w:val="both"/>
        <w:rPr>
          <w:noProof/>
          <w:sz w:val="22"/>
          <w:szCs w:val="22"/>
          <w:lang w:val="sr-Latn-ME"/>
        </w:rPr>
      </w:pPr>
      <w:r w:rsidRPr="009F254D">
        <w:rPr>
          <w:noProof/>
          <w:sz w:val="22"/>
          <w:szCs w:val="22"/>
          <w:lang w:val="sr-Latn-ME"/>
        </w:rPr>
        <w:t>Učestalost hipoglikemije zavisila je od tipa osnovne terapije u svakoj studiji.</w:t>
      </w:r>
    </w:p>
    <w:p w14:paraId="0F6C6605" w14:textId="77777777" w:rsidR="003B2D97" w:rsidRPr="009F254D" w:rsidRDefault="003B2D97" w:rsidP="00FA635D">
      <w:pPr>
        <w:tabs>
          <w:tab w:val="left" w:pos="284"/>
        </w:tabs>
        <w:jc w:val="both"/>
        <w:rPr>
          <w:noProof/>
          <w:sz w:val="22"/>
          <w:szCs w:val="22"/>
          <w:lang w:val="sr-Latn-ME"/>
        </w:rPr>
      </w:pPr>
    </w:p>
    <w:p w14:paraId="4C929346" w14:textId="103091D8" w:rsidR="003B2D97" w:rsidRPr="009F254D" w:rsidRDefault="003B2D97" w:rsidP="00FA635D">
      <w:pPr>
        <w:tabs>
          <w:tab w:val="left" w:pos="284"/>
        </w:tabs>
        <w:jc w:val="both"/>
        <w:rPr>
          <w:noProof/>
          <w:sz w:val="22"/>
          <w:szCs w:val="22"/>
          <w:lang w:val="sr-Latn-ME"/>
        </w:rPr>
      </w:pPr>
      <w:r w:rsidRPr="009F254D">
        <w:rPr>
          <w:noProof/>
          <w:sz w:val="22"/>
          <w:szCs w:val="22"/>
          <w:lang w:val="sr-Latn-ME"/>
        </w:rPr>
        <w:t xml:space="preserve">Za studije dapagliflozina, kao dodatka metforminu ili kao dodatka sitagliptinu (bez metformina ili sa metforminom), učestalost manjih epizoda hipoglikemije bila je slična (&lt; 5%) među terapijskim grupama, uključujući i placebo do najviše 102 nedjelje terapije. U svim studijama nisu bili uobičajeni značajniji događaji hipoglikemije i bili su uporedivi među grupama liječenim dapagliflozinom ili placebom. U studiji lijeka kao dodatka liječenju insulinom primjećene su više stope hipoglikemije (pogledati </w:t>
      </w:r>
      <w:r w:rsidR="000128F6" w:rsidRPr="009F254D">
        <w:rPr>
          <w:noProof/>
          <w:sz w:val="22"/>
          <w:szCs w:val="22"/>
          <w:lang w:val="sr-Latn-ME"/>
        </w:rPr>
        <w:t>dio</w:t>
      </w:r>
      <w:r w:rsidRPr="009F254D">
        <w:rPr>
          <w:noProof/>
          <w:sz w:val="22"/>
          <w:szCs w:val="22"/>
          <w:lang w:val="sr-Latn-ME"/>
        </w:rPr>
        <w:t xml:space="preserve"> 4.5).</w:t>
      </w:r>
    </w:p>
    <w:p w14:paraId="2E28CCE2" w14:textId="77777777" w:rsidR="003B2D97" w:rsidRPr="009F254D" w:rsidRDefault="003B2D97" w:rsidP="00FA635D">
      <w:pPr>
        <w:tabs>
          <w:tab w:val="left" w:pos="284"/>
        </w:tabs>
        <w:jc w:val="both"/>
        <w:rPr>
          <w:noProof/>
          <w:sz w:val="22"/>
          <w:szCs w:val="22"/>
          <w:lang w:val="sr-Latn-ME"/>
        </w:rPr>
      </w:pPr>
    </w:p>
    <w:p w14:paraId="6E48B584" w14:textId="6F5FA993" w:rsidR="003B2D97" w:rsidRPr="009F254D" w:rsidRDefault="003B2D97" w:rsidP="00FA635D">
      <w:pPr>
        <w:tabs>
          <w:tab w:val="left" w:pos="284"/>
        </w:tabs>
        <w:jc w:val="both"/>
        <w:rPr>
          <w:noProof/>
          <w:sz w:val="22"/>
          <w:szCs w:val="22"/>
          <w:lang w:val="sr-Latn-ME"/>
        </w:rPr>
      </w:pPr>
      <w:r w:rsidRPr="009F254D">
        <w:rPr>
          <w:noProof/>
          <w:sz w:val="22"/>
          <w:szCs w:val="22"/>
          <w:lang w:val="sr-Latn-ME"/>
        </w:rPr>
        <w:t>U studiji lijeka kao dodatka liječenju insulinom u trajanju do 10</w:t>
      </w:r>
      <w:r w:rsidR="000128F6" w:rsidRPr="009F254D">
        <w:rPr>
          <w:noProof/>
          <w:sz w:val="22"/>
          <w:szCs w:val="22"/>
          <w:lang w:val="sr-Latn-ME"/>
        </w:rPr>
        <w:t>4</w:t>
      </w:r>
      <w:r w:rsidRPr="009F254D">
        <w:rPr>
          <w:noProof/>
          <w:sz w:val="22"/>
          <w:szCs w:val="22"/>
          <w:lang w:val="sr-Latn-ME"/>
        </w:rPr>
        <w:t xml:space="preserve"> nedjelje </w:t>
      </w:r>
      <w:r w:rsidRPr="009F254D">
        <w:rPr>
          <w:sz w:val="22"/>
          <w:szCs w:val="22"/>
          <w:lang w:val="sr-Latn-ME"/>
        </w:rPr>
        <w:t xml:space="preserve">zabilježene su epizode značajne hipoglikemije kod 0,5% i 1,0% ispitanika liječenih dapagliflozinom od 10 mg u kombinaciji sa insulinom u 24, odnosno 104. nedjelji, i kod 0,5% ispitanika koji su primali placebo u kombinaciji sa insulinom u 24. i 104. nedjelji. U 24. i 104. nedjelji </w:t>
      </w:r>
      <w:r w:rsidRPr="009F254D">
        <w:rPr>
          <w:noProof/>
          <w:sz w:val="22"/>
          <w:szCs w:val="22"/>
          <w:lang w:val="sr-Latn-ME"/>
        </w:rPr>
        <w:t>zabilježene su manje epizode hipoglikemije kod 40,3%, odnosno 53,1% ispitanika koji su primali dapagliflozin od 10 mg u kombinaciji sa insulinom i kod 34,0% i 41,6% ispitanika koji su primali placebo u kombinaciji sa insulinom.</w:t>
      </w:r>
    </w:p>
    <w:p w14:paraId="76688ABA" w14:textId="77777777" w:rsidR="003B2D97" w:rsidRPr="009F254D" w:rsidRDefault="003B2D97" w:rsidP="00FA635D">
      <w:pPr>
        <w:tabs>
          <w:tab w:val="left" w:pos="284"/>
        </w:tabs>
        <w:jc w:val="both"/>
        <w:rPr>
          <w:noProof/>
          <w:sz w:val="22"/>
          <w:szCs w:val="22"/>
          <w:lang w:val="sr-Latn-ME"/>
        </w:rPr>
      </w:pPr>
    </w:p>
    <w:p w14:paraId="239EF27D" w14:textId="5C44A371" w:rsidR="003B2D97" w:rsidRPr="009F254D" w:rsidRDefault="003B2D97" w:rsidP="00FA635D">
      <w:pPr>
        <w:tabs>
          <w:tab w:val="left" w:pos="284"/>
        </w:tabs>
        <w:jc w:val="both"/>
        <w:rPr>
          <w:noProof/>
          <w:sz w:val="22"/>
          <w:szCs w:val="22"/>
          <w:lang w:val="sr-Latn-ME"/>
        </w:rPr>
      </w:pPr>
      <w:r w:rsidRPr="009F254D">
        <w:rPr>
          <w:noProof/>
          <w:sz w:val="22"/>
          <w:szCs w:val="22"/>
          <w:lang w:val="sr-Latn-ME"/>
        </w:rPr>
        <w:t xml:space="preserve">U </w:t>
      </w:r>
      <w:r w:rsidR="008264B5" w:rsidRPr="008264B5">
        <w:rPr>
          <w:noProof/>
          <w:sz w:val="22"/>
          <w:szCs w:val="22"/>
          <w:lang w:val="sr-Latn-ME"/>
        </w:rPr>
        <w:t xml:space="preserve">DECLARE </w:t>
      </w:r>
      <w:r w:rsidRPr="009F254D">
        <w:rPr>
          <w:noProof/>
          <w:sz w:val="22"/>
          <w:szCs w:val="22"/>
          <w:lang w:val="sr-Latn-ME"/>
        </w:rPr>
        <w:t>studiji nije zabilježen povišeni rizik od značajne hipoglikemije uz terapiju dapagliflozinom u poređenju sa placebom. Značajni događaji hipoglikemije zabilježeni su kod 58 (0,7%) pacijenata liječenih dapagliflozinom i 83 (1,0%) pacijenta liječena placebom.</w:t>
      </w:r>
    </w:p>
    <w:p w14:paraId="029C9D84" w14:textId="77777777" w:rsidR="003B2D97" w:rsidRPr="009F254D" w:rsidRDefault="003B2D97" w:rsidP="00FA635D">
      <w:pPr>
        <w:keepNext/>
        <w:keepLines/>
        <w:tabs>
          <w:tab w:val="left" w:pos="284"/>
        </w:tabs>
        <w:jc w:val="both"/>
        <w:rPr>
          <w:noProof/>
          <w:sz w:val="22"/>
          <w:szCs w:val="22"/>
          <w:lang w:val="sr-Latn-ME"/>
        </w:rPr>
      </w:pPr>
      <w:r w:rsidRPr="009F254D">
        <w:rPr>
          <w:i/>
          <w:iCs/>
          <w:noProof/>
          <w:sz w:val="22"/>
          <w:szCs w:val="22"/>
          <w:lang w:val="sr-Latn-ME"/>
        </w:rPr>
        <w:t>Smanjenje zapremine tečnosti</w:t>
      </w:r>
    </w:p>
    <w:p w14:paraId="4D5374FE" w14:textId="6E1BE7E3" w:rsidR="003B2D97" w:rsidRPr="009F254D" w:rsidRDefault="003B2D97" w:rsidP="00FA635D">
      <w:pPr>
        <w:tabs>
          <w:tab w:val="left" w:pos="284"/>
        </w:tabs>
        <w:jc w:val="both"/>
        <w:rPr>
          <w:sz w:val="22"/>
          <w:szCs w:val="22"/>
          <w:lang w:val="sr-Latn-ME"/>
        </w:rPr>
      </w:pPr>
      <w:r w:rsidRPr="009F254D">
        <w:rPr>
          <w:sz w:val="22"/>
          <w:szCs w:val="22"/>
          <w:lang w:val="sr-Latn-ME"/>
        </w:rPr>
        <w:t xml:space="preserve">U objedinjenim podacima o bezbjednosti iz 13 studija reakcije koje su ukazivale na smanjenje zapremine tečnosti (uključujući i dehidrataciju, hipovolemiju ili hipotenziju) zabilježene su kod 1,1%, odnosno 0,7% ispitanika koji su primili </w:t>
      </w:r>
      <w:r w:rsidRPr="009F254D">
        <w:rPr>
          <w:noProof/>
          <w:sz w:val="22"/>
          <w:szCs w:val="22"/>
          <w:lang w:val="sr-Latn-ME"/>
        </w:rPr>
        <w:t>dapagliflozin</w:t>
      </w:r>
      <w:r w:rsidRPr="009F254D">
        <w:rPr>
          <w:sz w:val="22"/>
          <w:szCs w:val="22"/>
          <w:lang w:val="sr-Latn-ME"/>
        </w:rPr>
        <w:t xml:space="preserve"> od 10 mg, odnosno placebo; do ozbiljnih reakcija došlo je kod manje od 0,2% ispitanika, i bile su pravilno raspoređene na one koji su primali </w:t>
      </w:r>
      <w:r w:rsidRPr="009F254D">
        <w:rPr>
          <w:noProof/>
          <w:sz w:val="22"/>
          <w:szCs w:val="22"/>
          <w:lang w:val="sr-Latn-ME"/>
        </w:rPr>
        <w:t xml:space="preserve">dapagliflozin </w:t>
      </w:r>
      <w:r w:rsidRPr="009F254D">
        <w:rPr>
          <w:sz w:val="22"/>
          <w:szCs w:val="22"/>
          <w:lang w:val="sr-Latn-ME"/>
        </w:rPr>
        <w:t xml:space="preserve">od 10 mg i placebo (pogledati </w:t>
      </w:r>
      <w:r w:rsidR="00FD307A" w:rsidRPr="009F254D">
        <w:rPr>
          <w:sz w:val="22"/>
          <w:szCs w:val="22"/>
          <w:lang w:val="sr-Latn-ME"/>
        </w:rPr>
        <w:t>dio</w:t>
      </w:r>
      <w:r w:rsidRPr="009F254D">
        <w:rPr>
          <w:sz w:val="22"/>
          <w:szCs w:val="22"/>
          <w:lang w:val="sr-Latn-ME"/>
        </w:rPr>
        <w:t> 4.4).</w:t>
      </w:r>
    </w:p>
    <w:p w14:paraId="15BC1C47" w14:textId="77777777" w:rsidR="003B2D97" w:rsidRPr="009F254D" w:rsidRDefault="003B2D97" w:rsidP="00FA635D">
      <w:pPr>
        <w:tabs>
          <w:tab w:val="left" w:pos="284"/>
        </w:tabs>
        <w:jc w:val="both"/>
        <w:rPr>
          <w:sz w:val="22"/>
          <w:szCs w:val="22"/>
          <w:lang w:val="sr-Latn-ME"/>
        </w:rPr>
      </w:pPr>
    </w:p>
    <w:p w14:paraId="6C959EC4" w14:textId="2F72FF40" w:rsidR="003B2D97" w:rsidRPr="009F254D" w:rsidRDefault="003B2D97" w:rsidP="00FA635D">
      <w:pPr>
        <w:tabs>
          <w:tab w:val="left" w:pos="284"/>
        </w:tabs>
        <w:jc w:val="both"/>
        <w:rPr>
          <w:sz w:val="22"/>
          <w:szCs w:val="22"/>
          <w:lang w:val="sr-Latn-ME"/>
        </w:rPr>
      </w:pPr>
      <w:r w:rsidRPr="009F254D">
        <w:rPr>
          <w:sz w:val="22"/>
          <w:szCs w:val="22"/>
          <w:lang w:val="sr-Latn-ME"/>
        </w:rPr>
        <w:t xml:space="preserve">U </w:t>
      </w:r>
      <w:r w:rsidR="008264B5" w:rsidRPr="008264B5">
        <w:rPr>
          <w:sz w:val="22"/>
          <w:szCs w:val="22"/>
          <w:lang w:val="sr-Latn-ME"/>
        </w:rPr>
        <w:t xml:space="preserve">DECLARE </w:t>
      </w:r>
      <w:r w:rsidRPr="009F254D">
        <w:rPr>
          <w:sz w:val="22"/>
          <w:szCs w:val="22"/>
          <w:lang w:val="sr-Latn-ME"/>
        </w:rPr>
        <w:t>studiji brojevi pacijenata sa događajima koji su ukazivali na smanjenje zapremine tečnosti bili su jednako raspoređeni na terapijske grupe: 213 (2,5%) u grupi koja je primala dapagliflozin i 207 (2,4%) u grupi koja je primala placebo. Ozbiljni neželjeni događaji zabilježeni su kod njih 81 (0,9%) u grupi koja je primala dapagliflozin i 70 (0,8%) u grupi koja je primala placebo. Događaji su generalno bili jednako raspoređeni na terapijske grupe u svim podgrupama prema uzrastu, primeni diuretika, krvnom pritisku i primjeni ACE</w:t>
      </w:r>
      <w:r w:rsidRPr="009F254D">
        <w:rPr>
          <w:sz w:val="22"/>
          <w:szCs w:val="22"/>
          <w:lang w:val="sr-Latn-ME"/>
        </w:rPr>
        <w:noBreakHyphen/>
        <w:t>I/ARB. Kod pacijenata sa eGFR &lt; 60 ml/min/1,73 m</w:t>
      </w:r>
      <w:r w:rsidRPr="009F254D">
        <w:rPr>
          <w:sz w:val="22"/>
          <w:szCs w:val="22"/>
          <w:vertAlign w:val="superscript"/>
          <w:lang w:val="sr-Latn-ME"/>
        </w:rPr>
        <w:t>2</w:t>
      </w:r>
      <w:r w:rsidRPr="009F254D">
        <w:rPr>
          <w:sz w:val="22"/>
          <w:szCs w:val="22"/>
          <w:lang w:val="sr-Latn-ME"/>
        </w:rPr>
        <w:t xml:space="preserve"> na početku, bilo je 19 ozbiljnih neželjenih događaja koji su ukazivali na smanjenje zapremine tečnosti u grupi koja je primala dapagliflozin i 13 događaja u grupi koja je primala placebo.</w:t>
      </w:r>
    </w:p>
    <w:p w14:paraId="42F8B047" w14:textId="77777777" w:rsidR="003B2D97" w:rsidRPr="009F254D" w:rsidRDefault="003B2D97" w:rsidP="00FA635D">
      <w:pPr>
        <w:tabs>
          <w:tab w:val="left" w:pos="284"/>
        </w:tabs>
        <w:jc w:val="both"/>
        <w:rPr>
          <w:sz w:val="22"/>
          <w:szCs w:val="22"/>
          <w:lang w:val="sr-Latn-ME"/>
        </w:rPr>
      </w:pPr>
    </w:p>
    <w:p w14:paraId="598F5CFF" w14:textId="77777777" w:rsidR="003B2D97" w:rsidRPr="009F254D" w:rsidRDefault="003B2D97" w:rsidP="00FA635D">
      <w:pPr>
        <w:keepNext/>
        <w:keepLines/>
        <w:tabs>
          <w:tab w:val="left" w:pos="284"/>
        </w:tabs>
        <w:jc w:val="both"/>
        <w:rPr>
          <w:i/>
          <w:noProof/>
          <w:sz w:val="22"/>
          <w:szCs w:val="22"/>
          <w:lang w:val="sr-Latn-ME"/>
        </w:rPr>
      </w:pPr>
      <w:r w:rsidRPr="009F254D">
        <w:rPr>
          <w:i/>
          <w:iCs/>
          <w:noProof/>
          <w:sz w:val="22"/>
          <w:szCs w:val="22"/>
          <w:lang w:val="sr-Latn-ME"/>
        </w:rPr>
        <w:t>Dijabetesna ketoacidoza</w:t>
      </w:r>
    </w:p>
    <w:p w14:paraId="6BEF8E3B" w14:textId="69B70E18" w:rsidR="003B2D97" w:rsidRPr="009F254D" w:rsidRDefault="003B2D97" w:rsidP="00FA635D">
      <w:pPr>
        <w:tabs>
          <w:tab w:val="left" w:pos="284"/>
        </w:tabs>
        <w:jc w:val="both"/>
        <w:rPr>
          <w:sz w:val="22"/>
          <w:szCs w:val="22"/>
          <w:lang w:val="sr-Latn-ME"/>
        </w:rPr>
      </w:pPr>
      <w:r w:rsidRPr="009F254D">
        <w:rPr>
          <w:noProof/>
          <w:sz w:val="22"/>
          <w:szCs w:val="22"/>
          <w:lang w:val="sr-Latn-ME"/>
        </w:rPr>
        <w:t xml:space="preserve">U </w:t>
      </w:r>
      <w:r w:rsidR="008264B5" w:rsidRPr="008264B5">
        <w:rPr>
          <w:noProof/>
          <w:sz w:val="22"/>
          <w:szCs w:val="22"/>
          <w:lang w:val="sr-Latn-ME"/>
        </w:rPr>
        <w:t xml:space="preserve">DECLARE </w:t>
      </w:r>
      <w:r w:rsidRPr="009F254D">
        <w:rPr>
          <w:noProof/>
          <w:sz w:val="22"/>
          <w:szCs w:val="22"/>
          <w:lang w:val="sr-Latn-ME"/>
        </w:rPr>
        <w:t xml:space="preserve">studiji sa medijanom vremena izloženosti od 48 mjeseci, događaji DKA zabilježeni su kod 27 pacijenata u grupi koja je primala dapagliflozin od 10 mg i 12 pacijenata u grupi koja je primala placebo. Događaji su se javljali uz jednaku distribuciju tokom cijelog perioda trajanja studije. Od 27 pacijenata sa događajima DKA u grupi koja je primala dapagliflozin, 22 pacijenta primala su istovremenu terapiju insulinom u vrijeme tih događaja. Precipitirajući faktori za DKA bili su oni koji se inače očekuju u populaciji koja ima dijabetes melitus tipa 2 (pogledati </w:t>
      </w:r>
      <w:r w:rsidR="00FD307A" w:rsidRPr="009F254D">
        <w:rPr>
          <w:noProof/>
          <w:sz w:val="22"/>
          <w:szCs w:val="22"/>
          <w:lang w:val="sr-Latn-ME"/>
        </w:rPr>
        <w:t>dio</w:t>
      </w:r>
      <w:r w:rsidRPr="009F254D">
        <w:rPr>
          <w:noProof/>
          <w:sz w:val="22"/>
          <w:szCs w:val="22"/>
          <w:lang w:val="sr-Latn-ME"/>
        </w:rPr>
        <w:t xml:space="preserve"> 4.4).</w:t>
      </w:r>
    </w:p>
    <w:p w14:paraId="60306757" w14:textId="77777777" w:rsidR="003B2D97" w:rsidRPr="009F254D" w:rsidRDefault="003B2D97" w:rsidP="00FA635D">
      <w:pPr>
        <w:tabs>
          <w:tab w:val="left" w:pos="284"/>
        </w:tabs>
        <w:jc w:val="both"/>
        <w:rPr>
          <w:sz w:val="22"/>
          <w:szCs w:val="22"/>
          <w:lang w:val="sr-Latn-ME"/>
        </w:rPr>
      </w:pPr>
    </w:p>
    <w:p w14:paraId="3BF962D3" w14:textId="77777777" w:rsidR="003B2D97" w:rsidRPr="009F254D" w:rsidRDefault="003B2D97" w:rsidP="00FA635D">
      <w:pPr>
        <w:keepNext/>
        <w:keepLines/>
        <w:tabs>
          <w:tab w:val="left" w:pos="284"/>
        </w:tabs>
        <w:jc w:val="both"/>
        <w:rPr>
          <w:noProof/>
          <w:sz w:val="22"/>
          <w:szCs w:val="22"/>
          <w:lang w:val="sr-Latn-ME"/>
        </w:rPr>
      </w:pPr>
      <w:r w:rsidRPr="009F254D">
        <w:rPr>
          <w:i/>
          <w:iCs/>
          <w:noProof/>
          <w:sz w:val="22"/>
          <w:szCs w:val="22"/>
          <w:lang w:val="sr-Latn-ME"/>
        </w:rPr>
        <w:t>Infekcije urinarnog trakta</w:t>
      </w:r>
    </w:p>
    <w:p w14:paraId="695119E8" w14:textId="1712196B" w:rsidR="003B2D97" w:rsidRPr="009F254D" w:rsidRDefault="003B2D97" w:rsidP="00FA635D">
      <w:pPr>
        <w:tabs>
          <w:tab w:val="left" w:pos="284"/>
        </w:tabs>
        <w:jc w:val="both"/>
        <w:rPr>
          <w:noProof/>
          <w:sz w:val="22"/>
          <w:szCs w:val="22"/>
          <w:lang w:val="sr-Latn-ME"/>
        </w:rPr>
      </w:pPr>
      <w:r w:rsidRPr="009F254D">
        <w:rPr>
          <w:noProof/>
          <w:sz w:val="22"/>
          <w:szCs w:val="22"/>
          <w:lang w:val="sr-Latn-ME"/>
        </w:rPr>
        <w:t xml:space="preserve">U objedinjenim podacima o bezbjednosti iz 13 studija infekcije urinarnog trakta češće su bilježene za dapagliflozin u poređenju sa placebom (4,7% u poređenju sa 3,5%; pogledati </w:t>
      </w:r>
      <w:r w:rsidR="00FD307A" w:rsidRPr="009F254D">
        <w:rPr>
          <w:noProof/>
          <w:sz w:val="22"/>
          <w:szCs w:val="22"/>
          <w:lang w:val="sr-Latn-ME"/>
        </w:rPr>
        <w:t>dio</w:t>
      </w:r>
      <w:r w:rsidRPr="009F254D">
        <w:rPr>
          <w:noProof/>
          <w:sz w:val="22"/>
          <w:szCs w:val="22"/>
          <w:lang w:val="sr-Latn-ME"/>
        </w:rPr>
        <w:t xml:space="preserve"> 4.4). Većina infekcija bile su blage do umjerene, a ispitanici su reagovali na inicijalnu standardnu terapiju i rijetko je bilo </w:t>
      </w:r>
      <w:r w:rsidRPr="009F254D">
        <w:rPr>
          <w:noProof/>
          <w:sz w:val="22"/>
          <w:szCs w:val="22"/>
          <w:lang w:val="sr-Latn-ME"/>
        </w:rPr>
        <w:lastRenderedPageBreak/>
        <w:t>trajnog prekida terapije dapagliflozinom. Te infekcije su bile češće kod žena, a pojava rekurentne infekcije bila je vjerovatnija kod ispitanika kod kojih se i ranije javljala.</w:t>
      </w:r>
    </w:p>
    <w:p w14:paraId="675BD0A4" w14:textId="77777777" w:rsidR="003B2D97" w:rsidRPr="009F254D" w:rsidRDefault="003B2D97" w:rsidP="00FA635D">
      <w:pPr>
        <w:tabs>
          <w:tab w:val="left" w:pos="284"/>
        </w:tabs>
        <w:jc w:val="both"/>
        <w:rPr>
          <w:noProof/>
          <w:sz w:val="22"/>
          <w:szCs w:val="22"/>
          <w:lang w:val="sr-Latn-ME"/>
        </w:rPr>
      </w:pPr>
    </w:p>
    <w:p w14:paraId="48600AFB" w14:textId="098E87D5" w:rsidR="003B2D97" w:rsidRPr="009F254D" w:rsidRDefault="003B2D97" w:rsidP="00FA635D">
      <w:pPr>
        <w:tabs>
          <w:tab w:val="left" w:pos="284"/>
        </w:tabs>
        <w:jc w:val="both"/>
        <w:rPr>
          <w:noProof/>
          <w:sz w:val="22"/>
          <w:szCs w:val="22"/>
          <w:lang w:val="sr-Latn-ME"/>
        </w:rPr>
      </w:pPr>
      <w:r w:rsidRPr="009F254D">
        <w:rPr>
          <w:noProof/>
          <w:sz w:val="22"/>
          <w:szCs w:val="22"/>
          <w:lang w:val="sr-Latn-ME"/>
        </w:rPr>
        <w:t xml:space="preserve">U </w:t>
      </w:r>
      <w:r w:rsidR="008264B5" w:rsidRPr="008264B5">
        <w:rPr>
          <w:noProof/>
          <w:sz w:val="22"/>
          <w:szCs w:val="22"/>
          <w:lang w:val="sr-Latn-ME"/>
        </w:rPr>
        <w:t xml:space="preserve">DECLARE </w:t>
      </w:r>
      <w:r w:rsidRPr="009F254D">
        <w:rPr>
          <w:noProof/>
          <w:sz w:val="22"/>
          <w:szCs w:val="22"/>
          <w:lang w:val="sr-Latn-ME"/>
        </w:rPr>
        <w:t>studiji r</w:t>
      </w:r>
      <w:r w:rsidR="00374C31" w:rsidRPr="009F254D">
        <w:rPr>
          <w:noProof/>
          <w:sz w:val="22"/>
          <w:szCs w:val="22"/>
          <w:lang w:val="sr-Latn-ME"/>
        </w:rPr>
        <w:t>ij</w:t>
      </w:r>
      <w:r w:rsidRPr="009F254D">
        <w:rPr>
          <w:noProof/>
          <w:sz w:val="22"/>
          <w:szCs w:val="22"/>
          <w:lang w:val="sr-Latn-ME"/>
        </w:rPr>
        <w:t>eđe su b</w:t>
      </w:r>
      <w:r w:rsidR="00FD307A" w:rsidRPr="009F254D">
        <w:rPr>
          <w:noProof/>
          <w:sz w:val="22"/>
          <w:szCs w:val="22"/>
          <w:lang w:val="sr-Latn-ME"/>
        </w:rPr>
        <w:t>i</w:t>
      </w:r>
      <w:r w:rsidRPr="009F254D">
        <w:rPr>
          <w:noProof/>
          <w:sz w:val="22"/>
          <w:szCs w:val="22"/>
          <w:lang w:val="sr-Latn-ME"/>
        </w:rPr>
        <w:t>l</w:t>
      </w:r>
      <w:r w:rsidR="00FD307A" w:rsidRPr="009F254D">
        <w:rPr>
          <w:noProof/>
          <w:sz w:val="22"/>
          <w:szCs w:val="22"/>
          <w:lang w:val="sr-Latn-ME"/>
        </w:rPr>
        <w:t>j</w:t>
      </w:r>
      <w:r w:rsidRPr="009F254D">
        <w:rPr>
          <w:noProof/>
          <w:sz w:val="22"/>
          <w:szCs w:val="22"/>
          <w:lang w:val="sr-Latn-ME"/>
        </w:rPr>
        <w:t>eženi ozbiljni događaji infekcija urinarnog trakta za dapagliflozin od 10 mg u poređenju sa placebom, 79 (0,9%) događaja u poređenju sa 109 (1,3%) događaja.</w:t>
      </w:r>
    </w:p>
    <w:p w14:paraId="27920C23" w14:textId="77777777" w:rsidR="003B2D97" w:rsidRPr="009F254D" w:rsidRDefault="003B2D97" w:rsidP="00FA635D">
      <w:pPr>
        <w:tabs>
          <w:tab w:val="left" w:pos="284"/>
        </w:tabs>
        <w:jc w:val="both"/>
        <w:rPr>
          <w:noProof/>
          <w:sz w:val="22"/>
          <w:szCs w:val="22"/>
          <w:lang w:val="sr-Latn-ME"/>
        </w:rPr>
      </w:pPr>
    </w:p>
    <w:p w14:paraId="28E86319" w14:textId="77777777" w:rsidR="003B2D97" w:rsidRPr="009F254D" w:rsidRDefault="003B2D97" w:rsidP="00FA635D">
      <w:pPr>
        <w:keepNext/>
        <w:keepLines/>
        <w:tabs>
          <w:tab w:val="left" w:pos="284"/>
        </w:tabs>
        <w:jc w:val="both"/>
        <w:rPr>
          <w:i/>
          <w:sz w:val="22"/>
          <w:szCs w:val="22"/>
          <w:lang w:val="sr-Latn-ME"/>
        </w:rPr>
      </w:pPr>
      <w:r w:rsidRPr="009F254D">
        <w:rPr>
          <w:i/>
          <w:iCs/>
          <w:sz w:val="22"/>
          <w:szCs w:val="22"/>
          <w:lang w:val="sr-Latn-ME"/>
        </w:rPr>
        <w:t>Povišen nivo kreatinina</w:t>
      </w:r>
    </w:p>
    <w:p w14:paraId="762E7B63" w14:textId="2BD231BB" w:rsidR="003B2D97" w:rsidRPr="009F254D" w:rsidRDefault="003B2D97" w:rsidP="00FA635D">
      <w:pPr>
        <w:tabs>
          <w:tab w:val="left" w:pos="284"/>
        </w:tabs>
        <w:jc w:val="both"/>
        <w:rPr>
          <w:noProof/>
          <w:sz w:val="22"/>
          <w:szCs w:val="22"/>
          <w:lang w:val="sr-Latn-ME"/>
        </w:rPr>
      </w:pPr>
      <w:r w:rsidRPr="009F254D">
        <w:rPr>
          <w:sz w:val="22"/>
          <w:szCs w:val="22"/>
          <w:lang w:val="sr-Latn-ME"/>
        </w:rPr>
        <w:t>Neželjene reakcije povezane sa povišenim nivoom kreatinina jesu grupisane (npr. smanjen klirens bubrežnog kreatinina, bubrežna insuficijencija, povišen nivo kreatinina u krvi i smanjena stopa glomerularne filtracije). To grupisanje reakcija zabilježeno je kod 3,2%</w:t>
      </w:r>
      <w:r w:rsidR="002314FC">
        <w:rPr>
          <w:sz w:val="22"/>
          <w:szCs w:val="22"/>
          <w:lang w:val="sr-Latn-ME"/>
        </w:rPr>
        <w:t xml:space="preserve"> </w:t>
      </w:r>
      <w:r w:rsidR="002314FC" w:rsidRPr="009F254D">
        <w:rPr>
          <w:sz w:val="22"/>
          <w:szCs w:val="22"/>
          <w:lang w:val="sr-Latn-ME"/>
        </w:rPr>
        <w:t>pacijenata koji su primali dapagliflozin od 10 mg</w:t>
      </w:r>
      <w:r w:rsidRPr="009F254D">
        <w:rPr>
          <w:sz w:val="22"/>
          <w:szCs w:val="22"/>
          <w:lang w:val="sr-Latn-ME"/>
        </w:rPr>
        <w:t>, odnosno 1,8% pacijenata koji su primali placebo. Kod pacijenata sa normalnom funkcijom bubrega ili blagom bubrežnom insuficijencijom (početna vrijednost</w:t>
      </w:r>
      <w:r w:rsidR="00E43FA0">
        <w:rPr>
          <w:sz w:val="22"/>
          <w:szCs w:val="22"/>
          <w:lang w:val="sr-Latn-ME"/>
        </w:rPr>
        <w:t xml:space="preserve"> </w:t>
      </w:r>
      <w:r w:rsidRPr="009F254D">
        <w:rPr>
          <w:sz w:val="22"/>
          <w:szCs w:val="22"/>
          <w:lang w:val="sr-Latn-ME"/>
        </w:rPr>
        <w:t>eGFR ≥ 60 ml/min/1,73 m</w:t>
      </w:r>
      <w:r w:rsidRPr="009F254D">
        <w:rPr>
          <w:sz w:val="22"/>
          <w:szCs w:val="22"/>
          <w:vertAlign w:val="superscript"/>
          <w:lang w:val="sr-Latn-ME"/>
        </w:rPr>
        <w:t>2</w:t>
      </w:r>
      <w:r w:rsidRPr="009F254D">
        <w:rPr>
          <w:sz w:val="22"/>
          <w:szCs w:val="22"/>
          <w:lang w:val="sr-Latn-ME"/>
        </w:rPr>
        <w:t xml:space="preserve">) takvo grupisanje reakcija zabilježeno je, redom, kod 1,3% </w:t>
      </w:r>
      <w:r w:rsidR="002314FC" w:rsidRPr="009F254D">
        <w:rPr>
          <w:sz w:val="22"/>
          <w:szCs w:val="22"/>
          <w:lang w:val="sr-Latn-ME"/>
        </w:rPr>
        <w:t xml:space="preserve">koji su primali dapagliflozin od 10 mg </w:t>
      </w:r>
      <w:r w:rsidRPr="009F254D">
        <w:rPr>
          <w:sz w:val="22"/>
          <w:szCs w:val="22"/>
          <w:lang w:val="sr-Latn-ME"/>
        </w:rPr>
        <w:t>i 0,8% pacijenata koji su primali placebo. Te reakcije bile su uobičajenije kod pacijenata sa početnom vrijednošću eGFR ≥ 30 i &lt; 60 ml/min/1,73 m</w:t>
      </w:r>
      <w:r w:rsidRPr="009F254D">
        <w:rPr>
          <w:sz w:val="22"/>
          <w:szCs w:val="22"/>
          <w:vertAlign w:val="superscript"/>
          <w:lang w:val="sr-Latn-ME"/>
        </w:rPr>
        <w:t>2</w:t>
      </w:r>
      <w:r w:rsidRPr="009F254D">
        <w:rPr>
          <w:sz w:val="22"/>
          <w:szCs w:val="22"/>
          <w:lang w:val="sr-Latn-ME"/>
        </w:rPr>
        <w:t xml:space="preserve"> (18,5% dapagliflozin od 10 mg prema 9,3% placebo).</w:t>
      </w:r>
    </w:p>
    <w:p w14:paraId="704085D7" w14:textId="77777777" w:rsidR="003B2D97" w:rsidRPr="009F254D" w:rsidRDefault="003B2D97" w:rsidP="00FA635D">
      <w:pPr>
        <w:tabs>
          <w:tab w:val="left" w:pos="284"/>
        </w:tabs>
        <w:jc w:val="both"/>
        <w:rPr>
          <w:noProof/>
          <w:sz w:val="22"/>
          <w:szCs w:val="22"/>
          <w:lang w:val="sr-Latn-ME"/>
        </w:rPr>
      </w:pPr>
    </w:p>
    <w:p w14:paraId="765B7320" w14:textId="3D3F99FE" w:rsidR="003B2D97" w:rsidRPr="009F254D" w:rsidRDefault="003B2D97" w:rsidP="00FA635D">
      <w:pPr>
        <w:tabs>
          <w:tab w:val="left" w:pos="284"/>
        </w:tabs>
        <w:jc w:val="both"/>
        <w:rPr>
          <w:sz w:val="22"/>
          <w:szCs w:val="22"/>
          <w:lang w:val="sr-Latn-ME"/>
        </w:rPr>
      </w:pPr>
      <w:r w:rsidRPr="009F254D">
        <w:rPr>
          <w:sz w:val="22"/>
          <w:szCs w:val="22"/>
          <w:lang w:val="sr-Latn-ME"/>
        </w:rPr>
        <w:t>Dalja procjena pacijenata kod kojih su se javili neželjeni događaji povezani sa bubrezima pokazala je da je većina od njih imala promjene u kreatininu</w:t>
      </w:r>
      <w:r w:rsidR="0069549F">
        <w:rPr>
          <w:sz w:val="22"/>
          <w:szCs w:val="22"/>
          <w:lang w:val="sr-Latn-ME"/>
        </w:rPr>
        <w:t xml:space="preserve"> </w:t>
      </w:r>
      <w:r w:rsidR="0069549F" w:rsidRPr="0069549F">
        <w:rPr>
          <w:sz w:val="22"/>
          <w:szCs w:val="22"/>
          <w:lang w:val="sr-Latn-ME"/>
        </w:rPr>
        <w:t>za ≤ 44 mikromola/l (</w:t>
      </w:r>
      <w:r w:rsidRPr="009F254D">
        <w:rPr>
          <w:sz w:val="22"/>
          <w:szCs w:val="22"/>
          <w:lang w:val="sr-Latn-ME"/>
        </w:rPr>
        <w:t>≤ 0,5 mg/dl</w:t>
      </w:r>
      <w:r w:rsidR="0069549F">
        <w:rPr>
          <w:sz w:val="22"/>
          <w:szCs w:val="22"/>
          <w:lang w:val="sr-Latn-ME"/>
        </w:rPr>
        <w:t>)</w:t>
      </w:r>
      <w:r w:rsidRPr="009F254D">
        <w:rPr>
          <w:sz w:val="22"/>
          <w:szCs w:val="22"/>
          <w:lang w:val="sr-Latn-ME"/>
        </w:rPr>
        <w:t xml:space="preserve"> u poređenju sa početnom vrijednošću. Porast nivoa kreatinina generalno je bio prolazan u okviru kontinuirane terapije ili reverzibilan nakon prekida terapije.</w:t>
      </w:r>
    </w:p>
    <w:p w14:paraId="2D5C93BA" w14:textId="77777777" w:rsidR="003B2D97" w:rsidRPr="009F254D" w:rsidRDefault="003B2D97" w:rsidP="00FA635D">
      <w:pPr>
        <w:tabs>
          <w:tab w:val="left" w:pos="284"/>
        </w:tabs>
        <w:jc w:val="both"/>
        <w:rPr>
          <w:sz w:val="22"/>
          <w:szCs w:val="22"/>
          <w:lang w:val="sr-Latn-ME"/>
        </w:rPr>
      </w:pPr>
    </w:p>
    <w:p w14:paraId="539C1F36" w14:textId="2468C00D" w:rsidR="003B2D97" w:rsidRDefault="003B2D97" w:rsidP="00FA635D">
      <w:pPr>
        <w:tabs>
          <w:tab w:val="left" w:pos="284"/>
        </w:tabs>
        <w:jc w:val="both"/>
        <w:rPr>
          <w:sz w:val="22"/>
          <w:szCs w:val="22"/>
          <w:lang w:val="sr-Latn-ME"/>
        </w:rPr>
      </w:pPr>
      <w:r w:rsidRPr="009F254D">
        <w:rPr>
          <w:sz w:val="22"/>
          <w:szCs w:val="22"/>
          <w:lang w:val="sr-Latn-ME"/>
        </w:rPr>
        <w:t>U</w:t>
      </w:r>
      <w:r w:rsidR="008264B5" w:rsidRPr="00DA798C">
        <w:rPr>
          <w:lang w:val="sr-Latn-ME"/>
        </w:rPr>
        <w:t xml:space="preserve"> </w:t>
      </w:r>
      <w:r w:rsidR="008264B5" w:rsidRPr="008264B5">
        <w:rPr>
          <w:sz w:val="22"/>
          <w:szCs w:val="22"/>
          <w:lang w:val="sr-Latn-ME"/>
        </w:rPr>
        <w:t>DECLARE</w:t>
      </w:r>
      <w:r w:rsidRPr="009F254D">
        <w:rPr>
          <w:sz w:val="22"/>
          <w:szCs w:val="22"/>
          <w:lang w:val="sr-Latn-ME"/>
        </w:rPr>
        <w:t xml:space="preserve"> studiji, uključujući i starije pacijente i pacijente sa bubrežnom insuficijencijom (eGFR manja od 60 ml/min/1,73 m</w:t>
      </w:r>
      <w:r w:rsidRPr="009F254D">
        <w:rPr>
          <w:sz w:val="22"/>
          <w:szCs w:val="22"/>
          <w:vertAlign w:val="superscript"/>
          <w:lang w:val="sr-Latn-ME"/>
        </w:rPr>
        <w:t>2</w:t>
      </w:r>
      <w:r w:rsidRPr="009F254D">
        <w:rPr>
          <w:sz w:val="22"/>
          <w:szCs w:val="22"/>
          <w:lang w:val="sr-Latn-ME"/>
        </w:rPr>
        <w:t>), eGFR se smanjivala tokom vremena u obje terapijske grupe. Tokom 1. godine srednja vrijednost eGFR bila je nešto niža, a nakon 4 godine srednja vrijednosti eGFR bila je nešto viša u grupi koja je primala dapagliflozin u poređenju sa grupom koja je primala placebo.</w:t>
      </w:r>
    </w:p>
    <w:p w14:paraId="32653805" w14:textId="77777777" w:rsidR="0069549F" w:rsidRPr="009F254D" w:rsidRDefault="0069549F" w:rsidP="00FA635D">
      <w:pPr>
        <w:tabs>
          <w:tab w:val="left" w:pos="284"/>
        </w:tabs>
        <w:jc w:val="both"/>
        <w:rPr>
          <w:sz w:val="22"/>
          <w:szCs w:val="22"/>
          <w:lang w:val="sr-Latn-ME"/>
        </w:rPr>
      </w:pPr>
    </w:p>
    <w:p w14:paraId="1A3F8F53" w14:textId="3C0BBA42" w:rsidR="005A23D2" w:rsidRPr="009F254D" w:rsidRDefault="005A23D2" w:rsidP="00FA635D">
      <w:pPr>
        <w:rPr>
          <w:rFonts w:eastAsia="Calibri"/>
          <w:sz w:val="22"/>
          <w:szCs w:val="22"/>
          <w:u w:val="single"/>
          <w:lang w:val="sr-Latn-ME"/>
        </w:rPr>
      </w:pPr>
      <w:r w:rsidRPr="009F254D">
        <w:rPr>
          <w:rFonts w:eastAsia="Calibri"/>
          <w:sz w:val="22"/>
          <w:szCs w:val="22"/>
          <w:u w:val="single"/>
          <w:lang w:val="sr-Latn-ME"/>
        </w:rPr>
        <w:t>Prijavljivanje sumnji na neželjena dejstva</w:t>
      </w:r>
    </w:p>
    <w:p w14:paraId="136A26BE" w14:textId="77777777" w:rsidR="005A23D2" w:rsidRPr="009F254D" w:rsidRDefault="005A23D2" w:rsidP="00FA635D">
      <w:pPr>
        <w:jc w:val="both"/>
        <w:rPr>
          <w:rFonts w:eastAsia="Calibri"/>
          <w:sz w:val="22"/>
          <w:szCs w:val="22"/>
          <w:lang w:val="sr-Latn-ME"/>
        </w:rPr>
      </w:pPr>
      <w:r w:rsidRPr="009F254D">
        <w:rPr>
          <w:rFonts w:eastAsia="Calibri"/>
          <w:sz w:val="22"/>
          <w:szCs w:val="22"/>
          <w:lang w:val="sr-Latn-ME"/>
        </w:rPr>
        <w:t>Prijavljivanje neželjenih dejstava nakon dobijanja dozvole je od velikog značaja jer obezbjeđuje kont</w:t>
      </w:r>
      <w:r w:rsidR="00EA5765" w:rsidRPr="009F254D">
        <w:rPr>
          <w:rFonts w:eastAsia="Calibri"/>
          <w:sz w:val="22"/>
          <w:szCs w:val="22"/>
          <w:lang w:val="sr-Latn-ME"/>
        </w:rPr>
        <w:t>inuirano praćenje odnosa korist</w:t>
      </w:r>
      <w:r w:rsidRPr="009F254D">
        <w:rPr>
          <w:rFonts w:eastAsia="Calibri"/>
          <w:sz w:val="22"/>
          <w:szCs w:val="22"/>
          <w:lang w:val="sr-Latn-ME"/>
        </w:rPr>
        <w:t>/rizik primjene lijeka. Zdravstveni radnici treba da prijave svaku sumnju na neželjeno</w:t>
      </w:r>
      <w:r w:rsidR="009B062A" w:rsidRPr="009F254D">
        <w:rPr>
          <w:rFonts w:eastAsia="Calibri"/>
          <w:sz w:val="22"/>
          <w:szCs w:val="22"/>
          <w:lang w:val="sr-Latn-ME"/>
        </w:rPr>
        <w:t xml:space="preserve"> </w:t>
      </w:r>
      <w:r w:rsidRPr="009F254D">
        <w:rPr>
          <w:rFonts w:eastAsia="Calibri"/>
          <w:sz w:val="22"/>
          <w:szCs w:val="22"/>
          <w:lang w:val="sr-Latn-ME"/>
        </w:rPr>
        <w:t xml:space="preserve">dejstvo ovog lijeka </w:t>
      </w:r>
      <w:r w:rsidR="004E70AD" w:rsidRPr="009F254D">
        <w:rPr>
          <w:rFonts w:eastAsia="Calibri"/>
          <w:sz w:val="22"/>
          <w:szCs w:val="22"/>
          <w:lang w:val="sr-Latn-ME"/>
        </w:rPr>
        <w:t>Institutu</w:t>
      </w:r>
      <w:r w:rsidRPr="009F254D">
        <w:rPr>
          <w:rFonts w:eastAsia="Calibri"/>
          <w:sz w:val="22"/>
          <w:szCs w:val="22"/>
          <w:lang w:val="sr-Latn-ME"/>
        </w:rPr>
        <w:t xml:space="preserve"> za ljekove i medicinska sredstva</w:t>
      </w:r>
      <w:r w:rsidR="004E70AD" w:rsidRPr="009F254D">
        <w:rPr>
          <w:rFonts w:eastAsia="Calibri"/>
          <w:sz w:val="22"/>
          <w:szCs w:val="22"/>
          <w:lang w:val="sr-Latn-ME"/>
        </w:rPr>
        <w:t xml:space="preserve"> </w:t>
      </w:r>
      <w:r w:rsidRPr="009F254D">
        <w:rPr>
          <w:rFonts w:eastAsia="Calibri"/>
          <w:sz w:val="22"/>
          <w:szCs w:val="22"/>
          <w:lang w:val="sr-Latn-ME"/>
        </w:rPr>
        <w:t>(</w:t>
      </w:r>
      <w:r w:rsidR="004E70AD" w:rsidRPr="009F254D">
        <w:rPr>
          <w:rFonts w:eastAsia="Calibri"/>
          <w:sz w:val="22"/>
          <w:szCs w:val="22"/>
          <w:lang w:val="sr-Latn-ME"/>
        </w:rPr>
        <w:t>CInMED</w:t>
      </w:r>
      <w:r w:rsidRPr="009F254D">
        <w:rPr>
          <w:rFonts w:eastAsia="Calibri"/>
          <w:sz w:val="22"/>
          <w:szCs w:val="22"/>
          <w:lang w:val="sr-Latn-ME"/>
        </w:rPr>
        <w:t>):</w:t>
      </w:r>
    </w:p>
    <w:p w14:paraId="6A5CF45A" w14:textId="77777777" w:rsidR="005A23D2" w:rsidRPr="009F254D" w:rsidRDefault="004E70AD" w:rsidP="00FA635D">
      <w:pPr>
        <w:pStyle w:val="NoSpacing"/>
        <w:jc w:val="both"/>
        <w:rPr>
          <w:rFonts w:eastAsia="Calibri"/>
          <w:sz w:val="22"/>
          <w:szCs w:val="22"/>
          <w:lang w:val="sr-Latn-ME"/>
        </w:rPr>
      </w:pPr>
      <w:r w:rsidRPr="009F254D">
        <w:rPr>
          <w:rFonts w:eastAsia="Calibri"/>
          <w:sz w:val="22"/>
          <w:szCs w:val="22"/>
          <w:lang w:val="sr-Latn-ME"/>
        </w:rPr>
        <w:t xml:space="preserve">Institut </w:t>
      </w:r>
      <w:r w:rsidR="005A23D2" w:rsidRPr="009F254D">
        <w:rPr>
          <w:rFonts w:eastAsia="Calibri"/>
          <w:sz w:val="22"/>
          <w:szCs w:val="22"/>
          <w:lang w:val="sr-Latn-ME"/>
        </w:rPr>
        <w:t xml:space="preserve">za ljekove i medicinska sredstva </w:t>
      </w:r>
    </w:p>
    <w:p w14:paraId="0B171CC8" w14:textId="77777777" w:rsidR="005A23D2" w:rsidRPr="009F254D" w:rsidRDefault="005A23D2" w:rsidP="00FA635D">
      <w:pPr>
        <w:pStyle w:val="NoSpacing"/>
        <w:jc w:val="both"/>
        <w:rPr>
          <w:rFonts w:eastAsia="Calibri"/>
          <w:sz w:val="22"/>
          <w:szCs w:val="22"/>
          <w:lang w:val="sr-Latn-ME"/>
        </w:rPr>
      </w:pPr>
      <w:r w:rsidRPr="009F254D">
        <w:rPr>
          <w:rFonts w:eastAsia="Calibri"/>
          <w:sz w:val="22"/>
          <w:szCs w:val="22"/>
          <w:lang w:val="sr-Latn-ME"/>
        </w:rPr>
        <w:t>Odjeljenje za farmakovigilancu</w:t>
      </w:r>
    </w:p>
    <w:p w14:paraId="10B7D058" w14:textId="77777777" w:rsidR="00EA5765" w:rsidRPr="009F254D" w:rsidRDefault="005A23D2" w:rsidP="00FA635D">
      <w:pPr>
        <w:pStyle w:val="NoSpacing"/>
        <w:jc w:val="both"/>
        <w:rPr>
          <w:rFonts w:eastAsia="Calibri"/>
          <w:sz w:val="22"/>
          <w:szCs w:val="22"/>
          <w:lang w:val="sr-Latn-ME"/>
        </w:rPr>
      </w:pPr>
      <w:r w:rsidRPr="009F254D">
        <w:rPr>
          <w:rFonts w:eastAsia="Calibri"/>
          <w:sz w:val="22"/>
          <w:szCs w:val="22"/>
          <w:lang w:val="sr-Latn-ME"/>
        </w:rPr>
        <w:t>Bulevar Ivana Crnojevića 64a, 81000 Podgorica</w:t>
      </w:r>
    </w:p>
    <w:p w14:paraId="76C06F78" w14:textId="77777777" w:rsidR="00EA5765" w:rsidRPr="009F254D" w:rsidRDefault="00EA5765" w:rsidP="00FA635D">
      <w:pPr>
        <w:pStyle w:val="NoSpacing"/>
        <w:rPr>
          <w:rFonts w:eastAsia="Calibri"/>
          <w:sz w:val="22"/>
          <w:szCs w:val="22"/>
          <w:lang w:val="sr-Latn-ME"/>
        </w:rPr>
      </w:pPr>
    </w:p>
    <w:p w14:paraId="4F8154F1" w14:textId="77777777" w:rsidR="005A23D2" w:rsidRPr="009F254D" w:rsidRDefault="005A23D2" w:rsidP="00FA635D">
      <w:pPr>
        <w:pStyle w:val="NoSpacing"/>
        <w:jc w:val="both"/>
        <w:rPr>
          <w:rFonts w:eastAsia="Calibri"/>
          <w:sz w:val="22"/>
          <w:szCs w:val="22"/>
          <w:lang w:val="sr-Latn-ME"/>
        </w:rPr>
      </w:pPr>
      <w:r w:rsidRPr="009F254D">
        <w:rPr>
          <w:rFonts w:eastAsia="Calibri"/>
          <w:sz w:val="22"/>
          <w:szCs w:val="22"/>
          <w:lang w:val="sr-Latn-ME"/>
        </w:rPr>
        <w:t>tel: +382 (0) 20 310 280</w:t>
      </w:r>
    </w:p>
    <w:p w14:paraId="2FA46F41" w14:textId="77777777" w:rsidR="00EA5765" w:rsidRPr="009F254D" w:rsidRDefault="005A23D2" w:rsidP="00FA635D">
      <w:pPr>
        <w:pStyle w:val="NoSpacing"/>
        <w:jc w:val="both"/>
        <w:rPr>
          <w:rFonts w:eastAsia="Calibri"/>
          <w:sz w:val="22"/>
          <w:szCs w:val="22"/>
          <w:lang w:val="sr-Latn-ME"/>
        </w:rPr>
      </w:pPr>
      <w:r w:rsidRPr="009F254D">
        <w:rPr>
          <w:rFonts w:eastAsia="Calibri"/>
          <w:sz w:val="22"/>
          <w:szCs w:val="22"/>
          <w:lang w:val="sr-Latn-ME"/>
        </w:rPr>
        <w:t>fax:</w:t>
      </w:r>
      <w:r w:rsidR="00EA5765" w:rsidRPr="009F254D">
        <w:rPr>
          <w:rFonts w:eastAsia="Calibri"/>
          <w:sz w:val="22"/>
          <w:szCs w:val="22"/>
          <w:lang w:val="sr-Latn-ME"/>
        </w:rPr>
        <w:t xml:space="preserve"> </w:t>
      </w:r>
      <w:r w:rsidRPr="009F254D">
        <w:rPr>
          <w:rFonts w:eastAsia="Calibri"/>
          <w:sz w:val="22"/>
          <w:szCs w:val="22"/>
          <w:lang w:val="sr-Latn-ME"/>
        </w:rPr>
        <w:t>+382 (0) 20 310 581</w:t>
      </w:r>
    </w:p>
    <w:p w14:paraId="524CD1F3" w14:textId="77777777" w:rsidR="005A23D2" w:rsidRPr="009F254D" w:rsidRDefault="00801582" w:rsidP="00FA635D">
      <w:pPr>
        <w:pStyle w:val="NoSpacing"/>
        <w:jc w:val="both"/>
        <w:rPr>
          <w:rFonts w:eastAsia="Calibri"/>
          <w:sz w:val="22"/>
          <w:szCs w:val="22"/>
          <w:lang w:val="sr-Latn-ME"/>
        </w:rPr>
      </w:pPr>
      <w:hyperlink r:id="rId8" w:history="1">
        <w:r w:rsidR="004E70AD" w:rsidRPr="009F254D">
          <w:rPr>
            <w:rStyle w:val="Hyperlink"/>
            <w:rFonts w:eastAsia="Calibri"/>
            <w:sz w:val="22"/>
            <w:szCs w:val="22"/>
            <w:lang w:val="sr-Latn-ME"/>
          </w:rPr>
          <w:t>www.cinmed.me</w:t>
        </w:r>
      </w:hyperlink>
    </w:p>
    <w:p w14:paraId="681F401A" w14:textId="77777777" w:rsidR="00EA5765" w:rsidRPr="009F254D" w:rsidRDefault="00801582" w:rsidP="00FA635D">
      <w:pPr>
        <w:pStyle w:val="NoSpacing"/>
        <w:jc w:val="both"/>
        <w:rPr>
          <w:rFonts w:eastAsia="Calibri"/>
          <w:color w:val="0000FF"/>
          <w:sz w:val="22"/>
          <w:szCs w:val="22"/>
          <w:u w:val="single"/>
          <w:lang w:val="sr-Latn-ME"/>
        </w:rPr>
      </w:pPr>
      <w:hyperlink r:id="rId9" w:history="1">
        <w:r w:rsidR="004E70AD" w:rsidRPr="009F254D">
          <w:rPr>
            <w:rStyle w:val="Hyperlink"/>
            <w:rFonts w:eastAsia="Calibri"/>
            <w:sz w:val="22"/>
            <w:szCs w:val="22"/>
            <w:lang w:val="sr-Latn-ME"/>
          </w:rPr>
          <w:t>nezeljenadejstva@cinmed.me</w:t>
        </w:r>
      </w:hyperlink>
    </w:p>
    <w:p w14:paraId="11EB03B5" w14:textId="77777777" w:rsidR="005A23D2" w:rsidRPr="009F254D" w:rsidRDefault="005A23D2" w:rsidP="00FA635D">
      <w:pPr>
        <w:pStyle w:val="NoSpacing"/>
        <w:jc w:val="both"/>
        <w:rPr>
          <w:rFonts w:eastAsia="Calibri"/>
          <w:sz w:val="22"/>
          <w:szCs w:val="22"/>
          <w:lang w:val="sr-Latn-ME"/>
        </w:rPr>
      </w:pPr>
      <w:r w:rsidRPr="009F254D">
        <w:rPr>
          <w:rFonts w:eastAsia="Calibri"/>
          <w:sz w:val="22"/>
          <w:szCs w:val="22"/>
          <w:lang w:val="sr-Latn-ME"/>
        </w:rPr>
        <w:t>putem IS zdravstvene zaštite</w:t>
      </w:r>
    </w:p>
    <w:p w14:paraId="0F65F910" w14:textId="77777777" w:rsidR="008264B5" w:rsidRDefault="008264B5" w:rsidP="00FA635D">
      <w:pPr>
        <w:pStyle w:val="NoSpacing"/>
        <w:jc w:val="both"/>
        <w:rPr>
          <w:rFonts w:eastAsia="Calibri"/>
          <w:sz w:val="22"/>
          <w:szCs w:val="22"/>
          <w:lang w:val="sr-Latn-RS"/>
        </w:rPr>
      </w:pPr>
      <w:r>
        <w:rPr>
          <w:rFonts w:eastAsia="Calibri"/>
          <w:sz w:val="22"/>
          <w:szCs w:val="22"/>
          <w:lang w:val="sr-Latn-RS"/>
        </w:rPr>
        <w:t>QR kod za online prijavu sumnje na neželjeno dejstvo lijeka:</w:t>
      </w:r>
    </w:p>
    <w:p w14:paraId="56109A20" w14:textId="77777777" w:rsidR="008264B5" w:rsidRDefault="008264B5" w:rsidP="00FA635D">
      <w:pPr>
        <w:pStyle w:val="NoSpacing"/>
        <w:jc w:val="both"/>
        <w:rPr>
          <w:rFonts w:eastAsia="Calibri"/>
          <w:sz w:val="22"/>
          <w:szCs w:val="22"/>
          <w:lang w:val="sr-Latn-RS"/>
        </w:rPr>
      </w:pPr>
    </w:p>
    <w:p w14:paraId="55F5AA1F" w14:textId="254BDD27" w:rsidR="008264B5" w:rsidRPr="00786071" w:rsidRDefault="00481E9D" w:rsidP="00FA635D">
      <w:pPr>
        <w:pStyle w:val="NoSpacing"/>
        <w:rPr>
          <w:rFonts w:eastAsia="Calibri"/>
          <w:sz w:val="22"/>
          <w:szCs w:val="22"/>
          <w:lang w:val="sr-Latn-RS"/>
        </w:rPr>
      </w:pPr>
      <w:r w:rsidRPr="007F661E">
        <w:rPr>
          <w:b/>
          <w:bCs/>
          <w:noProof/>
          <w:sz w:val="22"/>
          <w:szCs w:val="22"/>
        </w:rPr>
        <w:drawing>
          <wp:inline distT="0" distB="0" distL="0" distR="0" wp14:anchorId="6A6FE128" wp14:editId="05D9D4C9">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4C8C41B3" w14:textId="77777777" w:rsidR="008264B5" w:rsidRPr="00786071" w:rsidRDefault="008264B5" w:rsidP="00FA635D">
      <w:pPr>
        <w:tabs>
          <w:tab w:val="left" w:pos="540"/>
          <w:tab w:val="left" w:pos="569"/>
        </w:tabs>
        <w:rPr>
          <w:b/>
          <w:bCs/>
          <w:sz w:val="22"/>
          <w:szCs w:val="22"/>
        </w:rPr>
      </w:pPr>
    </w:p>
    <w:p w14:paraId="348149BE" w14:textId="631C0F25" w:rsidR="00CD6F02" w:rsidRPr="009F254D" w:rsidRDefault="0072020E" w:rsidP="00FA635D">
      <w:pPr>
        <w:tabs>
          <w:tab w:val="left" w:pos="540"/>
          <w:tab w:val="left" w:pos="569"/>
        </w:tabs>
        <w:rPr>
          <w:b/>
          <w:bCs/>
          <w:sz w:val="22"/>
          <w:szCs w:val="22"/>
          <w:lang w:val="sr-Latn-ME"/>
        </w:rPr>
      </w:pPr>
      <w:r w:rsidRPr="009F254D">
        <w:rPr>
          <w:b/>
          <w:bCs/>
          <w:sz w:val="22"/>
          <w:szCs w:val="22"/>
          <w:lang w:val="sr-Latn-ME"/>
        </w:rPr>
        <w:t xml:space="preserve">4.9. </w:t>
      </w:r>
      <w:r w:rsidR="00480FB1" w:rsidRPr="009F254D">
        <w:rPr>
          <w:b/>
          <w:bCs/>
          <w:sz w:val="22"/>
          <w:szCs w:val="22"/>
          <w:lang w:val="sr-Latn-ME"/>
        </w:rPr>
        <w:tab/>
      </w:r>
      <w:r w:rsidRPr="009F254D">
        <w:rPr>
          <w:b/>
          <w:bCs/>
          <w:sz w:val="22"/>
          <w:szCs w:val="22"/>
          <w:lang w:val="sr-Latn-ME"/>
        </w:rPr>
        <w:t>Predoziranje</w:t>
      </w:r>
      <w:r w:rsidR="002846DB" w:rsidRPr="009F254D">
        <w:rPr>
          <w:b/>
          <w:bCs/>
          <w:sz w:val="22"/>
          <w:szCs w:val="22"/>
          <w:lang w:val="sr-Latn-ME"/>
        </w:rPr>
        <w:t xml:space="preserve"> </w:t>
      </w:r>
    </w:p>
    <w:p w14:paraId="467DFC65" w14:textId="6A48957E" w:rsidR="00DC171F" w:rsidRPr="009F254D" w:rsidRDefault="00DC171F" w:rsidP="00FA635D">
      <w:pPr>
        <w:tabs>
          <w:tab w:val="left" w:pos="540"/>
          <w:tab w:val="left" w:pos="569"/>
        </w:tabs>
        <w:rPr>
          <w:b/>
          <w:bCs/>
          <w:sz w:val="22"/>
          <w:szCs w:val="22"/>
          <w:lang w:val="sr-Latn-ME"/>
        </w:rPr>
      </w:pPr>
    </w:p>
    <w:p w14:paraId="60A1B6BD" w14:textId="77777777" w:rsidR="00DC171F" w:rsidRPr="009F254D" w:rsidRDefault="00DC171F" w:rsidP="00FA635D">
      <w:pPr>
        <w:tabs>
          <w:tab w:val="left" w:pos="284"/>
        </w:tabs>
        <w:jc w:val="both"/>
        <w:rPr>
          <w:iCs/>
          <w:noProof/>
          <w:sz w:val="22"/>
          <w:szCs w:val="22"/>
          <w:lang w:val="sr-Latn-ME"/>
        </w:rPr>
      </w:pPr>
      <w:r w:rsidRPr="009F254D">
        <w:rPr>
          <w:noProof/>
          <w:sz w:val="22"/>
          <w:szCs w:val="22"/>
          <w:lang w:val="sr-Latn-ME"/>
        </w:rPr>
        <w:t>Uklanjanje dapagliflozina hemodijalizom nije proučavano. Najefikasniji metod uklanjanja metformina i laktata je hemodijaliza.</w:t>
      </w:r>
    </w:p>
    <w:p w14:paraId="36EC597C" w14:textId="77777777" w:rsidR="00DC171F" w:rsidRPr="009F254D" w:rsidRDefault="00DC171F" w:rsidP="00FA635D">
      <w:pPr>
        <w:tabs>
          <w:tab w:val="left" w:pos="284"/>
        </w:tabs>
        <w:jc w:val="both"/>
        <w:rPr>
          <w:iCs/>
          <w:noProof/>
          <w:sz w:val="22"/>
          <w:szCs w:val="22"/>
          <w:lang w:val="sr-Latn-ME"/>
        </w:rPr>
      </w:pPr>
    </w:p>
    <w:p w14:paraId="2431C84F" w14:textId="77777777" w:rsidR="00DC171F" w:rsidRPr="009F254D" w:rsidRDefault="00DC171F" w:rsidP="00FA635D">
      <w:pPr>
        <w:keepNext/>
        <w:keepLines/>
        <w:tabs>
          <w:tab w:val="left" w:pos="284"/>
        </w:tabs>
        <w:jc w:val="both"/>
        <w:rPr>
          <w:iCs/>
          <w:noProof/>
          <w:sz w:val="22"/>
          <w:szCs w:val="22"/>
          <w:u w:val="single"/>
          <w:lang w:val="sr-Latn-ME"/>
        </w:rPr>
      </w:pPr>
      <w:r w:rsidRPr="009F254D">
        <w:rPr>
          <w:noProof/>
          <w:sz w:val="22"/>
          <w:szCs w:val="22"/>
          <w:u w:val="single"/>
          <w:lang w:val="sr-Latn-ME"/>
        </w:rPr>
        <w:t>Dapagliflozin</w:t>
      </w:r>
    </w:p>
    <w:p w14:paraId="24DE4582" w14:textId="1CD5F798" w:rsidR="00DC171F" w:rsidRPr="009F254D" w:rsidRDefault="00DC171F" w:rsidP="00FA635D">
      <w:pPr>
        <w:tabs>
          <w:tab w:val="left" w:pos="284"/>
        </w:tabs>
        <w:jc w:val="both"/>
        <w:rPr>
          <w:iCs/>
          <w:noProof/>
          <w:sz w:val="22"/>
          <w:szCs w:val="22"/>
          <w:lang w:val="sr-Latn-ME"/>
        </w:rPr>
      </w:pPr>
      <w:r w:rsidRPr="009F254D">
        <w:rPr>
          <w:noProof/>
          <w:sz w:val="22"/>
          <w:szCs w:val="22"/>
          <w:lang w:val="sr-Latn-ME"/>
        </w:rPr>
        <w:t xml:space="preserve">Dapagliflozin nije pokazao nikakvu toksičnost kod zdravih ispitanika u </w:t>
      </w:r>
      <w:r w:rsidR="00A82D0F" w:rsidRPr="009F254D">
        <w:rPr>
          <w:noProof/>
          <w:sz w:val="22"/>
          <w:szCs w:val="22"/>
          <w:lang w:val="sr-Latn-ME"/>
        </w:rPr>
        <w:t xml:space="preserve">pojedinačnim </w:t>
      </w:r>
      <w:r w:rsidRPr="009F254D">
        <w:rPr>
          <w:noProof/>
          <w:sz w:val="22"/>
          <w:szCs w:val="22"/>
          <w:lang w:val="sr-Latn-ME"/>
        </w:rPr>
        <w:t xml:space="preserve">oralnim dozama do 500 mg (50 puta većim od maksimalne preporučene doze za ljude). Ti ispitanici su imali detektabilnu </w:t>
      </w:r>
      <w:r w:rsidRPr="009F254D">
        <w:rPr>
          <w:noProof/>
          <w:sz w:val="22"/>
          <w:szCs w:val="22"/>
          <w:lang w:val="sr-Latn-ME"/>
        </w:rPr>
        <w:lastRenderedPageBreak/>
        <w:t>glukozu u urinu u vremenskom periodu povezanom sa dozom (najmanje 5 dana za dozu od 500 mg), a ni</w:t>
      </w:r>
      <w:r w:rsidR="00A82D0F" w:rsidRPr="009F254D">
        <w:rPr>
          <w:noProof/>
          <w:sz w:val="22"/>
          <w:szCs w:val="22"/>
          <w:lang w:val="sr-Latn-ME"/>
        </w:rPr>
        <w:t>je</w:t>
      </w:r>
      <w:r w:rsidRPr="009F254D">
        <w:rPr>
          <w:noProof/>
          <w:sz w:val="22"/>
          <w:szCs w:val="22"/>
          <w:lang w:val="sr-Latn-ME"/>
        </w:rPr>
        <w:t>su zabilježeni dehidratacija, hipotenzija ili disbalans elektrolita, niti je bilo klinički značajnog uticaja na interval QTc. Incidenca hipoglikemije bila je slična</w:t>
      </w:r>
      <w:r w:rsidR="00A82D0F" w:rsidRPr="009F254D">
        <w:rPr>
          <w:noProof/>
          <w:sz w:val="22"/>
          <w:szCs w:val="22"/>
          <w:lang w:val="sr-Latn-ME"/>
        </w:rPr>
        <w:t xml:space="preserve"> kao kod primjene</w:t>
      </w:r>
      <w:r w:rsidRPr="009F254D">
        <w:rPr>
          <w:noProof/>
          <w:sz w:val="22"/>
          <w:szCs w:val="22"/>
          <w:lang w:val="sr-Latn-ME"/>
        </w:rPr>
        <w:t xml:space="preserve"> placeb</w:t>
      </w:r>
      <w:r w:rsidR="00A82D0F" w:rsidRPr="009F254D">
        <w:rPr>
          <w:noProof/>
          <w:sz w:val="22"/>
          <w:szCs w:val="22"/>
          <w:lang w:val="sr-Latn-ME"/>
        </w:rPr>
        <w:t>a</w:t>
      </w:r>
      <w:r w:rsidRPr="009F254D">
        <w:rPr>
          <w:noProof/>
          <w:sz w:val="22"/>
          <w:szCs w:val="22"/>
          <w:lang w:val="sr-Latn-ME"/>
        </w:rPr>
        <w:t xml:space="preserve">. U kliničkim studijama u kojima su doze od najviše 100 mg (10 puta veće od maksimalne preporučene doze za ljude) davane 2 nedjelje zdravim ispitanicima i ispitanicima sa dijabetesom tipa 2, incidenca hipoglikemije bila je nešto viša nego u grupi sa placebom i nije bila povezana sa dozom. Stope neželjenih događaja, uključujući i dehidrataciju ili hipotenziju, bile su slične </w:t>
      </w:r>
      <w:r w:rsidR="00A82D0F" w:rsidRPr="009F254D">
        <w:rPr>
          <w:noProof/>
          <w:sz w:val="22"/>
          <w:szCs w:val="22"/>
          <w:lang w:val="sr-Latn-ME"/>
        </w:rPr>
        <w:t xml:space="preserve">kao kod primjene </w:t>
      </w:r>
      <w:r w:rsidRPr="009F254D">
        <w:rPr>
          <w:noProof/>
          <w:sz w:val="22"/>
          <w:szCs w:val="22"/>
          <w:lang w:val="sr-Latn-ME"/>
        </w:rPr>
        <w:t>placeb</w:t>
      </w:r>
      <w:r w:rsidR="00A82D0F" w:rsidRPr="009F254D">
        <w:rPr>
          <w:noProof/>
          <w:sz w:val="22"/>
          <w:szCs w:val="22"/>
          <w:lang w:val="sr-Latn-ME"/>
        </w:rPr>
        <w:t>a</w:t>
      </w:r>
      <w:r w:rsidRPr="009F254D">
        <w:rPr>
          <w:noProof/>
          <w:sz w:val="22"/>
          <w:szCs w:val="22"/>
          <w:lang w:val="sr-Latn-ME"/>
        </w:rPr>
        <w:t>, i nije bilo klinički značajnih promjena laboratorijskih parametara povezanih sa dozom, uključujući i serumske elektrolite i biomarkere bubrežne funkcije.</w:t>
      </w:r>
    </w:p>
    <w:p w14:paraId="7E1D58A6" w14:textId="77777777" w:rsidR="00DC171F" w:rsidRPr="009F254D" w:rsidRDefault="00DC171F" w:rsidP="00FA635D">
      <w:pPr>
        <w:tabs>
          <w:tab w:val="left" w:pos="284"/>
        </w:tabs>
        <w:jc w:val="both"/>
        <w:rPr>
          <w:iCs/>
          <w:noProof/>
          <w:sz w:val="22"/>
          <w:szCs w:val="22"/>
          <w:lang w:val="sr-Latn-ME"/>
        </w:rPr>
      </w:pPr>
    </w:p>
    <w:p w14:paraId="46DEE2FF" w14:textId="77777777" w:rsidR="00DC171F" w:rsidRPr="009F254D" w:rsidRDefault="00DC171F" w:rsidP="00FA635D">
      <w:pPr>
        <w:tabs>
          <w:tab w:val="left" w:pos="284"/>
        </w:tabs>
        <w:jc w:val="both"/>
        <w:rPr>
          <w:iCs/>
          <w:noProof/>
          <w:sz w:val="22"/>
          <w:szCs w:val="22"/>
          <w:lang w:val="sr-Latn-ME"/>
        </w:rPr>
      </w:pPr>
      <w:r w:rsidRPr="009F254D">
        <w:rPr>
          <w:noProof/>
          <w:sz w:val="22"/>
          <w:szCs w:val="22"/>
          <w:lang w:val="sr-Latn-ME"/>
        </w:rPr>
        <w:t>U slučaju predoziranja treba uvesti odgovarajuću suportivnu terapiju u skladu sa kliničkim statusom pacijenta.</w:t>
      </w:r>
    </w:p>
    <w:p w14:paraId="6FB732DD" w14:textId="77777777" w:rsidR="00DC171F" w:rsidRPr="009F254D" w:rsidRDefault="00DC171F" w:rsidP="00FA635D">
      <w:pPr>
        <w:tabs>
          <w:tab w:val="left" w:pos="284"/>
        </w:tabs>
        <w:jc w:val="both"/>
        <w:rPr>
          <w:iCs/>
          <w:noProof/>
          <w:sz w:val="22"/>
          <w:szCs w:val="22"/>
          <w:lang w:val="sr-Latn-ME"/>
        </w:rPr>
      </w:pPr>
    </w:p>
    <w:p w14:paraId="62274D82" w14:textId="77777777" w:rsidR="00DC171F" w:rsidRPr="009F254D" w:rsidRDefault="00DC171F" w:rsidP="00FA635D">
      <w:pPr>
        <w:keepNext/>
        <w:keepLines/>
        <w:tabs>
          <w:tab w:val="left" w:pos="284"/>
        </w:tabs>
        <w:jc w:val="both"/>
        <w:rPr>
          <w:noProof/>
          <w:sz w:val="22"/>
          <w:szCs w:val="22"/>
          <w:u w:val="single"/>
          <w:lang w:val="sr-Latn-ME"/>
        </w:rPr>
      </w:pPr>
      <w:r w:rsidRPr="009F254D">
        <w:rPr>
          <w:noProof/>
          <w:sz w:val="22"/>
          <w:szCs w:val="22"/>
          <w:u w:val="single"/>
          <w:lang w:val="sr-Latn-ME"/>
        </w:rPr>
        <w:t>Metformin</w:t>
      </w:r>
    </w:p>
    <w:p w14:paraId="18D54C92" w14:textId="77777777" w:rsidR="00DC171F" w:rsidRPr="009F254D" w:rsidRDefault="00DC171F" w:rsidP="00FA635D">
      <w:pPr>
        <w:tabs>
          <w:tab w:val="left" w:pos="284"/>
        </w:tabs>
        <w:jc w:val="both"/>
        <w:rPr>
          <w:noProof/>
          <w:sz w:val="22"/>
          <w:szCs w:val="22"/>
          <w:lang w:val="sr-Latn-ME"/>
        </w:rPr>
      </w:pPr>
      <w:r w:rsidRPr="009F254D">
        <w:rPr>
          <w:noProof/>
          <w:sz w:val="22"/>
          <w:szCs w:val="22"/>
          <w:lang w:val="sr-Latn-ME"/>
        </w:rPr>
        <w:t>Predoziranje visokim dozama ili propratni rizici primjene metformina mogu dovesti do nastanka laktatne acidoze. Laktatna acidoza je hitno medicinsko stanje koje se mora liječiti u bolnici.</w:t>
      </w:r>
    </w:p>
    <w:p w14:paraId="5EF6BBFD" w14:textId="77777777" w:rsidR="00CD6F02" w:rsidRPr="009F254D" w:rsidRDefault="00CD6F02" w:rsidP="00FA635D">
      <w:pPr>
        <w:tabs>
          <w:tab w:val="left" w:pos="540"/>
          <w:tab w:val="left" w:pos="569"/>
        </w:tabs>
        <w:rPr>
          <w:b/>
          <w:bCs/>
          <w:sz w:val="22"/>
          <w:szCs w:val="22"/>
          <w:lang w:val="sr-Latn-ME"/>
        </w:rPr>
      </w:pPr>
    </w:p>
    <w:p w14:paraId="3A96BB11" w14:textId="77777777" w:rsidR="00227BDB" w:rsidRPr="009F254D" w:rsidRDefault="00227BDB" w:rsidP="00FA635D">
      <w:pPr>
        <w:tabs>
          <w:tab w:val="left" w:pos="540"/>
          <w:tab w:val="left" w:pos="569"/>
        </w:tabs>
        <w:rPr>
          <w:b/>
          <w:bCs/>
          <w:sz w:val="22"/>
          <w:szCs w:val="22"/>
          <w:lang w:val="sr-Latn-ME"/>
        </w:rPr>
      </w:pPr>
    </w:p>
    <w:p w14:paraId="43935311" w14:textId="77777777" w:rsidR="0072020E" w:rsidRPr="009F254D" w:rsidRDefault="0072020E" w:rsidP="00FA635D">
      <w:pPr>
        <w:tabs>
          <w:tab w:val="left" w:pos="540"/>
          <w:tab w:val="left" w:pos="569"/>
        </w:tabs>
        <w:rPr>
          <w:b/>
          <w:bCs/>
          <w:sz w:val="22"/>
          <w:szCs w:val="22"/>
          <w:lang w:val="sr-Latn-ME"/>
        </w:rPr>
      </w:pPr>
      <w:r w:rsidRPr="009F254D">
        <w:rPr>
          <w:b/>
          <w:bCs/>
          <w:sz w:val="22"/>
          <w:szCs w:val="22"/>
          <w:lang w:val="sr-Latn-ME"/>
        </w:rPr>
        <w:t xml:space="preserve">5. </w:t>
      </w:r>
      <w:r w:rsidR="00480FB1" w:rsidRPr="009F254D">
        <w:rPr>
          <w:b/>
          <w:bCs/>
          <w:sz w:val="22"/>
          <w:szCs w:val="22"/>
          <w:lang w:val="sr-Latn-ME"/>
        </w:rPr>
        <w:tab/>
      </w:r>
      <w:r w:rsidRPr="009F254D">
        <w:rPr>
          <w:b/>
          <w:bCs/>
          <w:sz w:val="22"/>
          <w:szCs w:val="22"/>
          <w:lang w:val="sr-Latn-ME"/>
        </w:rPr>
        <w:t>FARMAKOLOŠK</w:t>
      </w:r>
      <w:r w:rsidR="000D425A" w:rsidRPr="009F254D">
        <w:rPr>
          <w:b/>
          <w:bCs/>
          <w:sz w:val="22"/>
          <w:szCs w:val="22"/>
          <w:lang w:val="sr-Latn-ME"/>
        </w:rPr>
        <w:t>I</w:t>
      </w:r>
      <w:r w:rsidRPr="009F254D">
        <w:rPr>
          <w:b/>
          <w:bCs/>
          <w:sz w:val="22"/>
          <w:szCs w:val="22"/>
          <w:lang w:val="sr-Latn-ME"/>
        </w:rPr>
        <w:t xml:space="preserve"> PODACI</w:t>
      </w:r>
    </w:p>
    <w:p w14:paraId="05E68F7E" w14:textId="77777777" w:rsidR="0072020E" w:rsidRPr="009F254D" w:rsidRDefault="0072020E" w:rsidP="00FA635D">
      <w:pPr>
        <w:tabs>
          <w:tab w:val="left" w:pos="540"/>
          <w:tab w:val="left" w:pos="569"/>
        </w:tabs>
        <w:rPr>
          <w:b/>
          <w:bCs/>
          <w:sz w:val="22"/>
          <w:szCs w:val="22"/>
          <w:lang w:val="sr-Latn-ME"/>
        </w:rPr>
      </w:pPr>
    </w:p>
    <w:p w14:paraId="791B7FDB" w14:textId="77777777" w:rsidR="0072020E" w:rsidRPr="009F254D" w:rsidRDefault="0072020E" w:rsidP="00FA635D">
      <w:pPr>
        <w:tabs>
          <w:tab w:val="left" w:pos="540"/>
          <w:tab w:val="left" w:pos="569"/>
        </w:tabs>
        <w:rPr>
          <w:b/>
          <w:bCs/>
          <w:sz w:val="22"/>
          <w:szCs w:val="22"/>
          <w:lang w:val="sr-Latn-ME"/>
        </w:rPr>
      </w:pPr>
      <w:r w:rsidRPr="009F254D">
        <w:rPr>
          <w:b/>
          <w:bCs/>
          <w:sz w:val="22"/>
          <w:szCs w:val="22"/>
          <w:lang w:val="sr-Latn-ME"/>
        </w:rPr>
        <w:t xml:space="preserve">5.1. </w:t>
      </w:r>
      <w:r w:rsidR="00480FB1" w:rsidRPr="009F254D">
        <w:rPr>
          <w:b/>
          <w:bCs/>
          <w:sz w:val="22"/>
          <w:szCs w:val="22"/>
          <w:lang w:val="sr-Latn-ME"/>
        </w:rPr>
        <w:tab/>
      </w:r>
      <w:r w:rsidRPr="009F254D">
        <w:rPr>
          <w:b/>
          <w:bCs/>
          <w:sz w:val="22"/>
          <w:szCs w:val="22"/>
          <w:lang w:val="sr-Latn-ME"/>
        </w:rPr>
        <w:t>Farmakodinamski podaci</w:t>
      </w:r>
      <w:r w:rsidR="003A7059" w:rsidRPr="009F254D">
        <w:rPr>
          <w:b/>
          <w:bCs/>
          <w:sz w:val="22"/>
          <w:szCs w:val="22"/>
          <w:lang w:val="sr-Latn-ME"/>
        </w:rPr>
        <w:t xml:space="preserve"> </w:t>
      </w:r>
    </w:p>
    <w:p w14:paraId="2F04DF68" w14:textId="77777777" w:rsidR="00F45F77" w:rsidRPr="009F254D" w:rsidRDefault="00F45F77" w:rsidP="00FA635D">
      <w:pPr>
        <w:tabs>
          <w:tab w:val="left" w:pos="540"/>
          <w:tab w:val="left" w:pos="569"/>
        </w:tabs>
        <w:rPr>
          <w:b/>
          <w:bCs/>
          <w:sz w:val="22"/>
          <w:szCs w:val="22"/>
          <w:lang w:val="sr-Latn-ME"/>
        </w:rPr>
      </w:pPr>
    </w:p>
    <w:p w14:paraId="79F37FAC" w14:textId="0D1E15FA" w:rsidR="00DC171F" w:rsidRPr="009F254D" w:rsidRDefault="00DC171F" w:rsidP="00FA635D">
      <w:pPr>
        <w:tabs>
          <w:tab w:val="left" w:pos="540"/>
          <w:tab w:val="left" w:pos="569"/>
        </w:tabs>
        <w:rPr>
          <w:b/>
          <w:bCs/>
          <w:sz w:val="22"/>
          <w:szCs w:val="22"/>
          <w:lang w:val="sr-Latn-ME"/>
        </w:rPr>
      </w:pPr>
      <w:r w:rsidRPr="009F254D">
        <w:rPr>
          <w:bCs/>
          <w:sz w:val="22"/>
          <w:szCs w:val="22"/>
          <w:lang w:val="sr-Latn-ME"/>
        </w:rPr>
        <w:t>Farmakoterapijska grupa:</w:t>
      </w:r>
      <w:r w:rsidRPr="009F254D">
        <w:rPr>
          <w:noProof/>
          <w:sz w:val="22"/>
          <w:szCs w:val="22"/>
          <w:lang w:val="sr-Latn-ME"/>
        </w:rPr>
        <w:t xml:space="preserve"> </w:t>
      </w:r>
      <w:r w:rsidRPr="009F254D">
        <w:rPr>
          <w:bCs/>
          <w:sz w:val="22"/>
          <w:szCs w:val="22"/>
          <w:lang w:val="sr-Latn-ME"/>
        </w:rPr>
        <w:t>Ljekovi za l</w:t>
      </w:r>
      <w:r w:rsidR="00E33174" w:rsidRPr="009F254D">
        <w:rPr>
          <w:bCs/>
          <w:sz w:val="22"/>
          <w:szCs w:val="22"/>
          <w:lang w:val="sr-Latn-ME"/>
        </w:rPr>
        <w:t>ij</w:t>
      </w:r>
      <w:r w:rsidRPr="009F254D">
        <w:rPr>
          <w:bCs/>
          <w:sz w:val="22"/>
          <w:szCs w:val="22"/>
          <w:lang w:val="sr-Latn-ME"/>
        </w:rPr>
        <w:t>ečenje dijabetesa, kombinacije oralnih antihiperglikemika</w:t>
      </w:r>
    </w:p>
    <w:p w14:paraId="0D75E019" w14:textId="77777777" w:rsidR="00DC171F" w:rsidRPr="009F254D" w:rsidRDefault="00DC171F" w:rsidP="00FA635D">
      <w:pPr>
        <w:tabs>
          <w:tab w:val="left" w:pos="540"/>
          <w:tab w:val="left" w:pos="569"/>
        </w:tabs>
        <w:rPr>
          <w:bCs/>
          <w:sz w:val="22"/>
          <w:szCs w:val="22"/>
          <w:lang w:val="sr-Latn-ME"/>
        </w:rPr>
      </w:pPr>
    </w:p>
    <w:p w14:paraId="7E22E73C" w14:textId="77777777" w:rsidR="00DC171F" w:rsidRPr="009F254D" w:rsidRDefault="00DC171F" w:rsidP="00FA635D">
      <w:pPr>
        <w:tabs>
          <w:tab w:val="left" w:pos="540"/>
          <w:tab w:val="left" w:pos="569"/>
        </w:tabs>
        <w:rPr>
          <w:bCs/>
          <w:sz w:val="22"/>
          <w:szCs w:val="22"/>
          <w:lang w:val="sr-Latn-ME"/>
        </w:rPr>
      </w:pPr>
      <w:r w:rsidRPr="009F254D">
        <w:rPr>
          <w:bCs/>
          <w:sz w:val="22"/>
          <w:szCs w:val="22"/>
          <w:lang w:val="sr-Latn-ME"/>
        </w:rPr>
        <w:t>ATC kod:</w:t>
      </w:r>
      <w:r w:rsidRPr="009F254D">
        <w:rPr>
          <w:noProof/>
          <w:sz w:val="22"/>
          <w:szCs w:val="22"/>
          <w:lang w:val="sr-Latn-ME"/>
        </w:rPr>
        <w:t xml:space="preserve"> </w:t>
      </w:r>
      <w:r w:rsidRPr="009F254D">
        <w:rPr>
          <w:bCs/>
          <w:sz w:val="22"/>
          <w:szCs w:val="22"/>
          <w:lang w:val="sr-Latn-ME"/>
        </w:rPr>
        <w:t>A10BD15</w:t>
      </w:r>
    </w:p>
    <w:p w14:paraId="1C0DE5EE" w14:textId="77777777" w:rsidR="00DC171F" w:rsidRPr="009F254D" w:rsidRDefault="00DC171F" w:rsidP="00FA635D">
      <w:pPr>
        <w:tabs>
          <w:tab w:val="left" w:pos="540"/>
          <w:tab w:val="left" w:pos="569"/>
        </w:tabs>
        <w:rPr>
          <w:b/>
          <w:bCs/>
          <w:sz w:val="22"/>
          <w:szCs w:val="22"/>
          <w:lang w:val="sr-Latn-ME"/>
        </w:rPr>
      </w:pPr>
    </w:p>
    <w:p w14:paraId="5C3A9C1F" w14:textId="77777777" w:rsidR="00DC171F" w:rsidRPr="009F254D" w:rsidRDefault="00DC171F" w:rsidP="00FA635D">
      <w:pPr>
        <w:keepNext/>
        <w:keepLines/>
        <w:tabs>
          <w:tab w:val="left" w:pos="284"/>
        </w:tabs>
        <w:autoSpaceDE w:val="0"/>
        <w:autoSpaceDN w:val="0"/>
        <w:adjustRightInd w:val="0"/>
        <w:jc w:val="both"/>
        <w:rPr>
          <w:sz w:val="22"/>
          <w:szCs w:val="22"/>
          <w:lang w:val="sr-Latn-ME"/>
        </w:rPr>
      </w:pPr>
      <w:r w:rsidRPr="009F254D">
        <w:rPr>
          <w:sz w:val="22"/>
          <w:szCs w:val="22"/>
          <w:u w:val="single"/>
          <w:lang w:val="sr-Latn-ME"/>
        </w:rPr>
        <w:t>Mehanizam dejstva</w:t>
      </w:r>
    </w:p>
    <w:p w14:paraId="4F844819" w14:textId="77777777" w:rsidR="00DC171F" w:rsidRPr="009F254D" w:rsidRDefault="00DC171F" w:rsidP="00FA635D">
      <w:pPr>
        <w:tabs>
          <w:tab w:val="left" w:pos="284"/>
        </w:tabs>
        <w:jc w:val="both"/>
        <w:rPr>
          <w:sz w:val="22"/>
          <w:szCs w:val="22"/>
          <w:lang w:val="sr-Latn-ME"/>
        </w:rPr>
      </w:pPr>
      <w:r w:rsidRPr="009F254D">
        <w:rPr>
          <w:noProof/>
          <w:sz w:val="22"/>
          <w:szCs w:val="22"/>
          <w:lang w:val="sr-Latn-ME"/>
        </w:rPr>
        <w:t>Xigduo</w:t>
      </w:r>
      <w:r w:rsidRPr="009F254D">
        <w:rPr>
          <w:sz w:val="22"/>
          <w:szCs w:val="22"/>
          <w:lang w:val="sr-Latn-ME"/>
        </w:rPr>
        <w:t xml:space="preserve"> sadrži kombinaciju dva antihiperglikemijska lijeka sa različitim, ali komplementarnim mehanizmima djelovanja koji poboljšavaju regulaciju glikemije kod pacijenata sa dijabetesom tipa 2: dapagliflozin, inhibitor SGLT2 i metformin hlorid, lijek iz grupe bigvanida.</w:t>
      </w:r>
    </w:p>
    <w:p w14:paraId="20CEC412" w14:textId="77777777" w:rsidR="00DC171F" w:rsidRPr="009F254D" w:rsidRDefault="00DC171F" w:rsidP="00FA635D">
      <w:pPr>
        <w:tabs>
          <w:tab w:val="left" w:pos="284"/>
        </w:tabs>
        <w:autoSpaceDE w:val="0"/>
        <w:autoSpaceDN w:val="0"/>
        <w:adjustRightInd w:val="0"/>
        <w:jc w:val="both"/>
        <w:rPr>
          <w:sz w:val="22"/>
          <w:szCs w:val="22"/>
          <w:lang w:val="sr-Latn-ME"/>
        </w:rPr>
      </w:pPr>
    </w:p>
    <w:p w14:paraId="28F69481" w14:textId="3AF726D0" w:rsidR="008264B5" w:rsidRDefault="00DC171F" w:rsidP="0014766F">
      <w:pPr>
        <w:keepNext/>
        <w:keepLines/>
        <w:tabs>
          <w:tab w:val="left" w:pos="284"/>
        </w:tabs>
        <w:autoSpaceDE w:val="0"/>
        <w:autoSpaceDN w:val="0"/>
        <w:adjustRightInd w:val="0"/>
        <w:jc w:val="both"/>
        <w:rPr>
          <w:sz w:val="22"/>
          <w:szCs w:val="22"/>
          <w:lang w:val="sr-Latn-ME"/>
        </w:rPr>
      </w:pPr>
      <w:r w:rsidRPr="009F254D">
        <w:rPr>
          <w:i/>
          <w:iCs/>
          <w:sz w:val="22"/>
          <w:szCs w:val="22"/>
          <w:u w:val="single"/>
          <w:lang w:val="sr-Latn-ME"/>
        </w:rPr>
        <w:t>Dapagliflozin</w:t>
      </w:r>
      <w:r w:rsidRPr="009F254D">
        <w:rPr>
          <w:sz w:val="22"/>
          <w:szCs w:val="22"/>
          <w:lang w:val="sr-Latn-ME"/>
        </w:rPr>
        <w:t xml:space="preserve"> </w:t>
      </w:r>
    </w:p>
    <w:p w14:paraId="2E937842" w14:textId="3239122F" w:rsidR="002557CB" w:rsidRDefault="002557CB" w:rsidP="0014766F">
      <w:pPr>
        <w:autoSpaceDE w:val="0"/>
        <w:autoSpaceDN w:val="0"/>
        <w:adjustRightInd w:val="0"/>
        <w:jc w:val="both"/>
        <w:rPr>
          <w:sz w:val="22"/>
          <w:szCs w:val="22"/>
          <w:lang w:val="sr-Latn-RS"/>
        </w:rPr>
      </w:pPr>
      <w:r w:rsidRPr="002557CB">
        <w:rPr>
          <w:sz w:val="22"/>
          <w:szCs w:val="22"/>
          <w:lang w:val="sr-Latn-RS"/>
        </w:rPr>
        <w:t>Dapagliflozin je vrlo snažan (Ki: 0,55 nM), selektivan i reverzibilan inhibitor SGLT2</w:t>
      </w:r>
      <w:r>
        <w:rPr>
          <w:sz w:val="22"/>
          <w:szCs w:val="22"/>
          <w:lang w:val="sr-Latn-RS"/>
        </w:rPr>
        <w:t>.</w:t>
      </w:r>
    </w:p>
    <w:p w14:paraId="68409961" w14:textId="61A5BEBE" w:rsidR="008264B5" w:rsidRPr="00883B40" w:rsidRDefault="008264B5" w:rsidP="0014766F">
      <w:pPr>
        <w:autoSpaceDE w:val="0"/>
        <w:autoSpaceDN w:val="0"/>
        <w:adjustRightInd w:val="0"/>
        <w:jc w:val="both"/>
        <w:rPr>
          <w:sz w:val="22"/>
          <w:szCs w:val="22"/>
          <w:lang w:val="sr-Latn-RS"/>
        </w:rPr>
      </w:pPr>
      <w:r w:rsidRPr="00883B40">
        <w:rPr>
          <w:sz w:val="22"/>
          <w:szCs w:val="22"/>
          <w:lang w:val="sr-Latn-RS"/>
        </w:rPr>
        <w:t>Inhibicija SGLT2 receptora dapagliflozinom smanjuje reapsorpciju glukoze iz glomerularnog filtrata u</w:t>
      </w:r>
    </w:p>
    <w:p w14:paraId="11490053" w14:textId="4D0CBE1E" w:rsidR="008264B5" w:rsidRPr="00883B40" w:rsidRDefault="008264B5" w:rsidP="0014766F">
      <w:pPr>
        <w:autoSpaceDE w:val="0"/>
        <w:autoSpaceDN w:val="0"/>
        <w:adjustRightInd w:val="0"/>
        <w:jc w:val="both"/>
        <w:rPr>
          <w:sz w:val="22"/>
          <w:szCs w:val="22"/>
          <w:lang w:val="sr-Latn-RS"/>
        </w:rPr>
      </w:pPr>
      <w:r w:rsidRPr="00883B40">
        <w:rPr>
          <w:sz w:val="22"/>
          <w:szCs w:val="22"/>
          <w:lang w:val="sr-Latn-RS"/>
        </w:rPr>
        <w:t>proksimalni bubrežni tubul sa istovremenim smanjenjem reapsorpcije natrijuma što dovodi do izlučivanja glukoze urinom i osmotske diureze. Dapagliflozin stoga povećava isporuku natrijuma u distalni tubul koji povećava tubuloglomerularnu povratnu spregu i smanjuje intraglomerularni pritisak. Ovo u kombinaciji sa osmotskom diurezom dovodi do smanjenja preopterećenja zapremine, smanjenog krvnog pritiska, i niže predopterećenje i naknadno opterećenje, što može imati blagotvorne efekte na remodeliranje srca i sačuvati funkciju bubrega. Ostali efekti uključuju povećanje hematokrita i smanjenje t</w:t>
      </w:r>
      <w:r>
        <w:rPr>
          <w:sz w:val="22"/>
          <w:szCs w:val="22"/>
          <w:lang w:val="sr-Latn-RS"/>
        </w:rPr>
        <w:t>j</w:t>
      </w:r>
      <w:r w:rsidRPr="00883B40">
        <w:rPr>
          <w:sz w:val="22"/>
          <w:szCs w:val="22"/>
          <w:lang w:val="sr-Latn-RS"/>
        </w:rPr>
        <w:t>elesne težine. Benefiti dapagliflozina na srce i bubrege ne zavise samo od efekta snižavanja glukoze u krvi.</w:t>
      </w:r>
    </w:p>
    <w:p w14:paraId="62A218DE" w14:textId="2C8B29AF" w:rsidR="00DC171F" w:rsidRPr="009F254D" w:rsidRDefault="00DC171F" w:rsidP="00FA635D">
      <w:pPr>
        <w:tabs>
          <w:tab w:val="left" w:pos="284"/>
        </w:tabs>
        <w:autoSpaceDE w:val="0"/>
        <w:autoSpaceDN w:val="0"/>
        <w:adjustRightInd w:val="0"/>
        <w:jc w:val="both"/>
        <w:rPr>
          <w:sz w:val="22"/>
          <w:szCs w:val="22"/>
          <w:lang w:val="sr-Latn-ME"/>
        </w:rPr>
      </w:pPr>
      <w:r w:rsidRPr="009F254D">
        <w:rPr>
          <w:sz w:val="22"/>
          <w:szCs w:val="22"/>
          <w:lang w:val="sr-Latn-ME"/>
        </w:rPr>
        <w:t xml:space="preserve">Dapagliflozin poboljšava nivoe glukoze u plazmi i natašte i </w:t>
      </w:r>
      <w:r w:rsidR="00EB6AC8" w:rsidRPr="009F254D">
        <w:rPr>
          <w:sz w:val="22"/>
          <w:szCs w:val="22"/>
          <w:lang w:val="sr-Latn-ME"/>
        </w:rPr>
        <w:t>postprandijalno</w:t>
      </w:r>
      <w:r w:rsidRPr="009F254D">
        <w:rPr>
          <w:sz w:val="22"/>
          <w:szCs w:val="22"/>
          <w:lang w:val="sr-Latn-ME"/>
        </w:rPr>
        <w:t xml:space="preserve">, smanjujući reapsorpciju glukoze u bubrezima, što dovodi do izlučivanja glukoze putem </w:t>
      </w:r>
      <w:r w:rsidR="00EB6AC8" w:rsidRPr="009F254D">
        <w:rPr>
          <w:sz w:val="22"/>
          <w:szCs w:val="22"/>
          <w:lang w:val="sr-Latn-ME"/>
        </w:rPr>
        <w:t>urina</w:t>
      </w:r>
      <w:r w:rsidRPr="009F254D">
        <w:rPr>
          <w:sz w:val="22"/>
          <w:szCs w:val="22"/>
          <w:lang w:val="sr-Latn-ME"/>
        </w:rPr>
        <w:t>. Takvo izlučivanje glukoze (</w:t>
      </w:r>
      <w:r w:rsidRPr="00160702">
        <w:rPr>
          <w:sz w:val="22"/>
          <w:szCs w:val="22"/>
          <w:lang w:val="sr-Latn-ME"/>
        </w:rPr>
        <w:t>glukuretično dejstvo</w:t>
      </w:r>
      <w:r w:rsidRPr="009F254D">
        <w:rPr>
          <w:sz w:val="22"/>
          <w:szCs w:val="22"/>
          <w:lang w:val="sr-Latn-ME"/>
        </w:rPr>
        <w:t xml:space="preserve">) zabilježeno nakon prve doze nastavlja se i tokom intervala doziranja od 24 sata i održava se tokom trajanja terapije. Količina glukoze koja se ovim mehanizmom izluči putem bubrega zavisi od koncentracije glukoze u krvi i GFR. </w:t>
      </w:r>
      <w:r w:rsidR="008264B5" w:rsidRPr="008264B5">
        <w:rPr>
          <w:sz w:val="22"/>
          <w:szCs w:val="22"/>
          <w:lang w:val="sr-Latn-ME"/>
        </w:rPr>
        <w:t xml:space="preserve">Dakle, dapagliflozin ima malu sklonost da izazove hipoglikemiju, kod pacijenata sa normalnom koncentracijom glukoze u  krvi. </w:t>
      </w:r>
      <w:r w:rsidRPr="009F254D">
        <w:rPr>
          <w:sz w:val="22"/>
          <w:szCs w:val="22"/>
          <w:lang w:val="sr-Latn-ME"/>
        </w:rPr>
        <w:t>Dapagliflozin ne ometa normalnu endogenu proizvodnju glukoze kao odgovor na hipoglikemiju. Dapagliflozin djeluje nezavisno od lučenja insulina i dejstva insulina. U kliničkim ispitivanjima lijeka dapagliflozin zabilježeno je poboljšanje procjene modela homeostaze za funkciju beta ćelija (HOMA beta ćelija).</w:t>
      </w:r>
    </w:p>
    <w:p w14:paraId="6B01339C" w14:textId="77777777" w:rsidR="00DC171F" w:rsidRPr="009F254D" w:rsidRDefault="00DC171F" w:rsidP="00FA635D">
      <w:pPr>
        <w:tabs>
          <w:tab w:val="left" w:pos="284"/>
        </w:tabs>
        <w:autoSpaceDE w:val="0"/>
        <w:autoSpaceDN w:val="0"/>
        <w:adjustRightInd w:val="0"/>
        <w:jc w:val="both"/>
        <w:rPr>
          <w:noProof/>
          <w:sz w:val="22"/>
          <w:szCs w:val="22"/>
          <w:lang w:val="sr-Latn-ME"/>
        </w:rPr>
      </w:pPr>
    </w:p>
    <w:p w14:paraId="2825CC3A" w14:textId="3C309F7D" w:rsidR="00DC171F" w:rsidRPr="009F254D" w:rsidRDefault="008264B5" w:rsidP="00FA635D">
      <w:pPr>
        <w:tabs>
          <w:tab w:val="left" w:pos="284"/>
        </w:tabs>
        <w:autoSpaceDE w:val="0"/>
        <w:autoSpaceDN w:val="0"/>
        <w:adjustRightInd w:val="0"/>
        <w:jc w:val="both"/>
        <w:rPr>
          <w:noProof/>
          <w:sz w:val="22"/>
          <w:szCs w:val="22"/>
          <w:lang w:val="sr-Latn-ME"/>
        </w:rPr>
      </w:pPr>
      <w:r w:rsidRPr="008264B5">
        <w:rPr>
          <w:noProof/>
          <w:sz w:val="22"/>
          <w:szCs w:val="22"/>
          <w:lang w:val="sr-Latn-ME"/>
        </w:rPr>
        <w:t xml:space="preserve">SGLT2 se selektivno eksprimira u bubregu. </w:t>
      </w:r>
      <w:r w:rsidR="00DC171F" w:rsidRPr="009F254D">
        <w:rPr>
          <w:noProof/>
          <w:sz w:val="22"/>
          <w:szCs w:val="22"/>
          <w:lang w:val="sr-Latn-ME"/>
        </w:rPr>
        <w:t>Dapagliflozin ne inhibira druge transportere glukoze važne za prenos glukoze u periferna tkiva i više od 1400 puta je selektivniji za SGLT2 nego za SGLT1, najvažniji transporter u crijevima odgovoran za apsorpciju glukoze.</w:t>
      </w:r>
    </w:p>
    <w:p w14:paraId="4D189DEB" w14:textId="77777777" w:rsidR="00DC171F" w:rsidRPr="009F254D" w:rsidRDefault="00DC171F" w:rsidP="00FA635D">
      <w:pPr>
        <w:tabs>
          <w:tab w:val="left" w:pos="284"/>
        </w:tabs>
        <w:autoSpaceDE w:val="0"/>
        <w:autoSpaceDN w:val="0"/>
        <w:adjustRightInd w:val="0"/>
        <w:jc w:val="both"/>
        <w:rPr>
          <w:sz w:val="22"/>
          <w:szCs w:val="22"/>
          <w:lang w:val="sr-Latn-ME"/>
        </w:rPr>
      </w:pPr>
    </w:p>
    <w:p w14:paraId="446F19D6" w14:textId="77777777" w:rsidR="00DC171F" w:rsidRPr="009F254D" w:rsidRDefault="00DC171F" w:rsidP="00FA635D">
      <w:pPr>
        <w:keepNext/>
        <w:keepLines/>
        <w:tabs>
          <w:tab w:val="left" w:pos="284"/>
        </w:tabs>
        <w:autoSpaceDE w:val="0"/>
        <w:autoSpaceDN w:val="0"/>
        <w:adjustRightInd w:val="0"/>
        <w:jc w:val="both"/>
        <w:rPr>
          <w:sz w:val="22"/>
          <w:szCs w:val="22"/>
          <w:lang w:val="sr-Latn-ME"/>
        </w:rPr>
      </w:pPr>
      <w:r w:rsidRPr="009F254D">
        <w:rPr>
          <w:i/>
          <w:iCs/>
          <w:sz w:val="22"/>
          <w:szCs w:val="22"/>
          <w:u w:val="single"/>
          <w:lang w:val="sr-Latn-ME"/>
        </w:rPr>
        <w:lastRenderedPageBreak/>
        <w:t>Metformin</w:t>
      </w:r>
    </w:p>
    <w:p w14:paraId="753EFBEF" w14:textId="77777777" w:rsidR="00DC171F" w:rsidRPr="009F254D" w:rsidRDefault="00DC171F" w:rsidP="00FA635D">
      <w:pPr>
        <w:tabs>
          <w:tab w:val="left" w:pos="284"/>
        </w:tabs>
        <w:jc w:val="both"/>
        <w:rPr>
          <w:sz w:val="22"/>
          <w:szCs w:val="22"/>
          <w:lang w:val="sr-Latn-ME"/>
        </w:rPr>
      </w:pPr>
      <w:r w:rsidRPr="009F254D">
        <w:rPr>
          <w:sz w:val="22"/>
          <w:szCs w:val="22"/>
          <w:lang w:val="sr-Latn-ME"/>
        </w:rPr>
        <w:t>Metformin je bigvanid sa antihiperglikemijskim dejstvom, pa tako snižava i bazalne i postprandijalne vrijednosti glukoze u krvi. Ne stimuliše lučenje insulina, pa tako ne izaziva hipoglikemiju.</w:t>
      </w:r>
    </w:p>
    <w:p w14:paraId="0C53EDD3" w14:textId="77777777" w:rsidR="00DC171F" w:rsidRPr="009F254D" w:rsidRDefault="00DC171F" w:rsidP="00FA635D">
      <w:pPr>
        <w:tabs>
          <w:tab w:val="left" w:pos="284"/>
        </w:tabs>
        <w:autoSpaceDE w:val="0"/>
        <w:autoSpaceDN w:val="0"/>
        <w:adjustRightInd w:val="0"/>
        <w:jc w:val="both"/>
        <w:rPr>
          <w:sz w:val="22"/>
          <w:szCs w:val="22"/>
          <w:lang w:val="sr-Latn-ME"/>
        </w:rPr>
      </w:pPr>
    </w:p>
    <w:p w14:paraId="0AD75DA5" w14:textId="77777777" w:rsidR="00DC171F" w:rsidRPr="009F254D" w:rsidRDefault="00DC171F" w:rsidP="00FA635D">
      <w:pPr>
        <w:keepNext/>
        <w:keepLines/>
        <w:tabs>
          <w:tab w:val="left" w:pos="284"/>
        </w:tabs>
        <w:autoSpaceDE w:val="0"/>
        <w:autoSpaceDN w:val="0"/>
        <w:adjustRightInd w:val="0"/>
        <w:jc w:val="both"/>
        <w:rPr>
          <w:sz w:val="22"/>
          <w:szCs w:val="22"/>
          <w:lang w:val="sr-Latn-ME"/>
        </w:rPr>
      </w:pPr>
      <w:r w:rsidRPr="009F254D">
        <w:rPr>
          <w:sz w:val="22"/>
          <w:szCs w:val="22"/>
          <w:lang w:val="sr-Latn-ME"/>
        </w:rPr>
        <w:t>Metformin može djelovati putem tri mehanizma:</w:t>
      </w:r>
    </w:p>
    <w:p w14:paraId="033039F1" w14:textId="77777777" w:rsidR="00DC171F" w:rsidRPr="009F254D" w:rsidRDefault="00DC171F" w:rsidP="00FA635D">
      <w:pPr>
        <w:keepNext/>
        <w:keepLines/>
        <w:tabs>
          <w:tab w:val="left" w:pos="284"/>
        </w:tabs>
        <w:autoSpaceDE w:val="0"/>
        <w:autoSpaceDN w:val="0"/>
        <w:adjustRightInd w:val="0"/>
        <w:ind w:left="567" w:hanging="567"/>
        <w:jc w:val="both"/>
        <w:rPr>
          <w:sz w:val="22"/>
          <w:szCs w:val="22"/>
          <w:lang w:val="sr-Latn-ME"/>
        </w:rPr>
      </w:pPr>
      <w:r w:rsidRPr="009F254D">
        <w:rPr>
          <w:sz w:val="22"/>
          <w:szCs w:val="22"/>
          <w:lang w:val="sr-Latn-ME"/>
        </w:rPr>
        <w:t>-</w:t>
      </w:r>
      <w:r w:rsidRPr="009F254D">
        <w:rPr>
          <w:sz w:val="22"/>
          <w:szCs w:val="22"/>
          <w:lang w:val="sr-Latn-ME"/>
        </w:rPr>
        <w:tab/>
        <w:t>smanjenjem proizvodnje glukoze u jetri inhibiranjem glukoneogeneze i glikogenolize;</w:t>
      </w:r>
    </w:p>
    <w:p w14:paraId="6C2B9276" w14:textId="77777777" w:rsidR="00DC171F" w:rsidRPr="009F254D" w:rsidRDefault="00DC171F" w:rsidP="00FA635D">
      <w:pPr>
        <w:tabs>
          <w:tab w:val="left" w:pos="284"/>
        </w:tabs>
        <w:autoSpaceDE w:val="0"/>
        <w:autoSpaceDN w:val="0"/>
        <w:adjustRightInd w:val="0"/>
        <w:jc w:val="both"/>
        <w:rPr>
          <w:sz w:val="22"/>
          <w:szCs w:val="22"/>
          <w:lang w:val="sr-Latn-ME"/>
        </w:rPr>
      </w:pPr>
      <w:r w:rsidRPr="009F254D">
        <w:rPr>
          <w:sz w:val="22"/>
          <w:szCs w:val="22"/>
          <w:lang w:val="sr-Latn-ME"/>
        </w:rPr>
        <w:t>-</w:t>
      </w:r>
      <w:r w:rsidRPr="009F254D">
        <w:rPr>
          <w:sz w:val="22"/>
          <w:szCs w:val="22"/>
          <w:lang w:val="sr-Latn-ME"/>
        </w:rPr>
        <w:tab/>
        <w:t>umjerenim povećavanjem osjetljivosti na insulin, čime se poboljšava unos i iskorišćavanje glukoze u perifernim tkivima u mišićima;</w:t>
      </w:r>
    </w:p>
    <w:p w14:paraId="5E9EB6BF" w14:textId="77777777" w:rsidR="00DC171F" w:rsidRPr="009F254D" w:rsidRDefault="00DC171F" w:rsidP="00FA635D">
      <w:pPr>
        <w:tabs>
          <w:tab w:val="left" w:pos="284"/>
        </w:tabs>
        <w:autoSpaceDE w:val="0"/>
        <w:autoSpaceDN w:val="0"/>
        <w:adjustRightInd w:val="0"/>
        <w:jc w:val="both"/>
        <w:rPr>
          <w:sz w:val="22"/>
          <w:szCs w:val="22"/>
          <w:lang w:val="sr-Latn-ME"/>
        </w:rPr>
      </w:pPr>
      <w:r w:rsidRPr="009F254D">
        <w:rPr>
          <w:sz w:val="22"/>
          <w:szCs w:val="22"/>
          <w:lang w:val="sr-Latn-ME"/>
        </w:rPr>
        <w:t>-</w:t>
      </w:r>
      <w:r w:rsidRPr="009F254D">
        <w:rPr>
          <w:sz w:val="22"/>
          <w:szCs w:val="22"/>
          <w:lang w:val="sr-Latn-ME"/>
        </w:rPr>
        <w:tab/>
        <w:t>usporavanjem apsorpcije glukoze u crijevima.</w:t>
      </w:r>
    </w:p>
    <w:p w14:paraId="09D5B44D" w14:textId="77777777" w:rsidR="00DC171F" w:rsidRPr="009F254D" w:rsidRDefault="00DC171F" w:rsidP="00FA635D">
      <w:pPr>
        <w:tabs>
          <w:tab w:val="left" w:pos="284"/>
        </w:tabs>
        <w:autoSpaceDE w:val="0"/>
        <w:autoSpaceDN w:val="0"/>
        <w:adjustRightInd w:val="0"/>
        <w:jc w:val="both"/>
        <w:rPr>
          <w:sz w:val="22"/>
          <w:szCs w:val="22"/>
          <w:lang w:val="sr-Latn-ME"/>
        </w:rPr>
      </w:pPr>
    </w:p>
    <w:p w14:paraId="6672AB90" w14:textId="395EBE40" w:rsidR="00DC171F" w:rsidRPr="009F254D" w:rsidRDefault="00DC171F" w:rsidP="00FA635D">
      <w:pPr>
        <w:tabs>
          <w:tab w:val="left" w:pos="284"/>
        </w:tabs>
        <w:autoSpaceDE w:val="0"/>
        <w:autoSpaceDN w:val="0"/>
        <w:adjustRightInd w:val="0"/>
        <w:jc w:val="both"/>
        <w:rPr>
          <w:sz w:val="22"/>
          <w:szCs w:val="22"/>
          <w:lang w:val="sr-Latn-ME"/>
        </w:rPr>
      </w:pPr>
      <w:r w:rsidRPr="009F254D">
        <w:rPr>
          <w:sz w:val="22"/>
          <w:szCs w:val="22"/>
          <w:lang w:val="sr-Latn-ME"/>
        </w:rPr>
        <w:t xml:space="preserve">Metformin stimuliše sintezu glikogena unutar ćelija tako što djeluje na glikogen sintazu. Metformin povećava transportni kapacitet specifičnih tipova membranskih </w:t>
      </w:r>
      <w:r w:rsidR="002A0150" w:rsidRPr="009F254D">
        <w:rPr>
          <w:sz w:val="22"/>
          <w:szCs w:val="22"/>
          <w:lang w:val="sr-Latn-ME"/>
        </w:rPr>
        <w:t xml:space="preserve">transportera </w:t>
      </w:r>
      <w:r w:rsidRPr="009F254D">
        <w:rPr>
          <w:sz w:val="22"/>
          <w:szCs w:val="22"/>
          <w:lang w:val="sr-Latn-ME"/>
        </w:rPr>
        <w:t>glukoze (GLUT-1 i GLUT-4).</w:t>
      </w:r>
    </w:p>
    <w:p w14:paraId="582C98FD" w14:textId="77777777" w:rsidR="00DC171F" w:rsidRPr="009F254D" w:rsidRDefault="00DC171F" w:rsidP="00FA635D">
      <w:pPr>
        <w:tabs>
          <w:tab w:val="left" w:pos="284"/>
        </w:tabs>
        <w:autoSpaceDE w:val="0"/>
        <w:autoSpaceDN w:val="0"/>
        <w:adjustRightInd w:val="0"/>
        <w:jc w:val="both"/>
        <w:rPr>
          <w:sz w:val="22"/>
          <w:szCs w:val="22"/>
          <w:lang w:val="sr-Latn-ME"/>
        </w:rPr>
      </w:pPr>
    </w:p>
    <w:p w14:paraId="41F60E68" w14:textId="61084E34" w:rsidR="00DC171F" w:rsidRDefault="00DC171F" w:rsidP="00FA635D">
      <w:pPr>
        <w:keepNext/>
        <w:keepLines/>
        <w:tabs>
          <w:tab w:val="left" w:pos="284"/>
        </w:tabs>
        <w:autoSpaceDE w:val="0"/>
        <w:autoSpaceDN w:val="0"/>
        <w:adjustRightInd w:val="0"/>
        <w:jc w:val="both"/>
        <w:rPr>
          <w:sz w:val="22"/>
          <w:szCs w:val="22"/>
          <w:u w:val="single"/>
          <w:lang w:val="sr-Latn-ME"/>
        </w:rPr>
      </w:pPr>
      <w:r w:rsidRPr="009F254D">
        <w:rPr>
          <w:sz w:val="22"/>
          <w:szCs w:val="22"/>
          <w:u w:val="single"/>
          <w:lang w:val="sr-Latn-ME"/>
        </w:rPr>
        <w:t>Farmakodinamska dejstva</w:t>
      </w:r>
    </w:p>
    <w:p w14:paraId="16ACFCAE" w14:textId="77777777" w:rsidR="00BE1219" w:rsidRPr="009F254D" w:rsidRDefault="00BE1219" w:rsidP="00FA635D">
      <w:pPr>
        <w:keepNext/>
        <w:keepLines/>
        <w:tabs>
          <w:tab w:val="left" w:pos="284"/>
        </w:tabs>
        <w:autoSpaceDE w:val="0"/>
        <w:autoSpaceDN w:val="0"/>
        <w:adjustRightInd w:val="0"/>
        <w:jc w:val="both"/>
        <w:rPr>
          <w:sz w:val="22"/>
          <w:szCs w:val="22"/>
          <w:lang w:val="sr-Latn-ME"/>
        </w:rPr>
      </w:pPr>
    </w:p>
    <w:p w14:paraId="17938639" w14:textId="77777777" w:rsidR="00DC171F" w:rsidRPr="009F254D" w:rsidRDefault="00DC171F" w:rsidP="00FA635D">
      <w:pPr>
        <w:keepNext/>
        <w:keepLines/>
        <w:tabs>
          <w:tab w:val="left" w:pos="284"/>
        </w:tabs>
        <w:autoSpaceDE w:val="0"/>
        <w:autoSpaceDN w:val="0"/>
        <w:adjustRightInd w:val="0"/>
        <w:jc w:val="both"/>
        <w:rPr>
          <w:i/>
          <w:iCs/>
          <w:sz w:val="22"/>
          <w:szCs w:val="22"/>
          <w:lang w:val="sr-Latn-ME"/>
        </w:rPr>
      </w:pPr>
      <w:r w:rsidRPr="009F254D">
        <w:rPr>
          <w:i/>
          <w:iCs/>
          <w:sz w:val="22"/>
          <w:szCs w:val="22"/>
          <w:u w:val="single"/>
          <w:lang w:val="sr-Latn-ME"/>
        </w:rPr>
        <w:t>Dapagliflozin</w:t>
      </w:r>
    </w:p>
    <w:p w14:paraId="1190F567" w14:textId="1308B88E" w:rsidR="00DC171F" w:rsidRPr="009F254D" w:rsidRDefault="00DC171F" w:rsidP="00FA635D">
      <w:pPr>
        <w:tabs>
          <w:tab w:val="left" w:pos="284"/>
        </w:tabs>
        <w:jc w:val="both"/>
        <w:rPr>
          <w:sz w:val="22"/>
          <w:szCs w:val="22"/>
          <w:lang w:val="sr-Latn-ME"/>
        </w:rPr>
      </w:pPr>
      <w:r w:rsidRPr="009F254D">
        <w:rPr>
          <w:sz w:val="22"/>
          <w:szCs w:val="22"/>
          <w:lang w:val="sr-Latn-ME"/>
        </w:rPr>
        <w:t xml:space="preserve">Kod zdravih ispitanika i ispitanika sa dijabetes melitusom tipa 2 nakon primjene dapagliflozina primijećeno je povećanje količine glukoze izlučene </w:t>
      </w:r>
      <w:r w:rsidR="00E4532F" w:rsidRPr="009F254D">
        <w:rPr>
          <w:sz w:val="22"/>
          <w:szCs w:val="22"/>
          <w:lang w:val="sr-Latn-ME"/>
        </w:rPr>
        <w:t>urinom</w:t>
      </w:r>
      <w:r w:rsidRPr="009F254D">
        <w:rPr>
          <w:sz w:val="22"/>
          <w:szCs w:val="22"/>
          <w:lang w:val="sr-Latn-ME"/>
        </w:rPr>
        <w:t xml:space="preserve">. Kod ispitanika sa dijabetes melitusom tipa 2 koji su tokom 12 nedjelja primali dozu dapagliflozina od 10 mg dnevno, u </w:t>
      </w:r>
      <w:r w:rsidR="00E4532F" w:rsidRPr="009F254D">
        <w:rPr>
          <w:sz w:val="22"/>
          <w:szCs w:val="22"/>
          <w:lang w:val="sr-Latn-ME"/>
        </w:rPr>
        <w:t xml:space="preserve">urin </w:t>
      </w:r>
      <w:r w:rsidRPr="009F254D">
        <w:rPr>
          <w:sz w:val="22"/>
          <w:szCs w:val="22"/>
          <w:lang w:val="sr-Latn-ME"/>
        </w:rPr>
        <w:t>je izlučivano oko 70 g glukoze dnevno (što odgovara 280 kcal/dan). Znaci održanog izlučivanja glukoze zabilježeni su kod ispitanika sa dijabetes melitusom tipa 2 koji su primali dapagliflozin od 10 mg dnevno u trajanju do 2 godine.</w:t>
      </w:r>
    </w:p>
    <w:p w14:paraId="012328D8" w14:textId="77777777" w:rsidR="00DC171F" w:rsidRPr="009F254D" w:rsidRDefault="00DC171F" w:rsidP="00FA635D">
      <w:pPr>
        <w:tabs>
          <w:tab w:val="left" w:pos="284"/>
        </w:tabs>
        <w:autoSpaceDE w:val="0"/>
        <w:autoSpaceDN w:val="0"/>
        <w:adjustRightInd w:val="0"/>
        <w:jc w:val="both"/>
        <w:rPr>
          <w:sz w:val="22"/>
          <w:szCs w:val="22"/>
          <w:lang w:val="sr-Latn-ME"/>
        </w:rPr>
      </w:pPr>
    </w:p>
    <w:p w14:paraId="3CE29154" w14:textId="6C2E9002" w:rsidR="00DC171F" w:rsidRPr="009F254D" w:rsidRDefault="00DC171F" w:rsidP="00FA635D">
      <w:pPr>
        <w:tabs>
          <w:tab w:val="left" w:pos="284"/>
        </w:tabs>
        <w:autoSpaceDE w:val="0"/>
        <w:autoSpaceDN w:val="0"/>
        <w:adjustRightInd w:val="0"/>
        <w:jc w:val="both"/>
        <w:rPr>
          <w:sz w:val="22"/>
          <w:szCs w:val="22"/>
          <w:lang w:val="sr-Latn-ME"/>
        </w:rPr>
      </w:pPr>
      <w:r w:rsidRPr="009F254D">
        <w:rPr>
          <w:sz w:val="22"/>
          <w:szCs w:val="22"/>
          <w:lang w:val="sr-Latn-ME"/>
        </w:rPr>
        <w:t xml:space="preserve">Ovo izlučivanje glukoze putem </w:t>
      </w:r>
      <w:r w:rsidR="00E4532F" w:rsidRPr="009F254D">
        <w:rPr>
          <w:sz w:val="22"/>
          <w:szCs w:val="22"/>
          <w:lang w:val="sr-Latn-ME"/>
        </w:rPr>
        <w:t>urina</w:t>
      </w:r>
      <w:r w:rsidRPr="009F254D">
        <w:rPr>
          <w:sz w:val="22"/>
          <w:szCs w:val="22"/>
          <w:lang w:val="sr-Latn-ME"/>
        </w:rPr>
        <w:t xml:space="preserve">, podstaknuto dapagliflozinom, dovodi i do osmotske diureze i povećanja zapremine </w:t>
      </w:r>
      <w:r w:rsidR="00E4532F" w:rsidRPr="009F254D">
        <w:rPr>
          <w:sz w:val="22"/>
          <w:szCs w:val="22"/>
          <w:lang w:val="sr-Latn-ME"/>
        </w:rPr>
        <w:t xml:space="preserve">urina </w:t>
      </w:r>
      <w:r w:rsidRPr="009F254D">
        <w:rPr>
          <w:sz w:val="22"/>
          <w:szCs w:val="22"/>
          <w:lang w:val="sr-Latn-ME"/>
        </w:rPr>
        <w:t xml:space="preserve">kod ispitanika sa dijabetes melitusom tipa 2. Povećanja zapremine </w:t>
      </w:r>
      <w:r w:rsidR="00E4532F" w:rsidRPr="009F254D">
        <w:rPr>
          <w:sz w:val="22"/>
          <w:szCs w:val="22"/>
          <w:lang w:val="sr-Latn-ME"/>
        </w:rPr>
        <w:t xml:space="preserve">urina </w:t>
      </w:r>
      <w:r w:rsidRPr="009F254D">
        <w:rPr>
          <w:sz w:val="22"/>
          <w:szCs w:val="22"/>
          <w:lang w:val="sr-Latn-ME"/>
        </w:rPr>
        <w:t xml:space="preserve">kod ispitanika sa dijabetes melitusom tipa 2 liječenih </w:t>
      </w:r>
      <w:r w:rsidRPr="009F254D">
        <w:rPr>
          <w:noProof/>
          <w:sz w:val="22"/>
          <w:szCs w:val="22"/>
          <w:lang w:val="sr-Latn-ME"/>
        </w:rPr>
        <w:t>dapagliflozinom</w:t>
      </w:r>
      <w:r w:rsidRPr="009F254D">
        <w:rPr>
          <w:sz w:val="22"/>
          <w:szCs w:val="22"/>
          <w:lang w:val="sr-Latn-ME"/>
        </w:rPr>
        <w:t xml:space="preserve"> od 10 mg održana su do 12. nedjelje i iznosila su približno 375 ml/dan. Povećanje zapremine </w:t>
      </w:r>
      <w:r w:rsidR="00E4532F" w:rsidRPr="009F254D">
        <w:rPr>
          <w:sz w:val="22"/>
          <w:szCs w:val="22"/>
          <w:lang w:val="sr-Latn-ME"/>
        </w:rPr>
        <w:t xml:space="preserve">urina </w:t>
      </w:r>
      <w:r w:rsidRPr="009F254D">
        <w:rPr>
          <w:sz w:val="22"/>
          <w:szCs w:val="22"/>
          <w:lang w:val="sr-Latn-ME"/>
        </w:rPr>
        <w:t xml:space="preserve">bilo je povezano sa blagim i prolaznim povećanjem izlučivanja natrijuma putem </w:t>
      </w:r>
      <w:r w:rsidR="00E4532F" w:rsidRPr="009F254D">
        <w:rPr>
          <w:sz w:val="22"/>
          <w:szCs w:val="22"/>
          <w:lang w:val="sr-Latn-ME"/>
        </w:rPr>
        <w:t xml:space="preserve">urina </w:t>
      </w:r>
      <w:r w:rsidRPr="009F254D">
        <w:rPr>
          <w:sz w:val="22"/>
          <w:szCs w:val="22"/>
          <w:lang w:val="sr-Latn-ME"/>
        </w:rPr>
        <w:t>koje nije bilo udruženo sa prom</w:t>
      </w:r>
      <w:r w:rsidR="00E4532F" w:rsidRPr="009F254D">
        <w:rPr>
          <w:sz w:val="22"/>
          <w:szCs w:val="22"/>
          <w:lang w:val="sr-Latn-ME"/>
        </w:rPr>
        <w:t>j</w:t>
      </w:r>
      <w:r w:rsidRPr="009F254D">
        <w:rPr>
          <w:sz w:val="22"/>
          <w:szCs w:val="22"/>
          <w:lang w:val="sr-Latn-ME"/>
        </w:rPr>
        <w:t>enama koncentracije natrijuma u serumu.</w:t>
      </w:r>
    </w:p>
    <w:p w14:paraId="5AEE1975" w14:textId="77777777" w:rsidR="00DC171F" w:rsidRPr="009F254D" w:rsidRDefault="00DC171F" w:rsidP="00FA635D">
      <w:pPr>
        <w:tabs>
          <w:tab w:val="left" w:pos="284"/>
        </w:tabs>
        <w:autoSpaceDE w:val="0"/>
        <w:autoSpaceDN w:val="0"/>
        <w:adjustRightInd w:val="0"/>
        <w:jc w:val="both"/>
        <w:rPr>
          <w:sz w:val="22"/>
          <w:szCs w:val="22"/>
          <w:lang w:val="sr-Latn-ME"/>
        </w:rPr>
      </w:pPr>
    </w:p>
    <w:p w14:paraId="7B538FEB" w14:textId="515781BB" w:rsidR="00DC171F" w:rsidRPr="009F254D" w:rsidRDefault="00DC171F" w:rsidP="00FA635D">
      <w:pPr>
        <w:tabs>
          <w:tab w:val="left" w:pos="284"/>
        </w:tabs>
        <w:autoSpaceDE w:val="0"/>
        <w:autoSpaceDN w:val="0"/>
        <w:adjustRightInd w:val="0"/>
        <w:jc w:val="both"/>
        <w:rPr>
          <w:noProof/>
          <w:sz w:val="22"/>
          <w:szCs w:val="22"/>
          <w:lang w:val="sr-Latn-ME"/>
        </w:rPr>
      </w:pPr>
      <w:r w:rsidRPr="009F254D">
        <w:rPr>
          <w:sz w:val="22"/>
          <w:szCs w:val="22"/>
          <w:lang w:val="sr-Latn-ME"/>
        </w:rPr>
        <w:t xml:space="preserve">Izlučivanje mokraćne kiseline putem </w:t>
      </w:r>
      <w:r w:rsidR="00E4532F" w:rsidRPr="009F254D">
        <w:rPr>
          <w:sz w:val="22"/>
          <w:szCs w:val="22"/>
          <w:lang w:val="sr-Latn-ME"/>
        </w:rPr>
        <w:t xml:space="preserve">urina </w:t>
      </w:r>
      <w:r w:rsidRPr="009F254D">
        <w:rPr>
          <w:sz w:val="22"/>
          <w:szCs w:val="22"/>
          <w:lang w:val="sr-Latn-ME"/>
        </w:rPr>
        <w:t>takođe se privremeno povećalo (tokom 3–7 dana), a bilo je praćeno trajnim smanjenjem koncentracije mokraćne kiseline u serumu. U 24. nedjelji smanjenje koncentracije mokraćne kiseline u serumu se kretalo od -48,3 do -18,3 mikromola/l (od -0,87 do -0,33 mg/dl)</w:t>
      </w:r>
      <w:r w:rsidRPr="009F254D">
        <w:rPr>
          <w:noProof/>
          <w:sz w:val="22"/>
          <w:szCs w:val="22"/>
          <w:lang w:val="sr-Latn-ME"/>
        </w:rPr>
        <w:t>.</w:t>
      </w:r>
    </w:p>
    <w:p w14:paraId="4FC51239" w14:textId="77777777" w:rsidR="00DC171F" w:rsidRPr="009F254D" w:rsidRDefault="00DC171F" w:rsidP="00FA635D">
      <w:pPr>
        <w:tabs>
          <w:tab w:val="left" w:pos="284"/>
        </w:tabs>
        <w:autoSpaceDE w:val="0"/>
        <w:autoSpaceDN w:val="0"/>
        <w:adjustRightInd w:val="0"/>
        <w:jc w:val="both"/>
        <w:rPr>
          <w:sz w:val="22"/>
          <w:szCs w:val="22"/>
          <w:lang w:val="sr-Latn-ME"/>
        </w:rPr>
      </w:pPr>
    </w:p>
    <w:p w14:paraId="5658E541" w14:textId="2518B714" w:rsidR="00DC171F" w:rsidRPr="009F254D" w:rsidRDefault="00DC171F" w:rsidP="00FA635D">
      <w:pPr>
        <w:tabs>
          <w:tab w:val="left" w:pos="284"/>
        </w:tabs>
        <w:autoSpaceDE w:val="0"/>
        <w:autoSpaceDN w:val="0"/>
        <w:adjustRightInd w:val="0"/>
        <w:jc w:val="both"/>
        <w:rPr>
          <w:sz w:val="22"/>
          <w:szCs w:val="22"/>
          <w:lang w:val="sr-Latn-ME"/>
        </w:rPr>
      </w:pPr>
      <w:r w:rsidRPr="009F254D">
        <w:rPr>
          <w:sz w:val="22"/>
          <w:szCs w:val="22"/>
          <w:lang w:val="sr-Latn-ME"/>
        </w:rPr>
        <w:t xml:space="preserve">Farmakodinamika dapagliflozina u dozi od 5 mg dvaput dnevno i dapagliflozina u dozi od 10 mg jednom dnevno upoređena je kod zdravih ispitanika. Inhibicija reapsorpcije glukoze u bubrezima u stanju dinamičke ravnoteže i količina glukoze izlučene </w:t>
      </w:r>
      <w:r w:rsidR="00E4532F" w:rsidRPr="009F254D">
        <w:rPr>
          <w:sz w:val="22"/>
          <w:szCs w:val="22"/>
          <w:lang w:val="sr-Latn-ME"/>
        </w:rPr>
        <w:t xml:space="preserve">urinom </w:t>
      </w:r>
      <w:r w:rsidRPr="009F254D">
        <w:rPr>
          <w:sz w:val="22"/>
          <w:szCs w:val="22"/>
          <w:lang w:val="sr-Latn-ME"/>
        </w:rPr>
        <w:t>tokom 24 sata bila je jednaka kod oba režima doziranja.</w:t>
      </w:r>
    </w:p>
    <w:p w14:paraId="2B5FD292" w14:textId="77777777" w:rsidR="00DC171F" w:rsidRPr="009F254D" w:rsidRDefault="00DC171F" w:rsidP="00FA635D">
      <w:pPr>
        <w:tabs>
          <w:tab w:val="left" w:pos="284"/>
        </w:tabs>
        <w:autoSpaceDE w:val="0"/>
        <w:autoSpaceDN w:val="0"/>
        <w:adjustRightInd w:val="0"/>
        <w:jc w:val="both"/>
        <w:rPr>
          <w:sz w:val="22"/>
          <w:szCs w:val="22"/>
          <w:lang w:val="sr-Latn-ME"/>
        </w:rPr>
      </w:pPr>
    </w:p>
    <w:p w14:paraId="161DEA5B" w14:textId="77777777" w:rsidR="00DC171F" w:rsidRPr="009F254D" w:rsidRDefault="00DC171F" w:rsidP="00FA635D">
      <w:pPr>
        <w:keepNext/>
        <w:keepLines/>
        <w:tabs>
          <w:tab w:val="left" w:pos="284"/>
        </w:tabs>
        <w:autoSpaceDE w:val="0"/>
        <w:autoSpaceDN w:val="0"/>
        <w:adjustRightInd w:val="0"/>
        <w:jc w:val="both"/>
        <w:rPr>
          <w:sz w:val="22"/>
          <w:szCs w:val="22"/>
          <w:lang w:val="sr-Latn-ME"/>
        </w:rPr>
      </w:pPr>
      <w:r w:rsidRPr="009F254D">
        <w:rPr>
          <w:i/>
          <w:iCs/>
          <w:sz w:val="22"/>
          <w:szCs w:val="22"/>
          <w:u w:val="single"/>
          <w:lang w:val="sr-Latn-ME"/>
        </w:rPr>
        <w:t>Metformin</w:t>
      </w:r>
    </w:p>
    <w:p w14:paraId="14B46B32" w14:textId="3698DD4B" w:rsidR="00DC171F" w:rsidRPr="009F254D" w:rsidRDefault="00DC171F" w:rsidP="00FA635D">
      <w:pPr>
        <w:tabs>
          <w:tab w:val="left" w:pos="284"/>
        </w:tabs>
        <w:jc w:val="both"/>
        <w:rPr>
          <w:sz w:val="22"/>
          <w:szCs w:val="22"/>
          <w:lang w:val="sr-Latn-ME"/>
        </w:rPr>
      </w:pPr>
      <w:r w:rsidRPr="009F254D">
        <w:rPr>
          <w:sz w:val="22"/>
          <w:szCs w:val="22"/>
          <w:lang w:val="sr-Latn-ME"/>
        </w:rPr>
        <w:t>Metformin kod ljudi ima povoljan učinak na metabolizam lipida, nezavisno od djelovanja na glikemiju. Kontrolisane srednj</w:t>
      </w:r>
      <w:r w:rsidR="00026CC7">
        <w:rPr>
          <w:sz w:val="22"/>
          <w:szCs w:val="22"/>
          <w:lang w:val="sr-Latn-ME"/>
        </w:rPr>
        <w:t>o</w:t>
      </w:r>
      <w:r w:rsidRPr="009F254D">
        <w:rPr>
          <w:sz w:val="22"/>
          <w:szCs w:val="22"/>
          <w:lang w:val="sr-Latn-ME"/>
        </w:rPr>
        <w:t>ročne ili dugoročne kliničke studije pokazale su da metformin u terapijskim dozama snižava nivoe ukupnog holesterola, LDL holesterola i triglicerida.</w:t>
      </w:r>
    </w:p>
    <w:p w14:paraId="6881113D" w14:textId="77777777" w:rsidR="00DC171F" w:rsidRPr="009F254D" w:rsidRDefault="00DC171F" w:rsidP="00FA635D">
      <w:pPr>
        <w:tabs>
          <w:tab w:val="left" w:pos="284"/>
        </w:tabs>
        <w:autoSpaceDE w:val="0"/>
        <w:autoSpaceDN w:val="0"/>
        <w:adjustRightInd w:val="0"/>
        <w:jc w:val="both"/>
        <w:rPr>
          <w:sz w:val="22"/>
          <w:szCs w:val="22"/>
          <w:lang w:val="sr-Latn-ME"/>
        </w:rPr>
      </w:pPr>
    </w:p>
    <w:p w14:paraId="3A7F3437" w14:textId="77777777" w:rsidR="00DC171F" w:rsidRPr="009F254D" w:rsidRDefault="00DC171F" w:rsidP="00FA635D">
      <w:pPr>
        <w:tabs>
          <w:tab w:val="left" w:pos="284"/>
        </w:tabs>
        <w:jc w:val="both"/>
        <w:rPr>
          <w:sz w:val="22"/>
          <w:szCs w:val="22"/>
          <w:lang w:val="sr-Latn-ME"/>
        </w:rPr>
      </w:pPr>
      <w:r w:rsidRPr="009F254D">
        <w:rPr>
          <w:sz w:val="22"/>
          <w:szCs w:val="22"/>
          <w:lang w:val="sr-Latn-ME"/>
        </w:rPr>
        <w:t>U kliničkim studijama, upotreba metformina dovođena je u vezu ili sa stabilnom tjelesnom masom ili sa umjerenim gubitkom tjelesne mase.</w:t>
      </w:r>
    </w:p>
    <w:p w14:paraId="3D0300C4" w14:textId="77777777" w:rsidR="00DC171F" w:rsidRPr="009F254D" w:rsidRDefault="00DC171F" w:rsidP="00FA635D">
      <w:pPr>
        <w:tabs>
          <w:tab w:val="left" w:pos="284"/>
        </w:tabs>
        <w:autoSpaceDE w:val="0"/>
        <w:autoSpaceDN w:val="0"/>
        <w:adjustRightInd w:val="0"/>
        <w:jc w:val="both"/>
        <w:rPr>
          <w:sz w:val="22"/>
          <w:szCs w:val="22"/>
          <w:lang w:val="sr-Latn-ME"/>
        </w:rPr>
      </w:pPr>
    </w:p>
    <w:p w14:paraId="3741306D" w14:textId="77777777" w:rsidR="00DC171F" w:rsidRPr="009F254D" w:rsidRDefault="00DC171F" w:rsidP="00FA635D">
      <w:pPr>
        <w:tabs>
          <w:tab w:val="left" w:pos="284"/>
        </w:tabs>
        <w:autoSpaceDE w:val="0"/>
        <w:autoSpaceDN w:val="0"/>
        <w:adjustRightInd w:val="0"/>
        <w:jc w:val="both"/>
        <w:rPr>
          <w:sz w:val="22"/>
          <w:szCs w:val="22"/>
          <w:u w:val="single"/>
          <w:lang w:val="sr-Latn-ME"/>
        </w:rPr>
      </w:pPr>
      <w:r w:rsidRPr="009F254D">
        <w:rPr>
          <w:sz w:val="22"/>
          <w:szCs w:val="22"/>
          <w:u w:val="single"/>
          <w:lang w:val="sr-Latn-ME"/>
        </w:rPr>
        <w:t>Klinička efikasnost i bezbjednost</w:t>
      </w:r>
    </w:p>
    <w:p w14:paraId="5AEB9B8A" w14:textId="11902F61" w:rsidR="00DC171F" w:rsidRPr="009F254D" w:rsidRDefault="00026CC7" w:rsidP="00FA635D">
      <w:pPr>
        <w:tabs>
          <w:tab w:val="left" w:pos="284"/>
        </w:tabs>
        <w:autoSpaceDE w:val="0"/>
        <w:autoSpaceDN w:val="0"/>
        <w:adjustRightInd w:val="0"/>
        <w:jc w:val="both"/>
        <w:rPr>
          <w:sz w:val="22"/>
          <w:szCs w:val="22"/>
          <w:lang w:val="sr-Latn-ME"/>
        </w:rPr>
      </w:pPr>
      <w:bookmarkStart w:id="1" w:name="_Hlk5615173"/>
      <w:r>
        <w:rPr>
          <w:sz w:val="22"/>
          <w:szCs w:val="22"/>
          <w:lang w:val="sr-Latn-ME"/>
        </w:rPr>
        <w:t>S</w:t>
      </w:r>
      <w:r w:rsidRPr="009F254D">
        <w:rPr>
          <w:sz w:val="22"/>
          <w:szCs w:val="22"/>
          <w:lang w:val="sr-Latn-ME"/>
        </w:rPr>
        <w:t>astavni dio terapije dijabetes melitusa tipa 2</w:t>
      </w:r>
      <w:r>
        <w:rPr>
          <w:sz w:val="22"/>
          <w:szCs w:val="22"/>
          <w:lang w:val="sr-Latn-ME"/>
        </w:rPr>
        <w:t xml:space="preserve"> </w:t>
      </w:r>
      <w:r w:rsidRPr="009F254D">
        <w:rPr>
          <w:sz w:val="22"/>
          <w:szCs w:val="22"/>
          <w:lang w:val="sr-Latn-ME"/>
        </w:rPr>
        <w:t>predstavljaju</w:t>
      </w:r>
      <w:r w:rsidRPr="009F254D" w:rsidDel="00026CC7">
        <w:rPr>
          <w:sz w:val="22"/>
          <w:szCs w:val="22"/>
          <w:lang w:val="sr-Latn-ME"/>
        </w:rPr>
        <w:t xml:space="preserve"> </w:t>
      </w:r>
      <w:r>
        <w:rPr>
          <w:sz w:val="22"/>
          <w:szCs w:val="22"/>
          <w:lang w:val="sr-Latn-ME"/>
        </w:rPr>
        <w:t>i</w:t>
      </w:r>
      <w:r w:rsidR="00DC171F" w:rsidRPr="009F254D">
        <w:rPr>
          <w:sz w:val="22"/>
          <w:szCs w:val="22"/>
          <w:lang w:val="sr-Latn-ME"/>
        </w:rPr>
        <w:t xml:space="preserve"> poboljšanje kontrole glikemije i smanjenje kardiovaskularnog morbiditeta i mortaliteta.</w:t>
      </w:r>
    </w:p>
    <w:bookmarkEnd w:id="1"/>
    <w:p w14:paraId="1BBAE416" w14:textId="77777777" w:rsidR="00DC171F" w:rsidRPr="009F254D" w:rsidRDefault="00DC171F" w:rsidP="00FA635D">
      <w:pPr>
        <w:tabs>
          <w:tab w:val="left" w:pos="284"/>
        </w:tabs>
        <w:autoSpaceDE w:val="0"/>
        <w:autoSpaceDN w:val="0"/>
        <w:adjustRightInd w:val="0"/>
        <w:jc w:val="both"/>
        <w:rPr>
          <w:sz w:val="22"/>
          <w:szCs w:val="22"/>
          <w:lang w:val="sr-Latn-ME"/>
        </w:rPr>
      </w:pPr>
    </w:p>
    <w:p w14:paraId="6BCCE97F" w14:textId="707D1AAC" w:rsidR="00DC171F" w:rsidRPr="009F254D" w:rsidRDefault="00DC171F" w:rsidP="00FA635D">
      <w:pPr>
        <w:tabs>
          <w:tab w:val="left" w:pos="284"/>
        </w:tabs>
        <w:jc w:val="both"/>
        <w:rPr>
          <w:sz w:val="22"/>
          <w:szCs w:val="22"/>
          <w:lang w:val="sr-Latn-ME"/>
        </w:rPr>
      </w:pPr>
      <w:r w:rsidRPr="009F254D">
        <w:rPr>
          <w:sz w:val="22"/>
          <w:szCs w:val="22"/>
          <w:lang w:val="sr-Latn-ME"/>
        </w:rPr>
        <w:t xml:space="preserve">Istovremena primjena dapagliflozina i metformina proučavana je na ispitanicima sa dijabetesom tipa 2 kod kojih glikemija nije bila dovoljno dobro regulisana samom pravilnom ishranom i vježbama, kao i na ispitanicima kod kojih glikemija nije bila dovoljno dobro regulisana monoterapijom metforminom ili u kombinaciji sa inhibitorom DPP-4 (sitagliptinom), sulfonilureom ili insulinom. Liječenje </w:t>
      </w:r>
      <w:r w:rsidRPr="009F254D">
        <w:rPr>
          <w:sz w:val="22"/>
          <w:szCs w:val="22"/>
          <w:lang w:val="sr-Latn-ME"/>
        </w:rPr>
        <w:lastRenderedPageBreak/>
        <w:t>dapagliflozinom i metforminom u svim dozama dovelo je do klinički relevantnih i statistički značajnih poboljšanja vrijednosti HbA1c i glukoze u plazmi natašte (</w:t>
      </w:r>
      <w:r w:rsidR="00026CC7">
        <w:rPr>
          <w:sz w:val="22"/>
          <w:szCs w:val="22"/>
          <w:lang w:val="sr-Latn-ME"/>
        </w:rPr>
        <w:t xml:space="preserve">engl. </w:t>
      </w:r>
      <w:r w:rsidR="00B01D2C" w:rsidRPr="009F254D">
        <w:rPr>
          <w:i/>
          <w:sz w:val="22"/>
          <w:szCs w:val="22"/>
          <w:lang w:val="sr-Latn-ME"/>
        </w:rPr>
        <w:t>fasting plasma glucose</w:t>
      </w:r>
      <w:r w:rsidR="00B01D2C" w:rsidRPr="009F254D">
        <w:rPr>
          <w:sz w:val="22"/>
          <w:szCs w:val="22"/>
          <w:lang w:val="sr-Latn-ME"/>
        </w:rPr>
        <w:t xml:space="preserve"> – </w:t>
      </w:r>
      <w:r w:rsidRPr="009F254D">
        <w:rPr>
          <w:sz w:val="22"/>
          <w:szCs w:val="22"/>
          <w:lang w:val="sr-Latn-ME"/>
        </w:rPr>
        <w:t>FPG) u poređenju sa kontrolom. Klinički značajna dejstva na glikemiju održala su se u dugoročnim nastavcima studije do 104. nedjelje. Smanjenje vrijednosti HbA1c opaženo je u svim podgrupama, uključujući podgrupe prema polu, dobi, rasi, trajanju bolesti i indeksu tjelesne mase (</w:t>
      </w:r>
      <w:r w:rsidR="00026CC7">
        <w:rPr>
          <w:sz w:val="22"/>
          <w:szCs w:val="22"/>
          <w:lang w:val="sr-Latn-ME"/>
        </w:rPr>
        <w:t xml:space="preserve">engl. </w:t>
      </w:r>
      <w:r w:rsidR="00B01D2C" w:rsidRPr="009F254D">
        <w:rPr>
          <w:i/>
          <w:sz w:val="22"/>
          <w:szCs w:val="22"/>
          <w:lang w:val="sr-Latn-ME"/>
        </w:rPr>
        <w:t>body mass index</w:t>
      </w:r>
      <w:r w:rsidR="00B01D2C" w:rsidRPr="009F254D">
        <w:rPr>
          <w:sz w:val="22"/>
          <w:szCs w:val="22"/>
          <w:lang w:val="sr-Latn-ME"/>
        </w:rPr>
        <w:t xml:space="preserve"> – </w:t>
      </w:r>
      <w:r w:rsidRPr="009F254D">
        <w:rPr>
          <w:sz w:val="22"/>
          <w:szCs w:val="22"/>
          <w:lang w:val="sr-Latn-ME"/>
        </w:rPr>
        <w:t>BMI) na početku ispitivanja. Osim toga, u 24. nedjelji primijećeno je klinički relevantno i statistički značajno poboljšanje srednjih promjena tjelesne mase u odnosu na početnu vrijednost u grupi koja je primala kombinovano liječenje dapagliflozinom i metforminom u poređenju sa kontrolnom grupom. Smanjenje tjelesne mase održalo se u dugoročnim nastavcima studije do 208. nedjelje. Osim toga, primjena dapagliflozina dvaput dnevno kao dodatka liječenju metforminom pokazala se efikasnom i bezbjednom kod ispitanika sa dijabetesom tipa 2. Osim toga, dvije placebo</w:t>
      </w:r>
      <w:r w:rsidR="00B01D2C" w:rsidRPr="009F254D">
        <w:rPr>
          <w:sz w:val="22"/>
          <w:szCs w:val="22"/>
          <w:lang w:val="sr-Latn-ME"/>
        </w:rPr>
        <w:t>-</w:t>
      </w:r>
      <w:r w:rsidRPr="009F254D">
        <w:rPr>
          <w:sz w:val="22"/>
          <w:szCs w:val="22"/>
          <w:lang w:val="sr-Latn-ME"/>
        </w:rPr>
        <w:t xml:space="preserve">kontrolisane studije </w:t>
      </w:r>
      <w:r w:rsidR="00B01D2C" w:rsidRPr="009F254D">
        <w:rPr>
          <w:sz w:val="22"/>
          <w:szCs w:val="22"/>
          <w:lang w:val="sr-Latn-ME"/>
        </w:rPr>
        <w:t xml:space="preserve">u trajanju od 12 nedjelja </w:t>
      </w:r>
      <w:r w:rsidRPr="009F254D">
        <w:rPr>
          <w:sz w:val="22"/>
          <w:szCs w:val="22"/>
          <w:lang w:val="sr-Latn-ME"/>
        </w:rPr>
        <w:t>sprovedene su kod pacijenata sa neadekvatno kontrolisanim dijabetes melitusom tipa 2 i hipertenzijom.</w:t>
      </w:r>
    </w:p>
    <w:p w14:paraId="2F268E3F" w14:textId="77777777" w:rsidR="00DC171F" w:rsidRPr="009F254D" w:rsidRDefault="00DC171F" w:rsidP="00FA635D">
      <w:pPr>
        <w:tabs>
          <w:tab w:val="left" w:pos="284"/>
        </w:tabs>
        <w:autoSpaceDE w:val="0"/>
        <w:autoSpaceDN w:val="0"/>
        <w:adjustRightInd w:val="0"/>
        <w:jc w:val="both"/>
        <w:rPr>
          <w:sz w:val="22"/>
          <w:szCs w:val="22"/>
          <w:lang w:val="sr-Latn-ME"/>
        </w:rPr>
      </w:pPr>
    </w:p>
    <w:p w14:paraId="752BC9F2" w14:textId="3E3C1D84" w:rsidR="00DC171F" w:rsidRPr="009F254D" w:rsidRDefault="00DC171F" w:rsidP="00FA635D">
      <w:pPr>
        <w:tabs>
          <w:tab w:val="left" w:pos="284"/>
        </w:tabs>
        <w:autoSpaceDE w:val="0"/>
        <w:autoSpaceDN w:val="0"/>
        <w:adjustRightInd w:val="0"/>
        <w:jc w:val="both"/>
        <w:rPr>
          <w:sz w:val="22"/>
          <w:szCs w:val="22"/>
          <w:lang w:val="sr-Latn-ME"/>
        </w:rPr>
      </w:pPr>
      <w:r w:rsidRPr="009F254D">
        <w:rPr>
          <w:sz w:val="22"/>
          <w:szCs w:val="22"/>
          <w:lang w:val="sr-Latn-ME"/>
        </w:rPr>
        <w:t xml:space="preserve">U </w:t>
      </w:r>
      <w:r w:rsidR="008264B5" w:rsidRPr="009F254D">
        <w:rPr>
          <w:sz w:val="22"/>
          <w:szCs w:val="22"/>
          <w:lang w:val="sr-Latn-ME"/>
        </w:rPr>
        <w:t xml:space="preserve">DECLARE </w:t>
      </w:r>
      <w:r w:rsidRPr="009F254D">
        <w:rPr>
          <w:sz w:val="22"/>
          <w:szCs w:val="22"/>
          <w:lang w:val="sr-Latn-ME"/>
        </w:rPr>
        <w:t>studiji dapagliflozin je kao dodatak standardnom liječenju smanjio stopu kardiovaskularnih i bubrežnih događaja kod pacijenata sa dijabetesom tipa 2.</w:t>
      </w:r>
    </w:p>
    <w:p w14:paraId="20BD8C35" w14:textId="77777777" w:rsidR="008264B5" w:rsidRPr="009F254D" w:rsidRDefault="008264B5" w:rsidP="00FA635D">
      <w:pPr>
        <w:tabs>
          <w:tab w:val="left" w:pos="284"/>
        </w:tabs>
        <w:autoSpaceDE w:val="0"/>
        <w:autoSpaceDN w:val="0"/>
        <w:adjustRightInd w:val="0"/>
        <w:jc w:val="both"/>
        <w:rPr>
          <w:sz w:val="22"/>
          <w:szCs w:val="22"/>
          <w:lang w:val="sr-Latn-ME"/>
        </w:rPr>
      </w:pPr>
    </w:p>
    <w:p w14:paraId="1359924E" w14:textId="77777777" w:rsidR="00DC171F" w:rsidRPr="009F254D" w:rsidRDefault="00DC171F" w:rsidP="00FA635D">
      <w:pPr>
        <w:keepNext/>
        <w:keepLines/>
        <w:tabs>
          <w:tab w:val="left" w:pos="284"/>
        </w:tabs>
        <w:jc w:val="both"/>
        <w:rPr>
          <w:i/>
          <w:sz w:val="22"/>
          <w:szCs w:val="22"/>
          <w:u w:val="single"/>
          <w:lang w:val="sr-Latn-ME"/>
        </w:rPr>
      </w:pPr>
      <w:r w:rsidRPr="009F254D">
        <w:rPr>
          <w:i/>
          <w:iCs/>
          <w:sz w:val="22"/>
          <w:szCs w:val="22"/>
          <w:u w:val="single"/>
          <w:lang w:val="sr-Latn-ME"/>
        </w:rPr>
        <w:t>Kontrola glikemije</w:t>
      </w:r>
    </w:p>
    <w:p w14:paraId="6E4E7155" w14:textId="77777777" w:rsidR="00DC171F" w:rsidRPr="009F254D" w:rsidRDefault="00DC171F" w:rsidP="00FA635D">
      <w:pPr>
        <w:keepNext/>
        <w:keepLines/>
        <w:tabs>
          <w:tab w:val="left" w:pos="284"/>
        </w:tabs>
        <w:jc w:val="both"/>
        <w:rPr>
          <w:i/>
          <w:sz w:val="22"/>
          <w:szCs w:val="22"/>
          <w:lang w:val="sr-Latn-ME"/>
        </w:rPr>
      </w:pPr>
      <w:r w:rsidRPr="009F254D">
        <w:rPr>
          <w:i/>
          <w:iCs/>
          <w:sz w:val="22"/>
          <w:szCs w:val="22"/>
          <w:lang w:val="sr-Latn-ME"/>
        </w:rPr>
        <w:t>Dodatak kombinovanoj terapiji</w:t>
      </w:r>
    </w:p>
    <w:p w14:paraId="525EB028" w14:textId="1B92F39E" w:rsidR="00DC171F" w:rsidRPr="009F254D" w:rsidRDefault="00DC171F" w:rsidP="00FA635D">
      <w:pPr>
        <w:tabs>
          <w:tab w:val="left" w:pos="284"/>
        </w:tabs>
        <w:jc w:val="both"/>
        <w:rPr>
          <w:sz w:val="22"/>
          <w:szCs w:val="22"/>
          <w:lang w:val="sr-Latn-ME"/>
        </w:rPr>
      </w:pPr>
      <w:r w:rsidRPr="009F254D">
        <w:rPr>
          <w:sz w:val="22"/>
          <w:szCs w:val="22"/>
          <w:lang w:val="sr-Latn-ME"/>
        </w:rPr>
        <w:t>U aktivno</w:t>
      </w:r>
      <w:r w:rsidR="00820E34" w:rsidRPr="009F254D">
        <w:rPr>
          <w:sz w:val="22"/>
          <w:szCs w:val="22"/>
          <w:lang w:val="sr-Latn-ME"/>
        </w:rPr>
        <w:t>-</w:t>
      </w:r>
      <w:r w:rsidRPr="009F254D">
        <w:rPr>
          <w:sz w:val="22"/>
          <w:szCs w:val="22"/>
          <w:lang w:val="sr-Latn-ME"/>
        </w:rPr>
        <w:t>kontrolisanoj studiji neinferiornosti koja je trajala 52 nedjelje (sa periodima produžetka od 52 i 104 nedjelje), dapagliflozin u dozi od 10 mg proc</w:t>
      </w:r>
      <w:r w:rsidR="00820E34" w:rsidRPr="009F254D">
        <w:rPr>
          <w:sz w:val="22"/>
          <w:szCs w:val="22"/>
          <w:lang w:val="sr-Latn-ME"/>
        </w:rPr>
        <w:t>j</w:t>
      </w:r>
      <w:r w:rsidRPr="009F254D">
        <w:rPr>
          <w:sz w:val="22"/>
          <w:szCs w:val="22"/>
          <w:lang w:val="sr-Latn-ME"/>
        </w:rPr>
        <w:t>enjivan je kao dodatak terapiji metforminom u poređenju sa sulfonilureom (glipizidom) kao dodatkom terapiji metforminom kod ispitanika sa neadekvatnom kontrolom glikemije (HbA1c &gt; 6,5% i ≤ 10%). Rezultati su pokazali slično srednje smanjenje HbA1c od početka do 52. nedjelje u poređenju sa glipizidom, na taj način pokazujući neinferiornost (</w:t>
      </w:r>
      <w:r w:rsidR="00820E34" w:rsidRPr="009F254D">
        <w:rPr>
          <w:sz w:val="22"/>
          <w:szCs w:val="22"/>
          <w:lang w:val="sr-Latn-ME"/>
        </w:rPr>
        <w:t>T</w:t>
      </w:r>
      <w:r w:rsidRPr="009F254D">
        <w:rPr>
          <w:sz w:val="22"/>
          <w:szCs w:val="22"/>
          <w:lang w:val="sr-Latn-ME"/>
        </w:rPr>
        <w:t xml:space="preserve">abela 3). U 104. nedjelji korigovana srednja promjena HbA1c u odnosu na početnu vrijednost bila je </w:t>
      </w:r>
      <w:r w:rsidRPr="009F254D">
        <w:rPr>
          <w:sz w:val="22"/>
          <w:szCs w:val="22"/>
          <w:lang w:val="sr-Latn-ME"/>
        </w:rPr>
        <w:noBreakHyphen/>
        <w:t xml:space="preserve">0,32% za dapagliflozin, odnosno </w:t>
      </w:r>
      <w:r w:rsidRPr="009F254D">
        <w:rPr>
          <w:sz w:val="22"/>
          <w:szCs w:val="22"/>
          <w:lang w:val="sr-Latn-ME"/>
        </w:rPr>
        <w:noBreakHyphen/>
        <w:t xml:space="preserve">0,14% za glipizid. U 208. nedjelji korigovana srednja promjena HbA1c u odnosu na početnu vrijednost bila je </w:t>
      </w:r>
      <w:r w:rsidRPr="009F254D">
        <w:rPr>
          <w:sz w:val="22"/>
          <w:szCs w:val="22"/>
          <w:lang w:val="sr-Latn-ME"/>
        </w:rPr>
        <w:noBreakHyphen/>
        <w:t xml:space="preserve">0,10% za dapagliflozin, odnosno 0,20% za glipizid. U 52, 104. i 208. nedjelji znatno niži procenat ispitanika u grupi liječenoj </w:t>
      </w:r>
      <w:r w:rsidRPr="009F254D">
        <w:rPr>
          <w:noProof/>
          <w:sz w:val="22"/>
          <w:szCs w:val="22"/>
          <w:lang w:val="sr-Latn-ME"/>
        </w:rPr>
        <w:t>dapagliflozinom</w:t>
      </w:r>
      <w:r w:rsidRPr="009F254D">
        <w:rPr>
          <w:sz w:val="22"/>
          <w:szCs w:val="22"/>
          <w:lang w:val="sr-Latn-ME"/>
        </w:rPr>
        <w:t xml:space="preserve"> (3,5%, 4,3%, </w:t>
      </w:r>
      <w:r w:rsidR="00820E34" w:rsidRPr="009F254D">
        <w:rPr>
          <w:sz w:val="22"/>
          <w:szCs w:val="22"/>
          <w:lang w:val="sr-Latn-ME"/>
        </w:rPr>
        <w:t xml:space="preserve">i </w:t>
      </w:r>
      <w:r w:rsidRPr="009F254D">
        <w:rPr>
          <w:sz w:val="22"/>
          <w:szCs w:val="22"/>
          <w:lang w:val="sr-Latn-ME"/>
        </w:rPr>
        <w:t>5,0%</w:t>
      </w:r>
      <w:r w:rsidR="00820E34" w:rsidRPr="009F254D">
        <w:rPr>
          <w:sz w:val="22"/>
          <w:szCs w:val="22"/>
          <w:lang w:val="sr-Latn-ME"/>
        </w:rPr>
        <w:t>, tim redom</w:t>
      </w:r>
      <w:r w:rsidRPr="009F254D">
        <w:rPr>
          <w:sz w:val="22"/>
          <w:szCs w:val="22"/>
          <w:lang w:val="sr-Latn-ME"/>
        </w:rPr>
        <w:t>) imao je bar jedan događaj hipoglikemije u poređenju sa grupom liječenom glipizidom (40,8%, 47%</w:t>
      </w:r>
      <w:r w:rsidR="00820E34" w:rsidRPr="009F254D">
        <w:rPr>
          <w:sz w:val="22"/>
          <w:szCs w:val="22"/>
          <w:lang w:val="sr-Latn-ME"/>
        </w:rPr>
        <w:t xml:space="preserve"> i</w:t>
      </w:r>
      <w:r w:rsidRPr="009F254D">
        <w:rPr>
          <w:sz w:val="22"/>
          <w:szCs w:val="22"/>
          <w:lang w:val="sr-Latn-ME"/>
        </w:rPr>
        <w:t xml:space="preserve"> 50,0%</w:t>
      </w:r>
      <w:r w:rsidR="00820E34" w:rsidRPr="009F254D">
        <w:rPr>
          <w:sz w:val="22"/>
          <w:szCs w:val="22"/>
          <w:lang w:val="sr-Latn-ME"/>
        </w:rPr>
        <w:t>, tim redom</w:t>
      </w:r>
      <w:r w:rsidRPr="009F254D">
        <w:rPr>
          <w:sz w:val="22"/>
          <w:szCs w:val="22"/>
          <w:lang w:val="sr-Latn-ME"/>
        </w:rPr>
        <w:t>). U 104. i 208. nedjelji procenat ispitanika koji je preostao u studiji bio je 56,2% i 39,7% u grupi liječenoj dapagliflozinom i 50,0% i 34,6% u grupi liječenoj glipizidom.</w:t>
      </w:r>
    </w:p>
    <w:p w14:paraId="1598C620" w14:textId="77777777" w:rsidR="00DC171F" w:rsidRPr="009F254D" w:rsidRDefault="00DC171F" w:rsidP="00FA635D">
      <w:pPr>
        <w:tabs>
          <w:tab w:val="left" w:pos="567"/>
        </w:tabs>
        <w:rPr>
          <w:sz w:val="22"/>
          <w:szCs w:val="22"/>
          <w:lang w:val="sr-Latn-ME"/>
        </w:rPr>
      </w:pPr>
    </w:p>
    <w:p w14:paraId="20F57A11" w14:textId="6F98A4BA" w:rsidR="00DC171F" w:rsidRPr="009F254D" w:rsidRDefault="00DC171F" w:rsidP="00FA635D">
      <w:pPr>
        <w:keepNext/>
        <w:keepLines/>
        <w:tabs>
          <w:tab w:val="left" w:pos="284"/>
        </w:tabs>
        <w:jc w:val="both"/>
        <w:rPr>
          <w:b/>
          <w:sz w:val="22"/>
          <w:szCs w:val="22"/>
          <w:lang w:val="sr-Latn-ME"/>
        </w:rPr>
      </w:pPr>
      <w:r w:rsidRPr="009F254D">
        <w:rPr>
          <w:b/>
          <w:bCs/>
          <w:sz w:val="22"/>
          <w:szCs w:val="22"/>
          <w:lang w:val="sr-Latn-ME"/>
        </w:rPr>
        <w:t>Tabela 3. Rezultati u 52. nedjelji (LOCF</w:t>
      </w:r>
      <w:r w:rsidRPr="009F254D">
        <w:rPr>
          <w:b/>
          <w:bCs/>
          <w:sz w:val="22"/>
          <w:szCs w:val="22"/>
          <w:vertAlign w:val="superscript"/>
          <w:lang w:val="sr-Latn-ME"/>
        </w:rPr>
        <w:t>a</w:t>
      </w:r>
      <w:r w:rsidRPr="009F254D">
        <w:rPr>
          <w:b/>
          <w:bCs/>
          <w:sz w:val="22"/>
          <w:szCs w:val="22"/>
          <w:lang w:val="sr-Latn-ME"/>
        </w:rPr>
        <w:t>) u jednoj aktivno</w:t>
      </w:r>
      <w:r w:rsidR="00820E34" w:rsidRPr="009F254D">
        <w:rPr>
          <w:b/>
          <w:bCs/>
          <w:sz w:val="22"/>
          <w:szCs w:val="22"/>
          <w:lang w:val="sr-Latn-ME"/>
        </w:rPr>
        <w:t>-</w:t>
      </w:r>
      <w:r w:rsidRPr="009F254D">
        <w:rPr>
          <w:b/>
          <w:bCs/>
          <w:sz w:val="22"/>
          <w:szCs w:val="22"/>
          <w:lang w:val="sr-Latn-ME"/>
        </w:rPr>
        <w:t xml:space="preserve">kontrolisanoj studiji u kojoj je poređen </w:t>
      </w:r>
      <w:r w:rsidRPr="009F254D">
        <w:rPr>
          <w:b/>
          <w:bCs/>
          <w:noProof/>
          <w:sz w:val="22"/>
          <w:szCs w:val="22"/>
          <w:lang w:val="sr-Latn-ME"/>
        </w:rPr>
        <w:t>dapagliflozin</w:t>
      </w:r>
      <w:r w:rsidRPr="009F254D">
        <w:rPr>
          <w:b/>
          <w:bCs/>
          <w:sz w:val="22"/>
          <w:szCs w:val="22"/>
          <w:lang w:val="sr-Latn-ME"/>
        </w:rPr>
        <w:t xml:space="preserve"> sa glipizidom kao dodatkom metforminu</w:t>
      </w:r>
    </w:p>
    <w:tbl>
      <w:tblPr>
        <w:tblW w:w="5000" w:type="pct"/>
        <w:tblBorders>
          <w:top w:val="single" w:sz="12" w:space="0" w:color="auto"/>
          <w:bottom w:val="single" w:sz="4" w:space="0" w:color="auto"/>
          <w:insideH w:val="single" w:sz="4" w:space="0" w:color="auto"/>
        </w:tblBorders>
        <w:tblLook w:val="0000" w:firstRow="0" w:lastRow="0" w:firstColumn="0" w:lastColumn="0" w:noHBand="0" w:noVBand="0"/>
      </w:tblPr>
      <w:tblGrid>
        <w:gridCol w:w="4364"/>
        <w:gridCol w:w="2355"/>
        <w:gridCol w:w="2354"/>
      </w:tblGrid>
      <w:tr w:rsidR="00DC171F" w:rsidRPr="009F254D" w14:paraId="38BF2AA5" w14:textId="77777777" w:rsidTr="00703DC3">
        <w:trPr>
          <w:cantSplit/>
          <w:tblHeader/>
        </w:trPr>
        <w:tc>
          <w:tcPr>
            <w:tcW w:w="2405" w:type="pct"/>
            <w:tcBorders>
              <w:top w:val="single" w:sz="12" w:space="0" w:color="auto"/>
              <w:bottom w:val="single" w:sz="4" w:space="0" w:color="auto"/>
            </w:tcBorders>
            <w:vAlign w:val="bottom"/>
          </w:tcPr>
          <w:p w14:paraId="50EF1282" w14:textId="77777777" w:rsidR="00DC171F" w:rsidRPr="009F254D" w:rsidRDefault="00DC171F" w:rsidP="00FA635D">
            <w:pPr>
              <w:keepNext/>
              <w:keepLines/>
              <w:autoSpaceDE w:val="0"/>
              <w:autoSpaceDN w:val="0"/>
              <w:adjustRightInd w:val="0"/>
              <w:rPr>
                <w:rFonts w:eastAsia="MS Mincho"/>
                <w:b/>
                <w:bCs/>
                <w:sz w:val="22"/>
                <w:szCs w:val="22"/>
                <w:lang w:val="sr-Latn-ME"/>
              </w:rPr>
            </w:pPr>
            <w:r w:rsidRPr="009F254D">
              <w:rPr>
                <w:rFonts w:eastAsia="MS Mincho"/>
                <w:b/>
                <w:bCs/>
                <w:sz w:val="22"/>
                <w:szCs w:val="22"/>
                <w:lang w:val="sr-Latn-ME"/>
              </w:rPr>
              <w:t>Parametar</w:t>
            </w:r>
          </w:p>
        </w:tc>
        <w:tc>
          <w:tcPr>
            <w:tcW w:w="1298" w:type="pct"/>
            <w:tcBorders>
              <w:top w:val="single" w:sz="12" w:space="0" w:color="auto"/>
              <w:bottom w:val="single" w:sz="4" w:space="0" w:color="auto"/>
            </w:tcBorders>
          </w:tcPr>
          <w:p w14:paraId="7EA5E79B" w14:textId="77777777" w:rsidR="00DC171F" w:rsidRPr="009F254D" w:rsidRDefault="00DC171F" w:rsidP="00FA635D">
            <w:pPr>
              <w:keepNext/>
              <w:keepLines/>
              <w:tabs>
                <w:tab w:val="left" w:pos="284"/>
              </w:tabs>
              <w:autoSpaceDE w:val="0"/>
              <w:autoSpaceDN w:val="0"/>
              <w:adjustRightInd w:val="0"/>
              <w:jc w:val="center"/>
              <w:rPr>
                <w:b/>
                <w:bCs/>
                <w:sz w:val="22"/>
                <w:szCs w:val="22"/>
                <w:lang w:val="sr-Latn-ME"/>
              </w:rPr>
            </w:pPr>
            <w:r w:rsidRPr="009F254D">
              <w:rPr>
                <w:b/>
                <w:bCs/>
                <w:sz w:val="22"/>
                <w:szCs w:val="22"/>
                <w:lang w:val="sr-Latn-ME"/>
              </w:rPr>
              <w:t>Dapagliflozin</w:t>
            </w:r>
          </w:p>
          <w:p w14:paraId="3DB3121B" w14:textId="77777777" w:rsidR="00DC171F" w:rsidRPr="009F254D" w:rsidRDefault="00DC171F" w:rsidP="00FA635D">
            <w:pPr>
              <w:keepNext/>
              <w:keepLines/>
              <w:tabs>
                <w:tab w:val="left" w:pos="284"/>
              </w:tabs>
              <w:autoSpaceDE w:val="0"/>
              <w:autoSpaceDN w:val="0"/>
              <w:adjustRightInd w:val="0"/>
              <w:jc w:val="center"/>
              <w:rPr>
                <w:b/>
                <w:bCs/>
                <w:sz w:val="22"/>
                <w:szCs w:val="22"/>
                <w:lang w:val="sr-Latn-ME"/>
              </w:rPr>
            </w:pPr>
            <w:r w:rsidRPr="009F254D">
              <w:rPr>
                <w:b/>
                <w:bCs/>
                <w:sz w:val="22"/>
                <w:szCs w:val="22"/>
                <w:lang w:val="sr-Latn-ME"/>
              </w:rPr>
              <w:t>+ metformin</w:t>
            </w:r>
          </w:p>
        </w:tc>
        <w:tc>
          <w:tcPr>
            <w:tcW w:w="1297" w:type="pct"/>
            <w:tcBorders>
              <w:top w:val="single" w:sz="12" w:space="0" w:color="auto"/>
              <w:bottom w:val="single" w:sz="4" w:space="0" w:color="auto"/>
            </w:tcBorders>
          </w:tcPr>
          <w:p w14:paraId="19CA65C2" w14:textId="77777777" w:rsidR="00DC171F" w:rsidRPr="009F254D" w:rsidRDefault="00DC171F" w:rsidP="00FA635D">
            <w:pPr>
              <w:keepNext/>
              <w:keepLines/>
              <w:tabs>
                <w:tab w:val="left" w:pos="284"/>
              </w:tabs>
              <w:autoSpaceDE w:val="0"/>
              <w:autoSpaceDN w:val="0"/>
              <w:adjustRightInd w:val="0"/>
              <w:jc w:val="center"/>
              <w:rPr>
                <w:b/>
                <w:bCs/>
                <w:sz w:val="22"/>
                <w:szCs w:val="22"/>
                <w:lang w:val="sr-Latn-ME"/>
              </w:rPr>
            </w:pPr>
            <w:r w:rsidRPr="009F254D">
              <w:rPr>
                <w:b/>
                <w:bCs/>
                <w:sz w:val="22"/>
                <w:szCs w:val="22"/>
                <w:lang w:val="sr-Latn-ME"/>
              </w:rPr>
              <w:t>Glipizid</w:t>
            </w:r>
          </w:p>
          <w:p w14:paraId="04AE960D" w14:textId="77777777" w:rsidR="00DC171F" w:rsidRPr="009F254D" w:rsidRDefault="00DC171F" w:rsidP="00FA635D">
            <w:pPr>
              <w:keepNext/>
              <w:keepLines/>
              <w:tabs>
                <w:tab w:val="left" w:pos="284"/>
              </w:tabs>
              <w:autoSpaceDE w:val="0"/>
              <w:autoSpaceDN w:val="0"/>
              <w:adjustRightInd w:val="0"/>
              <w:jc w:val="center"/>
              <w:rPr>
                <w:b/>
                <w:bCs/>
                <w:sz w:val="22"/>
                <w:szCs w:val="22"/>
                <w:lang w:val="sr-Latn-ME"/>
              </w:rPr>
            </w:pPr>
            <w:r w:rsidRPr="009F254D">
              <w:rPr>
                <w:b/>
                <w:bCs/>
                <w:sz w:val="22"/>
                <w:szCs w:val="22"/>
                <w:lang w:val="sr-Latn-ME"/>
              </w:rPr>
              <w:t>+ metformin</w:t>
            </w:r>
          </w:p>
        </w:tc>
      </w:tr>
      <w:tr w:rsidR="00DC171F" w:rsidRPr="009F254D" w14:paraId="7DD9BB11" w14:textId="77777777" w:rsidTr="00703DC3">
        <w:trPr>
          <w:cantSplit/>
        </w:trPr>
        <w:tc>
          <w:tcPr>
            <w:tcW w:w="2405" w:type="pct"/>
            <w:tcBorders>
              <w:top w:val="single" w:sz="4" w:space="0" w:color="auto"/>
              <w:bottom w:val="single" w:sz="4" w:space="0" w:color="auto"/>
            </w:tcBorders>
          </w:tcPr>
          <w:p w14:paraId="18D3BF14" w14:textId="77777777" w:rsidR="00DC171F" w:rsidRPr="009F254D" w:rsidRDefault="00DC171F" w:rsidP="00FA635D">
            <w:pPr>
              <w:keepNext/>
              <w:keepLines/>
              <w:tabs>
                <w:tab w:val="left" w:pos="284"/>
              </w:tabs>
              <w:autoSpaceDE w:val="0"/>
              <w:autoSpaceDN w:val="0"/>
              <w:adjustRightInd w:val="0"/>
              <w:ind w:firstLine="142"/>
              <w:jc w:val="both"/>
              <w:rPr>
                <w:b/>
                <w:bCs/>
                <w:sz w:val="22"/>
                <w:szCs w:val="22"/>
                <w:lang w:val="sr-Latn-ME"/>
              </w:rPr>
            </w:pPr>
            <w:r w:rsidRPr="009F254D">
              <w:rPr>
                <w:b/>
                <w:bCs/>
                <w:sz w:val="22"/>
                <w:szCs w:val="22"/>
                <w:lang w:val="sr-Latn-ME"/>
              </w:rPr>
              <w:t>N</w:t>
            </w:r>
            <w:r w:rsidRPr="009F254D">
              <w:rPr>
                <w:sz w:val="22"/>
                <w:szCs w:val="22"/>
                <w:vertAlign w:val="superscript"/>
                <w:lang w:val="sr-Latn-ME"/>
              </w:rPr>
              <w:t>b</w:t>
            </w:r>
          </w:p>
        </w:tc>
        <w:tc>
          <w:tcPr>
            <w:tcW w:w="1298" w:type="pct"/>
            <w:tcBorders>
              <w:top w:val="single" w:sz="4" w:space="0" w:color="auto"/>
              <w:bottom w:val="single" w:sz="4" w:space="0" w:color="auto"/>
            </w:tcBorders>
          </w:tcPr>
          <w:p w14:paraId="0E563284" w14:textId="77777777" w:rsidR="00DC171F" w:rsidRPr="009F254D" w:rsidRDefault="00DC171F" w:rsidP="00FA635D">
            <w:pPr>
              <w:keepNext/>
              <w:keepLines/>
              <w:tabs>
                <w:tab w:val="left" w:pos="284"/>
              </w:tabs>
              <w:autoSpaceDE w:val="0"/>
              <w:autoSpaceDN w:val="0"/>
              <w:adjustRightInd w:val="0"/>
              <w:ind w:firstLine="142"/>
              <w:jc w:val="center"/>
              <w:rPr>
                <w:sz w:val="22"/>
                <w:szCs w:val="22"/>
                <w:lang w:val="sr-Latn-ME"/>
              </w:rPr>
            </w:pPr>
            <w:r w:rsidRPr="009F254D">
              <w:rPr>
                <w:sz w:val="22"/>
                <w:szCs w:val="22"/>
                <w:lang w:val="sr-Latn-ME"/>
              </w:rPr>
              <w:t>400</w:t>
            </w:r>
          </w:p>
        </w:tc>
        <w:tc>
          <w:tcPr>
            <w:tcW w:w="1297" w:type="pct"/>
            <w:tcBorders>
              <w:top w:val="single" w:sz="4" w:space="0" w:color="auto"/>
              <w:bottom w:val="single" w:sz="4" w:space="0" w:color="auto"/>
            </w:tcBorders>
          </w:tcPr>
          <w:p w14:paraId="1BDCBA09" w14:textId="77777777" w:rsidR="00DC171F" w:rsidRPr="009F254D" w:rsidRDefault="00DC171F" w:rsidP="00FA635D">
            <w:pPr>
              <w:keepNext/>
              <w:keepLines/>
              <w:tabs>
                <w:tab w:val="left" w:pos="284"/>
              </w:tabs>
              <w:autoSpaceDE w:val="0"/>
              <w:autoSpaceDN w:val="0"/>
              <w:adjustRightInd w:val="0"/>
              <w:ind w:firstLine="142"/>
              <w:jc w:val="center"/>
              <w:rPr>
                <w:sz w:val="22"/>
                <w:szCs w:val="22"/>
                <w:lang w:val="sr-Latn-ME"/>
              </w:rPr>
            </w:pPr>
            <w:r w:rsidRPr="009F254D">
              <w:rPr>
                <w:sz w:val="22"/>
                <w:szCs w:val="22"/>
                <w:lang w:val="sr-Latn-ME"/>
              </w:rPr>
              <w:t>401</w:t>
            </w:r>
          </w:p>
        </w:tc>
      </w:tr>
      <w:tr w:rsidR="00DC171F" w:rsidRPr="009F254D" w14:paraId="03E79897" w14:textId="77777777" w:rsidTr="00703DC3">
        <w:trPr>
          <w:cantSplit/>
          <w:trHeight w:val="785"/>
        </w:trPr>
        <w:tc>
          <w:tcPr>
            <w:tcW w:w="2405" w:type="pct"/>
            <w:tcBorders>
              <w:top w:val="single" w:sz="4" w:space="0" w:color="auto"/>
              <w:bottom w:val="nil"/>
            </w:tcBorders>
          </w:tcPr>
          <w:p w14:paraId="24EA662D" w14:textId="77777777" w:rsidR="00DC171F" w:rsidRPr="009F254D" w:rsidRDefault="00DC171F" w:rsidP="00FA635D">
            <w:pPr>
              <w:keepNext/>
              <w:keepLines/>
              <w:tabs>
                <w:tab w:val="left" w:pos="284"/>
              </w:tabs>
              <w:autoSpaceDE w:val="0"/>
              <w:autoSpaceDN w:val="0"/>
              <w:adjustRightInd w:val="0"/>
              <w:ind w:left="142" w:hanging="142"/>
              <w:jc w:val="both"/>
              <w:rPr>
                <w:b/>
                <w:bCs/>
                <w:sz w:val="22"/>
                <w:szCs w:val="22"/>
                <w:lang w:val="sr-Latn-ME"/>
              </w:rPr>
            </w:pPr>
            <w:r w:rsidRPr="009F254D">
              <w:rPr>
                <w:b/>
                <w:bCs/>
                <w:sz w:val="22"/>
                <w:szCs w:val="22"/>
                <w:lang w:val="sr-Latn-ME"/>
              </w:rPr>
              <w:t>HbA1c (%)</w:t>
            </w:r>
          </w:p>
          <w:p w14:paraId="4F5E8E82" w14:textId="77777777" w:rsidR="00DC171F" w:rsidRPr="009F254D" w:rsidRDefault="00DC171F" w:rsidP="00FA635D">
            <w:pPr>
              <w:keepNext/>
              <w:keepLines/>
              <w:tabs>
                <w:tab w:val="left" w:pos="284"/>
              </w:tabs>
              <w:autoSpaceDE w:val="0"/>
              <w:autoSpaceDN w:val="0"/>
              <w:adjustRightInd w:val="0"/>
              <w:ind w:left="142"/>
              <w:jc w:val="both"/>
              <w:rPr>
                <w:sz w:val="22"/>
                <w:szCs w:val="22"/>
                <w:lang w:val="sr-Latn-ME"/>
              </w:rPr>
            </w:pPr>
            <w:r w:rsidRPr="009F254D">
              <w:rPr>
                <w:sz w:val="22"/>
                <w:szCs w:val="22"/>
                <w:lang w:val="sr-Latn-ME"/>
              </w:rPr>
              <w:t>Početna vrijednost (srednja)</w:t>
            </w:r>
          </w:p>
          <w:p w14:paraId="798DF9F9" w14:textId="77777777" w:rsidR="00DC171F" w:rsidRPr="009F254D" w:rsidRDefault="00DC171F" w:rsidP="00FA635D">
            <w:pPr>
              <w:keepNext/>
              <w:keepLines/>
              <w:tabs>
                <w:tab w:val="left" w:pos="284"/>
              </w:tabs>
              <w:autoSpaceDE w:val="0"/>
              <w:autoSpaceDN w:val="0"/>
              <w:adjustRightInd w:val="0"/>
              <w:ind w:left="142"/>
              <w:jc w:val="both"/>
              <w:rPr>
                <w:sz w:val="22"/>
                <w:szCs w:val="22"/>
                <w:lang w:val="sr-Latn-ME"/>
              </w:rPr>
            </w:pPr>
            <w:r w:rsidRPr="009F254D">
              <w:rPr>
                <w:sz w:val="22"/>
                <w:szCs w:val="22"/>
                <w:lang w:val="sr-Latn-ME"/>
              </w:rPr>
              <w:t>Promjena u odnosu na početnu vrijednost</w:t>
            </w:r>
            <w:r w:rsidRPr="009F254D">
              <w:rPr>
                <w:sz w:val="22"/>
                <w:szCs w:val="22"/>
                <w:vertAlign w:val="superscript"/>
                <w:lang w:val="sr-Latn-ME"/>
              </w:rPr>
              <w:t>c</w:t>
            </w:r>
          </w:p>
          <w:p w14:paraId="56BBC31C" w14:textId="77777777" w:rsidR="00DC171F" w:rsidRPr="009F254D" w:rsidRDefault="00DC171F" w:rsidP="00FA635D">
            <w:pPr>
              <w:keepNext/>
              <w:keepLines/>
              <w:tabs>
                <w:tab w:val="left" w:pos="284"/>
              </w:tabs>
              <w:autoSpaceDE w:val="0"/>
              <w:autoSpaceDN w:val="0"/>
              <w:adjustRightInd w:val="0"/>
              <w:ind w:left="142"/>
              <w:jc w:val="both"/>
              <w:rPr>
                <w:sz w:val="22"/>
                <w:szCs w:val="22"/>
                <w:lang w:val="sr-Latn-ME"/>
              </w:rPr>
            </w:pPr>
            <w:r w:rsidRPr="009F254D">
              <w:rPr>
                <w:sz w:val="22"/>
                <w:szCs w:val="22"/>
                <w:lang w:val="sr-Latn-ME"/>
              </w:rPr>
              <w:t>Razlika u odnosu na glipizid + metformin</w:t>
            </w:r>
            <w:r w:rsidRPr="009F254D">
              <w:rPr>
                <w:sz w:val="22"/>
                <w:szCs w:val="22"/>
                <w:vertAlign w:val="superscript"/>
                <w:lang w:val="sr-Latn-ME"/>
              </w:rPr>
              <w:t>c</w:t>
            </w:r>
          </w:p>
          <w:p w14:paraId="7C38FA89" w14:textId="77777777" w:rsidR="00DC171F" w:rsidRPr="009F254D" w:rsidRDefault="00DC171F" w:rsidP="00FA635D">
            <w:pPr>
              <w:keepNext/>
              <w:keepLines/>
              <w:tabs>
                <w:tab w:val="left" w:pos="284"/>
              </w:tabs>
              <w:autoSpaceDE w:val="0"/>
              <w:autoSpaceDN w:val="0"/>
              <w:adjustRightInd w:val="0"/>
              <w:ind w:firstLine="142"/>
              <w:jc w:val="both"/>
              <w:rPr>
                <w:sz w:val="22"/>
                <w:szCs w:val="22"/>
                <w:lang w:val="sr-Latn-ME"/>
              </w:rPr>
            </w:pPr>
            <w:r w:rsidRPr="009F254D">
              <w:rPr>
                <w:sz w:val="22"/>
                <w:szCs w:val="22"/>
                <w:lang w:val="sr-Latn-ME"/>
              </w:rPr>
              <w:t xml:space="preserve">    (95% CI)</w:t>
            </w:r>
          </w:p>
        </w:tc>
        <w:tc>
          <w:tcPr>
            <w:tcW w:w="1298" w:type="pct"/>
            <w:tcBorders>
              <w:top w:val="single" w:sz="4" w:space="0" w:color="auto"/>
              <w:bottom w:val="nil"/>
            </w:tcBorders>
          </w:tcPr>
          <w:p w14:paraId="30F05328" w14:textId="77777777" w:rsidR="00DC171F" w:rsidRPr="009F254D" w:rsidRDefault="00DC171F" w:rsidP="00FA635D">
            <w:pPr>
              <w:keepNext/>
              <w:keepLines/>
              <w:tabs>
                <w:tab w:val="left" w:pos="284"/>
              </w:tabs>
              <w:autoSpaceDE w:val="0"/>
              <w:autoSpaceDN w:val="0"/>
              <w:adjustRightInd w:val="0"/>
              <w:ind w:firstLine="142"/>
              <w:jc w:val="center"/>
              <w:rPr>
                <w:sz w:val="22"/>
                <w:szCs w:val="22"/>
                <w:lang w:val="sr-Latn-ME"/>
              </w:rPr>
            </w:pPr>
          </w:p>
          <w:p w14:paraId="0EB2E2E7" w14:textId="77777777" w:rsidR="00DC171F" w:rsidRPr="009F254D" w:rsidRDefault="00DC171F" w:rsidP="00FA635D">
            <w:pPr>
              <w:keepNext/>
              <w:keepLines/>
              <w:tabs>
                <w:tab w:val="left" w:pos="284"/>
              </w:tabs>
              <w:autoSpaceDE w:val="0"/>
              <w:autoSpaceDN w:val="0"/>
              <w:adjustRightInd w:val="0"/>
              <w:ind w:firstLine="142"/>
              <w:jc w:val="center"/>
              <w:rPr>
                <w:sz w:val="22"/>
                <w:szCs w:val="22"/>
                <w:lang w:val="sr-Latn-ME"/>
              </w:rPr>
            </w:pPr>
            <w:r w:rsidRPr="009F254D">
              <w:rPr>
                <w:sz w:val="22"/>
                <w:szCs w:val="22"/>
                <w:lang w:val="sr-Latn-ME"/>
              </w:rPr>
              <w:t>7,69</w:t>
            </w:r>
          </w:p>
          <w:p w14:paraId="7FB76253" w14:textId="77777777" w:rsidR="00DC171F" w:rsidRPr="009F254D" w:rsidRDefault="00DC171F" w:rsidP="00FA635D">
            <w:pPr>
              <w:keepNext/>
              <w:keepLines/>
              <w:tabs>
                <w:tab w:val="left" w:pos="284"/>
              </w:tabs>
              <w:autoSpaceDE w:val="0"/>
              <w:autoSpaceDN w:val="0"/>
              <w:adjustRightInd w:val="0"/>
              <w:ind w:firstLine="142"/>
              <w:jc w:val="center"/>
              <w:rPr>
                <w:sz w:val="22"/>
                <w:szCs w:val="22"/>
                <w:lang w:val="sr-Latn-ME"/>
              </w:rPr>
            </w:pPr>
            <w:r w:rsidRPr="009F254D">
              <w:rPr>
                <w:sz w:val="22"/>
                <w:szCs w:val="22"/>
                <w:lang w:val="sr-Latn-ME"/>
              </w:rPr>
              <w:noBreakHyphen/>
              <w:t>0,52</w:t>
            </w:r>
          </w:p>
          <w:p w14:paraId="39440303" w14:textId="77777777" w:rsidR="00DC171F" w:rsidRPr="009F254D" w:rsidRDefault="00DC171F" w:rsidP="00FA635D">
            <w:pPr>
              <w:keepNext/>
              <w:keepLines/>
              <w:tabs>
                <w:tab w:val="left" w:pos="284"/>
              </w:tabs>
              <w:autoSpaceDE w:val="0"/>
              <w:autoSpaceDN w:val="0"/>
              <w:adjustRightInd w:val="0"/>
              <w:ind w:firstLine="142"/>
              <w:jc w:val="center"/>
              <w:rPr>
                <w:sz w:val="22"/>
                <w:szCs w:val="22"/>
                <w:lang w:val="sr-Latn-ME"/>
              </w:rPr>
            </w:pPr>
            <w:r w:rsidRPr="009F254D">
              <w:rPr>
                <w:sz w:val="22"/>
                <w:szCs w:val="22"/>
                <w:lang w:val="sr-Latn-ME"/>
              </w:rPr>
              <w:t>0,00</w:t>
            </w:r>
            <w:r w:rsidRPr="009F254D">
              <w:rPr>
                <w:sz w:val="22"/>
                <w:szCs w:val="22"/>
                <w:vertAlign w:val="superscript"/>
                <w:lang w:val="sr-Latn-ME"/>
              </w:rPr>
              <w:t>d</w:t>
            </w:r>
          </w:p>
          <w:p w14:paraId="0134637C" w14:textId="77777777" w:rsidR="00DC171F" w:rsidRPr="009F254D" w:rsidRDefault="00DC171F" w:rsidP="00FA635D">
            <w:pPr>
              <w:keepNext/>
              <w:keepLines/>
              <w:tabs>
                <w:tab w:val="left" w:pos="284"/>
              </w:tabs>
              <w:autoSpaceDE w:val="0"/>
              <w:autoSpaceDN w:val="0"/>
              <w:adjustRightInd w:val="0"/>
              <w:ind w:firstLine="142"/>
              <w:jc w:val="center"/>
              <w:rPr>
                <w:sz w:val="22"/>
                <w:szCs w:val="22"/>
                <w:lang w:val="sr-Latn-ME"/>
              </w:rPr>
            </w:pPr>
            <w:r w:rsidRPr="009F254D">
              <w:rPr>
                <w:sz w:val="22"/>
                <w:szCs w:val="22"/>
                <w:lang w:val="sr-Latn-ME"/>
              </w:rPr>
              <w:t>(</w:t>
            </w:r>
            <w:r w:rsidRPr="009F254D">
              <w:rPr>
                <w:sz w:val="22"/>
                <w:szCs w:val="22"/>
                <w:lang w:val="sr-Latn-ME"/>
              </w:rPr>
              <w:noBreakHyphen/>
              <w:t>0,11, 0,11)</w:t>
            </w:r>
          </w:p>
        </w:tc>
        <w:tc>
          <w:tcPr>
            <w:tcW w:w="1297" w:type="pct"/>
            <w:tcBorders>
              <w:top w:val="single" w:sz="4" w:space="0" w:color="auto"/>
              <w:bottom w:val="nil"/>
            </w:tcBorders>
          </w:tcPr>
          <w:p w14:paraId="51D933E8" w14:textId="77777777" w:rsidR="00DC171F" w:rsidRPr="009F254D" w:rsidRDefault="00DC171F" w:rsidP="00FA635D">
            <w:pPr>
              <w:keepNext/>
              <w:keepLines/>
              <w:tabs>
                <w:tab w:val="left" w:pos="284"/>
              </w:tabs>
              <w:autoSpaceDE w:val="0"/>
              <w:autoSpaceDN w:val="0"/>
              <w:adjustRightInd w:val="0"/>
              <w:ind w:firstLine="142"/>
              <w:jc w:val="center"/>
              <w:rPr>
                <w:sz w:val="22"/>
                <w:szCs w:val="22"/>
                <w:lang w:val="sr-Latn-ME"/>
              </w:rPr>
            </w:pPr>
          </w:p>
          <w:p w14:paraId="14A93D67" w14:textId="77777777" w:rsidR="00DC171F" w:rsidRPr="009F254D" w:rsidRDefault="00DC171F" w:rsidP="00FA635D">
            <w:pPr>
              <w:keepNext/>
              <w:keepLines/>
              <w:tabs>
                <w:tab w:val="left" w:pos="284"/>
              </w:tabs>
              <w:autoSpaceDE w:val="0"/>
              <w:autoSpaceDN w:val="0"/>
              <w:adjustRightInd w:val="0"/>
              <w:ind w:firstLine="142"/>
              <w:jc w:val="center"/>
              <w:rPr>
                <w:sz w:val="22"/>
                <w:szCs w:val="22"/>
                <w:lang w:val="sr-Latn-ME"/>
              </w:rPr>
            </w:pPr>
            <w:r w:rsidRPr="009F254D">
              <w:rPr>
                <w:sz w:val="22"/>
                <w:szCs w:val="22"/>
                <w:lang w:val="sr-Latn-ME"/>
              </w:rPr>
              <w:t>7,74</w:t>
            </w:r>
          </w:p>
          <w:p w14:paraId="3BA5497F" w14:textId="77777777" w:rsidR="00DC171F" w:rsidRPr="009F254D" w:rsidRDefault="00DC171F" w:rsidP="00FA635D">
            <w:pPr>
              <w:keepNext/>
              <w:keepLines/>
              <w:tabs>
                <w:tab w:val="left" w:pos="284"/>
              </w:tabs>
              <w:autoSpaceDE w:val="0"/>
              <w:autoSpaceDN w:val="0"/>
              <w:adjustRightInd w:val="0"/>
              <w:ind w:firstLine="142"/>
              <w:jc w:val="center"/>
              <w:rPr>
                <w:sz w:val="22"/>
                <w:szCs w:val="22"/>
                <w:lang w:val="sr-Latn-ME"/>
              </w:rPr>
            </w:pPr>
            <w:r w:rsidRPr="009F254D">
              <w:rPr>
                <w:sz w:val="22"/>
                <w:szCs w:val="22"/>
                <w:lang w:val="sr-Latn-ME"/>
              </w:rPr>
              <w:noBreakHyphen/>
              <w:t>0,52</w:t>
            </w:r>
          </w:p>
          <w:p w14:paraId="4F016600" w14:textId="77777777" w:rsidR="00DC171F" w:rsidRPr="009F254D" w:rsidRDefault="00DC171F" w:rsidP="00FA635D">
            <w:pPr>
              <w:keepNext/>
              <w:keepLines/>
              <w:tabs>
                <w:tab w:val="left" w:pos="284"/>
              </w:tabs>
              <w:autoSpaceDE w:val="0"/>
              <w:autoSpaceDN w:val="0"/>
              <w:adjustRightInd w:val="0"/>
              <w:ind w:firstLine="142"/>
              <w:jc w:val="center"/>
              <w:rPr>
                <w:sz w:val="22"/>
                <w:szCs w:val="22"/>
                <w:lang w:val="sr-Latn-ME"/>
              </w:rPr>
            </w:pPr>
          </w:p>
          <w:p w14:paraId="03B2F82D" w14:textId="77777777" w:rsidR="00DC171F" w:rsidRPr="009F254D" w:rsidRDefault="00DC171F" w:rsidP="00FA635D">
            <w:pPr>
              <w:keepNext/>
              <w:keepLines/>
              <w:tabs>
                <w:tab w:val="left" w:pos="284"/>
              </w:tabs>
              <w:autoSpaceDE w:val="0"/>
              <w:autoSpaceDN w:val="0"/>
              <w:adjustRightInd w:val="0"/>
              <w:jc w:val="both"/>
              <w:rPr>
                <w:sz w:val="22"/>
                <w:szCs w:val="22"/>
                <w:lang w:val="sr-Latn-ME"/>
              </w:rPr>
            </w:pPr>
          </w:p>
        </w:tc>
      </w:tr>
      <w:tr w:rsidR="00DC171F" w:rsidRPr="009F254D" w14:paraId="36B7D21C" w14:textId="77777777" w:rsidTr="00703DC3">
        <w:trPr>
          <w:cantSplit/>
          <w:trHeight w:val="785"/>
        </w:trPr>
        <w:tc>
          <w:tcPr>
            <w:tcW w:w="2405" w:type="pct"/>
            <w:tcBorders>
              <w:top w:val="single" w:sz="4" w:space="0" w:color="auto"/>
              <w:bottom w:val="single" w:sz="12" w:space="0" w:color="auto"/>
            </w:tcBorders>
          </w:tcPr>
          <w:p w14:paraId="66D57BD8" w14:textId="77777777" w:rsidR="00DC171F" w:rsidRPr="009F254D" w:rsidRDefault="00DC171F" w:rsidP="00FA635D">
            <w:pPr>
              <w:keepNext/>
              <w:keepLines/>
              <w:tabs>
                <w:tab w:val="left" w:pos="284"/>
              </w:tabs>
              <w:autoSpaceDE w:val="0"/>
              <w:autoSpaceDN w:val="0"/>
              <w:adjustRightInd w:val="0"/>
              <w:ind w:left="142" w:hanging="142"/>
              <w:jc w:val="both"/>
              <w:rPr>
                <w:b/>
                <w:sz w:val="22"/>
                <w:szCs w:val="22"/>
                <w:lang w:val="sr-Latn-ME"/>
              </w:rPr>
            </w:pPr>
            <w:r w:rsidRPr="009F254D">
              <w:rPr>
                <w:b/>
                <w:bCs/>
                <w:sz w:val="22"/>
                <w:szCs w:val="22"/>
                <w:lang w:val="sr-Latn-ME"/>
              </w:rPr>
              <w:t>Tjelesna masa (kg)</w:t>
            </w:r>
          </w:p>
          <w:p w14:paraId="26FD0701" w14:textId="77777777" w:rsidR="00DC171F" w:rsidRPr="009F254D" w:rsidRDefault="00DC171F" w:rsidP="00FA635D">
            <w:pPr>
              <w:keepNext/>
              <w:keepLines/>
              <w:tabs>
                <w:tab w:val="left" w:pos="284"/>
              </w:tabs>
              <w:autoSpaceDE w:val="0"/>
              <w:autoSpaceDN w:val="0"/>
              <w:adjustRightInd w:val="0"/>
              <w:ind w:left="142"/>
              <w:jc w:val="both"/>
              <w:rPr>
                <w:sz w:val="22"/>
                <w:szCs w:val="22"/>
                <w:lang w:val="sr-Latn-ME"/>
              </w:rPr>
            </w:pPr>
            <w:r w:rsidRPr="009F254D">
              <w:rPr>
                <w:sz w:val="22"/>
                <w:szCs w:val="22"/>
                <w:lang w:val="sr-Latn-ME"/>
              </w:rPr>
              <w:t>Početna vrijednost (srednja)</w:t>
            </w:r>
          </w:p>
          <w:p w14:paraId="54027CAA" w14:textId="77777777" w:rsidR="00DC171F" w:rsidRPr="009F254D" w:rsidRDefault="00DC171F" w:rsidP="00FA635D">
            <w:pPr>
              <w:keepNext/>
              <w:keepLines/>
              <w:tabs>
                <w:tab w:val="left" w:pos="284"/>
              </w:tabs>
              <w:autoSpaceDE w:val="0"/>
              <w:autoSpaceDN w:val="0"/>
              <w:adjustRightInd w:val="0"/>
              <w:ind w:left="142"/>
              <w:jc w:val="both"/>
              <w:rPr>
                <w:sz w:val="22"/>
                <w:szCs w:val="22"/>
                <w:lang w:val="sr-Latn-ME"/>
              </w:rPr>
            </w:pPr>
            <w:r w:rsidRPr="009F254D">
              <w:rPr>
                <w:sz w:val="22"/>
                <w:szCs w:val="22"/>
                <w:lang w:val="sr-Latn-ME"/>
              </w:rPr>
              <w:t>Promjena u odnosu na početnu vrijednost</w:t>
            </w:r>
            <w:r w:rsidRPr="009F254D">
              <w:rPr>
                <w:sz w:val="22"/>
                <w:szCs w:val="22"/>
                <w:vertAlign w:val="superscript"/>
                <w:lang w:val="sr-Latn-ME"/>
              </w:rPr>
              <w:t>c</w:t>
            </w:r>
          </w:p>
          <w:p w14:paraId="7E7574A6" w14:textId="77777777" w:rsidR="00DC171F" w:rsidRPr="009F254D" w:rsidRDefault="00DC171F" w:rsidP="00FA635D">
            <w:pPr>
              <w:keepNext/>
              <w:keepLines/>
              <w:tabs>
                <w:tab w:val="left" w:pos="284"/>
              </w:tabs>
              <w:autoSpaceDE w:val="0"/>
              <w:autoSpaceDN w:val="0"/>
              <w:adjustRightInd w:val="0"/>
              <w:ind w:left="142"/>
              <w:jc w:val="both"/>
              <w:rPr>
                <w:sz w:val="22"/>
                <w:szCs w:val="22"/>
                <w:lang w:val="sr-Latn-ME"/>
              </w:rPr>
            </w:pPr>
            <w:r w:rsidRPr="009F254D">
              <w:rPr>
                <w:sz w:val="22"/>
                <w:szCs w:val="22"/>
                <w:lang w:val="sr-Latn-ME"/>
              </w:rPr>
              <w:t>Razlika u odnosu na glipizid + metformin</w:t>
            </w:r>
            <w:r w:rsidRPr="009F254D">
              <w:rPr>
                <w:sz w:val="22"/>
                <w:szCs w:val="22"/>
                <w:vertAlign w:val="superscript"/>
                <w:lang w:val="sr-Latn-ME"/>
              </w:rPr>
              <w:t>c</w:t>
            </w:r>
          </w:p>
          <w:p w14:paraId="7B08FDE9" w14:textId="77777777" w:rsidR="00DC171F" w:rsidRPr="009F254D" w:rsidRDefault="00DC171F" w:rsidP="00FA635D">
            <w:pPr>
              <w:keepNext/>
              <w:keepLines/>
              <w:tabs>
                <w:tab w:val="left" w:pos="284"/>
              </w:tabs>
              <w:autoSpaceDE w:val="0"/>
              <w:autoSpaceDN w:val="0"/>
              <w:adjustRightInd w:val="0"/>
              <w:ind w:firstLine="142"/>
              <w:jc w:val="both"/>
              <w:rPr>
                <w:b/>
                <w:bCs/>
                <w:sz w:val="22"/>
                <w:szCs w:val="22"/>
                <w:lang w:val="sr-Latn-ME"/>
              </w:rPr>
            </w:pPr>
            <w:r w:rsidRPr="009F254D">
              <w:rPr>
                <w:sz w:val="22"/>
                <w:szCs w:val="22"/>
                <w:lang w:val="sr-Latn-ME"/>
              </w:rPr>
              <w:t xml:space="preserve">    (95% CI)</w:t>
            </w:r>
          </w:p>
        </w:tc>
        <w:tc>
          <w:tcPr>
            <w:tcW w:w="1298" w:type="pct"/>
            <w:tcBorders>
              <w:top w:val="single" w:sz="4" w:space="0" w:color="auto"/>
              <w:bottom w:val="single" w:sz="12" w:space="0" w:color="auto"/>
            </w:tcBorders>
          </w:tcPr>
          <w:p w14:paraId="2301CC5B" w14:textId="77777777" w:rsidR="00DC171F" w:rsidRPr="009F254D" w:rsidRDefault="00DC171F" w:rsidP="00FA635D">
            <w:pPr>
              <w:keepNext/>
              <w:keepLines/>
              <w:tabs>
                <w:tab w:val="left" w:pos="284"/>
              </w:tabs>
              <w:autoSpaceDE w:val="0"/>
              <w:autoSpaceDN w:val="0"/>
              <w:adjustRightInd w:val="0"/>
              <w:ind w:firstLine="142"/>
              <w:jc w:val="center"/>
              <w:rPr>
                <w:b/>
                <w:sz w:val="22"/>
                <w:szCs w:val="22"/>
                <w:lang w:val="sr-Latn-ME"/>
              </w:rPr>
            </w:pPr>
          </w:p>
          <w:p w14:paraId="17098A84" w14:textId="77777777" w:rsidR="00DC171F" w:rsidRPr="009F254D" w:rsidRDefault="00DC171F" w:rsidP="00FA635D">
            <w:pPr>
              <w:keepNext/>
              <w:keepLines/>
              <w:tabs>
                <w:tab w:val="left" w:pos="284"/>
              </w:tabs>
              <w:autoSpaceDE w:val="0"/>
              <w:autoSpaceDN w:val="0"/>
              <w:adjustRightInd w:val="0"/>
              <w:ind w:firstLine="142"/>
              <w:jc w:val="center"/>
              <w:rPr>
                <w:sz w:val="22"/>
                <w:szCs w:val="22"/>
                <w:lang w:val="sr-Latn-ME"/>
              </w:rPr>
            </w:pPr>
            <w:r w:rsidRPr="009F254D">
              <w:rPr>
                <w:sz w:val="22"/>
                <w:szCs w:val="22"/>
                <w:lang w:val="sr-Latn-ME"/>
              </w:rPr>
              <w:t>88,44</w:t>
            </w:r>
          </w:p>
          <w:p w14:paraId="64139A0E" w14:textId="77777777" w:rsidR="00DC171F" w:rsidRPr="009F254D" w:rsidRDefault="00DC171F" w:rsidP="00FA635D">
            <w:pPr>
              <w:keepNext/>
              <w:keepLines/>
              <w:tabs>
                <w:tab w:val="left" w:pos="284"/>
              </w:tabs>
              <w:autoSpaceDE w:val="0"/>
              <w:autoSpaceDN w:val="0"/>
              <w:adjustRightInd w:val="0"/>
              <w:ind w:firstLine="142"/>
              <w:jc w:val="center"/>
              <w:rPr>
                <w:sz w:val="22"/>
                <w:szCs w:val="22"/>
                <w:lang w:val="sr-Latn-ME"/>
              </w:rPr>
            </w:pPr>
            <w:r w:rsidRPr="009F254D">
              <w:rPr>
                <w:sz w:val="22"/>
                <w:szCs w:val="22"/>
                <w:lang w:val="sr-Latn-ME"/>
              </w:rPr>
              <w:noBreakHyphen/>
              <w:t>3,22</w:t>
            </w:r>
          </w:p>
          <w:p w14:paraId="5F09FC73" w14:textId="77777777" w:rsidR="00DC171F" w:rsidRPr="009F254D" w:rsidRDefault="00DC171F" w:rsidP="00FA635D">
            <w:pPr>
              <w:keepNext/>
              <w:keepLines/>
              <w:tabs>
                <w:tab w:val="left" w:pos="284"/>
              </w:tabs>
              <w:autoSpaceDE w:val="0"/>
              <w:autoSpaceDN w:val="0"/>
              <w:adjustRightInd w:val="0"/>
              <w:ind w:firstLine="142"/>
              <w:jc w:val="center"/>
              <w:rPr>
                <w:sz w:val="22"/>
                <w:szCs w:val="22"/>
                <w:lang w:val="sr-Latn-ME"/>
              </w:rPr>
            </w:pPr>
            <w:r w:rsidRPr="009F254D">
              <w:rPr>
                <w:sz w:val="22"/>
                <w:szCs w:val="22"/>
                <w:lang w:val="sr-Latn-ME"/>
              </w:rPr>
              <w:noBreakHyphen/>
              <w:t>4,65</w:t>
            </w:r>
            <w:r w:rsidRPr="009F254D">
              <w:rPr>
                <w:sz w:val="22"/>
                <w:szCs w:val="22"/>
                <w:vertAlign w:val="superscript"/>
                <w:lang w:val="sr-Latn-ME"/>
              </w:rPr>
              <w:t>*</w:t>
            </w:r>
          </w:p>
          <w:p w14:paraId="1D26C12A" w14:textId="77777777" w:rsidR="00DC171F" w:rsidRPr="009F254D" w:rsidRDefault="00DC171F" w:rsidP="00FA635D">
            <w:pPr>
              <w:keepNext/>
              <w:keepLines/>
              <w:tabs>
                <w:tab w:val="left" w:pos="284"/>
              </w:tabs>
              <w:autoSpaceDE w:val="0"/>
              <w:autoSpaceDN w:val="0"/>
              <w:adjustRightInd w:val="0"/>
              <w:ind w:firstLine="142"/>
              <w:jc w:val="center"/>
              <w:rPr>
                <w:b/>
                <w:sz w:val="22"/>
                <w:szCs w:val="22"/>
                <w:lang w:val="sr-Latn-ME"/>
              </w:rPr>
            </w:pPr>
            <w:r w:rsidRPr="009F254D">
              <w:rPr>
                <w:sz w:val="22"/>
                <w:szCs w:val="22"/>
                <w:lang w:val="sr-Latn-ME"/>
              </w:rPr>
              <w:t>(</w:t>
            </w:r>
            <w:r w:rsidRPr="009F254D">
              <w:rPr>
                <w:sz w:val="22"/>
                <w:szCs w:val="22"/>
                <w:lang w:val="sr-Latn-ME"/>
              </w:rPr>
              <w:noBreakHyphen/>
              <w:t xml:space="preserve">5,14, </w:t>
            </w:r>
            <w:r w:rsidRPr="009F254D">
              <w:rPr>
                <w:sz w:val="22"/>
                <w:szCs w:val="22"/>
                <w:lang w:val="sr-Latn-ME"/>
              </w:rPr>
              <w:noBreakHyphen/>
              <w:t>4,17)</w:t>
            </w:r>
          </w:p>
        </w:tc>
        <w:tc>
          <w:tcPr>
            <w:tcW w:w="1297" w:type="pct"/>
            <w:tcBorders>
              <w:top w:val="single" w:sz="4" w:space="0" w:color="auto"/>
              <w:bottom w:val="single" w:sz="12" w:space="0" w:color="auto"/>
            </w:tcBorders>
          </w:tcPr>
          <w:p w14:paraId="72CD259F" w14:textId="77777777" w:rsidR="00DC171F" w:rsidRPr="009F254D" w:rsidRDefault="00DC171F" w:rsidP="00FA635D">
            <w:pPr>
              <w:keepNext/>
              <w:keepLines/>
              <w:tabs>
                <w:tab w:val="left" w:pos="284"/>
              </w:tabs>
              <w:autoSpaceDE w:val="0"/>
              <w:autoSpaceDN w:val="0"/>
              <w:adjustRightInd w:val="0"/>
              <w:ind w:firstLine="142"/>
              <w:jc w:val="center"/>
              <w:rPr>
                <w:sz w:val="22"/>
                <w:szCs w:val="22"/>
                <w:lang w:val="sr-Latn-ME"/>
              </w:rPr>
            </w:pPr>
          </w:p>
          <w:p w14:paraId="43293BE6" w14:textId="77777777" w:rsidR="00DC171F" w:rsidRPr="009F254D" w:rsidRDefault="00DC171F" w:rsidP="00FA635D">
            <w:pPr>
              <w:keepNext/>
              <w:keepLines/>
              <w:tabs>
                <w:tab w:val="left" w:pos="284"/>
              </w:tabs>
              <w:autoSpaceDE w:val="0"/>
              <w:autoSpaceDN w:val="0"/>
              <w:adjustRightInd w:val="0"/>
              <w:ind w:firstLine="142"/>
              <w:jc w:val="center"/>
              <w:rPr>
                <w:sz w:val="22"/>
                <w:szCs w:val="22"/>
                <w:lang w:val="sr-Latn-ME"/>
              </w:rPr>
            </w:pPr>
            <w:r w:rsidRPr="009F254D">
              <w:rPr>
                <w:sz w:val="22"/>
                <w:szCs w:val="22"/>
                <w:lang w:val="sr-Latn-ME"/>
              </w:rPr>
              <w:t>87,60</w:t>
            </w:r>
          </w:p>
          <w:p w14:paraId="1FEBB934" w14:textId="77777777" w:rsidR="00DC171F" w:rsidRPr="009F254D" w:rsidRDefault="00DC171F" w:rsidP="00FA635D">
            <w:pPr>
              <w:keepNext/>
              <w:keepLines/>
              <w:tabs>
                <w:tab w:val="left" w:pos="284"/>
              </w:tabs>
              <w:autoSpaceDE w:val="0"/>
              <w:autoSpaceDN w:val="0"/>
              <w:adjustRightInd w:val="0"/>
              <w:ind w:firstLine="142"/>
              <w:jc w:val="center"/>
              <w:rPr>
                <w:sz w:val="22"/>
                <w:szCs w:val="22"/>
                <w:lang w:val="sr-Latn-ME"/>
              </w:rPr>
            </w:pPr>
            <w:r w:rsidRPr="009F254D">
              <w:rPr>
                <w:sz w:val="22"/>
                <w:szCs w:val="22"/>
                <w:lang w:val="sr-Latn-ME"/>
              </w:rPr>
              <w:t>1,44</w:t>
            </w:r>
          </w:p>
          <w:p w14:paraId="312CC0C8" w14:textId="77777777" w:rsidR="00DC171F" w:rsidRPr="009F254D" w:rsidRDefault="00DC171F" w:rsidP="00FA635D">
            <w:pPr>
              <w:keepNext/>
              <w:keepLines/>
              <w:tabs>
                <w:tab w:val="left" w:pos="284"/>
              </w:tabs>
              <w:autoSpaceDE w:val="0"/>
              <w:autoSpaceDN w:val="0"/>
              <w:adjustRightInd w:val="0"/>
              <w:ind w:firstLine="142"/>
              <w:jc w:val="center"/>
              <w:rPr>
                <w:sz w:val="22"/>
                <w:szCs w:val="22"/>
                <w:lang w:val="sr-Latn-ME"/>
              </w:rPr>
            </w:pPr>
          </w:p>
          <w:p w14:paraId="1CEC77AC" w14:textId="77777777" w:rsidR="00DC171F" w:rsidRPr="009F254D" w:rsidRDefault="00DC171F" w:rsidP="00FA635D">
            <w:pPr>
              <w:keepNext/>
              <w:keepLines/>
              <w:tabs>
                <w:tab w:val="left" w:pos="284"/>
              </w:tabs>
              <w:autoSpaceDE w:val="0"/>
              <w:autoSpaceDN w:val="0"/>
              <w:adjustRightInd w:val="0"/>
              <w:jc w:val="both"/>
              <w:rPr>
                <w:sz w:val="22"/>
                <w:szCs w:val="22"/>
                <w:lang w:val="sr-Latn-ME"/>
              </w:rPr>
            </w:pPr>
          </w:p>
        </w:tc>
      </w:tr>
      <w:tr w:rsidR="00DC171F" w:rsidRPr="009F254D" w14:paraId="5921906D" w14:textId="77777777" w:rsidTr="00703DC3">
        <w:trPr>
          <w:cantSplit/>
        </w:trPr>
        <w:tc>
          <w:tcPr>
            <w:tcW w:w="5000" w:type="pct"/>
            <w:gridSpan w:val="3"/>
            <w:tcBorders>
              <w:top w:val="single" w:sz="12" w:space="0" w:color="auto"/>
              <w:bottom w:val="nil"/>
            </w:tcBorders>
          </w:tcPr>
          <w:p w14:paraId="450440BB" w14:textId="383B12E4" w:rsidR="00DC171F" w:rsidRPr="00E43FA0" w:rsidRDefault="00DC171F" w:rsidP="00FA635D">
            <w:pPr>
              <w:keepNext/>
              <w:keepLines/>
              <w:tabs>
                <w:tab w:val="left" w:pos="284"/>
              </w:tabs>
              <w:autoSpaceDE w:val="0"/>
              <w:autoSpaceDN w:val="0"/>
              <w:adjustRightInd w:val="0"/>
              <w:jc w:val="both"/>
              <w:rPr>
                <w:sz w:val="20"/>
                <w:szCs w:val="22"/>
                <w:lang w:val="sr-Latn-ME"/>
              </w:rPr>
            </w:pPr>
            <w:r w:rsidRPr="00E43FA0">
              <w:rPr>
                <w:sz w:val="20"/>
                <w:szCs w:val="22"/>
                <w:vertAlign w:val="superscript"/>
                <w:lang w:val="sr-Latn-ME"/>
              </w:rPr>
              <w:t>a</w:t>
            </w:r>
            <w:r w:rsidRPr="00E43FA0">
              <w:rPr>
                <w:sz w:val="20"/>
                <w:szCs w:val="22"/>
                <w:lang w:val="sr-Latn-ME"/>
              </w:rPr>
              <w:t>LOCF: Posl</w:t>
            </w:r>
            <w:r w:rsidR="00CF37F6" w:rsidRPr="00E43FA0">
              <w:rPr>
                <w:sz w:val="20"/>
                <w:szCs w:val="22"/>
                <w:lang w:val="sr-Latn-ME"/>
              </w:rPr>
              <w:t>j</w:t>
            </w:r>
            <w:r w:rsidRPr="00E43FA0">
              <w:rPr>
                <w:sz w:val="20"/>
                <w:szCs w:val="22"/>
                <w:lang w:val="sr-Latn-ME"/>
              </w:rPr>
              <w:t>ednja izvršena opservacija</w:t>
            </w:r>
          </w:p>
          <w:p w14:paraId="4F34277D" w14:textId="77777777" w:rsidR="00DC171F" w:rsidRPr="00E43FA0" w:rsidRDefault="00DC171F" w:rsidP="00FA635D">
            <w:pPr>
              <w:keepNext/>
              <w:keepLines/>
              <w:tabs>
                <w:tab w:val="left" w:pos="284"/>
              </w:tabs>
              <w:autoSpaceDE w:val="0"/>
              <w:autoSpaceDN w:val="0"/>
              <w:adjustRightInd w:val="0"/>
              <w:jc w:val="both"/>
              <w:rPr>
                <w:sz w:val="20"/>
                <w:szCs w:val="22"/>
                <w:lang w:val="sr-Latn-ME"/>
              </w:rPr>
            </w:pPr>
            <w:r w:rsidRPr="00E43FA0">
              <w:rPr>
                <w:sz w:val="20"/>
                <w:szCs w:val="22"/>
                <w:vertAlign w:val="superscript"/>
                <w:lang w:val="sr-Latn-ME"/>
              </w:rPr>
              <w:t>b</w:t>
            </w:r>
            <w:r w:rsidRPr="00E43FA0">
              <w:rPr>
                <w:sz w:val="20"/>
                <w:szCs w:val="22"/>
                <w:lang w:val="sr-Latn-ME"/>
              </w:rPr>
              <w:t>Randomizovani i liječeni ispitanici sa mjerenjem efikasnosti na početku i najmanje jednim mjerenjem nakon početka</w:t>
            </w:r>
          </w:p>
          <w:p w14:paraId="1EDBD349" w14:textId="77777777" w:rsidR="00DC171F" w:rsidRPr="00E43FA0" w:rsidRDefault="00DC171F" w:rsidP="00FA635D">
            <w:pPr>
              <w:keepNext/>
              <w:keepLines/>
              <w:tabs>
                <w:tab w:val="left" w:pos="284"/>
              </w:tabs>
              <w:autoSpaceDE w:val="0"/>
              <w:autoSpaceDN w:val="0"/>
              <w:adjustRightInd w:val="0"/>
              <w:jc w:val="both"/>
              <w:rPr>
                <w:sz w:val="20"/>
                <w:szCs w:val="22"/>
                <w:lang w:val="sr-Latn-ME"/>
              </w:rPr>
            </w:pPr>
            <w:r w:rsidRPr="00E43FA0">
              <w:rPr>
                <w:sz w:val="20"/>
                <w:szCs w:val="22"/>
                <w:vertAlign w:val="superscript"/>
                <w:lang w:val="sr-Latn-ME"/>
              </w:rPr>
              <w:t>c</w:t>
            </w:r>
            <w:r w:rsidRPr="00E43FA0">
              <w:rPr>
                <w:sz w:val="20"/>
                <w:szCs w:val="22"/>
                <w:lang w:val="sr-Latn-ME"/>
              </w:rPr>
              <w:t>Srednja vrijednost najmanjih kvadrata korigovana za početnu vrijednost</w:t>
            </w:r>
          </w:p>
          <w:p w14:paraId="72454812" w14:textId="77777777" w:rsidR="00DC171F" w:rsidRPr="00E43FA0" w:rsidRDefault="00DC171F" w:rsidP="00FA635D">
            <w:pPr>
              <w:keepNext/>
              <w:keepLines/>
              <w:tabs>
                <w:tab w:val="left" w:pos="284"/>
              </w:tabs>
              <w:autoSpaceDE w:val="0"/>
              <w:autoSpaceDN w:val="0"/>
              <w:adjustRightInd w:val="0"/>
              <w:jc w:val="both"/>
              <w:rPr>
                <w:sz w:val="20"/>
                <w:szCs w:val="22"/>
                <w:lang w:val="sr-Latn-ME"/>
              </w:rPr>
            </w:pPr>
            <w:r w:rsidRPr="00E43FA0">
              <w:rPr>
                <w:sz w:val="20"/>
                <w:szCs w:val="22"/>
                <w:vertAlign w:val="superscript"/>
                <w:lang w:val="sr-Latn-ME"/>
              </w:rPr>
              <w:t>d</w:t>
            </w:r>
            <w:r w:rsidRPr="00E43FA0">
              <w:rPr>
                <w:sz w:val="20"/>
                <w:szCs w:val="22"/>
                <w:lang w:val="sr-Latn-ME"/>
              </w:rPr>
              <w:t>Nije inferioran u odnosu na glipizid + metformin</w:t>
            </w:r>
          </w:p>
          <w:p w14:paraId="66EACF5A" w14:textId="77777777" w:rsidR="00DC171F" w:rsidRPr="009F254D" w:rsidRDefault="00DC171F" w:rsidP="00FA635D">
            <w:pPr>
              <w:keepNext/>
              <w:keepLines/>
              <w:tabs>
                <w:tab w:val="left" w:pos="284"/>
              </w:tabs>
              <w:autoSpaceDE w:val="0"/>
              <w:autoSpaceDN w:val="0"/>
              <w:adjustRightInd w:val="0"/>
              <w:jc w:val="both"/>
              <w:rPr>
                <w:sz w:val="22"/>
                <w:szCs w:val="22"/>
                <w:lang w:val="sr-Latn-ME"/>
              </w:rPr>
            </w:pPr>
            <w:r w:rsidRPr="00E43FA0">
              <w:rPr>
                <w:sz w:val="20"/>
                <w:szCs w:val="22"/>
                <w:vertAlign w:val="superscript"/>
                <w:lang w:val="sr-Latn-ME"/>
              </w:rPr>
              <w:t>*</w:t>
            </w:r>
            <w:r w:rsidRPr="00E43FA0">
              <w:rPr>
                <w:sz w:val="20"/>
                <w:szCs w:val="22"/>
                <w:lang w:val="sr-Latn-ME"/>
              </w:rPr>
              <w:t>p</w:t>
            </w:r>
            <w:r w:rsidRPr="00E43FA0">
              <w:rPr>
                <w:sz w:val="20"/>
                <w:szCs w:val="22"/>
                <w:lang w:val="sr-Latn-ME"/>
              </w:rPr>
              <w:noBreakHyphen/>
              <w:t>vrijednost &lt; 0,0001</w:t>
            </w:r>
          </w:p>
        </w:tc>
      </w:tr>
    </w:tbl>
    <w:p w14:paraId="69437323" w14:textId="40388B69" w:rsidR="002E37A5" w:rsidRPr="009F254D" w:rsidRDefault="002E37A5" w:rsidP="00FA635D">
      <w:pPr>
        <w:tabs>
          <w:tab w:val="left" w:pos="540"/>
          <w:tab w:val="left" w:pos="569"/>
        </w:tabs>
        <w:rPr>
          <w:b/>
          <w:bCs/>
          <w:sz w:val="22"/>
          <w:szCs w:val="22"/>
          <w:lang w:val="sr-Latn-ME"/>
        </w:rPr>
      </w:pPr>
    </w:p>
    <w:p w14:paraId="79E81111" w14:textId="1A6A5A76" w:rsidR="00DC171F" w:rsidRPr="009F254D" w:rsidRDefault="00DC171F" w:rsidP="00FA635D">
      <w:pPr>
        <w:tabs>
          <w:tab w:val="left" w:pos="284"/>
        </w:tabs>
        <w:jc w:val="both"/>
        <w:rPr>
          <w:sz w:val="22"/>
          <w:szCs w:val="22"/>
          <w:lang w:val="sr-Latn-ME"/>
        </w:rPr>
      </w:pPr>
      <w:r w:rsidRPr="009F254D">
        <w:rPr>
          <w:noProof/>
          <w:sz w:val="22"/>
          <w:szCs w:val="22"/>
          <w:lang w:val="sr-Latn-ME"/>
        </w:rPr>
        <w:t>Dapagliflozin</w:t>
      </w:r>
      <w:r w:rsidRPr="009F254D">
        <w:rPr>
          <w:sz w:val="22"/>
          <w:szCs w:val="22"/>
          <w:lang w:val="sr-Latn-ME"/>
        </w:rPr>
        <w:t xml:space="preserve"> kao dodatak monoterapiji metforminom, terapiji metforminom u kombinaciji sa sitagliptinom, sulfonilureom ili insulinom (sa dodatnim oralnim ljekovima za snižavanje nivoa glukoze, </w:t>
      </w:r>
      <w:r w:rsidRPr="009F254D">
        <w:rPr>
          <w:sz w:val="22"/>
          <w:szCs w:val="22"/>
          <w:lang w:val="sr-Latn-ME"/>
        </w:rPr>
        <w:lastRenderedPageBreak/>
        <w:t>uključujući metformin, ili bez</w:t>
      </w:r>
      <w:r w:rsidR="00CF37F6" w:rsidRPr="009F254D">
        <w:rPr>
          <w:sz w:val="22"/>
          <w:szCs w:val="22"/>
          <w:lang w:val="sr-Latn-ME"/>
        </w:rPr>
        <w:t xml:space="preserve"> njih</w:t>
      </w:r>
      <w:r w:rsidRPr="009F254D">
        <w:rPr>
          <w:sz w:val="22"/>
          <w:szCs w:val="22"/>
          <w:lang w:val="sr-Latn-ME"/>
        </w:rPr>
        <w:t xml:space="preserve">) doveo je do statistički značajnog srednjeg smanjenja vrijednosti HbA1c u 24. nedjelji u poređenju sa ispitanicima koji su primali placebo (p &lt; 0.0001; </w:t>
      </w:r>
      <w:r w:rsidR="00CF37F6" w:rsidRPr="009F254D">
        <w:rPr>
          <w:sz w:val="22"/>
          <w:szCs w:val="22"/>
          <w:lang w:val="sr-Latn-ME"/>
        </w:rPr>
        <w:t>T</w:t>
      </w:r>
      <w:r w:rsidRPr="009F254D">
        <w:rPr>
          <w:sz w:val="22"/>
          <w:szCs w:val="22"/>
          <w:lang w:val="sr-Latn-ME"/>
        </w:rPr>
        <w:t xml:space="preserve">abele 4, 5 i 6). </w:t>
      </w:r>
      <w:r w:rsidRPr="009F254D">
        <w:rPr>
          <w:noProof/>
          <w:sz w:val="22"/>
          <w:szCs w:val="22"/>
          <w:lang w:val="sr-Latn-ME"/>
        </w:rPr>
        <w:t>Dapagliflozin</w:t>
      </w:r>
      <w:r w:rsidRPr="009F254D">
        <w:rPr>
          <w:sz w:val="22"/>
          <w:szCs w:val="22"/>
          <w:lang w:val="sr-Latn-ME"/>
        </w:rPr>
        <w:t> u dozi od 5 mg dvaput dnevno doveo je do statistički značajnog sniženja HbA1c u 16</w:t>
      </w:r>
      <w:r w:rsidR="00CF37F6" w:rsidRPr="009F254D">
        <w:rPr>
          <w:sz w:val="22"/>
          <w:szCs w:val="22"/>
          <w:lang w:val="sr-Latn-ME"/>
        </w:rPr>
        <w:t>.</w:t>
      </w:r>
      <w:r w:rsidRPr="009F254D">
        <w:rPr>
          <w:sz w:val="22"/>
          <w:szCs w:val="22"/>
          <w:lang w:val="sr-Latn-ME"/>
        </w:rPr>
        <w:t xml:space="preserve"> nedjelj</w:t>
      </w:r>
      <w:r w:rsidR="00CF37F6" w:rsidRPr="009F254D">
        <w:rPr>
          <w:sz w:val="22"/>
          <w:szCs w:val="22"/>
          <w:lang w:val="sr-Latn-ME"/>
        </w:rPr>
        <w:t>i</w:t>
      </w:r>
      <w:r w:rsidRPr="009F254D">
        <w:rPr>
          <w:sz w:val="22"/>
          <w:szCs w:val="22"/>
          <w:lang w:val="sr-Latn-ME"/>
        </w:rPr>
        <w:t xml:space="preserve"> u poređenju sa ispitanicima koji su primali placebo (p &lt; 0,0001; </w:t>
      </w:r>
      <w:r w:rsidR="00CF37F6" w:rsidRPr="009F254D">
        <w:rPr>
          <w:sz w:val="22"/>
          <w:szCs w:val="22"/>
          <w:lang w:val="sr-Latn-ME"/>
        </w:rPr>
        <w:t>T</w:t>
      </w:r>
      <w:r w:rsidRPr="009F254D">
        <w:rPr>
          <w:sz w:val="22"/>
          <w:szCs w:val="22"/>
          <w:lang w:val="sr-Latn-ME"/>
        </w:rPr>
        <w:t>abela 4).</w:t>
      </w:r>
    </w:p>
    <w:p w14:paraId="56E3A6DF" w14:textId="77777777" w:rsidR="00DC171F" w:rsidRPr="009F254D" w:rsidRDefault="00DC171F" w:rsidP="00FA635D">
      <w:pPr>
        <w:tabs>
          <w:tab w:val="left" w:pos="284"/>
        </w:tabs>
        <w:jc w:val="both"/>
        <w:rPr>
          <w:sz w:val="22"/>
          <w:szCs w:val="22"/>
          <w:lang w:val="sr-Latn-ME"/>
        </w:rPr>
      </w:pPr>
    </w:p>
    <w:p w14:paraId="76858FDA" w14:textId="27E8DF7A" w:rsidR="00DC171F" w:rsidRPr="009F254D" w:rsidRDefault="00DC171F" w:rsidP="00FA635D">
      <w:pPr>
        <w:tabs>
          <w:tab w:val="left" w:pos="284"/>
        </w:tabs>
        <w:jc w:val="both"/>
        <w:rPr>
          <w:sz w:val="22"/>
          <w:szCs w:val="22"/>
          <w:lang w:val="sr-Latn-ME"/>
        </w:rPr>
      </w:pPr>
      <w:r w:rsidRPr="009F254D">
        <w:rPr>
          <w:sz w:val="22"/>
          <w:szCs w:val="22"/>
          <w:lang w:val="sr-Latn-ME"/>
        </w:rPr>
        <w:t>Sniženja HbA1c zabilježena u 24. nedjelji održala su se u studijama lijeka kao dodatka kombinovanoj terapiji. U studiji lijeka kao dodatka terapiji metforminom, smanjenja HbA1c održala su se do 102. nedjelje (korigovana srednja promjena u odnosu na početnu vrijednost za dozu dapagliflozina od 10 mg iznosila je -0,78%, odnosno 0,02% za placebo). U 48. nedjelji za metformin i sitagliptin, korigovana srednja promjena u odnosu na početnu vrijednost za dapagliflozin od 10 mg bila je -0,44%, odnosno 0,15% za placebo. U 104. nedjelji za insulin (sa dodatnim oralnim ljekovima za sniženje glukoze, uključujući metformin, ili bez</w:t>
      </w:r>
      <w:r w:rsidR="00CF37F6" w:rsidRPr="009F254D">
        <w:rPr>
          <w:sz w:val="22"/>
          <w:szCs w:val="22"/>
          <w:lang w:val="sr-Latn-ME"/>
        </w:rPr>
        <w:t xml:space="preserve"> njih</w:t>
      </w:r>
      <w:r w:rsidRPr="009F254D">
        <w:rPr>
          <w:sz w:val="22"/>
          <w:szCs w:val="22"/>
          <w:lang w:val="sr-Latn-ME"/>
        </w:rPr>
        <w:t xml:space="preserve">), </w:t>
      </w:r>
      <w:r w:rsidR="00CF37F6" w:rsidRPr="009F254D">
        <w:rPr>
          <w:sz w:val="22"/>
          <w:szCs w:val="22"/>
          <w:lang w:val="sr-Latn-ME"/>
        </w:rPr>
        <w:t xml:space="preserve">korigovane srednje promjene </w:t>
      </w:r>
      <w:r w:rsidRPr="009F254D">
        <w:rPr>
          <w:sz w:val="22"/>
          <w:szCs w:val="22"/>
          <w:lang w:val="sr-Latn-ME"/>
        </w:rPr>
        <w:t xml:space="preserve">smanjenja HbA1c </w:t>
      </w:r>
      <w:r w:rsidR="0091451C" w:rsidRPr="009F254D">
        <w:rPr>
          <w:sz w:val="22"/>
          <w:szCs w:val="22"/>
          <w:lang w:val="sr-Latn-ME"/>
        </w:rPr>
        <w:t xml:space="preserve">u odnosu na početnu vrijednost </w:t>
      </w:r>
      <w:r w:rsidRPr="009F254D">
        <w:rPr>
          <w:sz w:val="22"/>
          <w:szCs w:val="22"/>
          <w:lang w:val="sr-Latn-ME"/>
        </w:rPr>
        <w:t>iznosil</w:t>
      </w:r>
      <w:r w:rsidR="00CF37F6" w:rsidRPr="009F254D">
        <w:rPr>
          <w:sz w:val="22"/>
          <w:szCs w:val="22"/>
          <w:lang w:val="sr-Latn-ME"/>
        </w:rPr>
        <w:t>e</w:t>
      </w:r>
      <w:r w:rsidRPr="009F254D">
        <w:rPr>
          <w:sz w:val="22"/>
          <w:szCs w:val="22"/>
          <w:lang w:val="sr-Latn-ME"/>
        </w:rPr>
        <w:t xml:space="preserve"> su -0,71% </w:t>
      </w:r>
      <w:r w:rsidR="0091451C" w:rsidRPr="009F254D">
        <w:rPr>
          <w:sz w:val="22"/>
          <w:szCs w:val="22"/>
          <w:lang w:val="sr-Latn-ME"/>
        </w:rPr>
        <w:t xml:space="preserve">za dapagliflozin od 10 mg, </w:t>
      </w:r>
      <w:r w:rsidRPr="009F254D">
        <w:rPr>
          <w:sz w:val="22"/>
          <w:szCs w:val="22"/>
          <w:lang w:val="sr-Latn-ME"/>
        </w:rPr>
        <w:t xml:space="preserve">odnosno -0,06% </w:t>
      </w:r>
      <w:r w:rsidR="0091451C" w:rsidRPr="009F254D">
        <w:rPr>
          <w:sz w:val="22"/>
          <w:szCs w:val="22"/>
          <w:lang w:val="sr-Latn-ME"/>
        </w:rPr>
        <w:t>za</w:t>
      </w:r>
      <w:r w:rsidRPr="009F254D">
        <w:rPr>
          <w:sz w:val="22"/>
          <w:szCs w:val="22"/>
          <w:lang w:val="sr-Latn-ME"/>
        </w:rPr>
        <w:t xml:space="preserve"> placebo. U 48. i 104. nedjelji doza insulina ostala je stabilna u poređenju sa početnom vrijednošću kod ispitanika liječenih dapagliflozinom od 10 mg u prosječnoj dozi od 76 IU/dan. U grupi koja je primala placebo, zabilježeno je povećanje od 10,5 IU/dan i 18,3 IU/dan </w:t>
      </w:r>
      <w:r w:rsidR="0091451C" w:rsidRPr="009F254D">
        <w:rPr>
          <w:sz w:val="22"/>
          <w:szCs w:val="22"/>
          <w:lang w:val="sr-Latn-ME"/>
        </w:rPr>
        <w:t xml:space="preserve">u odnosu na </w:t>
      </w:r>
      <w:r w:rsidRPr="009F254D">
        <w:rPr>
          <w:sz w:val="22"/>
          <w:szCs w:val="22"/>
          <w:lang w:val="sr-Latn-ME"/>
        </w:rPr>
        <w:t>početn</w:t>
      </w:r>
      <w:r w:rsidR="0091451C" w:rsidRPr="009F254D">
        <w:rPr>
          <w:sz w:val="22"/>
          <w:szCs w:val="22"/>
          <w:lang w:val="sr-Latn-ME"/>
        </w:rPr>
        <w:t>u</w:t>
      </w:r>
      <w:r w:rsidRPr="009F254D">
        <w:rPr>
          <w:sz w:val="22"/>
          <w:szCs w:val="22"/>
          <w:lang w:val="sr-Latn-ME"/>
        </w:rPr>
        <w:t xml:space="preserve"> vrijednost (srednja vrijednost prosječne doze 84 i 92 IU/dan) u 48, odnosno 104. nedjelji. Procenat ispitanika koji je ostao u studiji u 104. nedjelji bio je 72,4% u grupi liječenoj dapagliflozinom od 10 mg i 54,8% u grupi koja je primala placebo.</w:t>
      </w:r>
    </w:p>
    <w:p w14:paraId="7CEC8C09" w14:textId="77777777" w:rsidR="00DC171F" w:rsidRPr="009F254D" w:rsidRDefault="00DC171F" w:rsidP="00FA635D">
      <w:pPr>
        <w:tabs>
          <w:tab w:val="left" w:pos="284"/>
        </w:tabs>
        <w:jc w:val="both"/>
        <w:rPr>
          <w:sz w:val="22"/>
          <w:szCs w:val="22"/>
          <w:lang w:val="sr-Latn-ME"/>
        </w:rPr>
      </w:pPr>
    </w:p>
    <w:p w14:paraId="19C54090" w14:textId="6B5CC3BC" w:rsidR="00DC171F" w:rsidRPr="009F254D" w:rsidRDefault="00DC171F" w:rsidP="00FA635D">
      <w:pPr>
        <w:tabs>
          <w:tab w:val="left" w:pos="284"/>
        </w:tabs>
        <w:jc w:val="both"/>
        <w:rPr>
          <w:sz w:val="22"/>
          <w:szCs w:val="22"/>
          <w:lang w:val="sr-Latn-ME"/>
        </w:rPr>
      </w:pPr>
      <w:r w:rsidRPr="009F254D">
        <w:rPr>
          <w:sz w:val="22"/>
          <w:szCs w:val="22"/>
          <w:lang w:val="sr-Latn-ME"/>
        </w:rPr>
        <w:t>U zasebnoj analizi ispitanika koji su primali insulin i metformin, smanjenja vrijednosti HbA1c slična smanjenjima vrijednosti koja su opažena u c</w:t>
      </w:r>
      <w:r w:rsidR="0091451C" w:rsidRPr="009F254D">
        <w:rPr>
          <w:sz w:val="22"/>
          <w:szCs w:val="22"/>
          <w:lang w:val="sr-Latn-ME"/>
        </w:rPr>
        <w:t>j</w:t>
      </w:r>
      <w:r w:rsidRPr="009F254D">
        <w:rPr>
          <w:sz w:val="22"/>
          <w:szCs w:val="22"/>
          <w:lang w:val="sr-Latn-ME"/>
        </w:rPr>
        <w:t>elokupnoj ispitivanoj populaciji zabilježena su kod ispitanika koji su uz insulin i metformin primali i dapagliflozin. U 24. nedjelji, promjena vrijednosti HbA1c u odnosu na početnu vrijednost kod ispitanika liječenih dapagliflozinom u kombinaciji sa insulinom i metforminom iznosila je -0,93%.</w:t>
      </w:r>
    </w:p>
    <w:p w14:paraId="5449131C" w14:textId="270AC444" w:rsidR="00DC171F" w:rsidRPr="009F254D" w:rsidRDefault="00DC171F" w:rsidP="00FA635D">
      <w:pPr>
        <w:tabs>
          <w:tab w:val="left" w:pos="540"/>
          <w:tab w:val="left" w:pos="569"/>
        </w:tabs>
        <w:rPr>
          <w:b/>
          <w:bCs/>
          <w:sz w:val="22"/>
          <w:szCs w:val="22"/>
          <w:lang w:val="sr-Latn-ME"/>
        </w:rPr>
      </w:pPr>
    </w:p>
    <w:p w14:paraId="514B038A" w14:textId="36199C64" w:rsidR="00DC171F" w:rsidRPr="009F254D" w:rsidRDefault="00DC171F" w:rsidP="00E43FA0">
      <w:pPr>
        <w:tabs>
          <w:tab w:val="left" w:pos="284"/>
        </w:tabs>
        <w:jc w:val="both"/>
        <w:rPr>
          <w:b/>
          <w:noProof/>
          <w:sz w:val="22"/>
          <w:szCs w:val="22"/>
          <w:lang w:val="sr-Latn-ME"/>
        </w:rPr>
      </w:pPr>
      <w:r w:rsidRPr="009F254D">
        <w:rPr>
          <w:b/>
          <w:bCs/>
          <w:sz w:val="22"/>
          <w:szCs w:val="22"/>
          <w:lang w:val="sr-Latn-ME"/>
        </w:rPr>
        <w:t>Tabela 4. Rezultati (LOCF</w:t>
      </w:r>
      <w:r w:rsidRPr="009F254D">
        <w:rPr>
          <w:b/>
          <w:bCs/>
          <w:sz w:val="22"/>
          <w:szCs w:val="22"/>
          <w:vertAlign w:val="superscript"/>
          <w:lang w:val="sr-Latn-ME"/>
        </w:rPr>
        <w:t>a</w:t>
      </w:r>
      <w:r w:rsidRPr="009F254D">
        <w:rPr>
          <w:b/>
          <w:bCs/>
          <w:sz w:val="22"/>
          <w:szCs w:val="22"/>
          <w:lang w:val="sr-Latn-ME"/>
        </w:rPr>
        <w:t>) placebo</w:t>
      </w:r>
      <w:r w:rsidR="0091451C" w:rsidRPr="009F254D">
        <w:rPr>
          <w:b/>
          <w:bCs/>
          <w:sz w:val="22"/>
          <w:szCs w:val="22"/>
          <w:lang w:val="sr-Latn-ME"/>
        </w:rPr>
        <w:t>-</w:t>
      </w:r>
      <w:r w:rsidRPr="009F254D">
        <w:rPr>
          <w:b/>
          <w:bCs/>
          <w:sz w:val="22"/>
          <w:szCs w:val="22"/>
          <w:lang w:val="sr-Latn-ME"/>
        </w:rPr>
        <w:t xml:space="preserve">kontrolisanih studija </w:t>
      </w:r>
      <w:r w:rsidRPr="009F254D">
        <w:rPr>
          <w:b/>
          <w:bCs/>
          <w:noProof/>
          <w:sz w:val="22"/>
          <w:szCs w:val="22"/>
          <w:lang w:val="sr-Latn-ME"/>
        </w:rPr>
        <w:t>dapagliflozina kao dodatka kombinaciji sa metforminom ili metforminom i sitagliptinom</w:t>
      </w:r>
      <w:r w:rsidR="0091451C" w:rsidRPr="009F254D">
        <w:rPr>
          <w:b/>
          <w:bCs/>
          <w:noProof/>
          <w:sz w:val="22"/>
          <w:szCs w:val="22"/>
          <w:lang w:val="sr-Latn-ME"/>
        </w:rPr>
        <w:t xml:space="preserve"> u trajanju od 24 nedjelje</w:t>
      </w:r>
    </w:p>
    <w:tbl>
      <w:tblPr>
        <w:tblW w:w="5000" w:type="pct"/>
        <w:tblBorders>
          <w:top w:val="single" w:sz="12" w:space="0" w:color="auto"/>
          <w:insideH w:val="single" w:sz="12" w:space="0" w:color="auto"/>
        </w:tblBorders>
        <w:tblLook w:val="0000" w:firstRow="0" w:lastRow="0" w:firstColumn="0" w:lastColumn="0" w:noHBand="0" w:noVBand="0"/>
      </w:tblPr>
      <w:tblGrid>
        <w:gridCol w:w="1218"/>
        <w:gridCol w:w="1334"/>
        <w:gridCol w:w="868"/>
        <w:gridCol w:w="1334"/>
        <w:gridCol w:w="868"/>
        <w:gridCol w:w="2329"/>
        <w:gridCol w:w="24"/>
        <w:gridCol w:w="656"/>
        <w:gridCol w:w="442"/>
      </w:tblGrid>
      <w:tr w:rsidR="00DC171F" w:rsidRPr="009F254D" w14:paraId="1129AF27" w14:textId="77777777" w:rsidTr="00E43FA0">
        <w:tc>
          <w:tcPr>
            <w:tcW w:w="0" w:type="auto"/>
            <w:vMerge w:val="restart"/>
            <w:tcBorders>
              <w:bottom w:val="nil"/>
              <w:right w:val="single" w:sz="8" w:space="0" w:color="auto"/>
            </w:tcBorders>
            <w:vAlign w:val="bottom"/>
          </w:tcPr>
          <w:p w14:paraId="75AA8378" w14:textId="77777777" w:rsidR="00DC171F" w:rsidRPr="009F254D" w:rsidRDefault="00DC171F" w:rsidP="00E43FA0">
            <w:pPr>
              <w:tabs>
                <w:tab w:val="left" w:pos="284"/>
              </w:tabs>
              <w:jc w:val="both"/>
              <w:rPr>
                <w:bCs/>
                <w:sz w:val="22"/>
                <w:szCs w:val="22"/>
                <w:lang w:val="sr-Latn-ME"/>
              </w:rPr>
            </w:pPr>
          </w:p>
        </w:tc>
        <w:tc>
          <w:tcPr>
            <w:tcW w:w="0" w:type="auto"/>
            <w:gridSpan w:val="8"/>
            <w:tcBorders>
              <w:left w:val="single" w:sz="8" w:space="0" w:color="auto"/>
              <w:bottom w:val="single" w:sz="8" w:space="0" w:color="auto"/>
            </w:tcBorders>
          </w:tcPr>
          <w:p w14:paraId="2982920C" w14:textId="77777777" w:rsidR="00DC171F" w:rsidRPr="009F254D" w:rsidRDefault="00DC171F" w:rsidP="00E43FA0">
            <w:pPr>
              <w:tabs>
                <w:tab w:val="left" w:pos="284"/>
              </w:tabs>
              <w:jc w:val="center"/>
              <w:rPr>
                <w:b/>
                <w:sz w:val="22"/>
                <w:szCs w:val="22"/>
                <w:lang w:val="sr-Latn-ME"/>
              </w:rPr>
            </w:pPr>
            <w:r w:rsidRPr="009F254D">
              <w:rPr>
                <w:b/>
                <w:bCs/>
                <w:sz w:val="22"/>
                <w:szCs w:val="22"/>
                <w:lang w:val="sr-Latn-ME"/>
              </w:rPr>
              <w:t>Dodatak kombinovanoj terapiji</w:t>
            </w:r>
          </w:p>
        </w:tc>
      </w:tr>
      <w:tr w:rsidR="00DC171F" w:rsidRPr="009F254D" w14:paraId="2B6B2B11" w14:textId="77777777" w:rsidTr="00E43FA0">
        <w:tc>
          <w:tcPr>
            <w:tcW w:w="0" w:type="auto"/>
            <w:vMerge/>
            <w:tcBorders>
              <w:bottom w:val="nil"/>
              <w:right w:val="single" w:sz="8" w:space="0" w:color="auto"/>
            </w:tcBorders>
            <w:vAlign w:val="bottom"/>
          </w:tcPr>
          <w:p w14:paraId="07312803" w14:textId="77777777" w:rsidR="00DC171F" w:rsidRPr="009F254D" w:rsidRDefault="00DC171F" w:rsidP="00E43FA0">
            <w:pPr>
              <w:tabs>
                <w:tab w:val="left" w:pos="284"/>
              </w:tabs>
              <w:jc w:val="both"/>
              <w:rPr>
                <w:bCs/>
                <w:sz w:val="22"/>
                <w:szCs w:val="22"/>
                <w:lang w:val="sr-Latn-ME"/>
              </w:rPr>
            </w:pPr>
          </w:p>
        </w:tc>
        <w:tc>
          <w:tcPr>
            <w:tcW w:w="0" w:type="auto"/>
            <w:gridSpan w:val="2"/>
            <w:tcBorders>
              <w:top w:val="single" w:sz="8" w:space="0" w:color="auto"/>
              <w:left w:val="single" w:sz="8" w:space="0" w:color="auto"/>
              <w:bottom w:val="single" w:sz="8" w:space="0" w:color="auto"/>
              <w:right w:val="single" w:sz="8" w:space="0" w:color="auto"/>
            </w:tcBorders>
          </w:tcPr>
          <w:p w14:paraId="03D8C174" w14:textId="77777777" w:rsidR="00DC171F" w:rsidRPr="009F254D" w:rsidRDefault="00DC171F" w:rsidP="00E43FA0">
            <w:pPr>
              <w:tabs>
                <w:tab w:val="left" w:pos="284"/>
              </w:tabs>
              <w:jc w:val="center"/>
              <w:rPr>
                <w:b/>
                <w:bCs/>
                <w:sz w:val="22"/>
                <w:szCs w:val="22"/>
                <w:lang w:val="sr-Latn-ME"/>
              </w:rPr>
            </w:pPr>
            <w:r w:rsidRPr="009F254D">
              <w:rPr>
                <w:b/>
                <w:bCs/>
                <w:sz w:val="22"/>
                <w:szCs w:val="22"/>
                <w:lang w:val="sr-Latn-ME"/>
              </w:rPr>
              <w:t>Metformin</w:t>
            </w:r>
            <w:r w:rsidRPr="009F254D">
              <w:rPr>
                <w:sz w:val="22"/>
                <w:szCs w:val="22"/>
                <w:vertAlign w:val="superscript"/>
                <w:lang w:val="sr-Latn-ME"/>
              </w:rPr>
              <w:t>1</w:t>
            </w:r>
          </w:p>
        </w:tc>
        <w:tc>
          <w:tcPr>
            <w:tcW w:w="0" w:type="auto"/>
            <w:gridSpan w:val="2"/>
            <w:tcBorders>
              <w:top w:val="single" w:sz="8" w:space="0" w:color="auto"/>
              <w:left w:val="single" w:sz="8" w:space="0" w:color="auto"/>
              <w:bottom w:val="single" w:sz="8" w:space="0" w:color="auto"/>
              <w:right w:val="single" w:sz="8" w:space="0" w:color="auto"/>
            </w:tcBorders>
          </w:tcPr>
          <w:p w14:paraId="2D8221C2" w14:textId="77777777" w:rsidR="00DC171F" w:rsidRPr="009F254D" w:rsidRDefault="00DC171F" w:rsidP="00E43FA0">
            <w:pPr>
              <w:tabs>
                <w:tab w:val="left" w:pos="284"/>
              </w:tabs>
              <w:jc w:val="center"/>
              <w:rPr>
                <w:b/>
                <w:bCs/>
                <w:sz w:val="22"/>
                <w:szCs w:val="22"/>
                <w:lang w:val="sr-Latn-ME"/>
              </w:rPr>
            </w:pPr>
            <w:r w:rsidRPr="009F254D">
              <w:rPr>
                <w:b/>
                <w:bCs/>
                <w:sz w:val="22"/>
                <w:szCs w:val="22"/>
                <w:lang w:val="sr-Latn-ME"/>
              </w:rPr>
              <w:t>Metformin</w:t>
            </w:r>
            <w:r w:rsidRPr="009F254D">
              <w:rPr>
                <w:sz w:val="22"/>
                <w:szCs w:val="22"/>
                <w:vertAlign w:val="superscript"/>
                <w:lang w:val="sr-Latn-ME"/>
              </w:rPr>
              <w:t>1, b</w:t>
            </w:r>
          </w:p>
        </w:tc>
        <w:tc>
          <w:tcPr>
            <w:tcW w:w="0" w:type="auto"/>
            <w:gridSpan w:val="4"/>
            <w:tcBorders>
              <w:top w:val="single" w:sz="8" w:space="0" w:color="auto"/>
              <w:left w:val="single" w:sz="8" w:space="0" w:color="auto"/>
              <w:bottom w:val="single" w:sz="8" w:space="0" w:color="auto"/>
            </w:tcBorders>
          </w:tcPr>
          <w:p w14:paraId="7455E62A" w14:textId="77777777" w:rsidR="00DC171F" w:rsidRPr="009F254D" w:rsidRDefault="00DC171F" w:rsidP="00E43FA0">
            <w:pPr>
              <w:tabs>
                <w:tab w:val="left" w:pos="284"/>
              </w:tabs>
              <w:jc w:val="center"/>
              <w:rPr>
                <w:b/>
                <w:bCs/>
                <w:sz w:val="22"/>
                <w:szCs w:val="22"/>
                <w:lang w:val="sr-Latn-ME"/>
              </w:rPr>
            </w:pPr>
            <w:r w:rsidRPr="009F254D">
              <w:rPr>
                <w:b/>
                <w:bCs/>
                <w:sz w:val="22"/>
                <w:szCs w:val="22"/>
                <w:lang w:val="sr-Latn-ME"/>
              </w:rPr>
              <w:t>Metformin</w:t>
            </w:r>
            <w:r w:rsidRPr="009F254D">
              <w:rPr>
                <w:sz w:val="22"/>
                <w:szCs w:val="22"/>
                <w:vertAlign w:val="superscript"/>
                <w:lang w:val="sr-Latn-ME"/>
              </w:rPr>
              <w:t>1</w:t>
            </w:r>
            <w:r w:rsidRPr="009F254D">
              <w:rPr>
                <w:b/>
                <w:bCs/>
                <w:sz w:val="22"/>
                <w:szCs w:val="22"/>
                <w:lang w:val="sr-Latn-ME"/>
              </w:rPr>
              <w:t> + Sitagliptin</w:t>
            </w:r>
            <w:r w:rsidRPr="009F254D">
              <w:rPr>
                <w:sz w:val="22"/>
                <w:szCs w:val="22"/>
                <w:vertAlign w:val="superscript"/>
                <w:lang w:val="sr-Latn-ME"/>
              </w:rPr>
              <w:t>2</w:t>
            </w:r>
          </w:p>
          <w:p w14:paraId="1E6BDF88" w14:textId="77777777" w:rsidR="00DC171F" w:rsidRPr="009F254D" w:rsidRDefault="00DC171F" w:rsidP="00E43FA0">
            <w:pPr>
              <w:tabs>
                <w:tab w:val="left" w:pos="284"/>
              </w:tabs>
              <w:jc w:val="center"/>
              <w:rPr>
                <w:b/>
                <w:bCs/>
                <w:sz w:val="22"/>
                <w:szCs w:val="22"/>
                <w:lang w:val="sr-Latn-ME"/>
              </w:rPr>
            </w:pPr>
          </w:p>
        </w:tc>
      </w:tr>
      <w:tr w:rsidR="00DC171F" w:rsidRPr="009F254D" w14:paraId="26F65A4D" w14:textId="77777777" w:rsidTr="00E43FA0">
        <w:tc>
          <w:tcPr>
            <w:tcW w:w="0" w:type="auto"/>
            <w:vMerge/>
            <w:tcBorders>
              <w:bottom w:val="nil"/>
              <w:right w:val="single" w:sz="8" w:space="0" w:color="auto"/>
            </w:tcBorders>
            <w:vAlign w:val="bottom"/>
          </w:tcPr>
          <w:p w14:paraId="495FE9AA" w14:textId="77777777" w:rsidR="00DC171F" w:rsidRPr="009F254D" w:rsidRDefault="00DC171F" w:rsidP="00E43FA0">
            <w:pPr>
              <w:tabs>
                <w:tab w:val="left" w:pos="284"/>
              </w:tabs>
              <w:jc w:val="both"/>
              <w:rPr>
                <w:sz w:val="22"/>
                <w:szCs w:val="22"/>
                <w:lang w:val="sr-Latn-ME"/>
              </w:rPr>
            </w:pPr>
          </w:p>
        </w:tc>
        <w:tc>
          <w:tcPr>
            <w:tcW w:w="0" w:type="auto"/>
            <w:tcBorders>
              <w:top w:val="single" w:sz="8" w:space="0" w:color="auto"/>
              <w:left w:val="single" w:sz="8" w:space="0" w:color="auto"/>
              <w:bottom w:val="single" w:sz="8" w:space="0" w:color="auto"/>
            </w:tcBorders>
          </w:tcPr>
          <w:p w14:paraId="7F940B53" w14:textId="77777777" w:rsidR="00DC171F" w:rsidRPr="009F254D" w:rsidRDefault="00DC171F" w:rsidP="00E43FA0">
            <w:pPr>
              <w:tabs>
                <w:tab w:val="left" w:pos="0"/>
                <w:tab w:val="left" w:pos="284"/>
              </w:tabs>
              <w:jc w:val="center"/>
              <w:rPr>
                <w:b/>
                <w:bCs/>
                <w:sz w:val="22"/>
                <w:szCs w:val="22"/>
                <w:lang w:val="sr-Latn-ME"/>
              </w:rPr>
            </w:pPr>
            <w:r w:rsidRPr="009F254D">
              <w:rPr>
                <w:b/>
                <w:bCs/>
                <w:sz w:val="22"/>
                <w:szCs w:val="22"/>
                <w:lang w:val="sr-Latn-ME"/>
              </w:rPr>
              <w:t>Dapagliflozin</w:t>
            </w:r>
          </w:p>
          <w:p w14:paraId="6D8376EC" w14:textId="77777777" w:rsidR="00DC171F" w:rsidRPr="009F254D" w:rsidRDefault="00DC171F" w:rsidP="00E43FA0">
            <w:pPr>
              <w:tabs>
                <w:tab w:val="left" w:pos="284"/>
              </w:tabs>
              <w:jc w:val="center"/>
              <w:rPr>
                <w:b/>
                <w:bCs/>
                <w:sz w:val="22"/>
                <w:szCs w:val="22"/>
                <w:lang w:val="sr-Latn-ME"/>
              </w:rPr>
            </w:pPr>
            <w:r w:rsidRPr="009F254D">
              <w:rPr>
                <w:b/>
                <w:bCs/>
                <w:sz w:val="22"/>
                <w:szCs w:val="22"/>
                <w:lang w:val="sr-Latn-ME"/>
              </w:rPr>
              <w:t>10 mg jednom dnevno</w:t>
            </w:r>
          </w:p>
        </w:tc>
        <w:tc>
          <w:tcPr>
            <w:tcW w:w="0" w:type="auto"/>
            <w:tcBorders>
              <w:top w:val="single" w:sz="8" w:space="0" w:color="auto"/>
              <w:bottom w:val="single" w:sz="8" w:space="0" w:color="auto"/>
              <w:right w:val="single" w:sz="8" w:space="0" w:color="auto"/>
            </w:tcBorders>
          </w:tcPr>
          <w:p w14:paraId="67761AAB" w14:textId="77777777" w:rsidR="00DC171F" w:rsidRPr="009F254D" w:rsidRDefault="00DC171F" w:rsidP="00E43FA0">
            <w:pPr>
              <w:tabs>
                <w:tab w:val="left" w:pos="284"/>
              </w:tabs>
              <w:autoSpaceDE w:val="0"/>
              <w:autoSpaceDN w:val="0"/>
              <w:adjustRightInd w:val="0"/>
              <w:jc w:val="center"/>
              <w:rPr>
                <w:b/>
                <w:bCs/>
                <w:sz w:val="22"/>
                <w:szCs w:val="22"/>
                <w:lang w:val="sr-Latn-ME"/>
              </w:rPr>
            </w:pPr>
            <w:r w:rsidRPr="009F254D">
              <w:rPr>
                <w:b/>
                <w:bCs/>
                <w:sz w:val="22"/>
                <w:szCs w:val="22"/>
                <w:lang w:val="sr-Latn-ME"/>
              </w:rPr>
              <w:t>Placebo</w:t>
            </w:r>
          </w:p>
          <w:p w14:paraId="38E9F15B" w14:textId="0F9166AC" w:rsidR="00DC171F" w:rsidRPr="009F254D" w:rsidRDefault="00E51D42" w:rsidP="00E43FA0">
            <w:pPr>
              <w:tabs>
                <w:tab w:val="left" w:pos="284"/>
              </w:tabs>
              <w:autoSpaceDE w:val="0"/>
              <w:autoSpaceDN w:val="0"/>
              <w:adjustRightInd w:val="0"/>
              <w:jc w:val="center"/>
              <w:rPr>
                <w:b/>
                <w:bCs/>
                <w:sz w:val="22"/>
                <w:szCs w:val="22"/>
                <w:lang w:val="sr-Latn-ME"/>
              </w:rPr>
            </w:pPr>
            <w:r w:rsidRPr="009F254D">
              <w:rPr>
                <w:b/>
                <w:bCs/>
                <w:sz w:val="22"/>
                <w:szCs w:val="22"/>
                <w:lang w:val="sr-Latn-ME"/>
              </w:rPr>
              <w:t>j</w:t>
            </w:r>
            <w:r w:rsidR="00DC171F" w:rsidRPr="009F254D">
              <w:rPr>
                <w:b/>
                <w:bCs/>
                <w:sz w:val="22"/>
                <w:szCs w:val="22"/>
                <w:lang w:val="sr-Latn-ME"/>
              </w:rPr>
              <w:t>ednom dnevno</w:t>
            </w:r>
          </w:p>
        </w:tc>
        <w:tc>
          <w:tcPr>
            <w:tcW w:w="0" w:type="auto"/>
            <w:tcBorders>
              <w:top w:val="single" w:sz="8" w:space="0" w:color="auto"/>
              <w:left w:val="single" w:sz="8" w:space="0" w:color="auto"/>
              <w:bottom w:val="single" w:sz="8" w:space="0" w:color="auto"/>
            </w:tcBorders>
          </w:tcPr>
          <w:p w14:paraId="01DD04BB" w14:textId="77777777" w:rsidR="00DC171F" w:rsidRPr="009F254D" w:rsidRDefault="00DC171F" w:rsidP="00E43FA0">
            <w:pPr>
              <w:tabs>
                <w:tab w:val="left" w:pos="0"/>
                <w:tab w:val="left" w:pos="284"/>
              </w:tabs>
              <w:jc w:val="center"/>
              <w:rPr>
                <w:b/>
                <w:bCs/>
                <w:sz w:val="22"/>
                <w:szCs w:val="22"/>
                <w:lang w:val="sr-Latn-ME"/>
              </w:rPr>
            </w:pPr>
            <w:r w:rsidRPr="009F254D">
              <w:rPr>
                <w:b/>
                <w:bCs/>
                <w:sz w:val="22"/>
                <w:szCs w:val="22"/>
                <w:lang w:val="sr-Latn-ME"/>
              </w:rPr>
              <w:t>Dapagliflozin</w:t>
            </w:r>
          </w:p>
          <w:p w14:paraId="170B3727" w14:textId="77777777" w:rsidR="00DC171F" w:rsidRPr="009F254D" w:rsidRDefault="00DC171F" w:rsidP="00E43FA0">
            <w:pPr>
              <w:tabs>
                <w:tab w:val="left" w:pos="284"/>
              </w:tabs>
              <w:jc w:val="center"/>
              <w:rPr>
                <w:b/>
                <w:bCs/>
                <w:sz w:val="22"/>
                <w:szCs w:val="22"/>
                <w:lang w:val="sr-Latn-ME"/>
              </w:rPr>
            </w:pPr>
            <w:r w:rsidRPr="009F254D">
              <w:rPr>
                <w:b/>
                <w:bCs/>
                <w:sz w:val="22"/>
                <w:szCs w:val="22"/>
                <w:lang w:val="sr-Latn-ME"/>
              </w:rPr>
              <w:t>5 mg dvaput dnevno</w:t>
            </w:r>
          </w:p>
        </w:tc>
        <w:tc>
          <w:tcPr>
            <w:tcW w:w="0" w:type="auto"/>
            <w:tcBorders>
              <w:top w:val="single" w:sz="8" w:space="0" w:color="auto"/>
              <w:bottom w:val="single" w:sz="8" w:space="0" w:color="auto"/>
              <w:right w:val="single" w:sz="8" w:space="0" w:color="auto"/>
            </w:tcBorders>
          </w:tcPr>
          <w:p w14:paraId="244F9602" w14:textId="77777777" w:rsidR="00DC171F" w:rsidRPr="009F254D" w:rsidRDefault="00DC171F" w:rsidP="00E43FA0">
            <w:pPr>
              <w:tabs>
                <w:tab w:val="left" w:pos="284"/>
              </w:tabs>
              <w:autoSpaceDE w:val="0"/>
              <w:autoSpaceDN w:val="0"/>
              <w:adjustRightInd w:val="0"/>
              <w:jc w:val="center"/>
              <w:rPr>
                <w:b/>
                <w:bCs/>
                <w:sz w:val="22"/>
                <w:szCs w:val="22"/>
                <w:lang w:val="sr-Latn-ME"/>
              </w:rPr>
            </w:pPr>
            <w:r w:rsidRPr="009F254D">
              <w:rPr>
                <w:b/>
                <w:bCs/>
                <w:sz w:val="22"/>
                <w:szCs w:val="22"/>
                <w:lang w:val="sr-Latn-ME"/>
              </w:rPr>
              <w:t>Placebo</w:t>
            </w:r>
          </w:p>
          <w:p w14:paraId="1C3A961B" w14:textId="581C8CC1" w:rsidR="00DC171F" w:rsidRPr="009F254D" w:rsidRDefault="0091451C" w:rsidP="00E43FA0">
            <w:pPr>
              <w:tabs>
                <w:tab w:val="left" w:pos="284"/>
              </w:tabs>
              <w:autoSpaceDE w:val="0"/>
              <w:autoSpaceDN w:val="0"/>
              <w:adjustRightInd w:val="0"/>
              <w:jc w:val="center"/>
              <w:rPr>
                <w:b/>
                <w:bCs/>
                <w:sz w:val="22"/>
                <w:szCs w:val="22"/>
                <w:lang w:val="sr-Latn-ME"/>
              </w:rPr>
            </w:pPr>
            <w:r w:rsidRPr="009F254D">
              <w:rPr>
                <w:b/>
                <w:bCs/>
                <w:sz w:val="22"/>
                <w:szCs w:val="22"/>
                <w:lang w:val="sr-Latn-ME"/>
              </w:rPr>
              <w:t>d</w:t>
            </w:r>
            <w:r w:rsidR="00DC171F" w:rsidRPr="009F254D">
              <w:rPr>
                <w:b/>
                <w:bCs/>
                <w:sz w:val="22"/>
                <w:szCs w:val="22"/>
                <w:lang w:val="sr-Latn-ME"/>
              </w:rPr>
              <w:t>vaput dnevno</w:t>
            </w:r>
          </w:p>
        </w:tc>
        <w:tc>
          <w:tcPr>
            <w:tcW w:w="0" w:type="auto"/>
            <w:gridSpan w:val="2"/>
            <w:tcBorders>
              <w:top w:val="single" w:sz="8" w:space="0" w:color="auto"/>
              <w:left w:val="single" w:sz="8" w:space="0" w:color="auto"/>
              <w:bottom w:val="single" w:sz="8" w:space="0" w:color="auto"/>
            </w:tcBorders>
          </w:tcPr>
          <w:p w14:paraId="0E9D5950" w14:textId="77777777" w:rsidR="00DC171F" w:rsidRPr="009F254D" w:rsidRDefault="00DC171F" w:rsidP="00E43FA0">
            <w:pPr>
              <w:tabs>
                <w:tab w:val="left" w:pos="284"/>
              </w:tabs>
              <w:autoSpaceDE w:val="0"/>
              <w:autoSpaceDN w:val="0"/>
              <w:adjustRightInd w:val="0"/>
              <w:jc w:val="center"/>
              <w:rPr>
                <w:b/>
                <w:bCs/>
                <w:sz w:val="22"/>
                <w:szCs w:val="22"/>
                <w:lang w:val="sr-Latn-ME"/>
              </w:rPr>
            </w:pPr>
            <w:r w:rsidRPr="009F254D">
              <w:rPr>
                <w:b/>
                <w:bCs/>
                <w:sz w:val="22"/>
                <w:szCs w:val="22"/>
                <w:lang w:val="sr-Latn-ME"/>
              </w:rPr>
              <w:t>Dapagliflozin</w:t>
            </w:r>
          </w:p>
          <w:p w14:paraId="4577FAD3" w14:textId="77777777" w:rsidR="00DC171F" w:rsidRPr="009F254D" w:rsidRDefault="00DC171F" w:rsidP="00E43FA0">
            <w:pPr>
              <w:tabs>
                <w:tab w:val="left" w:pos="284"/>
              </w:tabs>
              <w:autoSpaceDE w:val="0"/>
              <w:autoSpaceDN w:val="0"/>
              <w:adjustRightInd w:val="0"/>
              <w:jc w:val="center"/>
              <w:rPr>
                <w:b/>
                <w:bCs/>
                <w:sz w:val="22"/>
                <w:szCs w:val="22"/>
                <w:lang w:val="sr-Latn-ME"/>
              </w:rPr>
            </w:pPr>
            <w:r w:rsidRPr="009F254D">
              <w:rPr>
                <w:b/>
                <w:bCs/>
                <w:sz w:val="22"/>
                <w:szCs w:val="22"/>
                <w:lang w:val="sr-Latn-ME"/>
              </w:rPr>
              <w:t>10 mg jednom dnevno</w:t>
            </w:r>
          </w:p>
        </w:tc>
        <w:tc>
          <w:tcPr>
            <w:tcW w:w="0" w:type="auto"/>
            <w:gridSpan w:val="2"/>
            <w:tcBorders>
              <w:top w:val="single" w:sz="8" w:space="0" w:color="auto"/>
              <w:bottom w:val="single" w:sz="8" w:space="0" w:color="auto"/>
            </w:tcBorders>
          </w:tcPr>
          <w:p w14:paraId="26DE434D" w14:textId="77777777" w:rsidR="00DC171F" w:rsidRPr="009F254D" w:rsidRDefault="00DC171F" w:rsidP="00E43FA0">
            <w:pPr>
              <w:tabs>
                <w:tab w:val="left" w:pos="284"/>
              </w:tabs>
              <w:autoSpaceDE w:val="0"/>
              <w:autoSpaceDN w:val="0"/>
              <w:adjustRightInd w:val="0"/>
              <w:jc w:val="center"/>
              <w:rPr>
                <w:b/>
                <w:bCs/>
                <w:sz w:val="22"/>
                <w:szCs w:val="22"/>
                <w:lang w:val="sr-Latn-ME"/>
              </w:rPr>
            </w:pPr>
            <w:r w:rsidRPr="009F254D">
              <w:rPr>
                <w:b/>
                <w:bCs/>
                <w:sz w:val="22"/>
                <w:szCs w:val="22"/>
                <w:lang w:val="sr-Latn-ME"/>
              </w:rPr>
              <w:t>Placebo</w:t>
            </w:r>
          </w:p>
          <w:p w14:paraId="37C8A1DD" w14:textId="5A50B1C3" w:rsidR="00DC171F" w:rsidRPr="009F254D" w:rsidRDefault="0091451C" w:rsidP="00E43FA0">
            <w:pPr>
              <w:tabs>
                <w:tab w:val="left" w:pos="284"/>
              </w:tabs>
              <w:autoSpaceDE w:val="0"/>
              <w:autoSpaceDN w:val="0"/>
              <w:adjustRightInd w:val="0"/>
              <w:ind w:left="94" w:hanging="94"/>
              <w:jc w:val="center"/>
              <w:rPr>
                <w:b/>
                <w:bCs/>
                <w:sz w:val="22"/>
                <w:szCs w:val="22"/>
                <w:lang w:val="sr-Latn-ME"/>
              </w:rPr>
            </w:pPr>
            <w:r w:rsidRPr="009F254D">
              <w:rPr>
                <w:b/>
                <w:bCs/>
                <w:sz w:val="22"/>
                <w:szCs w:val="22"/>
                <w:lang w:val="sr-Latn-ME"/>
              </w:rPr>
              <w:t>j</w:t>
            </w:r>
            <w:r w:rsidR="00DC171F" w:rsidRPr="009F254D">
              <w:rPr>
                <w:b/>
                <w:bCs/>
                <w:sz w:val="22"/>
                <w:szCs w:val="22"/>
                <w:lang w:val="sr-Latn-ME"/>
              </w:rPr>
              <w:t>ednom dnevno</w:t>
            </w:r>
          </w:p>
        </w:tc>
      </w:tr>
      <w:tr w:rsidR="00DC171F" w:rsidRPr="009F254D" w14:paraId="68141213" w14:textId="77777777" w:rsidTr="00E43FA0">
        <w:tc>
          <w:tcPr>
            <w:tcW w:w="0" w:type="auto"/>
            <w:tcBorders>
              <w:top w:val="nil"/>
              <w:bottom w:val="single" w:sz="8" w:space="0" w:color="auto"/>
              <w:right w:val="single" w:sz="8" w:space="0" w:color="auto"/>
            </w:tcBorders>
          </w:tcPr>
          <w:p w14:paraId="53F30C98" w14:textId="77777777" w:rsidR="00DC171F" w:rsidRPr="009F254D" w:rsidRDefault="00DC171F" w:rsidP="00E43FA0">
            <w:pPr>
              <w:tabs>
                <w:tab w:val="left" w:pos="284"/>
              </w:tabs>
              <w:jc w:val="both"/>
              <w:rPr>
                <w:b/>
                <w:bCs/>
                <w:sz w:val="22"/>
                <w:szCs w:val="22"/>
                <w:lang w:val="sr-Latn-ME"/>
              </w:rPr>
            </w:pPr>
            <w:r w:rsidRPr="009F254D">
              <w:rPr>
                <w:b/>
                <w:bCs/>
                <w:sz w:val="22"/>
                <w:szCs w:val="22"/>
                <w:lang w:val="sr-Latn-ME"/>
              </w:rPr>
              <w:t>N</w:t>
            </w:r>
            <w:r w:rsidRPr="009F254D">
              <w:rPr>
                <w:sz w:val="22"/>
                <w:szCs w:val="22"/>
                <w:vertAlign w:val="superscript"/>
                <w:lang w:val="sr-Latn-ME"/>
              </w:rPr>
              <w:t>c</w:t>
            </w:r>
          </w:p>
        </w:tc>
        <w:tc>
          <w:tcPr>
            <w:tcW w:w="0" w:type="auto"/>
            <w:tcBorders>
              <w:top w:val="single" w:sz="8" w:space="0" w:color="auto"/>
              <w:left w:val="single" w:sz="8" w:space="0" w:color="auto"/>
              <w:bottom w:val="single" w:sz="8" w:space="0" w:color="auto"/>
            </w:tcBorders>
          </w:tcPr>
          <w:p w14:paraId="2E370E25" w14:textId="77777777" w:rsidR="00DC171F" w:rsidRPr="009F254D" w:rsidRDefault="00DC171F" w:rsidP="00E43FA0">
            <w:pPr>
              <w:tabs>
                <w:tab w:val="left" w:pos="284"/>
              </w:tabs>
              <w:autoSpaceDE w:val="0"/>
              <w:autoSpaceDN w:val="0"/>
              <w:adjustRightInd w:val="0"/>
              <w:jc w:val="center"/>
              <w:rPr>
                <w:sz w:val="22"/>
                <w:szCs w:val="22"/>
                <w:lang w:val="sr-Latn-ME"/>
              </w:rPr>
            </w:pPr>
            <w:r w:rsidRPr="009F254D">
              <w:rPr>
                <w:sz w:val="22"/>
                <w:szCs w:val="22"/>
                <w:lang w:val="sr-Latn-ME"/>
              </w:rPr>
              <w:t>135</w:t>
            </w:r>
          </w:p>
        </w:tc>
        <w:tc>
          <w:tcPr>
            <w:tcW w:w="0" w:type="auto"/>
            <w:tcBorders>
              <w:top w:val="single" w:sz="8" w:space="0" w:color="auto"/>
              <w:bottom w:val="single" w:sz="8" w:space="0" w:color="auto"/>
              <w:right w:val="single" w:sz="8" w:space="0" w:color="auto"/>
            </w:tcBorders>
          </w:tcPr>
          <w:p w14:paraId="11265CA3" w14:textId="77777777" w:rsidR="00DC171F" w:rsidRPr="009F254D" w:rsidRDefault="00DC171F" w:rsidP="00E43FA0">
            <w:pPr>
              <w:tabs>
                <w:tab w:val="left" w:pos="284"/>
              </w:tabs>
              <w:autoSpaceDE w:val="0"/>
              <w:autoSpaceDN w:val="0"/>
              <w:adjustRightInd w:val="0"/>
              <w:jc w:val="center"/>
              <w:rPr>
                <w:sz w:val="22"/>
                <w:szCs w:val="22"/>
                <w:lang w:val="sr-Latn-ME"/>
              </w:rPr>
            </w:pPr>
            <w:r w:rsidRPr="009F254D">
              <w:rPr>
                <w:sz w:val="22"/>
                <w:szCs w:val="22"/>
                <w:lang w:val="sr-Latn-ME"/>
              </w:rPr>
              <w:t>137</w:t>
            </w:r>
          </w:p>
        </w:tc>
        <w:tc>
          <w:tcPr>
            <w:tcW w:w="0" w:type="auto"/>
            <w:tcBorders>
              <w:top w:val="single" w:sz="8" w:space="0" w:color="auto"/>
              <w:left w:val="single" w:sz="8" w:space="0" w:color="auto"/>
              <w:bottom w:val="single" w:sz="8" w:space="0" w:color="auto"/>
            </w:tcBorders>
          </w:tcPr>
          <w:p w14:paraId="07BC9FBA" w14:textId="77777777" w:rsidR="00DC171F" w:rsidRPr="009F254D" w:rsidRDefault="00DC171F" w:rsidP="00E43FA0">
            <w:pPr>
              <w:tabs>
                <w:tab w:val="left" w:pos="284"/>
              </w:tabs>
              <w:autoSpaceDE w:val="0"/>
              <w:autoSpaceDN w:val="0"/>
              <w:adjustRightInd w:val="0"/>
              <w:jc w:val="center"/>
              <w:rPr>
                <w:sz w:val="22"/>
                <w:szCs w:val="22"/>
                <w:lang w:val="sr-Latn-ME"/>
              </w:rPr>
            </w:pPr>
            <w:r w:rsidRPr="009F254D">
              <w:rPr>
                <w:sz w:val="22"/>
                <w:szCs w:val="22"/>
                <w:lang w:val="sr-Latn-ME"/>
              </w:rPr>
              <w:t>99</w:t>
            </w:r>
          </w:p>
        </w:tc>
        <w:tc>
          <w:tcPr>
            <w:tcW w:w="0" w:type="auto"/>
            <w:tcBorders>
              <w:top w:val="single" w:sz="8" w:space="0" w:color="auto"/>
              <w:bottom w:val="single" w:sz="8" w:space="0" w:color="auto"/>
              <w:right w:val="single" w:sz="8" w:space="0" w:color="auto"/>
            </w:tcBorders>
          </w:tcPr>
          <w:p w14:paraId="6A48531F" w14:textId="77777777" w:rsidR="00DC171F" w:rsidRPr="009F254D" w:rsidRDefault="00DC171F" w:rsidP="00E43FA0">
            <w:pPr>
              <w:tabs>
                <w:tab w:val="left" w:pos="284"/>
              </w:tabs>
              <w:autoSpaceDE w:val="0"/>
              <w:autoSpaceDN w:val="0"/>
              <w:adjustRightInd w:val="0"/>
              <w:jc w:val="center"/>
              <w:rPr>
                <w:sz w:val="22"/>
                <w:szCs w:val="22"/>
                <w:lang w:val="sr-Latn-ME"/>
              </w:rPr>
            </w:pPr>
            <w:r w:rsidRPr="009F254D">
              <w:rPr>
                <w:sz w:val="22"/>
                <w:szCs w:val="22"/>
                <w:lang w:val="sr-Latn-ME"/>
              </w:rPr>
              <w:t>101</w:t>
            </w:r>
          </w:p>
        </w:tc>
        <w:tc>
          <w:tcPr>
            <w:tcW w:w="0" w:type="auto"/>
            <w:tcBorders>
              <w:top w:val="single" w:sz="8" w:space="0" w:color="auto"/>
              <w:left w:val="single" w:sz="8" w:space="0" w:color="auto"/>
              <w:bottom w:val="single" w:sz="8" w:space="0" w:color="auto"/>
            </w:tcBorders>
          </w:tcPr>
          <w:p w14:paraId="73A9C112" w14:textId="77777777" w:rsidR="00DC171F" w:rsidRPr="009F254D" w:rsidRDefault="00DC171F" w:rsidP="00E43FA0">
            <w:pPr>
              <w:tabs>
                <w:tab w:val="left" w:pos="284"/>
              </w:tabs>
              <w:autoSpaceDE w:val="0"/>
              <w:autoSpaceDN w:val="0"/>
              <w:adjustRightInd w:val="0"/>
              <w:ind w:left="175"/>
              <w:jc w:val="center"/>
              <w:rPr>
                <w:sz w:val="22"/>
                <w:szCs w:val="22"/>
                <w:lang w:val="sr-Latn-ME"/>
              </w:rPr>
            </w:pPr>
            <w:r w:rsidRPr="009F254D">
              <w:rPr>
                <w:sz w:val="22"/>
                <w:szCs w:val="22"/>
                <w:lang w:val="sr-Latn-ME"/>
              </w:rPr>
              <w:t>113</w:t>
            </w:r>
          </w:p>
        </w:tc>
        <w:tc>
          <w:tcPr>
            <w:tcW w:w="0" w:type="auto"/>
            <w:gridSpan w:val="3"/>
            <w:tcBorders>
              <w:top w:val="single" w:sz="8" w:space="0" w:color="auto"/>
              <w:bottom w:val="single" w:sz="8" w:space="0" w:color="auto"/>
            </w:tcBorders>
          </w:tcPr>
          <w:p w14:paraId="5260D68F" w14:textId="77777777" w:rsidR="00DC171F" w:rsidRPr="009F254D" w:rsidRDefault="00DC171F" w:rsidP="00E43FA0">
            <w:pPr>
              <w:tabs>
                <w:tab w:val="left" w:pos="284"/>
              </w:tabs>
              <w:autoSpaceDE w:val="0"/>
              <w:autoSpaceDN w:val="0"/>
              <w:adjustRightInd w:val="0"/>
              <w:ind w:left="163"/>
              <w:jc w:val="center"/>
              <w:rPr>
                <w:sz w:val="22"/>
                <w:szCs w:val="22"/>
                <w:lang w:val="sr-Latn-ME"/>
              </w:rPr>
            </w:pPr>
            <w:r w:rsidRPr="009F254D">
              <w:rPr>
                <w:sz w:val="22"/>
                <w:szCs w:val="22"/>
                <w:lang w:val="sr-Latn-ME"/>
              </w:rPr>
              <w:t>113</w:t>
            </w:r>
          </w:p>
        </w:tc>
      </w:tr>
      <w:tr w:rsidR="00DC171F" w:rsidRPr="009F254D" w14:paraId="228B9E69" w14:textId="77777777" w:rsidTr="00E43FA0">
        <w:trPr>
          <w:gridAfter w:val="1"/>
        </w:trPr>
        <w:tc>
          <w:tcPr>
            <w:tcW w:w="0" w:type="auto"/>
            <w:tcBorders>
              <w:top w:val="single" w:sz="8" w:space="0" w:color="auto"/>
              <w:bottom w:val="single" w:sz="8" w:space="0" w:color="auto"/>
              <w:right w:val="single" w:sz="8" w:space="0" w:color="auto"/>
            </w:tcBorders>
          </w:tcPr>
          <w:p w14:paraId="650652D8" w14:textId="77777777" w:rsidR="00DC171F" w:rsidRPr="009F254D" w:rsidRDefault="00DC171F" w:rsidP="00E43FA0">
            <w:pPr>
              <w:tabs>
                <w:tab w:val="left" w:pos="284"/>
              </w:tabs>
              <w:jc w:val="both"/>
              <w:rPr>
                <w:b/>
                <w:bCs/>
                <w:sz w:val="22"/>
                <w:szCs w:val="22"/>
                <w:lang w:val="sr-Latn-ME"/>
              </w:rPr>
            </w:pPr>
            <w:r w:rsidRPr="009F254D">
              <w:rPr>
                <w:b/>
                <w:bCs/>
                <w:sz w:val="22"/>
                <w:szCs w:val="22"/>
                <w:lang w:val="sr-Latn-ME"/>
              </w:rPr>
              <w:t>HbA1c (%)</w:t>
            </w:r>
          </w:p>
          <w:p w14:paraId="3EA5108B" w14:textId="77777777" w:rsidR="00DC171F" w:rsidRPr="009F254D" w:rsidRDefault="00DC171F" w:rsidP="00E43FA0">
            <w:pPr>
              <w:tabs>
                <w:tab w:val="left" w:pos="284"/>
              </w:tabs>
              <w:ind w:left="142"/>
              <w:rPr>
                <w:sz w:val="22"/>
                <w:szCs w:val="22"/>
                <w:lang w:val="sr-Latn-ME"/>
              </w:rPr>
            </w:pPr>
            <w:r w:rsidRPr="009F254D">
              <w:rPr>
                <w:sz w:val="22"/>
                <w:szCs w:val="22"/>
                <w:lang w:val="sr-Latn-ME"/>
              </w:rPr>
              <w:t>Početna vrijednost (srednja)</w:t>
            </w:r>
          </w:p>
          <w:p w14:paraId="5D7889CC" w14:textId="64C06406" w:rsidR="00DC171F" w:rsidRPr="009F254D" w:rsidRDefault="00DC171F" w:rsidP="00E43FA0">
            <w:pPr>
              <w:tabs>
                <w:tab w:val="left" w:pos="179"/>
              </w:tabs>
              <w:ind w:left="179" w:hanging="37"/>
              <w:rPr>
                <w:sz w:val="22"/>
                <w:szCs w:val="22"/>
                <w:lang w:val="sr-Latn-ME"/>
              </w:rPr>
            </w:pPr>
            <w:r w:rsidRPr="009F254D">
              <w:rPr>
                <w:sz w:val="22"/>
                <w:szCs w:val="22"/>
                <w:lang w:val="sr-Latn-ME"/>
              </w:rPr>
              <w:t>Promjena</w:t>
            </w:r>
            <w:r w:rsidR="0091451C" w:rsidRPr="009F254D">
              <w:rPr>
                <w:sz w:val="22"/>
                <w:szCs w:val="22"/>
                <w:lang w:val="sr-Latn-ME"/>
              </w:rPr>
              <w:t xml:space="preserve"> </w:t>
            </w:r>
            <w:r w:rsidRPr="009F254D">
              <w:rPr>
                <w:sz w:val="22"/>
                <w:szCs w:val="22"/>
                <w:lang w:val="sr-Latn-ME"/>
              </w:rPr>
              <w:t>u odnosu na</w:t>
            </w:r>
          </w:p>
          <w:p w14:paraId="744B4720" w14:textId="77777777" w:rsidR="00DC171F" w:rsidRPr="009F254D" w:rsidRDefault="00DC171F" w:rsidP="00E43FA0">
            <w:pPr>
              <w:tabs>
                <w:tab w:val="left" w:pos="284"/>
              </w:tabs>
              <w:ind w:left="179" w:hanging="37"/>
              <w:rPr>
                <w:sz w:val="22"/>
                <w:szCs w:val="22"/>
                <w:lang w:val="sr-Latn-ME"/>
              </w:rPr>
            </w:pPr>
            <w:r w:rsidRPr="009F254D">
              <w:rPr>
                <w:sz w:val="22"/>
                <w:szCs w:val="22"/>
                <w:lang w:val="sr-Latn-ME"/>
              </w:rPr>
              <w:t>početnu vrijednost</w:t>
            </w:r>
            <w:r w:rsidRPr="009F254D">
              <w:rPr>
                <w:sz w:val="22"/>
                <w:szCs w:val="22"/>
                <w:vertAlign w:val="superscript"/>
                <w:lang w:val="sr-Latn-ME"/>
              </w:rPr>
              <w:t>d</w:t>
            </w:r>
          </w:p>
          <w:p w14:paraId="06F485AC" w14:textId="77777777" w:rsidR="00DC171F" w:rsidRPr="009F254D" w:rsidRDefault="00DC171F" w:rsidP="00E43FA0">
            <w:pPr>
              <w:tabs>
                <w:tab w:val="left" w:pos="567"/>
              </w:tabs>
              <w:ind w:left="142"/>
              <w:rPr>
                <w:sz w:val="22"/>
                <w:szCs w:val="22"/>
                <w:lang w:val="sr-Latn-ME"/>
              </w:rPr>
            </w:pPr>
            <w:r w:rsidRPr="009F254D">
              <w:rPr>
                <w:sz w:val="22"/>
                <w:szCs w:val="22"/>
                <w:lang w:val="sr-Latn-ME"/>
              </w:rPr>
              <w:t>Razlika u odnosu na</w:t>
            </w:r>
          </w:p>
          <w:p w14:paraId="6DB8D273" w14:textId="77777777" w:rsidR="00DC171F" w:rsidRPr="009F254D" w:rsidRDefault="00DC171F" w:rsidP="00E43FA0">
            <w:pPr>
              <w:tabs>
                <w:tab w:val="left" w:pos="284"/>
              </w:tabs>
              <w:ind w:firstLine="142"/>
              <w:rPr>
                <w:sz w:val="22"/>
                <w:szCs w:val="22"/>
                <w:lang w:val="sr-Latn-ME"/>
              </w:rPr>
            </w:pPr>
            <w:r w:rsidRPr="009F254D">
              <w:rPr>
                <w:sz w:val="22"/>
                <w:szCs w:val="22"/>
                <w:lang w:val="sr-Latn-ME"/>
              </w:rPr>
              <w:t>placebo</w:t>
            </w:r>
            <w:r w:rsidRPr="009F254D">
              <w:rPr>
                <w:sz w:val="22"/>
                <w:szCs w:val="22"/>
                <w:vertAlign w:val="superscript"/>
                <w:lang w:val="sr-Latn-ME"/>
              </w:rPr>
              <w:t>d</w:t>
            </w:r>
          </w:p>
          <w:p w14:paraId="666E841B" w14:textId="1F9457DD" w:rsidR="00DC171F" w:rsidRPr="009F254D" w:rsidRDefault="00DC171F" w:rsidP="00E43FA0">
            <w:pPr>
              <w:tabs>
                <w:tab w:val="left" w:pos="284"/>
              </w:tabs>
              <w:ind w:firstLine="142"/>
              <w:jc w:val="center"/>
              <w:rPr>
                <w:sz w:val="22"/>
                <w:szCs w:val="22"/>
                <w:lang w:val="sr-Latn-ME"/>
              </w:rPr>
            </w:pPr>
            <w:r w:rsidRPr="009F254D">
              <w:rPr>
                <w:sz w:val="22"/>
                <w:szCs w:val="22"/>
                <w:lang w:val="sr-Latn-ME"/>
              </w:rPr>
              <w:t>(95% CI)</w:t>
            </w:r>
          </w:p>
        </w:tc>
        <w:tc>
          <w:tcPr>
            <w:tcW w:w="0" w:type="auto"/>
            <w:tcBorders>
              <w:top w:val="single" w:sz="8" w:space="0" w:color="auto"/>
              <w:left w:val="single" w:sz="8" w:space="0" w:color="auto"/>
              <w:bottom w:val="single" w:sz="8" w:space="0" w:color="auto"/>
            </w:tcBorders>
          </w:tcPr>
          <w:p w14:paraId="38CEE33D" w14:textId="77777777" w:rsidR="00DC171F" w:rsidRPr="009F254D" w:rsidRDefault="00DC171F" w:rsidP="00E43FA0">
            <w:pPr>
              <w:tabs>
                <w:tab w:val="left" w:pos="284"/>
              </w:tabs>
              <w:autoSpaceDE w:val="0"/>
              <w:autoSpaceDN w:val="0"/>
              <w:adjustRightInd w:val="0"/>
              <w:jc w:val="center"/>
              <w:rPr>
                <w:sz w:val="22"/>
                <w:szCs w:val="22"/>
                <w:lang w:val="sr-Latn-ME"/>
              </w:rPr>
            </w:pPr>
          </w:p>
          <w:p w14:paraId="73F0766C" w14:textId="77777777" w:rsidR="00DC171F" w:rsidRPr="009F254D" w:rsidRDefault="00DC171F" w:rsidP="00E43FA0">
            <w:pPr>
              <w:tabs>
                <w:tab w:val="left" w:pos="284"/>
              </w:tabs>
              <w:autoSpaceDE w:val="0"/>
              <w:autoSpaceDN w:val="0"/>
              <w:adjustRightInd w:val="0"/>
              <w:jc w:val="center"/>
              <w:rPr>
                <w:sz w:val="22"/>
                <w:szCs w:val="22"/>
                <w:lang w:val="sr-Latn-ME"/>
              </w:rPr>
            </w:pPr>
            <w:r w:rsidRPr="009F254D">
              <w:rPr>
                <w:sz w:val="22"/>
                <w:szCs w:val="22"/>
                <w:lang w:val="sr-Latn-ME"/>
              </w:rPr>
              <w:t>7,92</w:t>
            </w:r>
          </w:p>
          <w:p w14:paraId="6AFBF036" w14:textId="7406DC52" w:rsidR="00DC171F" w:rsidRPr="009F254D" w:rsidRDefault="00DC171F" w:rsidP="00E43FA0">
            <w:pPr>
              <w:tabs>
                <w:tab w:val="left" w:pos="284"/>
              </w:tabs>
              <w:autoSpaceDE w:val="0"/>
              <w:autoSpaceDN w:val="0"/>
              <w:adjustRightInd w:val="0"/>
              <w:jc w:val="center"/>
              <w:rPr>
                <w:sz w:val="22"/>
                <w:szCs w:val="22"/>
                <w:lang w:val="sr-Latn-ME"/>
              </w:rPr>
            </w:pPr>
          </w:p>
          <w:p w14:paraId="463F1FBD" w14:textId="77777777" w:rsidR="0091451C" w:rsidRPr="009F254D" w:rsidRDefault="0091451C" w:rsidP="00E43FA0">
            <w:pPr>
              <w:tabs>
                <w:tab w:val="left" w:pos="284"/>
              </w:tabs>
              <w:autoSpaceDE w:val="0"/>
              <w:autoSpaceDN w:val="0"/>
              <w:adjustRightInd w:val="0"/>
              <w:jc w:val="center"/>
              <w:rPr>
                <w:sz w:val="22"/>
                <w:szCs w:val="22"/>
                <w:lang w:val="sr-Latn-ME"/>
              </w:rPr>
            </w:pPr>
          </w:p>
          <w:p w14:paraId="5E3B45DF" w14:textId="77777777" w:rsidR="00DC171F" w:rsidRPr="009F254D" w:rsidRDefault="00DC171F" w:rsidP="00E43FA0">
            <w:pPr>
              <w:tabs>
                <w:tab w:val="left" w:pos="284"/>
              </w:tabs>
              <w:autoSpaceDE w:val="0"/>
              <w:autoSpaceDN w:val="0"/>
              <w:adjustRightInd w:val="0"/>
              <w:jc w:val="center"/>
              <w:rPr>
                <w:sz w:val="22"/>
                <w:szCs w:val="22"/>
                <w:lang w:val="sr-Latn-ME"/>
              </w:rPr>
            </w:pPr>
            <w:r w:rsidRPr="009F254D">
              <w:rPr>
                <w:sz w:val="22"/>
                <w:szCs w:val="22"/>
                <w:lang w:val="sr-Latn-ME"/>
              </w:rPr>
              <w:noBreakHyphen/>
              <w:t>0,84</w:t>
            </w:r>
          </w:p>
          <w:p w14:paraId="22F45867" w14:textId="796FD85E" w:rsidR="00DC171F" w:rsidRPr="009F254D" w:rsidRDefault="00DC171F" w:rsidP="00E43FA0">
            <w:pPr>
              <w:tabs>
                <w:tab w:val="left" w:pos="284"/>
              </w:tabs>
              <w:autoSpaceDE w:val="0"/>
              <w:autoSpaceDN w:val="0"/>
              <w:adjustRightInd w:val="0"/>
              <w:jc w:val="center"/>
              <w:rPr>
                <w:sz w:val="22"/>
                <w:szCs w:val="22"/>
                <w:lang w:val="sr-Latn-ME"/>
              </w:rPr>
            </w:pPr>
          </w:p>
          <w:p w14:paraId="52CC758C" w14:textId="7D6FFDBB" w:rsidR="0091451C" w:rsidRPr="009F254D" w:rsidRDefault="0091451C" w:rsidP="00E43FA0">
            <w:pPr>
              <w:tabs>
                <w:tab w:val="left" w:pos="284"/>
              </w:tabs>
              <w:autoSpaceDE w:val="0"/>
              <w:autoSpaceDN w:val="0"/>
              <w:adjustRightInd w:val="0"/>
              <w:jc w:val="center"/>
              <w:rPr>
                <w:sz w:val="22"/>
                <w:szCs w:val="22"/>
                <w:lang w:val="sr-Latn-ME"/>
              </w:rPr>
            </w:pPr>
          </w:p>
          <w:p w14:paraId="4C65F880" w14:textId="77777777" w:rsidR="0091451C" w:rsidRPr="009F254D" w:rsidRDefault="0091451C" w:rsidP="00E43FA0">
            <w:pPr>
              <w:tabs>
                <w:tab w:val="left" w:pos="284"/>
              </w:tabs>
              <w:autoSpaceDE w:val="0"/>
              <w:autoSpaceDN w:val="0"/>
              <w:adjustRightInd w:val="0"/>
              <w:jc w:val="center"/>
              <w:rPr>
                <w:sz w:val="22"/>
                <w:szCs w:val="22"/>
                <w:lang w:val="sr-Latn-ME"/>
              </w:rPr>
            </w:pPr>
          </w:p>
          <w:p w14:paraId="12F01979" w14:textId="77777777" w:rsidR="00DC171F" w:rsidRPr="009F254D" w:rsidRDefault="00DC171F" w:rsidP="00E43FA0">
            <w:pPr>
              <w:tabs>
                <w:tab w:val="left" w:pos="284"/>
              </w:tabs>
              <w:autoSpaceDE w:val="0"/>
              <w:autoSpaceDN w:val="0"/>
              <w:adjustRightInd w:val="0"/>
              <w:ind w:firstLine="142"/>
              <w:jc w:val="center"/>
              <w:rPr>
                <w:sz w:val="22"/>
                <w:szCs w:val="22"/>
                <w:lang w:val="sr-Latn-ME"/>
              </w:rPr>
            </w:pPr>
            <w:r w:rsidRPr="009F254D">
              <w:rPr>
                <w:sz w:val="22"/>
                <w:szCs w:val="22"/>
                <w:lang w:val="sr-Latn-ME"/>
              </w:rPr>
              <w:noBreakHyphen/>
              <w:t>0,54</w:t>
            </w:r>
            <w:r w:rsidRPr="009F254D">
              <w:rPr>
                <w:sz w:val="22"/>
                <w:szCs w:val="22"/>
                <w:vertAlign w:val="superscript"/>
                <w:lang w:val="sr-Latn-ME"/>
              </w:rPr>
              <w:t>*</w:t>
            </w:r>
          </w:p>
          <w:p w14:paraId="200DF753" w14:textId="77777777" w:rsidR="00DC171F" w:rsidRPr="009F254D" w:rsidRDefault="00DC171F" w:rsidP="00E43FA0">
            <w:pPr>
              <w:tabs>
                <w:tab w:val="left" w:pos="284"/>
              </w:tabs>
              <w:autoSpaceDE w:val="0"/>
              <w:autoSpaceDN w:val="0"/>
              <w:adjustRightInd w:val="0"/>
              <w:jc w:val="center"/>
              <w:rPr>
                <w:sz w:val="22"/>
                <w:szCs w:val="22"/>
                <w:lang w:val="sr-Latn-ME"/>
              </w:rPr>
            </w:pPr>
          </w:p>
          <w:p w14:paraId="52D5DFC0" w14:textId="77777777" w:rsidR="00DC171F" w:rsidRPr="009F254D" w:rsidRDefault="00DC171F" w:rsidP="00E43FA0">
            <w:pPr>
              <w:tabs>
                <w:tab w:val="left" w:pos="284"/>
              </w:tabs>
              <w:autoSpaceDE w:val="0"/>
              <w:autoSpaceDN w:val="0"/>
              <w:adjustRightInd w:val="0"/>
              <w:jc w:val="center"/>
              <w:rPr>
                <w:sz w:val="22"/>
                <w:szCs w:val="22"/>
                <w:lang w:val="sr-Latn-ME"/>
              </w:rPr>
            </w:pPr>
          </w:p>
          <w:p w14:paraId="71F5B638" w14:textId="77777777" w:rsidR="00DC171F" w:rsidRPr="009F254D" w:rsidRDefault="00DC171F" w:rsidP="00E43FA0">
            <w:pPr>
              <w:tabs>
                <w:tab w:val="left" w:pos="284"/>
              </w:tabs>
              <w:autoSpaceDE w:val="0"/>
              <w:autoSpaceDN w:val="0"/>
              <w:adjustRightInd w:val="0"/>
              <w:jc w:val="center"/>
              <w:rPr>
                <w:sz w:val="22"/>
                <w:szCs w:val="22"/>
                <w:lang w:val="sr-Latn-ME"/>
              </w:rPr>
            </w:pPr>
            <w:r w:rsidRPr="009F254D">
              <w:rPr>
                <w:sz w:val="22"/>
                <w:szCs w:val="22"/>
                <w:lang w:val="sr-Latn-ME"/>
              </w:rPr>
              <w:t>(</w:t>
            </w:r>
            <w:r w:rsidRPr="009F254D">
              <w:rPr>
                <w:sz w:val="22"/>
                <w:szCs w:val="22"/>
                <w:lang w:val="sr-Latn-ME"/>
              </w:rPr>
              <w:noBreakHyphen/>
              <w:t xml:space="preserve">0,74, </w:t>
            </w:r>
            <w:r w:rsidRPr="009F254D">
              <w:rPr>
                <w:sz w:val="22"/>
                <w:szCs w:val="22"/>
                <w:lang w:val="sr-Latn-ME"/>
              </w:rPr>
              <w:noBreakHyphen/>
              <w:t>0,34)</w:t>
            </w:r>
          </w:p>
        </w:tc>
        <w:tc>
          <w:tcPr>
            <w:tcW w:w="0" w:type="auto"/>
            <w:tcBorders>
              <w:top w:val="single" w:sz="8" w:space="0" w:color="auto"/>
              <w:bottom w:val="single" w:sz="8" w:space="0" w:color="auto"/>
              <w:right w:val="single" w:sz="8" w:space="0" w:color="auto"/>
            </w:tcBorders>
          </w:tcPr>
          <w:p w14:paraId="7A5C6AA4" w14:textId="77777777" w:rsidR="00DC171F" w:rsidRPr="009F254D" w:rsidRDefault="00DC171F" w:rsidP="00E43FA0">
            <w:pPr>
              <w:tabs>
                <w:tab w:val="left" w:pos="284"/>
              </w:tabs>
              <w:autoSpaceDE w:val="0"/>
              <w:autoSpaceDN w:val="0"/>
              <w:adjustRightInd w:val="0"/>
              <w:jc w:val="center"/>
              <w:rPr>
                <w:sz w:val="22"/>
                <w:szCs w:val="22"/>
                <w:lang w:val="sr-Latn-ME"/>
              </w:rPr>
            </w:pPr>
          </w:p>
          <w:p w14:paraId="46740FC9" w14:textId="77777777" w:rsidR="00DC171F" w:rsidRPr="009F254D" w:rsidRDefault="00DC171F" w:rsidP="00E43FA0">
            <w:pPr>
              <w:tabs>
                <w:tab w:val="left" w:pos="284"/>
              </w:tabs>
              <w:autoSpaceDE w:val="0"/>
              <w:autoSpaceDN w:val="0"/>
              <w:adjustRightInd w:val="0"/>
              <w:jc w:val="center"/>
              <w:rPr>
                <w:sz w:val="22"/>
                <w:szCs w:val="22"/>
                <w:lang w:val="sr-Latn-ME"/>
              </w:rPr>
            </w:pPr>
            <w:r w:rsidRPr="009F254D">
              <w:rPr>
                <w:sz w:val="22"/>
                <w:szCs w:val="22"/>
                <w:lang w:val="sr-Latn-ME"/>
              </w:rPr>
              <w:t>8,11</w:t>
            </w:r>
          </w:p>
          <w:p w14:paraId="6D8E75BF" w14:textId="08C1D5DB" w:rsidR="00DC171F" w:rsidRPr="009F254D" w:rsidRDefault="00DC171F" w:rsidP="00E43FA0">
            <w:pPr>
              <w:tabs>
                <w:tab w:val="left" w:pos="284"/>
              </w:tabs>
              <w:autoSpaceDE w:val="0"/>
              <w:autoSpaceDN w:val="0"/>
              <w:adjustRightInd w:val="0"/>
              <w:jc w:val="center"/>
              <w:rPr>
                <w:sz w:val="22"/>
                <w:szCs w:val="22"/>
                <w:lang w:val="sr-Latn-ME"/>
              </w:rPr>
            </w:pPr>
          </w:p>
          <w:p w14:paraId="0F35E6A3" w14:textId="77777777" w:rsidR="0091451C" w:rsidRPr="009F254D" w:rsidRDefault="0091451C" w:rsidP="00E43FA0">
            <w:pPr>
              <w:tabs>
                <w:tab w:val="left" w:pos="284"/>
              </w:tabs>
              <w:autoSpaceDE w:val="0"/>
              <w:autoSpaceDN w:val="0"/>
              <w:adjustRightInd w:val="0"/>
              <w:jc w:val="center"/>
              <w:rPr>
                <w:sz w:val="22"/>
                <w:szCs w:val="22"/>
                <w:lang w:val="sr-Latn-ME"/>
              </w:rPr>
            </w:pPr>
          </w:p>
          <w:p w14:paraId="0D481787" w14:textId="77777777" w:rsidR="00DC171F" w:rsidRPr="009F254D" w:rsidRDefault="00DC171F" w:rsidP="00E43FA0">
            <w:pPr>
              <w:tabs>
                <w:tab w:val="left" w:pos="284"/>
              </w:tabs>
              <w:autoSpaceDE w:val="0"/>
              <w:autoSpaceDN w:val="0"/>
              <w:adjustRightInd w:val="0"/>
              <w:jc w:val="center"/>
              <w:rPr>
                <w:sz w:val="22"/>
                <w:szCs w:val="22"/>
                <w:lang w:val="sr-Latn-ME"/>
              </w:rPr>
            </w:pPr>
            <w:r w:rsidRPr="009F254D">
              <w:rPr>
                <w:sz w:val="22"/>
                <w:szCs w:val="22"/>
                <w:lang w:val="sr-Latn-ME"/>
              </w:rPr>
              <w:noBreakHyphen/>
              <w:t>0,30</w:t>
            </w:r>
          </w:p>
        </w:tc>
        <w:tc>
          <w:tcPr>
            <w:tcW w:w="0" w:type="auto"/>
            <w:tcBorders>
              <w:top w:val="single" w:sz="8" w:space="0" w:color="auto"/>
              <w:left w:val="single" w:sz="8" w:space="0" w:color="auto"/>
              <w:bottom w:val="single" w:sz="8" w:space="0" w:color="auto"/>
            </w:tcBorders>
          </w:tcPr>
          <w:p w14:paraId="21BB4254" w14:textId="77777777" w:rsidR="00DC171F" w:rsidRPr="009F254D" w:rsidRDefault="00DC171F" w:rsidP="00E43FA0">
            <w:pPr>
              <w:tabs>
                <w:tab w:val="left" w:pos="284"/>
              </w:tabs>
              <w:autoSpaceDE w:val="0"/>
              <w:autoSpaceDN w:val="0"/>
              <w:adjustRightInd w:val="0"/>
              <w:jc w:val="center"/>
              <w:rPr>
                <w:sz w:val="22"/>
                <w:szCs w:val="22"/>
                <w:lang w:val="sr-Latn-ME"/>
              </w:rPr>
            </w:pPr>
          </w:p>
          <w:p w14:paraId="27EC5168" w14:textId="77777777" w:rsidR="00DC171F" w:rsidRPr="009F254D" w:rsidRDefault="00DC171F" w:rsidP="00E43FA0">
            <w:pPr>
              <w:tabs>
                <w:tab w:val="left" w:pos="284"/>
              </w:tabs>
              <w:autoSpaceDE w:val="0"/>
              <w:autoSpaceDN w:val="0"/>
              <w:adjustRightInd w:val="0"/>
              <w:jc w:val="center"/>
              <w:rPr>
                <w:sz w:val="22"/>
                <w:szCs w:val="22"/>
                <w:lang w:val="sr-Latn-ME"/>
              </w:rPr>
            </w:pPr>
            <w:r w:rsidRPr="009F254D">
              <w:rPr>
                <w:sz w:val="22"/>
                <w:szCs w:val="22"/>
                <w:lang w:val="sr-Latn-ME"/>
              </w:rPr>
              <w:t>7,79</w:t>
            </w:r>
          </w:p>
          <w:p w14:paraId="2FFBC1CC" w14:textId="630C4974" w:rsidR="00DC171F" w:rsidRPr="009F254D" w:rsidRDefault="00DC171F" w:rsidP="00E43FA0">
            <w:pPr>
              <w:tabs>
                <w:tab w:val="left" w:pos="284"/>
              </w:tabs>
              <w:autoSpaceDE w:val="0"/>
              <w:autoSpaceDN w:val="0"/>
              <w:adjustRightInd w:val="0"/>
              <w:jc w:val="center"/>
              <w:rPr>
                <w:sz w:val="22"/>
                <w:szCs w:val="22"/>
                <w:lang w:val="sr-Latn-ME"/>
              </w:rPr>
            </w:pPr>
          </w:p>
          <w:p w14:paraId="696AE4F1" w14:textId="77777777" w:rsidR="0091451C" w:rsidRPr="009F254D" w:rsidRDefault="0091451C" w:rsidP="00E43FA0">
            <w:pPr>
              <w:tabs>
                <w:tab w:val="left" w:pos="284"/>
              </w:tabs>
              <w:autoSpaceDE w:val="0"/>
              <w:autoSpaceDN w:val="0"/>
              <w:adjustRightInd w:val="0"/>
              <w:jc w:val="center"/>
              <w:rPr>
                <w:sz w:val="22"/>
                <w:szCs w:val="22"/>
                <w:lang w:val="sr-Latn-ME"/>
              </w:rPr>
            </w:pPr>
          </w:p>
          <w:p w14:paraId="68467FBB" w14:textId="77777777" w:rsidR="00DC171F" w:rsidRPr="009F254D" w:rsidRDefault="00DC171F" w:rsidP="00E43FA0">
            <w:pPr>
              <w:tabs>
                <w:tab w:val="left" w:pos="284"/>
              </w:tabs>
              <w:autoSpaceDE w:val="0"/>
              <w:autoSpaceDN w:val="0"/>
              <w:adjustRightInd w:val="0"/>
              <w:jc w:val="center"/>
              <w:rPr>
                <w:sz w:val="22"/>
                <w:szCs w:val="22"/>
                <w:lang w:val="sr-Latn-ME"/>
              </w:rPr>
            </w:pPr>
            <w:r w:rsidRPr="009F254D">
              <w:rPr>
                <w:sz w:val="22"/>
                <w:szCs w:val="22"/>
                <w:lang w:val="sr-Latn-ME"/>
              </w:rPr>
              <w:noBreakHyphen/>
              <w:t>0,65</w:t>
            </w:r>
          </w:p>
          <w:p w14:paraId="739F13DA" w14:textId="2222E4E6" w:rsidR="00DC171F" w:rsidRPr="009F254D" w:rsidRDefault="00DC171F" w:rsidP="00E43FA0">
            <w:pPr>
              <w:tabs>
                <w:tab w:val="left" w:pos="284"/>
              </w:tabs>
              <w:autoSpaceDE w:val="0"/>
              <w:autoSpaceDN w:val="0"/>
              <w:adjustRightInd w:val="0"/>
              <w:jc w:val="center"/>
              <w:rPr>
                <w:sz w:val="22"/>
                <w:szCs w:val="22"/>
                <w:lang w:val="sr-Latn-ME"/>
              </w:rPr>
            </w:pPr>
          </w:p>
          <w:p w14:paraId="2FB42060" w14:textId="0CBE0BD8" w:rsidR="0091451C" w:rsidRPr="009F254D" w:rsidRDefault="0091451C" w:rsidP="00E43FA0">
            <w:pPr>
              <w:tabs>
                <w:tab w:val="left" w:pos="284"/>
              </w:tabs>
              <w:autoSpaceDE w:val="0"/>
              <w:autoSpaceDN w:val="0"/>
              <w:adjustRightInd w:val="0"/>
              <w:jc w:val="center"/>
              <w:rPr>
                <w:sz w:val="22"/>
                <w:szCs w:val="22"/>
                <w:lang w:val="sr-Latn-ME"/>
              </w:rPr>
            </w:pPr>
          </w:p>
          <w:p w14:paraId="71D92672" w14:textId="77777777" w:rsidR="0091451C" w:rsidRPr="009F254D" w:rsidRDefault="0091451C" w:rsidP="00E43FA0">
            <w:pPr>
              <w:tabs>
                <w:tab w:val="left" w:pos="284"/>
              </w:tabs>
              <w:autoSpaceDE w:val="0"/>
              <w:autoSpaceDN w:val="0"/>
              <w:adjustRightInd w:val="0"/>
              <w:jc w:val="center"/>
              <w:rPr>
                <w:sz w:val="22"/>
                <w:szCs w:val="22"/>
                <w:lang w:val="sr-Latn-ME"/>
              </w:rPr>
            </w:pPr>
          </w:p>
          <w:p w14:paraId="38C99A1E" w14:textId="77777777" w:rsidR="00DC171F" w:rsidRPr="009F254D" w:rsidRDefault="00DC171F" w:rsidP="00E43FA0">
            <w:pPr>
              <w:tabs>
                <w:tab w:val="left" w:pos="284"/>
              </w:tabs>
              <w:autoSpaceDE w:val="0"/>
              <w:autoSpaceDN w:val="0"/>
              <w:adjustRightInd w:val="0"/>
              <w:jc w:val="center"/>
              <w:rPr>
                <w:sz w:val="22"/>
                <w:szCs w:val="22"/>
                <w:lang w:val="sr-Latn-ME"/>
              </w:rPr>
            </w:pPr>
            <w:r w:rsidRPr="009F254D">
              <w:rPr>
                <w:sz w:val="22"/>
                <w:szCs w:val="22"/>
                <w:lang w:val="sr-Latn-ME"/>
              </w:rPr>
              <w:noBreakHyphen/>
              <w:t>0,35</w:t>
            </w:r>
            <w:r w:rsidRPr="009F254D">
              <w:rPr>
                <w:sz w:val="22"/>
                <w:szCs w:val="22"/>
                <w:vertAlign w:val="superscript"/>
                <w:lang w:val="sr-Latn-ME"/>
              </w:rPr>
              <w:t>*</w:t>
            </w:r>
          </w:p>
          <w:p w14:paraId="292A378F" w14:textId="77777777" w:rsidR="00DC171F" w:rsidRPr="009F254D" w:rsidRDefault="00DC171F" w:rsidP="00E43FA0">
            <w:pPr>
              <w:tabs>
                <w:tab w:val="left" w:pos="284"/>
              </w:tabs>
              <w:autoSpaceDE w:val="0"/>
              <w:autoSpaceDN w:val="0"/>
              <w:adjustRightInd w:val="0"/>
              <w:jc w:val="center"/>
              <w:rPr>
                <w:sz w:val="22"/>
                <w:szCs w:val="22"/>
                <w:lang w:val="sr-Latn-ME"/>
              </w:rPr>
            </w:pPr>
          </w:p>
          <w:p w14:paraId="53A22770" w14:textId="77777777" w:rsidR="00DC171F" w:rsidRPr="009F254D" w:rsidRDefault="00DC171F" w:rsidP="00E43FA0">
            <w:pPr>
              <w:tabs>
                <w:tab w:val="left" w:pos="284"/>
              </w:tabs>
              <w:autoSpaceDE w:val="0"/>
              <w:autoSpaceDN w:val="0"/>
              <w:adjustRightInd w:val="0"/>
              <w:jc w:val="center"/>
              <w:rPr>
                <w:sz w:val="22"/>
                <w:szCs w:val="22"/>
                <w:lang w:val="sr-Latn-ME"/>
              </w:rPr>
            </w:pPr>
          </w:p>
          <w:p w14:paraId="0ECFE043" w14:textId="77777777" w:rsidR="00DC171F" w:rsidRPr="009F254D" w:rsidRDefault="00DC171F" w:rsidP="00E43FA0">
            <w:pPr>
              <w:tabs>
                <w:tab w:val="left" w:pos="284"/>
              </w:tabs>
              <w:autoSpaceDE w:val="0"/>
              <w:autoSpaceDN w:val="0"/>
              <w:adjustRightInd w:val="0"/>
              <w:jc w:val="center"/>
              <w:rPr>
                <w:sz w:val="22"/>
                <w:szCs w:val="22"/>
                <w:lang w:val="sr-Latn-ME"/>
              </w:rPr>
            </w:pPr>
            <w:r w:rsidRPr="009F254D">
              <w:rPr>
                <w:sz w:val="22"/>
                <w:szCs w:val="22"/>
                <w:lang w:val="sr-Latn-ME"/>
              </w:rPr>
              <w:t>(</w:t>
            </w:r>
            <w:r w:rsidRPr="009F254D">
              <w:rPr>
                <w:sz w:val="22"/>
                <w:szCs w:val="22"/>
                <w:lang w:val="sr-Latn-ME"/>
              </w:rPr>
              <w:noBreakHyphen/>
              <w:t xml:space="preserve">0,52, </w:t>
            </w:r>
            <w:r w:rsidRPr="009F254D">
              <w:rPr>
                <w:sz w:val="22"/>
                <w:szCs w:val="22"/>
                <w:lang w:val="sr-Latn-ME"/>
              </w:rPr>
              <w:noBreakHyphen/>
              <w:t>0,18)</w:t>
            </w:r>
          </w:p>
        </w:tc>
        <w:tc>
          <w:tcPr>
            <w:tcW w:w="0" w:type="auto"/>
            <w:tcBorders>
              <w:top w:val="single" w:sz="8" w:space="0" w:color="auto"/>
              <w:bottom w:val="single" w:sz="8" w:space="0" w:color="auto"/>
              <w:right w:val="single" w:sz="8" w:space="0" w:color="auto"/>
            </w:tcBorders>
          </w:tcPr>
          <w:p w14:paraId="57DB2562" w14:textId="77777777" w:rsidR="00DC171F" w:rsidRPr="009F254D" w:rsidRDefault="00DC171F" w:rsidP="00E43FA0">
            <w:pPr>
              <w:tabs>
                <w:tab w:val="left" w:pos="284"/>
              </w:tabs>
              <w:autoSpaceDE w:val="0"/>
              <w:autoSpaceDN w:val="0"/>
              <w:adjustRightInd w:val="0"/>
              <w:jc w:val="center"/>
              <w:rPr>
                <w:sz w:val="22"/>
                <w:szCs w:val="22"/>
                <w:lang w:val="sr-Latn-ME"/>
              </w:rPr>
            </w:pPr>
          </w:p>
          <w:p w14:paraId="0D35FF8A" w14:textId="77777777" w:rsidR="00DC171F" w:rsidRPr="009F254D" w:rsidRDefault="00DC171F" w:rsidP="00E43FA0">
            <w:pPr>
              <w:tabs>
                <w:tab w:val="left" w:pos="284"/>
              </w:tabs>
              <w:autoSpaceDE w:val="0"/>
              <w:autoSpaceDN w:val="0"/>
              <w:adjustRightInd w:val="0"/>
              <w:jc w:val="center"/>
              <w:rPr>
                <w:sz w:val="22"/>
                <w:szCs w:val="22"/>
                <w:lang w:val="sr-Latn-ME"/>
              </w:rPr>
            </w:pPr>
            <w:r w:rsidRPr="009F254D">
              <w:rPr>
                <w:sz w:val="22"/>
                <w:szCs w:val="22"/>
                <w:lang w:val="sr-Latn-ME"/>
              </w:rPr>
              <w:t>7,94</w:t>
            </w:r>
          </w:p>
          <w:p w14:paraId="6B9909ED" w14:textId="60BC0F68" w:rsidR="00DC171F" w:rsidRPr="009F254D" w:rsidRDefault="00DC171F" w:rsidP="00E43FA0">
            <w:pPr>
              <w:tabs>
                <w:tab w:val="left" w:pos="284"/>
              </w:tabs>
              <w:autoSpaceDE w:val="0"/>
              <w:autoSpaceDN w:val="0"/>
              <w:adjustRightInd w:val="0"/>
              <w:jc w:val="center"/>
              <w:rPr>
                <w:sz w:val="22"/>
                <w:szCs w:val="22"/>
                <w:lang w:val="sr-Latn-ME"/>
              </w:rPr>
            </w:pPr>
          </w:p>
          <w:p w14:paraId="29A7E34C" w14:textId="77777777" w:rsidR="0091451C" w:rsidRPr="009F254D" w:rsidRDefault="0091451C" w:rsidP="00E43FA0">
            <w:pPr>
              <w:tabs>
                <w:tab w:val="left" w:pos="284"/>
              </w:tabs>
              <w:autoSpaceDE w:val="0"/>
              <w:autoSpaceDN w:val="0"/>
              <w:adjustRightInd w:val="0"/>
              <w:jc w:val="center"/>
              <w:rPr>
                <w:sz w:val="22"/>
                <w:szCs w:val="22"/>
                <w:lang w:val="sr-Latn-ME"/>
              </w:rPr>
            </w:pPr>
          </w:p>
          <w:p w14:paraId="691EBD29" w14:textId="77777777" w:rsidR="00DC171F" w:rsidRPr="009F254D" w:rsidRDefault="00DC171F" w:rsidP="00E43FA0">
            <w:pPr>
              <w:tabs>
                <w:tab w:val="left" w:pos="284"/>
              </w:tabs>
              <w:autoSpaceDE w:val="0"/>
              <w:autoSpaceDN w:val="0"/>
              <w:adjustRightInd w:val="0"/>
              <w:jc w:val="center"/>
              <w:rPr>
                <w:sz w:val="22"/>
                <w:szCs w:val="22"/>
                <w:lang w:val="sr-Latn-ME"/>
              </w:rPr>
            </w:pPr>
            <w:r w:rsidRPr="009F254D">
              <w:rPr>
                <w:sz w:val="22"/>
                <w:szCs w:val="22"/>
                <w:lang w:val="sr-Latn-ME"/>
              </w:rPr>
              <w:noBreakHyphen/>
              <w:t>0,30</w:t>
            </w:r>
          </w:p>
          <w:p w14:paraId="5B4BB5AB" w14:textId="77777777" w:rsidR="00DC171F" w:rsidRPr="009F254D" w:rsidRDefault="00DC171F" w:rsidP="00E43FA0">
            <w:pPr>
              <w:tabs>
                <w:tab w:val="left" w:pos="284"/>
              </w:tabs>
              <w:autoSpaceDE w:val="0"/>
              <w:autoSpaceDN w:val="0"/>
              <w:adjustRightInd w:val="0"/>
              <w:jc w:val="center"/>
              <w:rPr>
                <w:sz w:val="22"/>
                <w:szCs w:val="22"/>
                <w:lang w:val="sr-Latn-ME"/>
              </w:rPr>
            </w:pPr>
          </w:p>
          <w:p w14:paraId="028550EB" w14:textId="77777777" w:rsidR="00DC171F" w:rsidRPr="009F254D" w:rsidRDefault="00DC171F" w:rsidP="00E43FA0">
            <w:pPr>
              <w:tabs>
                <w:tab w:val="left" w:pos="284"/>
              </w:tabs>
              <w:autoSpaceDE w:val="0"/>
              <w:autoSpaceDN w:val="0"/>
              <w:adjustRightInd w:val="0"/>
              <w:jc w:val="center"/>
              <w:rPr>
                <w:sz w:val="22"/>
                <w:szCs w:val="22"/>
                <w:lang w:val="sr-Latn-ME"/>
              </w:rPr>
            </w:pPr>
          </w:p>
        </w:tc>
        <w:tc>
          <w:tcPr>
            <w:tcW w:w="0" w:type="auto"/>
            <w:tcBorders>
              <w:top w:val="single" w:sz="8" w:space="0" w:color="auto"/>
              <w:left w:val="single" w:sz="8" w:space="0" w:color="auto"/>
              <w:bottom w:val="single" w:sz="8" w:space="0" w:color="auto"/>
            </w:tcBorders>
          </w:tcPr>
          <w:p w14:paraId="4F7DFB25" w14:textId="77777777" w:rsidR="00DC171F" w:rsidRPr="009F254D" w:rsidRDefault="00DC171F" w:rsidP="00E43FA0">
            <w:pPr>
              <w:tabs>
                <w:tab w:val="left" w:pos="284"/>
              </w:tabs>
              <w:autoSpaceDE w:val="0"/>
              <w:autoSpaceDN w:val="0"/>
              <w:adjustRightInd w:val="0"/>
              <w:jc w:val="center"/>
              <w:rPr>
                <w:sz w:val="22"/>
                <w:szCs w:val="22"/>
                <w:lang w:val="sr-Latn-ME"/>
              </w:rPr>
            </w:pPr>
          </w:p>
          <w:p w14:paraId="2F18A7FE" w14:textId="77777777" w:rsidR="00DC171F" w:rsidRPr="009F254D" w:rsidRDefault="00DC171F" w:rsidP="00E43FA0">
            <w:pPr>
              <w:tabs>
                <w:tab w:val="left" w:pos="284"/>
              </w:tabs>
              <w:autoSpaceDE w:val="0"/>
              <w:autoSpaceDN w:val="0"/>
              <w:adjustRightInd w:val="0"/>
              <w:jc w:val="center"/>
              <w:rPr>
                <w:sz w:val="22"/>
                <w:szCs w:val="22"/>
                <w:lang w:val="sr-Latn-ME"/>
              </w:rPr>
            </w:pPr>
            <w:r w:rsidRPr="009F254D">
              <w:rPr>
                <w:sz w:val="22"/>
                <w:szCs w:val="22"/>
                <w:lang w:val="sr-Latn-ME"/>
              </w:rPr>
              <w:t>7,80</w:t>
            </w:r>
          </w:p>
          <w:p w14:paraId="5FF174D1" w14:textId="4424C2C5" w:rsidR="00DC171F" w:rsidRPr="009F254D" w:rsidRDefault="00DC171F" w:rsidP="00E43FA0">
            <w:pPr>
              <w:tabs>
                <w:tab w:val="left" w:pos="284"/>
              </w:tabs>
              <w:autoSpaceDE w:val="0"/>
              <w:autoSpaceDN w:val="0"/>
              <w:adjustRightInd w:val="0"/>
              <w:jc w:val="center"/>
              <w:rPr>
                <w:sz w:val="22"/>
                <w:szCs w:val="22"/>
                <w:lang w:val="sr-Latn-ME"/>
              </w:rPr>
            </w:pPr>
          </w:p>
          <w:p w14:paraId="5150E970" w14:textId="77777777" w:rsidR="0091451C" w:rsidRPr="009F254D" w:rsidRDefault="0091451C" w:rsidP="00E43FA0">
            <w:pPr>
              <w:tabs>
                <w:tab w:val="left" w:pos="284"/>
              </w:tabs>
              <w:autoSpaceDE w:val="0"/>
              <w:autoSpaceDN w:val="0"/>
              <w:adjustRightInd w:val="0"/>
              <w:jc w:val="center"/>
              <w:rPr>
                <w:sz w:val="22"/>
                <w:szCs w:val="22"/>
                <w:lang w:val="sr-Latn-ME"/>
              </w:rPr>
            </w:pPr>
          </w:p>
          <w:p w14:paraId="4D1B62F2" w14:textId="77777777" w:rsidR="00DC171F" w:rsidRPr="009F254D" w:rsidRDefault="00DC171F" w:rsidP="00E43FA0">
            <w:pPr>
              <w:tabs>
                <w:tab w:val="left" w:pos="284"/>
              </w:tabs>
              <w:autoSpaceDE w:val="0"/>
              <w:autoSpaceDN w:val="0"/>
              <w:adjustRightInd w:val="0"/>
              <w:jc w:val="center"/>
              <w:rPr>
                <w:sz w:val="22"/>
                <w:szCs w:val="22"/>
                <w:lang w:val="sr-Latn-ME"/>
              </w:rPr>
            </w:pPr>
            <w:r w:rsidRPr="009F254D">
              <w:rPr>
                <w:sz w:val="22"/>
                <w:szCs w:val="22"/>
                <w:lang w:val="sr-Latn-ME"/>
              </w:rPr>
              <w:noBreakHyphen/>
              <w:t>0,43</w:t>
            </w:r>
          </w:p>
          <w:p w14:paraId="2EAFC2C5" w14:textId="417D2B6D" w:rsidR="00DC171F" w:rsidRPr="009F254D" w:rsidRDefault="00DC171F" w:rsidP="00E43FA0">
            <w:pPr>
              <w:tabs>
                <w:tab w:val="left" w:pos="284"/>
              </w:tabs>
              <w:autoSpaceDE w:val="0"/>
              <w:autoSpaceDN w:val="0"/>
              <w:adjustRightInd w:val="0"/>
              <w:jc w:val="center"/>
              <w:rPr>
                <w:sz w:val="22"/>
                <w:szCs w:val="22"/>
                <w:lang w:val="sr-Latn-ME"/>
              </w:rPr>
            </w:pPr>
          </w:p>
          <w:p w14:paraId="79F7CE0F" w14:textId="1C850E9F" w:rsidR="0091451C" w:rsidRPr="009F254D" w:rsidRDefault="0091451C" w:rsidP="00E43FA0">
            <w:pPr>
              <w:tabs>
                <w:tab w:val="left" w:pos="284"/>
              </w:tabs>
              <w:autoSpaceDE w:val="0"/>
              <w:autoSpaceDN w:val="0"/>
              <w:adjustRightInd w:val="0"/>
              <w:jc w:val="center"/>
              <w:rPr>
                <w:sz w:val="22"/>
                <w:szCs w:val="22"/>
                <w:lang w:val="sr-Latn-ME"/>
              </w:rPr>
            </w:pPr>
          </w:p>
          <w:p w14:paraId="378EB30B" w14:textId="77777777" w:rsidR="0091451C" w:rsidRPr="009F254D" w:rsidRDefault="0091451C" w:rsidP="00E43FA0">
            <w:pPr>
              <w:tabs>
                <w:tab w:val="left" w:pos="284"/>
              </w:tabs>
              <w:autoSpaceDE w:val="0"/>
              <w:autoSpaceDN w:val="0"/>
              <w:adjustRightInd w:val="0"/>
              <w:jc w:val="center"/>
              <w:rPr>
                <w:sz w:val="22"/>
                <w:szCs w:val="22"/>
                <w:lang w:val="sr-Latn-ME"/>
              </w:rPr>
            </w:pPr>
          </w:p>
          <w:p w14:paraId="27CFC5C7" w14:textId="77777777" w:rsidR="00DC171F" w:rsidRPr="009F254D" w:rsidRDefault="00DC171F" w:rsidP="00E43FA0">
            <w:pPr>
              <w:tabs>
                <w:tab w:val="left" w:pos="284"/>
              </w:tabs>
              <w:autoSpaceDE w:val="0"/>
              <w:autoSpaceDN w:val="0"/>
              <w:adjustRightInd w:val="0"/>
              <w:ind w:firstLine="142"/>
              <w:jc w:val="center"/>
              <w:rPr>
                <w:sz w:val="22"/>
                <w:szCs w:val="22"/>
                <w:lang w:val="sr-Latn-ME"/>
              </w:rPr>
            </w:pPr>
            <w:r w:rsidRPr="009F254D">
              <w:rPr>
                <w:sz w:val="22"/>
                <w:szCs w:val="22"/>
                <w:lang w:val="sr-Latn-ME"/>
              </w:rPr>
              <w:noBreakHyphen/>
              <w:t>0,40</w:t>
            </w:r>
            <w:r w:rsidRPr="009F254D">
              <w:rPr>
                <w:sz w:val="22"/>
                <w:szCs w:val="22"/>
                <w:vertAlign w:val="superscript"/>
                <w:lang w:val="sr-Latn-ME"/>
              </w:rPr>
              <w:t>*</w:t>
            </w:r>
          </w:p>
          <w:p w14:paraId="68E31E56" w14:textId="77777777" w:rsidR="00DC171F" w:rsidRPr="009F254D" w:rsidRDefault="00DC171F" w:rsidP="00E43FA0">
            <w:pPr>
              <w:tabs>
                <w:tab w:val="left" w:pos="284"/>
              </w:tabs>
              <w:autoSpaceDE w:val="0"/>
              <w:autoSpaceDN w:val="0"/>
              <w:adjustRightInd w:val="0"/>
              <w:jc w:val="center"/>
              <w:rPr>
                <w:sz w:val="22"/>
                <w:szCs w:val="22"/>
                <w:lang w:val="sr-Latn-ME"/>
              </w:rPr>
            </w:pPr>
          </w:p>
          <w:p w14:paraId="6C0FA82D" w14:textId="77777777" w:rsidR="00DC171F" w:rsidRPr="009F254D" w:rsidRDefault="00DC171F" w:rsidP="00E43FA0">
            <w:pPr>
              <w:tabs>
                <w:tab w:val="left" w:pos="284"/>
              </w:tabs>
              <w:autoSpaceDE w:val="0"/>
              <w:autoSpaceDN w:val="0"/>
              <w:adjustRightInd w:val="0"/>
              <w:jc w:val="center"/>
              <w:rPr>
                <w:sz w:val="22"/>
                <w:szCs w:val="22"/>
                <w:lang w:val="sr-Latn-ME"/>
              </w:rPr>
            </w:pPr>
          </w:p>
          <w:p w14:paraId="2FB3A582" w14:textId="77777777" w:rsidR="00DC171F" w:rsidRPr="009F254D" w:rsidRDefault="00DC171F" w:rsidP="00E43FA0">
            <w:pPr>
              <w:tabs>
                <w:tab w:val="left" w:pos="284"/>
              </w:tabs>
              <w:autoSpaceDE w:val="0"/>
              <w:autoSpaceDN w:val="0"/>
              <w:adjustRightInd w:val="0"/>
              <w:jc w:val="center"/>
              <w:rPr>
                <w:sz w:val="22"/>
                <w:szCs w:val="22"/>
                <w:lang w:val="sr-Latn-ME"/>
              </w:rPr>
            </w:pPr>
            <w:r w:rsidRPr="009F254D">
              <w:rPr>
                <w:sz w:val="22"/>
                <w:szCs w:val="22"/>
                <w:lang w:val="sr-Latn-ME"/>
              </w:rPr>
              <w:t>(</w:t>
            </w:r>
            <w:r w:rsidRPr="009F254D">
              <w:rPr>
                <w:sz w:val="22"/>
                <w:szCs w:val="22"/>
                <w:lang w:val="sr-Latn-ME"/>
              </w:rPr>
              <w:noBreakHyphen/>
              <w:t xml:space="preserve">0,58, </w:t>
            </w:r>
            <w:r w:rsidRPr="009F254D">
              <w:rPr>
                <w:sz w:val="22"/>
                <w:szCs w:val="22"/>
                <w:lang w:val="sr-Latn-ME"/>
              </w:rPr>
              <w:noBreakHyphen/>
              <w:t>0,23)</w:t>
            </w:r>
          </w:p>
        </w:tc>
        <w:tc>
          <w:tcPr>
            <w:tcW w:w="0" w:type="auto"/>
            <w:gridSpan w:val="2"/>
            <w:tcBorders>
              <w:top w:val="single" w:sz="8" w:space="0" w:color="auto"/>
              <w:bottom w:val="single" w:sz="8" w:space="0" w:color="auto"/>
            </w:tcBorders>
          </w:tcPr>
          <w:p w14:paraId="19E13A14" w14:textId="77777777" w:rsidR="00DC171F" w:rsidRPr="009F254D" w:rsidRDefault="00DC171F" w:rsidP="00E43FA0">
            <w:pPr>
              <w:tabs>
                <w:tab w:val="left" w:pos="284"/>
              </w:tabs>
              <w:autoSpaceDE w:val="0"/>
              <w:autoSpaceDN w:val="0"/>
              <w:adjustRightInd w:val="0"/>
              <w:jc w:val="center"/>
              <w:rPr>
                <w:sz w:val="22"/>
                <w:szCs w:val="22"/>
                <w:lang w:val="sr-Latn-ME"/>
              </w:rPr>
            </w:pPr>
          </w:p>
          <w:p w14:paraId="707DE08A" w14:textId="77777777" w:rsidR="00DC171F" w:rsidRPr="009F254D" w:rsidRDefault="00DC171F" w:rsidP="00E43FA0">
            <w:pPr>
              <w:tabs>
                <w:tab w:val="left" w:pos="284"/>
              </w:tabs>
              <w:autoSpaceDE w:val="0"/>
              <w:autoSpaceDN w:val="0"/>
              <w:adjustRightInd w:val="0"/>
              <w:jc w:val="center"/>
              <w:rPr>
                <w:sz w:val="22"/>
                <w:szCs w:val="22"/>
                <w:lang w:val="sr-Latn-ME"/>
              </w:rPr>
            </w:pPr>
            <w:r w:rsidRPr="009F254D">
              <w:rPr>
                <w:sz w:val="22"/>
                <w:szCs w:val="22"/>
                <w:lang w:val="sr-Latn-ME"/>
              </w:rPr>
              <w:t>7,87</w:t>
            </w:r>
          </w:p>
          <w:p w14:paraId="281BEEB8" w14:textId="581276B1" w:rsidR="00DC171F" w:rsidRPr="009F254D" w:rsidRDefault="00DC171F" w:rsidP="00E43FA0">
            <w:pPr>
              <w:tabs>
                <w:tab w:val="left" w:pos="284"/>
              </w:tabs>
              <w:autoSpaceDE w:val="0"/>
              <w:autoSpaceDN w:val="0"/>
              <w:adjustRightInd w:val="0"/>
              <w:jc w:val="center"/>
              <w:rPr>
                <w:sz w:val="22"/>
                <w:szCs w:val="22"/>
                <w:lang w:val="sr-Latn-ME"/>
              </w:rPr>
            </w:pPr>
          </w:p>
          <w:p w14:paraId="57603FB6" w14:textId="77777777" w:rsidR="0091451C" w:rsidRPr="009F254D" w:rsidRDefault="0091451C" w:rsidP="00E43FA0">
            <w:pPr>
              <w:tabs>
                <w:tab w:val="left" w:pos="284"/>
              </w:tabs>
              <w:autoSpaceDE w:val="0"/>
              <w:autoSpaceDN w:val="0"/>
              <w:adjustRightInd w:val="0"/>
              <w:jc w:val="center"/>
              <w:rPr>
                <w:sz w:val="22"/>
                <w:szCs w:val="22"/>
                <w:lang w:val="sr-Latn-ME"/>
              </w:rPr>
            </w:pPr>
          </w:p>
          <w:p w14:paraId="52A1C190" w14:textId="77777777" w:rsidR="00DC171F" w:rsidRPr="009F254D" w:rsidRDefault="00DC171F" w:rsidP="00E43FA0">
            <w:pPr>
              <w:tabs>
                <w:tab w:val="left" w:pos="284"/>
              </w:tabs>
              <w:autoSpaceDE w:val="0"/>
              <w:autoSpaceDN w:val="0"/>
              <w:adjustRightInd w:val="0"/>
              <w:jc w:val="center"/>
              <w:rPr>
                <w:sz w:val="22"/>
                <w:szCs w:val="22"/>
                <w:lang w:val="sr-Latn-ME"/>
              </w:rPr>
            </w:pPr>
            <w:r w:rsidRPr="009F254D">
              <w:rPr>
                <w:sz w:val="22"/>
                <w:szCs w:val="22"/>
                <w:lang w:val="sr-Latn-ME"/>
              </w:rPr>
              <w:noBreakHyphen/>
              <w:t>0,02</w:t>
            </w:r>
          </w:p>
        </w:tc>
      </w:tr>
      <w:tr w:rsidR="00DC171F" w:rsidRPr="009F254D" w14:paraId="6998E7C2" w14:textId="77777777" w:rsidTr="00E43FA0">
        <w:trPr>
          <w:gridAfter w:val="1"/>
        </w:trPr>
        <w:tc>
          <w:tcPr>
            <w:tcW w:w="0" w:type="auto"/>
            <w:tcBorders>
              <w:top w:val="single" w:sz="8" w:space="0" w:color="auto"/>
              <w:bottom w:val="single" w:sz="8" w:space="0" w:color="auto"/>
              <w:right w:val="single" w:sz="8" w:space="0" w:color="auto"/>
            </w:tcBorders>
          </w:tcPr>
          <w:p w14:paraId="6148E79A" w14:textId="77777777" w:rsidR="00DC171F" w:rsidRPr="009F254D" w:rsidRDefault="00DC171F" w:rsidP="00E43FA0">
            <w:pPr>
              <w:tabs>
                <w:tab w:val="left" w:pos="284"/>
              </w:tabs>
              <w:rPr>
                <w:b/>
                <w:bCs/>
                <w:sz w:val="22"/>
                <w:szCs w:val="22"/>
                <w:lang w:val="sr-Latn-ME"/>
              </w:rPr>
            </w:pPr>
            <w:r w:rsidRPr="009F254D">
              <w:rPr>
                <w:b/>
                <w:bCs/>
                <w:sz w:val="22"/>
                <w:szCs w:val="22"/>
                <w:lang w:val="sr-Latn-ME"/>
              </w:rPr>
              <w:lastRenderedPageBreak/>
              <w:t>Ispitanici (%) kod kojih je postignut:</w:t>
            </w:r>
          </w:p>
          <w:p w14:paraId="44E9E765" w14:textId="77777777" w:rsidR="00DC171F" w:rsidRPr="009F254D" w:rsidRDefault="00DC171F" w:rsidP="00E43FA0">
            <w:pPr>
              <w:tabs>
                <w:tab w:val="left" w:pos="284"/>
              </w:tabs>
              <w:autoSpaceDE w:val="0"/>
              <w:autoSpaceDN w:val="0"/>
              <w:adjustRightInd w:val="0"/>
              <w:rPr>
                <w:b/>
                <w:bCs/>
                <w:sz w:val="22"/>
                <w:szCs w:val="22"/>
                <w:lang w:val="sr-Latn-ME"/>
              </w:rPr>
            </w:pPr>
            <w:r w:rsidRPr="009F254D">
              <w:rPr>
                <w:b/>
                <w:bCs/>
                <w:sz w:val="22"/>
                <w:szCs w:val="22"/>
                <w:lang w:val="sr-Latn-ME"/>
              </w:rPr>
              <w:t>HbA1c &lt; 7%</w:t>
            </w:r>
          </w:p>
          <w:p w14:paraId="5C5EEF79" w14:textId="77777777" w:rsidR="00DC171F" w:rsidRPr="009F254D" w:rsidRDefault="00DC171F" w:rsidP="00E43FA0">
            <w:pPr>
              <w:tabs>
                <w:tab w:val="left" w:pos="284"/>
              </w:tabs>
              <w:ind w:firstLine="37"/>
              <w:rPr>
                <w:sz w:val="22"/>
                <w:szCs w:val="22"/>
                <w:lang w:val="sr-Latn-ME"/>
              </w:rPr>
            </w:pPr>
            <w:r w:rsidRPr="009F254D">
              <w:rPr>
                <w:sz w:val="22"/>
                <w:szCs w:val="22"/>
                <w:lang w:val="sr-Latn-ME"/>
              </w:rPr>
              <w:t>Korigovano u odnosu na</w:t>
            </w:r>
          </w:p>
          <w:p w14:paraId="4115D05F" w14:textId="77777777" w:rsidR="00DC171F" w:rsidRPr="009F254D" w:rsidRDefault="00DC171F" w:rsidP="00E43FA0">
            <w:pPr>
              <w:tabs>
                <w:tab w:val="left" w:pos="284"/>
              </w:tabs>
              <w:ind w:firstLine="37"/>
              <w:rPr>
                <w:sz w:val="22"/>
                <w:szCs w:val="22"/>
                <w:lang w:val="sr-Latn-ME"/>
              </w:rPr>
            </w:pPr>
            <w:r w:rsidRPr="009F254D">
              <w:rPr>
                <w:sz w:val="22"/>
                <w:szCs w:val="22"/>
                <w:lang w:val="sr-Latn-ME"/>
              </w:rPr>
              <w:t>početnu vrijednost</w:t>
            </w:r>
          </w:p>
        </w:tc>
        <w:tc>
          <w:tcPr>
            <w:tcW w:w="0" w:type="auto"/>
            <w:tcBorders>
              <w:top w:val="single" w:sz="8" w:space="0" w:color="auto"/>
              <w:left w:val="single" w:sz="8" w:space="0" w:color="auto"/>
              <w:bottom w:val="single" w:sz="8" w:space="0" w:color="auto"/>
            </w:tcBorders>
          </w:tcPr>
          <w:p w14:paraId="7CE79710" w14:textId="77777777" w:rsidR="00DC171F" w:rsidRPr="009F254D" w:rsidRDefault="00DC171F" w:rsidP="00E43FA0">
            <w:pPr>
              <w:tabs>
                <w:tab w:val="left" w:pos="284"/>
              </w:tabs>
              <w:autoSpaceDE w:val="0"/>
              <w:autoSpaceDN w:val="0"/>
              <w:adjustRightInd w:val="0"/>
              <w:jc w:val="center"/>
              <w:rPr>
                <w:sz w:val="22"/>
                <w:szCs w:val="22"/>
                <w:lang w:val="sr-Latn-ME"/>
              </w:rPr>
            </w:pPr>
          </w:p>
          <w:p w14:paraId="5B9B36C0" w14:textId="77777777" w:rsidR="00DC171F" w:rsidRPr="009F254D" w:rsidRDefault="00DC171F" w:rsidP="00E43FA0">
            <w:pPr>
              <w:tabs>
                <w:tab w:val="left" w:pos="284"/>
              </w:tabs>
              <w:autoSpaceDE w:val="0"/>
              <w:autoSpaceDN w:val="0"/>
              <w:adjustRightInd w:val="0"/>
              <w:jc w:val="center"/>
              <w:rPr>
                <w:sz w:val="22"/>
                <w:szCs w:val="22"/>
                <w:lang w:val="sr-Latn-ME"/>
              </w:rPr>
            </w:pPr>
          </w:p>
          <w:p w14:paraId="6C9039FD" w14:textId="77777777" w:rsidR="00DC171F" w:rsidRPr="009F254D" w:rsidRDefault="00DC171F" w:rsidP="00E43FA0">
            <w:pPr>
              <w:tabs>
                <w:tab w:val="left" w:pos="284"/>
              </w:tabs>
              <w:autoSpaceDE w:val="0"/>
              <w:autoSpaceDN w:val="0"/>
              <w:adjustRightInd w:val="0"/>
              <w:jc w:val="center"/>
              <w:rPr>
                <w:sz w:val="22"/>
                <w:szCs w:val="22"/>
                <w:lang w:val="sr-Latn-ME"/>
              </w:rPr>
            </w:pPr>
          </w:p>
          <w:p w14:paraId="740DA1BB" w14:textId="77777777" w:rsidR="00DC171F" w:rsidRPr="009F254D" w:rsidRDefault="00DC171F" w:rsidP="00E43FA0">
            <w:pPr>
              <w:tabs>
                <w:tab w:val="left" w:pos="284"/>
              </w:tabs>
              <w:autoSpaceDE w:val="0"/>
              <w:autoSpaceDN w:val="0"/>
              <w:adjustRightInd w:val="0"/>
              <w:jc w:val="center"/>
              <w:rPr>
                <w:sz w:val="22"/>
                <w:szCs w:val="22"/>
                <w:lang w:val="sr-Latn-ME"/>
              </w:rPr>
            </w:pPr>
          </w:p>
          <w:p w14:paraId="4A0288D5" w14:textId="77777777" w:rsidR="00DC171F" w:rsidRPr="009F254D" w:rsidRDefault="00DC171F" w:rsidP="00E43FA0">
            <w:pPr>
              <w:tabs>
                <w:tab w:val="left" w:pos="284"/>
              </w:tabs>
              <w:autoSpaceDE w:val="0"/>
              <w:autoSpaceDN w:val="0"/>
              <w:adjustRightInd w:val="0"/>
              <w:jc w:val="center"/>
              <w:rPr>
                <w:sz w:val="22"/>
                <w:szCs w:val="22"/>
                <w:lang w:val="sr-Latn-ME"/>
              </w:rPr>
            </w:pPr>
            <w:r w:rsidRPr="009F254D">
              <w:rPr>
                <w:sz w:val="22"/>
                <w:szCs w:val="22"/>
                <w:lang w:val="sr-Latn-ME"/>
              </w:rPr>
              <w:t>40,6</w:t>
            </w:r>
            <w:r w:rsidRPr="009F254D">
              <w:rPr>
                <w:sz w:val="22"/>
                <w:szCs w:val="22"/>
                <w:vertAlign w:val="superscript"/>
                <w:lang w:val="sr-Latn-ME"/>
              </w:rPr>
              <w:t>**</w:t>
            </w:r>
          </w:p>
        </w:tc>
        <w:tc>
          <w:tcPr>
            <w:tcW w:w="0" w:type="auto"/>
            <w:tcBorders>
              <w:top w:val="single" w:sz="8" w:space="0" w:color="auto"/>
              <w:bottom w:val="single" w:sz="8" w:space="0" w:color="auto"/>
              <w:right w:val="single" w:sz="8" w:space="0" w:color="auto"/>
            </w:tcBorders>
          </w:tcPr>
          <w:p w14:paraId="5E481DA2" w14:textId="77777777" w:rsidR="00DC171F" w:rsidRPr="009F254D" w:rsidRDefault="00DC171F" w:rsidP="00E43FA0">
            <w:pPr>
              <w:tabs>
                <w:tab w:val="left" w:pos="284"/>
              </w:tabs>
              <w:autoSpaceDE w:val="0"/>
              <w:autoSpaceDN w:val="0"/>
              <w:adjustRightInd w:val="0"/>
              <w:jc w:val="center"/>
              <w:rPr>
                <w:sz w:val="22"/>
                <w:szCs w:val="22"/>
                <w:lang w:val="sr-Latn-ME"/>
              </w:rPr>
            </w:pPr>
          </w:p>
          <w:p w14:paraId="0FA5A9EB" w14:textId="77777777" w:rsidR="00DC171F" w:rsidRPr="009F254D" w:rsidRDefault="00DC171F" w:rsidP="00E43FA0">
            <w:pPr>
              <w:tabs>
                <w:tab w:val="left" w:pos="284"/>
              </w:tabs>
              <w:autoSpaceDE w:val="0"/>
              <w:autoSpaceDN w:val="0"/>
              <w:adjustRightInd w:val="0"/>
              <w:jc w:val="center"/>
              <w:rPr>
                <w:sz w:val="22"/>
                <w:szCs w:val="22"/>
                <w:lang w:val="sr-Latn-ME"/>
              </w:rPr>
            </w:pPr>
          </w:p>
          <w:p w14:paraId="61745C95" w14:textId="77777777" w:rsidR="00DC171F" w:rsidRPr="009F254D" w:rsidRDefault="00DC171F" w:rsidP="00E43FA0">
            <w:pPr>
              <w:tabs>
                <w:tab w:val="left" w:pos="284"/>
              </w:tabs>
              <w:autoSpaceDE w:val="0"/>
              <w:autoSpaceDN w:val="0"/>
              <w:adjustRightInd w:val="0"/>
              <w:jc w:val="center"/>
              <w:rPr>
                <w:sz w:val="22"/>
                <w:szCs w:val="22"/>
                <w:lang w:val="sr-Latn-ME"/>
              </w:rPr>
            </w:pPr>
          </w:p>
          <w:p w14:paraId="4810B385" w14:textId="77777777" w:rsidR="00DC171F" w:rsidRPr="009F254D" w:rsidRDefault="00DC171F" w:rsidP="00E43FA0">
            <w:pPr>
              <w:tabs>
                <w:tab w:val="left" w:pos="284"/>
              </w:tabs>
              <w:autoSpaceDE w:val="0"/>
              <w:autoSpaceDN w:val="0"/>
              <w:adjustRightInd w:val="0"/>
              <w:jc w:val="center"/>
              <w:rPr>
                <w:sz w:val="22"/>
                <w:szCs w:val="22"/>
                <w:lang w:val="sr-Latn-ME"/>
              </w:rPr>
            </w:pPr>
          </w:p>
          <w:p w14:paraId="43C3C4AA" w14:textId="77777777" w:rsidR="00DC171F" w:rsidRPr="009F254D" w:rsidRDefault="00DC171F" w:rsidP="00E43FA0">
            <w:pPr>
              <w:tabs>
                <w:tab w:val="left" w:pos="284"/>
              </w:tabs>
              <w:autoSpaceDE w:val="0"/>
              <w:autoSpaceDN w:val="0"/>
              <w:adjustRightInd w:val="0"/>
              <w:jc w:val="center"/>
              <w:rPr>
                <w:sz w:val="22"/>
                <w:szCs w:val="22"/>
                <w:lang w:val="sr-Latn-ME"/>
              </w:rPr>
            </w:pPr>
            <w:r w:rsidRPr="009F254D">
              <w:rPr>
                <w:sz w:val="22"/>
                <w:szCs w:val="22"/>
                <w:lang w:val="sr-Latn-ME"/>
              </w:rPr>
              <w:t>25,9</w:t>
            </w:r>
          </w:p>
        </w:tc>
        <w:tc>
          <w:tcPr>
            <w:tcW w:w="0" w:type="auto"/>
            <w:tcBorders>
              <w:top w:val="single" w:sz="8" w:space="0" w:color="auto"/>
              <w:left w:val="single" w:sz="8" w:space="0" w:color="auto"/>
              <w:bottom w:val="single" w:sz="8" w:space="0" w:color="auto"/>
            </w:tcBorders>
          </w:tcPr>
          <w:p w14:paraId="485C954F" w14:textId="77777777" w:rsidR="00DC171F" w:rsidRPr="009F254D" w:rsidRDefault="00DC171F" w:rsidP="00E43FA0">
            <w:pPr>
              <w:tabs>
                <w:tab w:val="left" w:pos="284"/>
              </w:tabs>
              <w:autoSpaceDE w:val="0"/>
              <w:autoSpaceDN w:val="0"/>
              <w:adjustRightInd w:val="0"/>
              <w:jc w:val="center"/>
              <w:rPr>
                <w:sz w:val="22"/>
                <w:szCs w:val="22"/>
                <w:lang w:val="sr-Latn-ME"/>
              </w:rPr>
            </w:pPr>
          </w:p>
          <w:p w14:paraId="22D8D297" w14:textId="77777777" w:rsidR="00DC171F" w:rsidRPr="009F254D" w:rsidRDefault="00DC171F" w:rsidP="00E43FA0">
            <w:pPr>
              <w:tabs>
                <w:tab w:val="left" w:pos="284"/>
              </w:tabs>
              <w:autoSpaceDE w:val="0"/>
              <w:autoSpaceDN w:val="0"/>
              <w:adjustRightInd w:val="0"/>
              <w:jc w:val="center"/>
              <w:rPr>
                <w:sz w:val="22"/>
                <w:szCs w:val="22"/>
                <w:lang w:val="sr-Latn-ME"/>
              </w:rPr>
            </w:pPr>
          </w:p>
          <w:p w14:paraId="7313AAFE" w14:textId="77777777" w:rsidR="00DC171F" w:rsidRPr="009F254D" w:rsidRDefault="00DC171F" w:rsidP="00E43FA0">
            <w:pPr>
              <w:tabs>
                <w:tab w:val="left" w:pos="284"/>
              </w:tabs>
              <w:autoSpaceDE w:val="0"/>
              <w:autoSpaceDN w:val="0"/>
              <w:adjustRightInd w:val="0"/>
              <w:jc w:val="center"/>
              <w:rPr>
                <w:sz w:val="22"/>
                <w:szCs w:val="22"/>
                <w:lang w:val="sr-Latn-ME"/>
              </w:rPr>
            </w:pPr>
          </w:p>
          <w:p w14:paraId="5493BEB2" w14:textId="77777777" w:rsidR="00DC171F" w:rsidRPr="009F254D" w:rsidRDefault="00DC171F" w:rsidP="00E43FA0">
            <w:pPr>
              <w:tabs>
                <w:tab w:val="left" w:pos="284"/>
              </w:tabs>
              <w:autoSpaceDE w:val="0"/>
              <w:autoSpaceDN w:val="0"/>
              <w:adjustRightInd w:val="0"/>
              <w:jc w:val="center"/>
              <w:rPr>
                <w:sz w:val="22"/>
                <w:szCs w:val="22"/>
                <w:lang w:val="sr-Latn-ME"/>
              </w:rPr>
            </w:pPr>
          </w:p>
          <w:p w14:paraId="43078636" w14:textId="77777777" w:rsidR="00DC171F" w:rsidRPr="009F254D" w:rsidRDefault="00DC171F" w:rsidP="00E43FA0">
            <w:pPr>
              <w:tabs>
                <w:tab w:val="left" w:pos="284"/>
              </w:tabs>
              <w:autoSpaceDE w:val="0"/>
              <w:autoSpaceDN w:val="0"/>
              <w:adjustRightInd w:val="0"/>
              <w:jc w:val="center"/>
              <w:rPr>
                <w:sz w:val="22"/>
                <w:szCs w:val="22"/>
                <w:lang w:val="sr-Latn-ME"/>
              </w:rPr>
            </w:pPr>
            <w:r w:rsidRPr="009F254D">
              <w:rPr>
                <w:sz w:val="22"/>
                <w:szCs w:val="22"/>
                <w:lang w:val="sr-Latn-ME"/>
              </w:rPr>
              <w:t>38,2**</w:t>
            </w:r>
          </w:p>
          <w:p w14:paraId="12B48D67" w14:textId="77777777" w:rsidR="00DC171F" w:rsidRPr="009F254D" w:rsidRDefault="00DC171F" w:rsidP="00E43FA0">
            <w:pPr>
              <w:tabs>
                <w:tab w:val="left" w:pos="284"/>
              </w:tabs>
              <w:autoSpaceDE w:val="0"/>
              <w:autoSpaceDN w:val="0"/>
              <w:adjustRightInd w:val="0"/>
              <w:jc w:val="center"/>
              <w:rPr>
                <w:sz w:val="22"/>
                <w:szCs w:val="22"/>
                <w:lang w:val="sr-Latn-ME"/>
              </w:rPr>
            </w:pPr>
            <w:r w:rsidRPr="009F254D">
              <w:rPr>
                <w:sz w:val="22"/>
                <w:szCs w:val="22"/>
                <w:lang w:val="sr-Latn-ME"/>
              </w:rPr>
              <w:t>(N = 90)</w:t>
            </w:r>
          </w:p>
        </w:tc>
        <w:tc>
          <w:tcPr>
            <w:tcW w:w="0" w:type="auto"/>
            <w:tcBorders>
              <w:top w:val="single" w:sz="8" w:space="0" w:color="auto"/>
              <w:bottom w:val="single" w:sz="8" w:space="0" w:color="auto"/>
              <w:right w:val="single" w:sz="8" w:space="0" w:color="auto"/>
            </w:tcBorders>
          </w:tcPr>
          <w:p w14:paraId="33A15C58" w14:textId="77777777" w:rsidR="00DC171F" w:rsidRPr="009F254D" w:rsidRDefault="00DC171F" w:rsidP="00E43FA0">
            <w:pPr>
              <w:tabs>
                <w:tab w:val="left" w:pos="284"/>
              </w:tabs>
              <w:autoSpaceDE w:val="0"/>
              <w:autoSpaceDN w:val="0"/>
              <w:adjustRightInd w:val="0"/>
              <w:jc w:val="center"/>
              <w:rPr>
                <w:sz w:val="22"/>
                <w:szCs w:val="22"/>
                <w:lang w:val="sr-Latn-ME"/>
              </w:rPr>
            </w:pPr>
          </w:p>
          <w:p w14:paraId="50607116" w14:textId="77777777" w:rsidR="00DC171F" w:rsidRPr="009F254D" w:rsidRDefault="00DC171F" w:rsidP="00E43FA0">
            <w:pPr>
              <w:tabs>
                <w:tab w:val="left" w:pos="284"/>
              </w:tabs>
              <w:autoSpaceDE w:val="0"/>
              <w:autoSpaceDN w:val="0"/>
              <w:adjustRightInd w:val="0"/>
              <w:jc w:val="center"/>
              <w:rPr>
                <w:sz w:val="22"/>
                <w:szCs w:val="22"/>
                <w:lang w:val="sr-Latn-ME"/>
              </w:rPr>
            </w:pPr>
          </w:p>
          <w:p w14:paraId="1EDF4005" w14:textId="77777777" w:rsidR="00DC171F" w:rsidRPr="009F254D" w:rsidRDefault="00DC171F" w:rsidP="00E43FA0">
            <w:pPr>
              <w:tabs>
                <w:tab w:val="left" w:pos="284"/>
              </w:tabs>
              <w:autoSpaceDE w:val="0"/>
              <w:autoSpaceDN w:val="0"/>
              <w:adjustRightInd w:val="0"/>
              <w:jc w:val="center"/>
              <w:rPr>
                <w:sz w:val="22"/>
                <w:szCs w:val="22"/>
                <w:lang w:val="sr-Latn-ME"/>
              </w:rPr>
            </w:pPr>
          </w:p>
          <w:p w14:paraId="75A7D049" w14:textId="77777777" w:rsidR="00DC171F" w:rsidRPr="009F254D" w:rsidRDefault="00DC171F" w:rsidP="00E43FA0">
            <w:pPr>
              <w:tabs>
                <w:tab w:val="left" w:pos="284"/>
              </w:tabs>
              <w:autoSpaceDE w:val="0"/>
              <w:autoSpaceDN w:val="0"/>
              <w:adjustRightInd w:val="0"/>
              <w:jc w:val="center"/>
              <w:rPr>
                <w:sz w:val="22"/>
                <w:szCs w:val="22"/>
                <w:lang w:val="sr-Latn-ME"/>
              </w:rPr>
            </w:pPr>
          </w:p>
          <w:p w14:paraId="41EE83DE" w14:textId="77777777" w:rsidR="00DC171F" w:rsidRPr="009F254D" w:rsidRDefault="00DC171F" w:rsidP="00E43FA0">
            <w:pPr>
              <w:tabs>
                <w:tab w:val="left" w:pos="284"/>
              </w:tabs>
              <w:autoSpaceDE w:val="0"/>
              <w:autoSpaceDN w:val="0"/>
              <w:adjustRightInd w:val="0"/>
              <w:jc w:val="center"/>
              <w:rPr>
                <w:sz w:val="22"/>
                <w:szCs w:val="22"/>
                <w:lang w:val="sr-Latn-ME"/>
              </w:rPr>
            </w:pPr>
            <w:r w:rsidRPr="009F254D">
              <w:rPr>
                <w:sz w:val="22"/>
                <w:szCs w:val="22"/>
                <w:lang w:val="sr-Latn-ME"/>
              </w:rPr>
              <w:t>21,4</w:t>
            </w:r>
          </w:p>
          <w:p w14:paraId="7645C585" w14:textId="77777777" w:rsidR="00DC171F" w:rsidRPr="009F254D" w:rsidRDefault="00DC171F" w:rsidP="00E43FA0">
            <w:pPr>
              <w:tabs>
                <w:tab w:val="left" w:pos="284"/>
              </w:tabs>
              <w:autoSpaceDE w:val="0"/>
              <w:autoSpaceDN w:val="0"/>
              <w:adjustRightInd w:val="0"/>
              <w:jc w:val="center"/>
              <w:rPr>
                <w:sz w:val="22"/>
                <w:szCs w:val="22"/>
                <w:lang w:val="sr-Latn-ME"/>
              </w:rPr>
            </w:pPr>
            <w:r w:rsidRPr="009F254D">
              <w:rPr>
                <w:sz w:val="22"/>
                <w:szCs w:val="22"/>
                <w:lang w:val="sr-Latn-ME"/>
              </w:rPr>
              <w:t>(N = 87)</w:t>
            </w:r>
          </w:p>
        </w:tc>
        <w:tc>
          <w:tcPr>
            <w:tcW w:w="0" w:type="auto"/>
            <w:tcBorders>
              <w:top w:val="single" w:sz="8" w:space="0" w:color="auto"/>
              <w:left w:val="single" w:sz="8" w:space="0" w:color="auto"/>
              <w:bottom w:val="single" w:sz="8" w:space="0" w:color="auto"/>
            </w:tcBorders>
          </w:tcPr>
          <w:p w14:paraId="6DB77267" w14:textId="77777777" w:rsidR="00DC171F" w:rsidRPr="009F254D" w:rsidRDefault="00DC171F" w:rsidP="00E43FA0">
            <w:pPr>
              <w:tabs>
                <w:tab w:val="left" w:pos="284"/>
              </w:tabs>
              <w:autoSpaceDE w:val="0"/>
              <w:autoSpaceDN w:val="0"/>
              <w:adjustRightInd w:val="0"/>
              <w:jc w:val="center"/>
              <w:rPr>
                <w:sz w:val="22"/>
                <w:szCs w:val="22"/>
                <w:lang w:val="sr-Latn-ME"/>
              </w:rPr>
            </w:pPr>
          </w:p>
          <w:p w14:paraId="31ACD99F" w14:textId="77777777" w:rsidR="00DC171F" w:rsidRPr="009F254D" w:rsidRDefault="00DC171F" w:rsidP="00E43FA0">
            <w:pPr>
              <w:tabs>
                <w:tab w:val="left" w:pos="284"/>
              </w:tabs>
              <w:autoSpaceDE w:val="0"/>
              <w:autoSpaceDN w:val="0"/>
              <w:adjustRightInd w:val="0"/>
              <w:jc w:val="center"/>
              <w:rPr>
                <w:sz w:val="22"/>
                <w:szCs w:val="22"/>
                <w:lang w:val="sr-Latn-ME"/>
              </w:rPr>
            </w:pPr>
          </w:p>
          <w:p w14:paraId="4F257A82" w14:textId="77777777" w:rsidR="00DC171F" w:rsidRPr="009F254D" w:rsidRDefault="00DC171F" w:rsidP="00E43FA0">
            <w:pPr>
              <w:tabs>
                <w:tab w:val="left" w:pos="284"/>
              </w:tabs>
              <w:autoSpaceDE w:val="0"/>
              <w:autoSpaceDN w:val="0"/>
              <w:adjustRightInd w:val="0"/>
              <w:jc w:val="center"/>
              <w:rPr>
                <w:sz w:val="22"/>
                <w:szCs w:val="22"/>
                <w:lang w:val="sr-Latn-ME"/>
              </w:rPr>
            </w:pPr>
          </w:p>
          <w:p w14:paraId="6BD9AD95" w14:textId="77777777" w:rsidR="00DC171F" w:rsidRPr="009F254D" w:rsidRDefault="00DC171F" w:rsidP="00E43FA0">
            <w:pPr>
              <w:tabs>
                <w:tab w:val="left" w:pos="284"/>
              </w:tabs>
              <w:autoSpaceDE w:val="0"/>
              <w:autoSpaceDN w:val="0"/>
              <w:adjustRightInd w:val="0"/>
              <w:jc w:val="center"/>
              <w:rPr>
                <w:sz w:val="22"/>
                <w:szCs w:val="22"/>
                <w:lang w:val="sr-Latn-ME"/>
              </w:rPr>
            </w:pPr>
          </w:p>
          <w:p w14:paraId="18E51D99" w14:textId="77777777" w:rsidR="00DC171F" w:rsidRPr="009F254D" w:rsidRDefault="00DC171F" w:rsidP="00E43FA0">
            <w:pPr>
              <w:tabs>
                <w:tab w:val="left" w:pos="284"/>
              </w:tabs>
              <w:autoSpaceDE w:val="0"/>
              <w:autoSpaceDN w:val="0"/>
              <w:adjustRightInd w:val="0"/>
              <w:jc w:val="center"/>
              <w:rPr>
                <w:sz w:val="22"/>
                <w:szCs w:val="22"/>
                <w:lang w:val="sr-Latn-ME"/>
              </w:rPr>
            </w:pPr>
          </w:p>
        </w:tc>
        <w:tc>
          <w:tcPr>
            <w:tcW w:w="0" w:type="auto"/>
            <w:gridSpan w:val="2"/>
            <w:tcBorders>
              <w:top w:val="single" w:sz="8" w:space="0" w:color="auto"/>
              <w:bottom w:val="single" w:sz="8" w:space="0" w:color="auto"/>
            </w:tcBorders>
          </w:tcPr>
          <w:p w14:paraId="28AD42C9" w14:textId="77777777" w:rsidR="00DC171F" w:rsidRPr="009F254D" w:rsidRDefault="00DC171F" w:rsidP="00E43FA0">
            <w:pPr>
              <w:tabs>
                <w:tab w:val="left" w:pos="284"/>
              </w:tabs>
              <w:autoSpaceDE w:val="0"/>
              <w:autoSpaceDN w:val="0"/>
              <w:adjustRightInd w:val="0"/>
              <w:jc w:val="center"/>
              <w:rPr>
                <w:sz w:val="22"/>
                <w:szCs w:val="22"/>
                <w:lang w:val="sr-Latn-ME"/>
              </w:rPr>
            </w:pPr>
          </w:p>
          <w:p w14:paraId="19E7E872" w14:textId="77777777" w:rsidR="00DC171F" w:rsidRPr="009F254D" w:rsidRDefault="00DC171F" w:rsidP="00E43FA0">
            <w:pPr>
              <w:tabs>
                <w:tab w:val="left" w:pos="284"/>
              </w:tabs>
              <w:autoSpaceDE w:val="0"/>
              <w:autoSpaceDN w:val="0"/>
              <w:adjustRightInd w:val="0"/>
              <w:jc w:val="center"/>
              <w:rPr>
                <w:sz w:val="22"/>
                <w:szCs w:val="22"/>
                <w:lang w:val="sr-Latn-ME"/>
              </w:rPr>
            </w:pPr>
          </w:p>
          <w:p w14:paraId="70CD2591" w14:textId="77777777" w:rsidR="00DC171F" w:rsidRPr="009F254D" w:rsidRDefault="00DC171F" w:rsidP="00E43FA0">
            <w:pPr>
              <w:tabs>
                <w:tab w:val="left" w:pos="284"/>
              </w:tabs>
              <w:autoSpaceDE w:val="0"/>
              <w:autoSpaceDN w:val="0"/>
              <w:adjustRightInd w:val="0"/>
              <w:jc w:val="center"/>
              <w:rPr>
                <w:sz w:val="22"/>
                <w:szCs w:val="22"/>
                <w:lang w:val="sr-Latn-ME"/>
              </w:rPr>
            </w:pPr>
          </w:p>
          <w:p w14:paraId="092728CF" w14:textId="77777777" w:rsidR="00DC171F" w:rsidRPr="009F254D" w:rsidRDefault="00DC171F" w:rsidP="00E43FA0">
            <w:pPr>
              <w:tabs>
                <w:tab w:val="left" w:pos="284"/>
              </w:tabs>
              <w:autoSpaceDE w:val="0"/>
              <w:autoSpaceDN w:val="0"/>
              <w:adjustRightInd w:val="0"/>
              <w:jc w:val="center"/>
              <w:rPr>
                <w:sz w:val="22"/>
                <w:szCs w:val="22"/>
                <w:lang w:val="sr-Latn-ME"/>
              </w:rPr>
            </w:pPr>
          </w:p>
          <w:p w14:paraId="3E554DDD" w14:textId="77777777" w:rsidR="00DC171F" w:rsidRPr="009F254D" w:rsidRDefault="00DC171F" w:rsidP="00E43FA0">
            <w:pPr>
              <w:tabs>
                <w:tab w:val="left" w:pos="284"/>
              </w:tabs>
              <w:autoSpaceDE w:val="0"/>
              <w:autoSpaceDN w:val="0"/>
              <w:adjustRightInd w:val="0"/>
              <w:jc w:val="center"/>
              <w:rPr>
                <w:sz w:val="22"/>
                <w:szCs w:val="22"/>
                <w:lang w:val="sr-Latn-ME"/>
              </w:rPr>
            </w:pPr>
          </w:p>
        </w:tc>
      </w:tr>
      <w:tr w:rsidR="00DC171F" w:rsidRPr="009F254D" w14:paraId="0F5E3F48" w14:textId="77777777" w:rsidTr="00E43FA0">
        <w:trPr>
          <w:gridAfter w:val="1"/>
        </w:trPr>
        <w:tc>
          <w:tcPr>
            <w:tcW w:w="0" w:type="auto"/>
            <w:tcBorders>
              <w:top w:val="single" w:sz="8" w:space="0" w:color="auto"/>
              <w:bottom w:val="single" w:sz="12" w:space="0" w:color="auto"/>
              <w:right w:val="single" w:sz="8" w:space="0" w:color="auto"/>
            </w:tcBorders>
          </w:tcPr>
          <w:p w14:paraId="29FFDA77" w14:textId="77777777" w:rsidR="00DC171F" w:rsidRPr="009F254D" w:rsidRDefault="00DC171F" w:rsidP="00E43FA0">
            <w:pPr>
              <w:tabs>
                <w:tab w:val="left" w:pos="37"/>
              </w:tabs>
              <w:autoSpaceDE w:val="0"/>
              <w:autoSpaceDN w:val="0"/>
              <w:adjustRightInd w:val="0"/>
              <w:ind w:left="142" w:hanging="105"/>
              <w:rPr>
                <w:b/>
                <w:bCs/>
                <w:sz w:val="22"/>
                <w:szCs w:val="22"/>
                <w:lang w:val="sr-Latn-ME"/>
              </w:rPr>
            </w:pPr>
            <w:r w:rsidRPr="009F254D">
              <w:rPr>
                <w:b/>
                <w:bCs/>
                <w:sz w:val="22"/>
                <w:szCs w:val="22"/>
                <w:lang w:val="sr-Latn-ME"/>
              </w:rPr>
              <w:t>Tjelesna masa (kg)</w:t>
            </w:r>
          </w:p>
          <w:p w14:paraId="576CCAAA" w14:textId="77777777" w:rsidR="00DC171F" w:rsidRPr="009F254D" w:rsidRDefault="00DC171F" w:rsidP="00E43FA0">
            <w:pPr>
              <w:tabs>
                <w:tab w:val="left" w:pos="284"/>
              </w:tabs>
              <w:ind w:left="142"/>
              <w:rPr>
                <w:sz w:val="22"/>
                <w:szCs w:val="22"/>
                <w:lang w:val="sr-Latn-ME"/>
              </w:rPr>
            </w:pPr>
            <w:r w:rsidRPr="009F254D">
              <w:rPr>
                <w:sz w:val="22"/>
                <w:szCs w:val="22"/>
                <w:lang w:val="sr-Latn-ME"/>
              </w:rPr>
              <w:t>Početna vrijednost (srednja)</w:t>
            </w:r>
          </w:p>
          <w:p w14:paraId="03A7C7E2" w14:textId="77777777" w:rsidR="00DC171F" w:rsidRPr="009F254D" w:rsidRDefault="00DC171F" w:rsidP="00E43FA0">
            <w:pPr>
              <w:tabs>
                <w:tab w:val="left" w:pos="284"/>
              </w:tabs>
              <w:ind w:left="179" w:hanging="37"/>
              <w:rPr>
                <w:sz w:val="22"/>
                <w:szCs w:val="22"/>
                <w:lang w:val="sr-Latn-ME"/>
              </w:rPr>
            </w:pPr>
            <w:r w:rsidRPr="009F254D">
              <w:rPr>
                <w:sz w:val="22"/>
                <w:szCs w:val="22"/>
                <w:lang w:val="sr-Latn-ME"/>
              </w:rPr>
              <w:t>Promjena u odnosu na</w:t>
            </w:r>
          </w:p>
          <w:p w14:paraId="56ABE0B3" w14:textId="77777777" w:rsidR="00DC171F" w:rsidRPr="009F254D" w:rsidRDefault="00DC171F" w:rsidP="00E43FA0">
            <w:pPr>
              <w:tabs>
                <w:tab w:val="left" w:pos="284"/>
              </w:tabs>
              <w:ind w:left="179" w:hanging="37"/>
              <w:rPr>
                <w:sz w:val="22"/>
                <w:szCs w:val="22"/>
                <w:lang w:val="sr-Latn-ME"/>
              </w:rPr>
            </w:pPr>
            <w:r w:rsidRPr="009F254D">
              <w:rPr>
                <w:sz w:val="22"/>
                <w:szCs w:val="22"/>
                <w:lang w:val="sr-Latn-ME"/>
              </w:rPr>
              <w:t>početnu vrijednost</w:t>
            </w:r>
            <w:r w:rsidRPr="009F254D">
              <w:rPr>
                <w:sz w:val="22"/>
                <w:szCs w:val="22"/>
                <w:vertAlign w:val="superscript"/>
                <w:lang w:val="sr-Latn-ME"/>
              </w:rPr>
              <w:t>d</w:t>
            </w:r>
          </w:p>
          <w:p w14:paraId="1AD80454" w14:textId="77777777" w:rsidR="00DC171F" w:rsidRPr="009F254D" w:rsidRDefault="00DC171F" w:rsidP="00E43FA0">
            <w:pPr>
              <w:tabs>
                <w:tab w:val="left" w:pos="284"/>
              </w:tabs>
              <w:ind w:left="142" w:firstLine="37"/>
              <w:rPr>
                <w:sz w:val="22"/>
                <w:szCs w:val="22"/>
                <w:lang w:val="sr-Latn-ME"/>
              </w:rPr>
            </w:pPr>
            <w:r w:rsidRPr="009F254D">
              <w:rPr>
                <w:sz w:val="22"/>
                <w:szCs w:val="22"/>
                <w:lang w:val="sr-Latn-ME"/>
              </w:rPr>
              <w:t>Razlika u odnosu na</w:t>
            </w:r>
          </w:p>
          <w:p w14:paraId="6C2AC110" w14:textId="77777777" w:rsidR="00DC171F" w:rsidRPr="009F254D" w:rsidRDefault="00DC171F" w:rsidP="00E43FA0">
            <w:pPr>
              <w:tabs>
                <w:tab w:val="left" w:pos="284"/>
              </w:tabs>
              <w:ind w:firstLine="142"/>
              <w:rPr>
                <w:sz w:val="22"/>
                <w:szCs w:val="22"/>
                <w:lang w:val="sr-Latn-ME"/>
              </w:rPr>
            </w:pPr>
            <w:r w:rsidRPr="009F254D">
              <w:rPr>
                <w:sz w:val="22"/>
                <w:szCs w:val="22"/>
                <w:lang w:val="sr-Latn-ME"/>
              </w:rPr>
              <w:t>placebo</w:t>
            </w:r>
            <w:r w:rsidRPr="009F254D">
              <w:rPr>
                <w:sz w:val="22"/>
                <w:szCs w:val="22"/>
                <w:vertAlign w:val="superscript"/>
                <w:lang w:val="sr-Latn-ME"/>
              </w:rPr>
              <w:t>d</w:t>
            </w:r>
          </w:p>
          <w:p w14:paraId="3F3D65A5" w14:textId="77777777" w:rsidR="00DC171F" w:rsidRPr="009F254D" w:rsidRDefault="00DC171F" w:rsidP="00E43FA0">
            <w:pPr>
              <w:tabs>
                <w:tab w:val="left" w:pos="284"/>
              </w:tabs>
              <w:ind w:firstLine="142"/>
              <w:rPr>
                <w:sz w:val="22"/>
                <w:szCs w:val="22"/>
                <w:lang w:val="sr-Latn-ME"/>
              </w:rPr>
            </w:pPr>
            <w:r w:rsidRPr="009F254D">
              <w:rPr>
                <w:sz w:val="22"/>
                <w:szCs w:val="22"/>
                <w:lang w:val="sr-Latn-ME"/>
              </w:rPr>
              <w:t xml:space="preserve">    (95% CI)</w:t>
            </w:r>
          </w:p>
        </w:tc>
        <w:tc>
          <w:tcPr>
            <w:tcW w:w="0" w:type="auto"/>
            <w:tcBorders>
              <w:top w:val="single" w:sz="8" w:space="0" w:color="auto"/>
              <w:left w:val="single" w:sz="8" w:space="0" w:color="auto"/>
              <w:bottom w:val="single" w:sz="12" w:space="0" w:color="auto"/>
            </w:tcBorders>
          </w:tcPr>
          <w:p w14:paraId="317134E6" w14:textId="77777777" w:rsidR="00DC171F" w:rsidRPr="009F254D" w:rsidRDefault="00DC171F" w:rsidP="00E43FA0">
            <w:pPr>
              <w:tabs>
                <w:tab w:val="left" w:pos="284"/>
              </w:tabs>
              <w:autoSpaceDE w:val="0"/>
              <w:autoSpaceDN w:val="0"/>
              <w:adjustRightInd w:val="0"/>
              <w:jc w:val="center"/>
              <w:rPr>
                <w:sz w:val="22"/>
                <w:szCs w:val="22"/>
                <w:lang w:val="sr-Latn-ME"/>
              </w:rPr>
            </w:pPr>
          </w:p>
          <w:p w14:paraId="5F0719BE" w14:textId="77777777" w:rsidR="00DC171F" w:rsidRPr="009F254D" w:rsidRDefault="00DC171F" w:rsidP="00E43FA0">
            <w:pPr>
              <w:tabs>
                <w:tab w:val="left" w:pos="284"/>
              </w:tabs>
              <w:autoSpaceDE w:val="0"/>
              <w:autoSpaceDN w:val="0"/>
              <w:adjustRightInd w:val="0"/>
              <w:jc w:val="center"/>
              <w:rPr>
                <w:sz w:val="22"/>
                <w:szCs w:val="22"/>
                <w:lang w:val="sr-Latn-ME"/>
              </w:rPr>
            </w:pPr>
            <w:r w:rsidRPr="009F254D">
              <w:rPr>
                <w:sz w:val="22"/>
                <w:szCs w:val="22"/>
                <w:lang w:val="sr-Latn-ME"/>
              </w:rPr>
              <w:t>86,28</w:t>
            </w:r>
          </w:p>
          <w:p w14:paraId="2E738516" w14:textId="43BC2B8D" w:rsidR="00DC171F" w:rsidRPr="009F254D" w:rsidRDefault="00DC171F" w:rsidP="00E43FA0">
            <w:pPr>
              <w:tabs>
                <w:tab w:val="left" w:pos="284"/>
              </w:tabs>
              <w:autoSpaceDE w:val="0"/>
              <w:autoSpaceDN w:val="0"/>
              <w:adjustRightInd w:val="0"/>
              <w:jc w:val="center"/>
              <w:rPr>
                <w:sz w:val="22"/>
                <w:szCs w:val="22"/>
                <w:lang w:val="sr-Latn-ME"/>
              </w:rPr>
            </w:pPr>
          </w:p>
          <w:p w14:paraId="24DF9BF0" w14:textId="77777777" w:rsidR="00477D55" w:rsidRPr="009F254D" w:rsidRDefault="00477D55" w:rsidP="00E43FA0">
            <w:pPr>
              <w:tabs>
                <w:tab w:val="left" w:pos="284"/>
              </w:tabs>
              <w:autoSpaceDE w:val="0"/>
              <w:autoSpaceDN w:val="0"/>
              <w:adjustRightInd w:val="0"/>
              <w:jc w:val="center"/>
              <w:rPr>
                <w:sz w:val="22"/>
                <w:szCs w:val="22"/>
                <w:lang w:val="sr-Latn-ME"/>
              </w:rPr>
            </w:pPr>
          </w:p>
          <w:p w14:paraId="20C56886" w14:textId="77777777" w:rsidR="00DC171F" w:rsidRPr="009F254D" w:rsidRDefault="00DC171F" w:rsidP="00E43FA0">
            <w:pPr>
              <w:tabs>
                <w:tab w:val="left" w:pos="284"/>
              </w:tabs>
              <w:autoSpaceDE w:val="0"/>
              <w:autoSpaceDN w:val="0"/>
              <w:adjustRightInd w:val="0"/>
              <w:jc w:val="center"/>
              <w:rPr>
                <w:sz w:val="22"/>
                <w:szCs w:val="22"/>
                <w:lang w:val="sr-Latn-ME"/>
              </w:rPr>
            </w:pPr>
            <w:r w:rsidRPr="009F254D">
              <w:rPr>
                <w:sz w:val="22"/>
                <w:szCs w:val="22"/>
                <w:lang w:val="sr-Latn-ME"/>
              </w:rPr>
              <w:noBreakHyphen/>
              <w:t>2,86</w:t>
            </w:r>
          </w:p>
          <w:p w14:paraId="504793C0" w14:textId="528DDF54" w:rsidR="00DC171F" w:rsidRPr="009F254D" w:rsidRDefault="00DC171F" w:rsidP="00E43FA0">
            <w:pPr>
              <w:tabs>
                <w:tab w:val="left" w:pos="284"/>
              </w:tabs>
              <w:autoSpaceDE w:val="0"/>
              <w:autoSpaceDN w:val="0"/>
              <w:adjustRightInd w:val="0"/>
              <w:jc w:val="center"/>
              <w:rPr>
                <w:sz w:val="22"/>
                <w:szCs w:val="22"/>
                <w:lang w:val="sr-Latn-ME"/>
              </w:rPr>
            </w:pPr>
          </w:p>
          <w:p w14:paraId="27BD7947" w14:textId="48B42D80" w:rsidR="00477D55" w:rsidRPr="009F254D" w:rsidRDefault="00477D55" w:rsidP="00E43FA0">
            <w:pPr>
              <w:tabs>
                <w:tab w:val="left" w:pos="284"/>
              </w:tabs>
              <w:autoSpaceDE w:val="0"/>
              <w:autoSpaceDN w:val="0"/>
              <w:adjustRightInd w:val="0"/>
              <w:jc w:val="center"/>
              <w:rPr>
                <w:sz w:val="22"/>
                <w:szCs w:val="22"/>
                <w:lang w:val="sr-Latn-ME"/>
              </w:rPr>
            </w:pPr>
          </w:p>
          <w:p w14:paraId="4342647C" w14:textId="77777777" w:rsidR="00477D55" w:rsidRPr="009F254D" w:rsidRDefault="00477D55" w:rsidP="00E43FA0">
            <w:pPr>
              <w:tabs>
                <w:tab w:val="left" w:pos="284"/>
              </w:tabs>
              <w:autoSpaceDE w:val="0"/>
              <w:autoSpaceDN w:val="0"/>
              <w:adjustRightInd w:val="0"/>
              <w:jc w:val="center"/>
              <w:rPr>
                <w:sz w:val="22"/>
                <w:szCs w:val="22"/>
                <w:lang w:val="sr-Latn-ME"/>
              </w:rPr>
            </w:pPr>
          </w:p>
          <w:p w14:paraId="64FC19FE" w14:textId="77777777" w:rsidR="00DC171F" w:rsidRPr="009F254D" w:rsidRDefault="00DC171F" w:rsidP="00E43FA0">
            <w:pPr>
              <w:tabs>
                <w:tab w:val="left" w:pos="284"/>
              </w:tabs>
              <w:autoSpaceDE w:val="0"/>
              <w:autoSpaceDN w:val="0"/>
              <w:adjustRightInd w:val="0"/>
              <w:jc w:val="center"/>
              <w:rPr>
                <w:sz w:val="22"/>
                <w:szCs w:val="22"/>
                <w:lang w:val="sr-Latn-ME"/>
              </w:rPr>
            </w:pPr>
            <w:r w:rsidRPr="009F254D">
              <w:rPr>
                <w:sz w:val="22"/>
                <w:szCs w:val="22"/>
                <w:lang w:val="sr-Latn-ME"/>
              </w:rPr>
              <w:noBreakHyphen/>
              <w:t>1,97</w:t>
            </w:r>
            <w:r w:rsidRPr="009F254D">
              <w:rPr>
                <w:sz w:val="22"/>
                <w:szCs w:val="22"/>
                <w:vertAlign w:val="superscript"/>
                <w:lang w:val="sr-Latn-ME"/>
              </w:rPr>
              <w:t>*</w:t>
            </w:r>
          </w:p>
          <w:p w14:paraId="367E1F08" w14:textId="77777777" w:rsidR="00DC171F" w:rsidRPr="009F254D" w:rsidRDefault="00DC171F" w:rsidP="00E43FA0">
            <w:pPr>
              <w:tabs>
                <w:tab w:val="left" w:pos="284"/>
              </w:tabs>
              <w:autoSpaceDE w:val="0"/>
              <w:autoSpaceDN w:val="0"/>
              <w:adjustRightInd w:val="0"/>
              <w:jc w:val="center"/>
              <w:rPr>
                <w:sz w:val="22"/>
                <w:szCs w:val="22"/>
                <w:lang w:val="sr-Latn-ME"/>
              </w:rPr>
            </w:pPr>
          </w:p>
          <w:p w14:paraId="1F79561E" w14:textId="77777777" w:rsidR="00DC171F" w:rsidRPr="009F254D" w:rsidRDefault="00DC171F" w:rsidP="00E43FA0">
            <w:pPr>
              <w:tabs>
                <w:tab w:val="left" w:pos="284"/>
              </w:tabs>
              <w:autoSpaceDE w:val="0"/>
              <w:autoSpaceDN w:val="0"/>
              <w:adjustRightInd w:val="0"/>
              <w:jc w:val="center"/>
              <w:rPr>
                <w:sz w:val="22"/>
                <w:szCs w:val="22"/>
                <w:lang w:val="sr-Latn-ME"/>
              </w:rPr>
            </w:pPr>
          </w:p>
          <w:p w14:paraId="0CE97912" w14:textId="77777777" w:rsidR="00DC171F" w:rsidRPr="009F254D" w:rsidRDefault="00DC171F" w:rsidP="00E43FA0">
            <w:pPr>
              <w:tabs>
                <w:tab w:val="left" w:pos="284"/>
              </w:tabs>
              <w:autoSpaceDE w:val="0"/>
              <w:autoSpaceDN w:val="0"/>
              <w:adjustRightInd w:val="0"/>
              <w:jc w:val="center"/>
              <w:rPr>
                <w:sz w:val="22"/>
                <w:szCs w:val="22"/>
                <w:lang w:val="sr-Latn-ME"/>
              </w:rPr>
            </w:pPr>
          </w:p>
          <w:p w14:paraId="73D6558B" w14:textId="77777777" w:rsidR="00DC171F" w:rsidRPr="009F254D" w:rsidRDefault="00DC171F" w:rsidP="00E43FA0">
            <w:pPr>
              <w:tabs>
                <w:tab w:val="left" w:pos="284"/>
              </w:tabs>
              <w:autoSpaceDE w:val="0"/>
              <w:autoSpaceDN w:val="0"/>
              <w:adjustRightInd w:val="0"/>
              <w:jc w:val="center"/>
              <w:rPr>
                <w:sz w:val="22"/>
                <w:szCs w:val="22"/>
                <w:lang w:val="sr-Latn-ME"/>
              </w:rPr>
            </w:pPr>
            <w:r w:rsidRPr="009F254D">
              <w:rPr>
                <w:sz w:val="22"/>
                <w:szCs w:val="22"/>
                <w:lang w:val="sr-Latn-ME"/>
              </w:rPr>
              <w:t>(</w:t>
            </w:r>
            <w:r w:rsidRPr="009F254D">
              <w:rPr>
                <w:sz w:val="22"/>
                <w:szCs w:val="22"/>
                <w:lang w:val="sr-Latn-ME"/>
              </w:rPr>
              <w:noBreakHyphen/>
              <w:t xml:space="preserve">2,63, </w:t>
            </w:r>
            <w:r w:rsidRPr="009F254D">
              <w:rPr>
                <w:sz w:val="22"/>
                <w:szCs w:val="22"/>
                <w:lang w:val="sr-Latn-ME"/>
              </w:rPr>
              <w:noBreakHyphen/>
              <w:t>1,31)</w:t>
            </w:r>
          </w:p>
        </w:tc>
        <w:tc>
          <w:tcPr>
            <w:tcW w:w="0" w:type="auto"/>
            <w:tcBorders>
              <w:top w:val="single" w:sz="8" w:space="0" w:color="auto"/>
              <w:bottom w:val="single" w:sz="12" w:space="0" w:color="auto"/>
              <w:right w:val="single" w:sz="8" w:space="0" w:color="auto"/>
            </w:tcBorders>
          </w:tcPr>
          <w:p w14:paraId="009CA392" w14:textId="77777777" w:rsidR="00DC171F" w:rsidRPr="009F254D" w:rsidRDefault="00DC171F" w:rsidP="00E43FA0">
            <w:pPr>
              <w:tabs>
                <w:tab w:val="left" w:pos="284"/>
              </w:tabs>
              <w:autoSpaceDE w:val="0"/>
              <w:autoSpaceDN w:val="0"/>
              <w:adjustRightInd w:val="0"/>
              <w:jc w:val="center"/>
              <w:rPr>
                <w:sz w:val="22"/>
                <w:szCs w:val="22"/>
                <w:lang w:val="sr-Latn-ME"/>
              </w:rPr>
            </w:pPr>
          </w:p>
          <w:p w14:paraId="143BC513" w14:textId="77777777" w:rsidR="00DC171F" w:rsidRPr="009F254D" w:rsidRDefault="00DC171F" w:rsidP="00E43FA0">
            <w:pPr>
              <w:tabs>
                <w:tab w:val="left" w:pos="284"/>
              </w:tabs>
              <w:autoSpaceDE w:val="0"/>
              <w:autoSpaceDN w:val="0"/>
              <w:adjustRightInd w:val="0"/>
              <w:jc w:val="center"/>
              <w:rPr>
                <w:sz w:val="22"/>
                <w:szCs w:val="22"/>
                <w:lang w:val="sr-Latn-ME"/>
              </w:rPr>
            </w:pPr>
            <w:r w:rsidRPr="009F254D">
              <w:rPr>
                <w:sz w:val="22"/>
                <w:szCs w:val="22"/>
                <w:lang w:val="sr-Latn-ME"/>
              </w:rPr>
              <w:t>87,74</w:t>
            </w:r>
          </w:p>
          <w:p w14:paraId="540423BF" w14:textId="438C2F23" w:rsidR="00DC171F" w:rsidRPr="009F254D" w:rsidRDefault="00DC171F" w:rsidP="00E43FA0">
            <w:pPr>
              <w:tabs>
                <w:tab w:val="left" w:pos="284"/>
              </w:tabs>
              <w:autoSpaceDE w:val="0"/>
              <w:autoSpaceDN w:val="0"/>
              <w:adjustRightInd w:val="0"/>
              <w:jc w:val="center"/>
              <w:rPr>
                <w:sz w:val="22"/>
                <w:szCs w:val="22"/>
                <w:lang w:val="sr-Latn-ME"/>
              </w:rPr>
            </w:pPr>
          </w:p>
          <w:p w14:paraId="73F918BE" w14:textId="77777777" w:rsidR="00477D55" w:rsidRPr="009F254D" w:rsidRDefault="00477D55" w:rsidP="00E43FA0">
            <w:pPr>
              <w:tabs>
                <w:tab w:val="left" w:pos="284"/>
              </w:tabs>
              <w:autoSpaceDE w:val="0"/>
              <w:autoSpaceDN w:val="0"/>
              <w:adjustRightInd w:val="0"/>
              <w:jc w:val="center"/>
              <w:rPr>
                <w:sz w:val="22"/>
                <w:szCs w:val="22"/>
                <w:lang w:val="sr-Latn-ME"/>
              </w:rPr>
            </w:pPr>
          </w:p>
          <w:p w14:paraId="3DDC446B" w14:textId="77777777" w:rsidR="00DC171F" w:rsidRPr="009F254D" w:rsidRDefault="00DC171F" w:rsidP="00E43FA0">
            <w:pPr>
              <w:tabs>
                <w:tab w:val="left" w:pos="284"/>
              </w:tabs>
              <w:autoSpaceDE w:val="0"/>
              <w:autoSpaceDN w:val="0"/>
              <w:adjustRightInd w:val="0"/>
              <w:jc w:val="center"/>
              <w:rPr>
                <w:sz w:val="22"/>
                <w:szCs w:val="22"/>
                <w:lang w:val="sr-Latn-ME"/>
              </w:rPr>
            </w:pPr>
            <w:r w:rsidRPr="009F254D">
              <w:rPr>
                <w:sz w:val="22"/>
                <w:szCs w:val="22"/>
                <w:lang w:val="sr-Latn-ME"/>
              </w:rPr>
              <w:noBreakHyphen/>
              <w:t>0,89</w:t>
            </w:r>
          </w:p>
        </w:tc>
        <w:tc>
          <w:tcPr>
            <w:tcW w:w="0" w:type="auto"/>
            <w:tcBorders>
              <w:top w:val="single" w:sz="8" w:space="0" w:color="auto"/>
              <w:left w:val="single" w:sz="8" w:space="0" w:color="auto"/>
              <w:bottom w:val="single" w:sz="12" w:space="0" w:color="auto"/>
            </w:tcBorders>
          </w:tcPr>
          <w:p w14:paraId="46399FED" w14:textId="77777777" w:rsidR="00DC171F" w:rsidRPr="009F254D" w:rsidRDefault="00DC171F" w:rsidP="00E43FA0">
            <w:pPr>
              <w:tabs>
                <w:tab w:val="left" w:pos="284"/>
              </w:tabs>
              <w:autoSpaceDE w:val="0"/>
              <w:autoSpaceDN w:val="0"/>
              <w:adjustRightInd w:val="0"/>
              <w:jc w:val="center"/>
              <w:rPr>
                <w:sz w:val="22"/>
                <w:szCs w:val="22"/>
                <w:lang w:val="sr-Latn-ME"/>
              </w:rPr>
            </w:pPr>
          </w:p>
          <w:p w14:paraId="2BB925E2" w14:textId="77777777" w:rsidR="00DC171F" w:rsidRPr="009F254D" w:rsidRDefault="00DC171F" w:rsidP="00E43FA0">
            <w:pPr>
              <w:tabs>
                <w:tab w:val="left" w:pos="284"/>
              </w:tabs>
              <w:autoSpaceDE w:val="0"/>
              <w:autoSpaceDN w:val="0"/>
              <w:adjustRightInd w:val="0"/>
              <w:jc w:val="center"/>
              <w:rPr>
                <w:sz w:val="22"/>
                <w:szCs w:val="22"/>
                <w:lang w:val="sr-Latn-ME"/>
              </w:rPr>
            </w:pPr>
            <w:r w:rsidRPr="009F254D">
              <w:rPr>
                <w:sz w:val="22"/>
                <w:szCs w:val="22"/>
                <w:lang w:val="sr-Latn-ME"/>
              </w:rPr>
              <w:t>93,62</w:t>
            </w:r>
          </w:p>
          <w:p w14:paraId="78EF2052" w14:textId="222B4B59" w:rsidR="00DC171F" w:rsidRPr="009F254D" w:rsidRDefault="00DC171F" w:rsidP="00E43FA0">
            <w:pPr>
              <w:tabs>
                <w:tab w:val="left" w:pos="284"/>
              </w:tabs>
              <w:autoSpaceDE w:val="0"/>
              <w:autoSpaceDN w:val="0"/>
              <w:adjustRightInd w:val="0"/>
              <w:jc w:val="center"/>
              <w:rPr>
                <w:sz w:val="22"/>
                <w:szCs w:val="22"/>
                <w:lang w:val="sr-Latn-ME"/>
              </w:rPr>
            </w:pPr>
          </w:p>
          <w:p w14:paraId="71F66966" w14:textId="77777777" w:rsidR="00477D55" w:rsidRPr="009F254D" w:rsidRDefault="00477D55" w:rsidP="00E43FA0">
            <w:pPr>
              <w:tabs>
                <w:tab w:val="left" w:pos="284"/>
              </w:tabs>
              <w:autoSpaceDE w:val="0"/>
              <w:autoSpaceDN w:val="0"/>
              <w:adjustRightInd w:val="0"/>
              <w:jc w:val="center"/>
              <w:rPr>
                <w:sz w:val="22"/>
                <w:szCs w:val="22"/>
                <w:lang w:val="sr-Latn-ME"/>
              </w:rPr>
            </w:pPr>
          </w:p>
          <w:p w14:paraId="08B7E619" w14:textId="77777777" w:rsidR="00DC171F" w:rsidRPr="009F254D" w:rsidRDefault="00DC171F" w:rsidP="00E43FA0">
            <w:pPr>
              <w:tabs>
                <w:tab w:val="left" w:pos="284"/>
              </w:tabs>
              <w:autoSpaceDE w:val="0"/>
              <w:autoSpaceDN w:val="0"/>
              <w:adjustRightInd w:val="0"/>
              <w:jc w:val="center"/>
              <w:rPr>
                <w:sz w:val="22"/>
                <w:szCs w:val="22"/>
                <w:lang w:val="sr-Latn-ME"/>
              </w:rPr>
            </w:pPr>
            <w:r w:rsidRPr="009F254D">
              <w:rPr>
                <w:sz w:val="22"/>
                <w:szCs w:val="22"/>
                <w:lang w:val="sr-Latn-ME"/>
              </w:rPr>
              <w:noBreakHyphen/>
              <w:t>2,74</w:t>
            </w:r>
          </w:p>
          <w:p w14:paraId="12030DC0" w14:textId="14524BB3" w:rsidR="00DC171F" w:rsidRPr="009F254D" w:rsidRDefault="00DC171F" w:rsidP="00E43FA0">
            <w:pPr>
              <w:tabs>
                <w:tab w:val="left" w:pos="284"/>
              </w:tabs>
              <w:autoSpaceDE w:val="0"/>
              <w:autoSpaceDN w:val="0"/>
              <w:adjustRightInd w:val="0"/>
              <w:jc w:val="center"/>
              <w:rPr>
                <w:sz w:val="22"/>
                <w:szCs w:val="22"/>
                <w:lang w:val="sr-Latn-ME"/>
              </w:rPr>
            </w:pPr>
          </w:p>
          <w:p w14:paraId="342EC308" w14:textId="43215556" w:rsidR="00477D55" w:rsidRPr="009F254D" w:rsidRDefault="00477D55" w:rsidP="00E43FA0">
            <w:pPr>
              <w:tabs>
                <w:tab w:val="left" w:pos="284"/>
              </w:tabs>
              <w:autoSpaceDE w:val="0"/>
              <w:autoSpaceDN w:val="0"/>
              <w:adjustRightInd w:val="0"/>
              <w:jc w:val="center"/>
              <w:rPr>
                <w:sz w:val="22"/>
                <w:szCs w:val="22"/>
                <w:lang w:val="sr-Latn-ME"/>
              </w:rPr>
            </w:pPr>
          </w:p>
          <w:p w14:paraId="70D39589" w14:textId="77777777" w:rsidR="00477D55" w:rsidRPr="009F254D" w:rsidRDefault="00477D55" w:rsidP="00E43FA0">
            <w:pPr>
              <w:tabs>
                <w:tab w:val="left" w:pos="284"/>
              </w:tabs>
              <w:autoSpaceDE w:val="0"/>
              <w:autoSpaceDN w:val="0"/>
              <w:adjustRightInd w:val="0"/>
              <w:jc w:val="center"/>
              <w:rPr>
                <w:sz w:val="22"/>
                <w:szCs w:val="22"/>
                <w:lang w:val="sr-Latn-ME"/>
              </w:rPr>
            </w:pPr>
          </w:p>
          <w:p w14:paraId="1A3328DD" w14:textId="77777777" w:rsidR="00DC171F" w:rsidRPr="009F254D" w:rsidRDefault="00DC171F" w:rsidP="00E43FA0">
            <w:pPr>
              <w:tabs>
                <w:tab w:val="left" w:pos="284"/>
              </w:tabs>
              <w:autoSpaceDE w:val="0"/>
              <w:autoSpaceDN w:val="0"/>
              <w:adjustRightInd w:val="0"/>
              <w:jc w:val="center"/>
              <w:rPr>
                <w:sz w:val="22"/>
                <w:szCs w:val="22"/>
                <w:vertAlign w:val="superscript"/>
                <w:lang w:val="sr-Latn-ME"/>
              </w:rPr>
            </w:pPr>
            <w:r w:rsidRPr="009F254D">
              <w:rPr>
                <w:sz w:val="22"/>
                <w:szCs w:val="22"/>
                <w:lang w:val="sr-Latn-ME"/>
              </w:rPr>
              <w:noBreakHyphen/>
              <w:t>1,88</w:t>
            </w:r>
            <w:r w:rsidRPr="009F254D">
              <w:rPr>
                <w:sz w:val="22"/>
                <w:szCs w:val="22"/>
                <w:vertAlign w:val="superscript"/>
                <w:lang w:val="sr-Latn-ME"/>
              </w:rPr>
              <w:t>***</w:t>
            </w:r>
          </w:p>
          <w:p w14:paraId="37B35CE9" w14:textId="77777777" w:rsidR="00DC171F" w:rsidRPr="009F254D" w:rsidRDefault="00DC171F" w:rsidP="00E43FA0">
            <w:pPr>
              <w:tabs>
                <w:tab w:val="left" w:pos="284"/>
              </w:tabs>
              <w:autoSpaceDE w:val="0"/>
              <w:autoSpaceDN w:val="0"/>
              <w:adjustRightInd w:val="0"/>
              <w:jc w:val="center"/>
              <w:rPr>
                <w:sz w:val="22"/>
                <w:szCs w:val="22"/>
                <w:lang w:val="sr-Latn-ME"/>
              </w:rPr>
            </w:pPr>
          </w:p>
          <w:p w14:paraId="77001A14" w14:textId="77777777" w:rsidR="00DC171F" w:rsidRPr="009F254D" w:rsidRDefault="00DC171F" w:rsidP="00E43FA0">
            <w:pPr>
              <w:tabs>
                <w:tab w:val="left" w:pos="284"/>
              </w:tabs>
              <w:autoSpaceDE w:val="0"/>
              <w:autoSpaceDN w:val="0"/>
              <w:adjustRightInd w:val="0"/>
              <w:jc w:val="center"/>
              <w:rPr>
                <w:sz w:val="22"/>
                <w:szCs w:val="22"/>
                <w:lang w:val="sr-Latn-ME"/>
              </w:rPr>
            </w:pPr>
          </w:p>
          <w:p w14:paraId="59F55D63" w14:textId="77777777" w:rsidR="00DC171F" w:rsidRPr="009F254D" w:rsidRDefault="00DC171F" w:rsidP="00E43FA0">
            <w:pPr>
              <w:tabs>
                <w:tab w:val="left" w:pos="284"/>
              </w:tabs>
              <w:autoSpaceDE w:val="0"/>
              <w:autoSpaceDN w:val="0"/>
              <w:adjustRightInd w:val="0"/>
              <w:jc w:val="center"/>
              <w:rPr>
                <w:sz w:val="22"/>
                <w:szCs w:val="22"/>
                <w:lang w:val="sr-Latn-ME"/>
              </w:rPr>
            </w:pPr>
          </w:p>
          <w:p w14:paraId="350C7D00" w14:textId="77777777" w:rsidR="00DC171F" w:rsidRPr="009F254D" w:rsidRDefault="00DC171F" w:rsidP="00E43FA0">
            <w:pPr>
              <w:tabs>
                <w:tab w:val="left" w:pos="284"/>
              </w:tabs>
              <w:autoSpaceDE w:val="0"/>
              <w:autoSpaceDN w:val="0"/>
              <w:adjustRightInd w:val="0"/>
              <w:jc w:val="center"/>
              <w:rPr>
                <w:sz w:val="22"/>
                <w:szCs w:val="22"/>
                <w:lang w:val="sr-Latn-ME"/>
              </w:rPr>
            </w:pPr>
            <w:r w:rsidRPr="009F254D">
              <w:rPr>
                <w:sz w:val="22"/>
                <w:szCs w:val="22"/>
                <w:lang w:val="sr-Latn-ME"/>
              </w:rPr>
              <w:t>(</w:t>
            </w:r>
            <w:r w:rsidRPr="009F254D">
              <w:rPr>
                <w:sz w:val="22"/>
                <w:szCs w:val="22"/>
                <w:lang w:val="sr-Latn-ME"/>
              </w:rPr>
              <w:noBreakHyphen/>
              <w:t xml:space="preserve">2,52, </w:t>
            </w:r>
            <w:r w:rsidRPr="009F254D">
              <w:rPr>
                <w:sz w:val="22"/>
                <w:szCs w:val="22"/>
                <w:lang w:val="sr-Latn-ME"/>
              </w:rPr>
              <w:noBreakHyphen/>
              <w:t>1,24)</w:t>
            </w:r>
          </w:p>
        </w:tc>
        <w:tc>
          <w:tcPr>
            <w:tcW w:w="0" w:type="auto"/>
            <w:tcBorders>
              <w:top w:val="single" w:sz="8" w:space="0" w:color="auto"/>
              <w:bottom w:val="single" w:sz="12" w:space="0" w:color="auto"/>
              <w:right w:val="single" w:sz="8" w:space="0" w:color="auto"/>
            </w:tcBorders>
          </w:tcPr>
          <w:p w14:paraId="3B244144" w14:textId="77777777" w:rsidR="00DC171F" w:rsidRPr="009F254D" w:rsidRDefault="00DC171F" w:rsidP="00E43FA0">
            <w:pPr>
              <w:tabs>
                <w:tab w:val="left" w:pos="284"/>
              </w:tabs>
              <w:autoSpaceDE w:val="0"/>
              <w:autoSpaceDN w:val="0"/>
              <w:adjustRightInd w:val="0"/>
              <w:jc w:val="center"/>
              <w:rPr>
                <w:sz w:val="22"/>
                <w:szCs w:val="22"/>
                <w:lang w:val="sr-Latn-ME"/>
              </w:rPr>
            </w:pPr>
          </w:p>
          <w:p w14:paraId="78E8A67D" w14:textId="77777777" w:rsidR="00DC171F" w:rsidRPr="009F254D" w:rsidRDefault="00DC171F" w:rsidP="00E43FA0">
            <w:pPr>
              <w:tabs>
                <w:tab w:val="left" w:pos="284"/>
              </w:tabs>
              <w:autoSpaceDE w:val="0"/>
              <w:autoSpaceDN w:val="0"/>
              <w:adjustRightInd w:val="0"/>
              <w:jc w:val="center"/>
              <w:rPr>
                <w:sz w:val="22"/>
                <w:szCs w:val="22"/>
                <w:lang w:val="sr-Latn-ME"/>
              </w:rPr>
            </w:pPr>
            <w:r w:rsidRPr="009F254D">
              <w:rPr>
                <w:sz w:val="22"/>
                <w:szCs w:val="22"/>
                <w:lang w:val="sr-Latn-ME"/>
              </w:rPr>
              <w:t>88,82</w:t>
            </w:r>
          </w:p>
          <w:p w14:paraId="104812FB" w14:textId="07CACFF8" w:rsidR="00DC171F" w:rsidRPr="009F254D" w:rsidRDefault="00DC171F" w:rsidP="00E43FA0">
            <w:pPr>
              <w:tabs>
                <w:tab w:val="left" w:pos="284"/>
              </w:tabs>
              <w:autoSpaceDE w:val="0"/>
              <w:autoSpaceDN w:val="0"/>
              <w:adjustRightInd w:val="0"/>
              <w:jc w:val="center"/>
              <w:rPr>
                <w:sz w:val="22"/>
                <w:szCs w:val="22"/>
                <w:lang w:val="sr-Latn-ME"/>
              </w:rPr>
            </w:pPr>
          </w:p>
          <w:p w14:paraId="0A9915F8" w14:textId="77777777" w:rsidR="00477D55" w:rsidRPr="009F254D" w:rsidRDefault="00477D55" w:rsidP="00E43FA0">
            <w:pPr>
              <w:tabs>
                <w:tab w:val="left" w:pos="284"/>
              </w:tabs>
              <w:autoSpaceDE w:val="0"/>
              <w:autoSpaceDN w:val="0"/>
              <w:adjustRightInd w:val="0"/>
              <w:jc w:val="center"/>
              <w:rPr>
                <w:sz w:val="22"/>
                <w:szCs w:val="22"/>
                <w:lang w:val="sr-Latn-ME"/>
              </w:rPr>
            </w:pPr>
          </w:p>
          <w:p w14:paraId="380CED8B" w14:textId="77777777" w:rsidR="00DC171F" w:rsidRPr="009F254D" w:rsidRDefault="00DC171F" w:rsidP="00E43FA0">
            <w:pPr>
              <w:tabs>
                <w:tab w:val="left" w:pos="284"/>
              </w:tabs>
              <w:autoSpaceDE w:val="0"/>
              <w:autoSpaceDN w:val="0"/>
              <w:adjustRightInd w:val="0"/>
              <w:jc w:val="center"/>
              <w:rPr>
                <w:sz w:val="22"/>
                <w:szCs w:val="22"/>
                <w:lang w:val="sr-Latn-ME"/>
              </w:rPr>
            </w:pPr>
            <w:r w:rsidRPr="009F254D">
              <w:rPr>
                <w:sz w:val="22"/>
                <w:szCs w:val="22"/>
                <w:lang w:val="sr-Latn-ME"/>
              </w:rPr>
              <w:noBreakHyphen/>
              <w:t>0,86</w:t>
            </w:r>
          </w:p>
        </w:tc>
        <w:tc>
          <w:tcPr>
            <w:tcW w:w="0" w:type="auto"/>
            <w:tcBorders>
              <w:top w:val="single" w:sz="8" w:space="0" w:color="auto"/>
              <w:left w:val="single" w:sz="8" w:space="0" w:color="auto"/>
              <w:bottom w:val="single" w:sz="12" w:space="0" w:color="auto"/>
            </w:tcBorders>
          </w:tcPr>
          <w:p w14:paraId="6301B679" w14:textId="77777777" w:rsidR="00DC171F" w:rsidRPr="009F254D" w:rsidRDefault="00DC171F" w:rsidP="00E43FA0">
            <w:pPr>
              <w:tabs>
                <w:tab w:val="left" w:pos="284"/>
              </w:tabs>
              <w:autoSpaceDE w:val="0"/>
              <w:autoSpaceDN w:val="0"/>
              <w:adjustRightInd w:val="0"/>
              <w:jc w:val="center"/>
              <w:rPr>
                <w:sz w:val="22"/>
                <w:szCs w:val="22"/>
                <w:lang w:val="sr-Latn-ME"/>
              </w:rPr>
            </w:pPr>
          </w:p>
          <w:p w14:paraId="53C23D03" w14:textId="77777777" w:rsidR="00DC171F" w:rsidRPr="009F254D" w:rsidRDefault="00DC171F" w:rsidP="00E43FA0">
            <w:pPr>
              <w:tabs>
                <w:tab w:val="left" w:pos="284"/>
              </w:tabs>
              <w:autoSpaceDE w:val="0"/>
              <w:autoSpaceDN w:val="0"/>
              <w:adjustRightInd w:val="0"/>
              <w:jc w:val="center"/>
              <w:rPr>
                <w:sz w:val="22"/>
                <w:szCs w:val="22"/>
                <w:lang w:val="sr-Latn-ME"/>
              </w:rPr>
            </w:pPr>
            <w:r w:rsidRPr="009F254D">
              <w:rPr>
                <w:sz w:val="22"/>
                <w:szCs w:val="22"/>
                <w:lang w:val="sr-Latn-ME"/>
              </w:rPr>
              <w:t>93,95</w:t>
            </w:r>
          </w:p>
          <w:p w14:paraId="5DAB7BFF" w14:textId="7A563BED" w:rsidR="00DC171F" w:rsidRPr="009F254D" w:rsidRDefault="00DC171F" w:rsidP="00E43FA0">
            <w:pPr>
              <w:tabs>
                <w:tab w:val="left" w:pos="284"/>
              </w:tabs>
              <w:autoSpaceDE w:val="0"/>
              <w:autoSpaceDN w:val="0"/>
              <w:adjustRightInd w:val="0"/>
              <w:jc w:val="center"/>
              <w:rPr>
                <w:sz w:val="22"/>
                <w:szCs w:val="22"/>
                <w:lang w:val="sr-Latn-ME"/>
              </w:rPr>
            </w:pPr>
          </w:p>
          <w:p w14:paraId="5945F1F3" w14:textId="77777777" w:rsidR="00477D55" w:rsidRPr="009F254D" w:rsidRDefault="00477D55" w:rsidP="00E43FA0">
            <w:pPr>
              <w:tabs>
                <w:tab w:val="left" w:pos="284"/>
              </w:tabs>
              <w:autoSpaceDE w:val="0"/>
              <w:autoSpaceDN w:val="0"/>
              <w:adjustRightInd w:val="0"/>
              <w:jc w:val="center"/>
              <w:rPr>
                <w:sz w:val="22"/>
                <w:szCs w:val="22"/>
                <w:lang w:val="sr-Latn-ME"/>
              </w:rPr>
            </w:pPr>
          </w:p>
          <w:p w14:paraId="16C0D2A9" w14:textId="77777777" w:rsidR="00DC171F" w:rsidRPr="009F254D" w:rsidRDefault="00DC171F" w:rsidP="00E43FA0">
            <w:pPr>
              <w:tabs>
                <w:tab w:val="left" w:pos="284"/>
              </w:tabs>
              <w:autoSpaceDE w:val="0"/>
              <w:autoSpaceDN w:val="0"/>
              <w:adjustRightInd w:val="0"/>
              <w:jc w:val="center"/>
              <w:rPr>
                <w:sz w:val="22"/>
                <w:szCs w:val="22"/>
                <w:lang w:val="sr-Latn-ME"/>
              </w:rPr>
            </w:pPr>
            <w:r w:rsidRPr="009F254D">
              <w:rPr>
                <w:sz w:val="22"/>
                <w:szCs w:val="22"/>
                <w:lang w:val="sr-Latn-ME"/>
              </w:rPr>
              <w:noBreakHyphen/>
              <w:t>2,35</w:t>
            </w:r>
          </w:p>
          <w:p w14:paraId="7E5E5BE2" w14:textId="0A23D621" w:rsidR="00DC171F" w:rsidRPr="009F254D" w:rsidRDefault="00DC171F" w:rsidP="00E43FA0">
            <w:pPr>
              <w:tabs>
                <w:tab w:val="left" w:pos="284"/>
              </w:tabs>
              <w:autoSpaceDE w:val="0"/>
              <w:autoSpaceDN w:val="0"/>
              <w:adjustRightInd w:val="0"/>
              <w:jc w:val="center"/>
              <w:rPr>
                <w:sz w:val="22"/>
                <w:szCs w:val="22"/>
                <w:lang w:val="sr-Latn-ME"/>
              </w:rPr>
            </w:pPr>
          </w:p>
          <w:p w14:paraId="1BDA59A7" w14:textId="77B2EB80" w:rsidR="00477D55" w:rsidRPr="009F254D" w:rsidRDefault="00477D55" w:rsidP="00E43FA0">
            <w:pPr>
              <w:tabs>
                <w:tab w:val="left" w:pos="284"/>
              </w:tabs>
              <w:autoSpaceDE w:val="0"/>
              <w:autoSpaceDN w:val="0"/>
              <w:adjustRightInd w:val="0"/>
              <w:jc w:val="center"/>
              <w:rPr>
                <w:sz w:val="22"/>
                <w:szCs w:val="22"/>
                <w:lang w:val="sr-Latn-ME"/>
              </w:rPr>
            </w:pPr>
          </w:p>
          <w:p w14:paraId="26017FD8" w14:textId="77777777" w:rsidR="00477D55" w:rsidRPr="009F254D" w:rsidRDefault="00477D55" w:rsidP="00E43FA0">
            <w:pPr>
              <w:tabs>
                <w:tab w:val="left" w:pos="284"/>
              </w:tabs>
              <w:autoSpaceDE w:val="0"/>
              <w:autoSpaceDN w:val="0"/>
              <w:adjustRightInd w:val="0"/>
              <w:jc w:val="center"/>
              <w:rPr>
                <w:sz w:val="22"/>
                <w:szCs w:val="22"/>
                <w:lang w:val="sr-Latn-ME"/>
              </w:rPr>
            </w:pPr>
          </w:p>
          <w:p w14:paraId="04F7D9AD" w14:textId="77777777" w:rsidR="00DC171F" w:rsidRPr="009F254D" w:rsidRDefault="00DC171F" w:rsidP="00E43FA0">
            <w:pPr>
              <w:tabs>
                <w:tab w:val="left" w:pos="284"/>
              </w:tabs>
              <w:autoSpaceDE w:val="0"/>
              <w:autoSpaceDN w:val="0"/>
              <w:adjustRightInd w:val="0"/>
              <w:jc w:val="center"/>
              <w:rPr>
                <w:sz w:val="22"/>
                <w:szCs w:val="22"/>
                <w:lang w:val="sr-Latn-ME"/>
              </w:rPr>
            </w:pPr>
            <w:r w:rsidRPr="009F254D">
              <w:rPr>
                <w:sz w:val="22"/>
                <w:szCs w:val="22"/>
                <w:lang w:val="sr-Latn-ME"/>
              </w:rPr>
              <w:noBreakHyphen/>
              <w:t>1,87</w:t>
            </w:r>
            <w:r w:rsidRPr="009F254D">
              <w:rPr>
                <w:sz w:val="22"/>
                <w:szCs w:val="22"/>
                <w:vertAlign w:val="superscript"/>
                <w:lang w:val="sr-Latn-ME"/>
              </w:rPr>
              <w:t>*</w:t>
            </w:r>
          </w:p>
          <w:p w14:paraId="33667CF8" w14:textId="77777777" w:rsidR="00DC171F" w:rsidRPr="009F254D" w:rsidRDefault="00DC171F" w:rsidP="00E43FA0">
            <w:pPr>
              <w:tabs>
                <w:tab w:val="left" w:pos="284"/>
              </w:tabs>
              <w:autoSpaceDE w:val="0"/>
              <w:autoSpaceDN w:val="0"/>
              <w:adjustRightInd w:val="0"/>
              <w:jc w:val="center"/>
              <w:rPr>
                <w:sz w:val="22"/>
                <w:szCs w:val="22"/>
                <w:lang w:val="sr-Latn-ME"/>
              </w:rPr>
            </w:pPr>
          </w:p>
          <w:p w14:paraId="7DD4F5A1" w14:textId="77777777" w:rsidR="00DC171F" w:rsidRPr="009F254D" w:rsidRDefault="00DC171F" w:rsidP="00E43FA0">
            <w:pPr>
              <w:tabs>
                <w:tab w:val="left" w:pos="284"/>
              </w:tabs>
              <w:autoSpaceDE w:val="0"/>
              <w:autoSpaceDN w:val="0"/>
              <w:adjustRightInd w:val="0"/>
              <w:jc w:val="center"/>
              <w:rPr>
                <w:sz w:val="22"/>
                <w:szCs w:val="22"/>
                <w:lang w:val="sr-Latn-ME"/>
              </w:rPr>
            </w:pPr>
          </w:p>
          <w:p w14:paraId="6DE022E3" w14:textId="77777777" w:rsidR="00DC171F" w:rsidRPr="009F254D" w:rsidRDefault="00DC171F" w:rsidP="00E43FA0">
            <w:pPr>
              <w:tabs>
                <w:tab w:val="left" w:pos="284"/>
              </w:tabs>
              <w:autoSpaceDE w:val="0"/>
              <w:autoSpaceDN w:val="0"/>
              <w:adjustRightInd w:val="0"/>
              <w:jc w:val="center"/>
              <w:rPr>
                <w:sz w:val="22"/>
                <w:szCs w:val="22"/>
                <w:lang w:val="sr-Latn-ME"/>
              </w:rPr>
            </w:pPr>
          </w:p>
          <w:p w14:paraId="4AA752FA" w14:textId="77777777" w:rsidR="00DC171F" w:rsidRPr="009F254D" w:rsidRDefault="00DC171F" w:rsidP="00E43FA0">
            <w:pPr>
              <w:tabs>
                <w:tab w:val="left" w:pos="284"/>
              </w:tabs>
              <w:autoSpaceDE w:val="0"/>
              <w:autoSpaceDN w:val="0"/>
              <w:adjustRightInd w:val="0"/>
              <w:jc w:val="center"/>
              <w:rPr>
                <w:sz w:val="22"/>
                <w:szCs w:val="22"/>
                <w:lang w:val="sr-Latn-ME"/>
              </w:rPr>
            </w:pPr>
            <w:r w:rsidRPr="009F254D">
              <w:rPr>
                <w:sz w:val="22"/>
                <w:szCs w:val="22"/>
                <w:lang w:val="sr-Latn-ME"/>
              </w:rPr>
              <w:t>(</w:t>
            </w:r>
            <w:r w:rsidRPr="009F254D">
              <w:rPr>
                <w:sz w:val="22"/>
                <w:szCs w:val="22"/>
                <w:lang w:val="sr-Latn-ME"/>
              </w:rPr>
              <w:noBreakHyphen/>
              <w:t xml:space="preserve">2,61, </w:t>
            </w:r>
            <w:r w:rsidRPr="009F254D">
              <w:rPr>
                <w:sz w:val="22"/>
                <w:szCs w:val="22"/>
                <w:lang w:val="sr-Latn-ME"/>
              </w:rPr>
              <w:noBreakHyphen/>
              <w:t>1,13)</w:t>
            </w:r>
          </w:p>
        </w:tc>
        <w:tc>
          <w:tcPr>
            <w:tcW w:w="0" w:type="auto"/>
            <w:gridSpan w:val="2"/>
            <w:tcBorders>
              <w:top w:val="single" w:sz="8" w:space="0" w:color="auto"/>
              <w:bottom w:val="single" w:sz="12" w:space="0" w:color="auto"/>
            </w:tcBorders>
          </w:tcPr>
          <w:p w14:paraId="10272C0C" w14:textId="77777777" w:rsidR="00DC171F" w:rsidRPr="009F254D" w:rsidRDefault="00DC171F" w:rsidP="00E43FA0">
            <w:pPr>
              <w:tabs>
                <w:tab w:val="left" w:pos="284"/>
              </w:tabs>
              <w:autoSpaceDE w:val="0"/>
              <w:autoSpaceDN w:val="0"/>
              <w:adjustRightInd w:val="0"/>
              <w:jc w:val="center"/>
              <w:rPr>
                <w:sz w:val="22"/>
                <w:szCs w:val="22"/>
                <w:lang w:val="sr-Latn-ME"/>
              </w:rPr>
            </w:pPr>
          </w:p>
          <w:p w14:paraId="49D17910" w14:textId="77777777" w:rsidR="00DC171F" w:rsidRPr="009F254D" w:rsidRDefault="00DC171F" w:rsidP="00E43FA0">
            <w:pPr>
              <w:tabs>
                <w:tab w:val="left" w:pos="284"/>
              </w:tabs>
              <w:autoSpaceDE w:val="0"/>
              <w:autoSpaceDN w:val="0"/>
              <w:adjustRightInd w:val="0"/>
              <w:jc w:val="center"/>
              <w:rPr>
                <w:sz w:val="22"/>
                <w:szCs w:val="22"/>
                <w:lang w:val="sr-Latn-ME"/>
              </w:rPr>
            </w:pPr>
            <w:r w:rsidRPr="009F254D">
              <w:rPr>
                <w:sz w:val="22"/>
                <w:szCs w:val="22"/>
                <w:lang w:val="sr-Latn-ME"/>
              </w:rPr>
              <w:t>94,17</w:t>
            </w:r>
          </w:p>
          <w:p w14:paraId="041E3734" w14:textId="525476A9" w:rsidR="00DC171F" w:rsidRPr="009F254D" w:rsidRDefault="00DC171F" w:rsidP="00E43FA0">
            <w:pPr>
              <w:tabs>
                <w:tab w:val="left" w:pos="284"/>
              </w:tabs>
              <w:autoSpaceDE w:val="0"/>
              <w:autoSpaceDN w:val="0"/>
              <w:adjustRightInd w:val="0"/>
              <w:jc w:val="center"/>
              <w:rPr>
                <w:sz w:val="22"/>
                <w:szCs w:val="22"/>
                <w:lang w:val="sr-Latn-ME"/>
              </w:rPr>
            </w:pPr>
          </w:p>
          <w:p w14:paraId="0D59192C" w14:textId="77777777" w:rsidR="00477D55" w:rsidRPr="009F254D" w:rsidRDefault="00477D55" w:rsidP="00E43FA0">
            <w:pPr>
              <w:tabs>
                <w:tab w:val="left" w:pos="284"/>
              </w:tabs>
              <w:autoSpaceDE w:val="0"/>
              <w:autoSpaceDN w:val="0"/>
              <w:adjustRightInd w:val="0"/>
              <w:jc w:val="center"/>
              <w:rPr>
                <w:sz w:val="22"/>
                <w:szCs w:val="22"/>
                <w:lang w:val="sr-Latn-ME"/>
              </w:rPr>
            </w:pPr>
          </w:p>
          <w:p w14:paraId="163877F2" w14:textId="77777777" w:rsidR="00DC171F" w:rsidRPr="009F254D" w:rsidRDefault="00DC171F" w:rsidP="00E43FA0">
            <w:pPr>
              <w:tabs>
                <w:tab w:val="left" w:pos="284"/>
              </w:tabs>
              <w:autoSpaceDE w:val="0"/>
              <w:autoSpaceDN w:val="0"/>
              <w:adjustRightInd w:val="0"/>
              <w:jc w:val="center"/>
              <w:rPr>
                <w:sz w:val="22"/>
                <w:szCs w:val="22"/>
                <w:lang w:val="sr-Latn-ME"/>
              </w:rPr>
            </w:pPr>
            <w:r w:rsidRPr="009F254D">
              <w:rPr>
                <w:sz w:val="22"/>
                <w:szCs w:val="22"/>
                <w:lang w:val="sr-Latn-ME"/>
              </w:rPr>
              <w:noBreakHyphen/>
              <w:t>0,47</w:t>
            </w:r>
          </w:p>
        </w:tc>
      </w:tr>
      <w:tr w:rsidR="00DC171F" w:rsidRPr="00E43FA0" w14:paraId="1914EA74" w14:textId="77777777" w:rsidTr="00E43FA0">
        <w:tc>
          <w:tcPr>
            <w:tcW w:w="0" w:type="auto"/>
            <w:gridSpan w:val="9"/>
          </w:tcPr>
          <w:p w14:paraId="15E91696" w14:textId="77777777" w:rsidR="00DC171F" w:rsidRPr="00E43FA0" w:rsidRDefault="00DC171F" w:rsidP="00E43FA0">
            <w:pPr>
              <w:tabs>
                <w:tab w:val="left" w:pos="284"/>
              </w:tabs>
              <w:autoSpaceDE w:val="0"/>
              <w:autoSpaceDN w:val="0"/>
              <w:adjustRightInd w:val="0"/>
              <w:jc w:val="both"/>
              <w:rPr>
                <w:sz w:val="20"/>
                <w:szCs w:val="22"/>
                <w:lang w:val="sr-Latn-ME"/>
              </w:rPr>
            </w:pPr>
            <w:r w:rsidRPr="00E43FA0">
              <w:rPr>
                <w:sz w:val="20"/>
                <w:szCs w:val="22"/>
                <w:vertAlign w:val="superscript"/>
                <w:lang w:val="sr-Latn-ME"/>
              </w:rPr>
              <w:t>1</w:t>
            </w:r>
            <w:r w:rsidRPr="00E43FA0">
              <w:rPr>
                <w:sz w:val="20"/>
                <w:szCs w:val="22"/>
                <w:lang w:val="sr-Latn-ME"/>
              </w:rPr>
              <w:t xml:space="preserve">Metformin ≥ 1500 mg dnevno; </w:t>
            </w:r>
          </w:p>
          <w:p w14:paraId="2A143A6E" w14:textId="77777777" w:rsidR="00DC171F" w:rsidRPr="00E43FA0" w:rsidRDefault="00DC171F" w:rsidP="00E43FA0">
            <w:pPr>
              <w:tabs>
                <w:tab w:val="left" w:pos="284"/>
              </w:tabs>
              <w:autoSpaceDE w:val="0"/>
              <w:autoSpaceDN w:val="0"/>
              <w:adjustRightInd w:val="0"/>
              <w:jc w:val="both"/>
              <w:rPr>
                <w:sz w:val="20"/>
                <w:szCs w:val="22"/>
                <w:lang w:val="sr-Latn-ME"/>
              </w:rPr>
            </w:pPr>
            <w:r w:rsidRPr="00E43FA0">
              <w:rPr>
                <w:sz w:val="20"/>
                <w:szCs w:val="22"/>
                <w:vertAlign w:val="superscript"/>
                <w:lang w:val="sr-Latn-ME"/>
              </w:rPr>
              <w:t>2</w:t>
            </w:r>
            <w:r w:rsidRPr="00E43FA0">
              <w:rPr>
                <w:sz w:val="20"/>
                <w:szCs w:val="22"/>
                <w:lang w:val="sr-Latn-ME"/>
              </w:rPr>
              <w:t>Sitagliptin od 100 mg dnevno</w:t>
            </w:r>
          </w:p>
          <w:p w14:paraId="651261CE" w14:textId="1361EE61" w:rsidR="00DC171F" w:rsidRPr="00E43FA0" w:rsidRDefault="00DC171F" w:rsidP="00E43FA0">
            <w:pPr>
              <w:tabs>
                <w:tab w:val="left" w:pos="284"/>
              </w:tabs>
              <w:autoSpaceDE w:val="0"/>
              <w:autoSpaceDN w:val="0"/>
              <w:adjustRightInd w:val="0"/>
              <w:jc w:val="both"/>
              <w:rPr>
                <w:sz w:val="20"/>
                <w:szCs w:val="22"/>
                <w:lang w:val="sr-Latn-ME"/>
              </w:rPr>
            </w:pPr>
            <w:r w:rsidRPr="00E43FA0">
              <w:rPr>
                <w:sz w:val="20"/>
                <w:szCs w:val="22"/>
                <w:vertAlign w:val="superscript"/>
                <w:lang w:val="sr-Latn-ME"/>
              </w:rPr>
              <w:t>a</w:t>
            </w:r>
            <w:r w:rsidRPr="00E43FA0">
              <w:rPr>
                <w:sz w:val="20"/>
                <w:szCs w:val="22"/>
                <w:lang w:val="sr-Latn-ME"/>
              </w:rPr>
              <w:t>LOCF: Posl</w:t>
            </w:r>
            <w:r w:rsidR="00477D55" w:rsidRPr="00E43FA0">
              <w:rPr>
                <w:sz w:val="20"/>
                <w:szCs w:val="22"/>
                <w:lang w:val="sr-Latn-ME"/>
              </w:rPr>
              <w:t>j</w:t>
            </w:r>
            <w:r w:rsidRPr="00E43FA0">
              <w:rPr>
                <w:sz w:val="20"/>
                <w:szCs w:val="22"/>
                <w:lang w:val="sr-Latn-ME"/>
              </w:rPr>
              <w:t>ednja izvršena opservacija (prije primjene terapije za hitnu regulaciju neregulisane glikemije kod ispitanika kod kojih je primijenjena takva hitna regulacija)</w:t>
            </w:r>
          </w:p>
          <w:p w14:paraId="0D3EFF7E" w14:textId="65123927" w:rsidR="00DC171F" w:rsidRPr="00E43FA0" w:rsidRDefault="00DC171F" w:rsidP="00E43FA0">
            <w:pPr>
              <w:tabs>
                <w:tab w:val="left" w:pos="284"/>
              </w:tabs>
              <w:autoSpaceDE w:val="0"/>
              <w:autoSpaceDN w:val="0"/>
              <w:adjustRightInd w:val="0"/>
              <w:ind w:left="162" w:hanging="162"/>
              <w:jc w:val="both"/>
              <w:rPr>
                <w:sz w:val="20"/>
                <w:szCs w:val="22"/>
                <w:lang w:val="sr-Latn-ME"/>
              </w:rPr>
            </w:pPr>
            <w:r w:rsidRPr="00E43FA0">
              <w:rPr>
                <w:sz w:val="20"/>
                <w:szCs w:val="22"/>
                <w:vertAlign w:val="superscript"/>
                <w:lang w:val="sr-Latn-ME"/>
              </w:rPr>
              <w:t>b</w:t>
            </w:r>
            <w:r w:rsidRPr="00E43FA0">
              <w:rPr>
                <w:sz w:val="20"/>
                <w:szCs w:val="22"/>
                <w:lang w:val="sr-Latn-ME"/>
              </w:rPr>
              <w:t>Placebo</w:t>
            </w:r>
            <w:r w:rsidR="00477D55" w:rsidRPr="00E43FA0">
              <w:rPr>
                <w:sz w:val="20"/>
                <w:szCs w:val="22"/>
                <w:lang w:val="sr-Latn-ME"/>
              </w:rPr>
              <w:t>-</w:t>
            </w:r>
            <w:r w:rsidRPr="00E43FA0">
              <w:rPr>
                <w:sz w:val="20"/>
                <w:szCs w:val="22"/>
                <w:lang w:val="sr-Latn-ME"/>
              </w:rPr>
              <w:t>kontrolisana studija</w:t>
            </w:r>
            <w:r w:rsidR="00477D55" w:rsidRPr="00E43FA0">
              <w:rPr>
                <w:sz w:val="20"/>
                <w:szCs w:val="22"/>
                <w:lang w:val="sr-Latn-ME"/>
              </w:rPr>
              <w:t xml:space="preserve"> u trajanju od 16 nedjelja</w:t>
            </w:r>
          </w:p>
          <w:p w14:paraId="44DC4E94" w14:textId="77777777" w:rsidR="00DC171F" w:rsidRPr="00E43FA0" w:rsidRDefault="00DC171F" w:rsidP="00E43FA0">
            <w:pPr>
              <w:tabs>
                <w:tab w:val="left" w:pos="284"/>
              </w:tabs>
              <w:autoSpaceDE w:val="0"/>
              <w:autoSpaceDN w:val="0"/>
              <w:adjustRightInd w:val="0"/>
              <w:ind w:left="162" w:hanging="162"/>
              <w:jc w:val="both"/>
              <w:rPr>
                <w:sz w:val="20"/>
                <w:szCs w:val="22"/>
                <w:lang w:val="sr-Latn-ME"/>
              </w:rPr>
            </w:pPr>
            <w:r w:rsidRPr="00E43FA0">
              <w:rPr>
                <w:sz w:val="20"/>
                <w:szCs w:val="22"/>
                <w:vertAlign w:val="superscript"/>
                <w:lang w:val="sr-Latn-ME"/>
              </w:rPr>
              <w:t>c</w:t>
            </w:r>
            <w:r w:rsidRPr="00E43FA0">
              <w:rPr>
                <w:sz w:val="20"/>
                <w:szCs w:val="22"/>
                <w:lang w:val="sr-Latn-ME"/>
              </w:rPr>
              <w:t>Svi randomizovani ispitanici koji su uzeli barem jednu dozu lijeka iz dvostruko slijepe studije tokom kratkotrajnog dvostruko slijepog perioda</w:t>
            </w:r>
          </w:p>
          <w:p w14:paraId="52BF5A62" w14:textId="77777777" w:rsidR="00DC171F" w:rsidRPr="00E43FA0" w:rsidRDefault="00DC171F" w:rsidP="00E43FA0">
            <w:pPr>
              <w:tabs>
                <w:tab w:val="left" w:pos="284"/>
              </w:tabs>
              <w:autoSpaceDE w:val="0"/>
              <w:autoSpaceDN w:val="0"/>
              <w:adjustRightInd w:val="0"/>
              <w:jc w:val="both"/>
              <w:rPr>
                <w:sz w:val="20"/>
                <w:szCs w:val="22"/>
                <w:lang w:val="sr-Latn-ME"/>
              </w:rPr>
            </w:pPr>
            <w:r w:rsidRPr="00E43FA0">
              <w:rPr>
                <w:sz w:val="20"/>
                <w:szCs w:val="22"/>
                <w:vertAlign w:val="superscript"/>
                <w:lang w:val="sr-Latn-ME"/>
              </w:rPr>
              <w:t>d</w:t>
            </w:r>
            <w:r w:rsidRPr="00E43FA0">
              <w:rPr>
                <w:sz w:val="20"/>
                <w:szCs w:val="22"/>
                <w:lang w:val="sr-Latn-ME"/>
              </w:rPr>
              <w:t>Srednja vrijednost najmanjih kvadrata korigovana za početnu vrijednost</w:t>
            </w:r>
          </w:p>
          <w:p w14:paraId="11FB3A8B" w14:textId="77777777" w:rsidR="00DC171F" w:rsidRPr="00E43FA0" w:rsidRDefault="00DC171F" w:rsidP="00E43FA0">
            <w:pPr>
              <w:tabs>
                <w:tab w:val="left" w:pos="284"/>
              </w:tabs>
              <w:autoSpaceDE w:val="0"/>
              <w:autoSpaceDN w:val="0"/>
              <w:adjustRightInd w:val="0"/>
              <w:jc w:val="both"/>
              <w:rPr>
                <w:sz w:val="20"/>
                <w:szCs w:val="22"/>
                <w:lang w:val="sr-Latn-ME"/>
              </w:rPr>
            </w:pPr>
            <w:r w:rsidRPr="00E43FA0">
              <w:rPr>
                <w:sz w:val="20"/>
                <w:szCs w:val="22"/>
                <w:vertAlign w:val="superscript"/>
                <w:lang w:val="sr-Latn-ME"/>
              </w:rPr>
              <w:t>*</w:t>
            </w:r>
            <w:r w:rsidRPr="00E43FA0">
              <w:rPr>
                <w:sz w:val="20"/>
                <w:szCs w:val="22"/>
                <w:lang w:val="sr-Latn-ME"/>
              </w:rPr>
              <w:t>p</w:t>
            </w:r>
            <w:r w:rsidRPr="00E43FA0">
              <w:rPr>
                <w:sz w:val="20"/>
                <w:szCs w:val="22"/>
                <w:lang w:val="sr-Latn-ME"/>
              </w:rPr>
              <w:noBreakHyphen/>
              <w:t>vrijednost &lt; 0,0001 u odnosu na placebo + oralni lijek za snižavanje nivoa glukoze</w:t>
            </w:r>
          </w:p>
          <w:p w14:paraId="6E01B146" w14:textId="77777777" w:rsidR="00DC171F" w:rsidRPr="00E43FA0" w:rsidRDefault="00DC171F" w:rsidP="00E43FA0">
            <w:pPr>
              <w:tabs>
                <w:tab w:val="left" w:pos="284"/>
              </w:tabs>
              <w:autoSpaceDE w:val="0"/>
              <w:autoSpaceDN w:val="0"/>
              <w:adjustRightInd w:val="0"/>
              <w:jc w:val="both"/>
              <w:rPr>
                <w:sz w:val="20"/>
                <w:szCs w:val="22"/>
                <w:lang w:val="sr-Latn-ME"/>
              </w:rPr>
            </w:pPr>
            <w:r w:rsidRPr="00E43FA0">
              <w:rPr>
                <w:sz w:val="20"/>
                <w:szCs w:val="22"/>
                <w:vertAlign w:val="superscript"/>
                <w:lang w:val="sr-Latn-ME"/>
              </w:rPr>
              <w:t>*</w:t>
            </w:r>
            <w:r w:rsidRPr="00E43FA0">
              <w:rPr>
                <w:sz w:val="20"/>
                <w:szCs w:val="22"/>
                <w:lang w:val="sr-Latn-ME"/>
              </w:rPr>
              <w:t>p</w:t>
            </w:r>
            <w:r w:rsidRPr="00E43FA0">
              <w:rPr>
                <w:sz w:val="20"/>
                <w:szCs w:val="22"/>
                <w:lang w:val="sr-Latn-ME"/>
              </w:rPr>
              <w:noBreakHyphen/>
              <w:t>vrijednost &lt; 0,05 u odnosu na placebo + oralni lijek za snižavanje nivoa glukoze</w:t>
            </w:r>
          </w:p>
          <w:p w14:paraId="51FAAEE8" w14:textId="77777777" w:rsidR="00DC171F" w:rsidRPr="009F254D" w:rsidRDefault="00DC171F" w:rsidP="00E43FA0">
            <w:pPr>
              <w:tabs>
                <w:tab w:val="left" w:pos="284"/>
              </w:tabs>
              <w:autoSpaceDE w:val="0"/>
              <w:autoSpaceDN w:val="0"/>
              <w:adjustRightInd w:val="0"/>
              <w:ind w:left="180" w:hanging="180"/>
              <w:jc w:val="both"/>
              <w:rPr>
                <w:sz w:val="22"/>
                <w:szCs w:val="22"/>
                <w:vertAlign w:val="superscript"/>
                <w:lang w:val="sr-Latn-ME"/>
              </w:rPr>
            </w:pPr>
            <w:r w:rsidRPr="00E43FA0">
              <w:rPr>
                <w:sz w:val="20"/>
                <w:szCs w:val="22"/>
                <w:vertAlign w:val="superscript"/>
                <w:lang w:val="sr-Latn-ME"/>
              </w:rPr>
              <w:t>***</w:t>
            </w:r>
            <w:r w:rsidRPr="00E43FA0">
              <w:rPr>
                <w:sz w:val="20"/>
                <w:szCs w:val="22"/>
                <w:lang w:val="sr-Latn-ME"/>
              </w:rPr>
              <w:t>Procenat promjena tjelesne mase analiziran je kao ključna sekundarna mjera ishoda (p &lt; 0,0001); apsolutna promjena tjelesne mase (izražena u kg) analizirana je sa nominalnom p-vrijednošću (p &lt; 0,0001).</w:t>
            </w:r>
          </w:p>
        </w:tc>
      </w:tr>
    </w:tbl>
    <w:p w14:paraId="631838B2" w14:textId="12D5C45F" w:rsidR="00DC171F" w:rsidRPr="009F254D" w:rsidRDefault="00DC171F" w:rsidP="00FA635D">
      <w:pPr>
        <w:tabs>
          <w:tab w:val="left" w:pos="540"/>
          <w:tab w:val="left" w:pos="569"/>
        </w:tabs>
        <w:rPr>
          <w:b/>
          <w:bCs/>
          <w:sz w:val="22"/>
          <w:szCs w:val="22"/>
          <w:lang w:val="sr-Latn-ME"/>
        </w:rPr>
      </w:pPr>
    </w:p>
    <w:p w14:paraId="24AD557D" w14:textId="10734933" w:rsidR="00DC171F" w:rsidRPr="009F254D" w:rsidRDefault="00DC171F" w:rsidP="00FA635D">
      <w:pPr>
        <w:keepNext/>
        <w:keepLines/>
        <w:tabs>
          <w:tab w:val="left" w:pos="284"/>
        </w:tabs>
        <w:jc w:val="both"/>
        <w:rPr>
          <w:b/>
          <w:noProof/>
          <w:sz w:val="22"/>
          <w:szCs w:val="22"/>
          <w:lang w:val="sr-Latn-ME"/>
        </w:rPr>
      </w:pPr>
      <w:r w:rsidRPr="009F254D">
        <w:rPr>
          <w:b/>
          <w:bCs/>
          <w:sz w:val="22"/>
          <w:szCs w:val="22"/>
          <w:lang w:val="sr-Latn-ME"/>
        </w:rPr>
        <w:lastRenderedPageBreak/>
        <w:t>Tabela 5. Rezultati placebo</w:t>
      </w:r>
      <w:r w:rsidR="00477D55" w:rsidRPr="009F254D">
        <w:rPr>
          <w:b/>
          <w:bCs/>
          <w:sz w:val="22"/>
          <w:szCs w:val="22"/>
          <w:lang w:val="sr-Latn-ME"/>
        </w:rPr>
        <w:t>-</w:t>
      </w:r>
      <w:r w:rsidRPr="009F254D">
        <w:rPr>
          <w:b/>
          <w:bCs/>
          <w:sz w:val="22"/>
          <w:szCs w:val="22"/>
          <w:lang w:val="sr-Latn-ME"/>
        </w:rPr>
        <w:t xml:space="preserve">kontrolisane studije </w:t>
      </w:r>
      <w:r w:rsidRPr="009F254D">
        <w:rPr>
          <w:b/>
          <w:bCs/>
          <w:noProof/>
          <w:sz w:val="22"/>
          <w:szCs w:val="22"/>
          <w:lang w:val="sr-Latn-ME"/>
        </w:rPr>
        <w:t>dapagliflozina kao dodatka kombinaciji sa metforminom i sulfonilureom</w:t>
      </w:r>
      <w:r w:rsidR="00477D55" w:rsidRPr="009F254D">
        <w:rPr>
          <w:b/>
          <w:bCs/>
          <w:noProof/>
          <w:sz w:val="22"/>
          <w:szCs w:val="22"/>
          <w:lang w:val="sr-Latn-ME"/>
        </w:rPr>
        <w:t xml:space="preserve"> u trajanju od </w:t>
      </w:r>
      <w:r w:rsidR="00477D55" w:rsidRPr="009F254D">
        <w:rPr>
          <w:b/>
          <w:bCs/>
          <w:sz w:val="22"/>
          <w:szCs w:val="22"/>
          <w:lang w:val="sr-Latn-ME"/>
        </w:rPr>
        <w:t>24 nedjelje</w:t>
      </w:r>
    </w:p>
    <w:tbl>
      <w:tblPr>
        <w:tblW w:w="5000" w:type="pct"/>
        <w:tblBorders>
          <w:top w:val="single" w:sz="12" w:space="0" w:color="auto"/>
          <w:insideH w:val="single" w:sz="12" w:space="0" w:color="auto"/>
        </w:tblBorders>
        <w:tblLook w:val="0000" w:firstRow="0" w:lastRow="0" w:firstColumn="0" w:lastColumn="0" w:noHBand="0" w:noVBand="0"/>
      </w:tblPr>
      <w:tblGrid>
        <w:gridCol w:w="4632"/>
        <w:gridCol w:w="2701"/>
        <w:gridCol w:w="1740"/>
      </w:tblGrid>
      <w:tr w:rsidR="00DC171F" w:rsidRPr="009F254D" w14:paraId="60FA6DEC" w14:textId="77777777" w:rsidTr="00E43FA0">
        <w:tc>
          <w:tcPr>
            <w:tcW w:w="0" w:type="auto"/>
            <w:vMerge w:val="restart"/>
            <w:tcBorders>
              <w:bottom w:val="single" w:sz="8" w:space="0" w:color="auto"/>
            </w:tcBorders>
            <w:vAlign w:val="bottom"/>
          </w:tcPr>
          <w:p w14:paraId="12B77AC3" w14:textId="77777777" w:rsidR="00DC171F" w:rsidRPr="009F254D" w:rsidRDefault="00DC171F" w:rsidP="00FA635D">
            <w:pPr>
              <w:keepNext/>
              <w:keepLines/>
              <w:tabs>
                <w:tab w:val="left" w:pos="284"/>
              </w:tabs>
              <w:jc w:val="both"/>
              <w:rPr>
                <w:bCs/>
                <w:sz w:val="22"/>
                <w:szCs w:val="22"/>
                <w:lang w:val="sr-Latn-ME"/>
              </w:rPr>
            </w:pPr>
          </w:p>
        </w:tc>
        <w:tc>
          <w:tcPr>
            <w:tcW w:w="0" w:type="auto"/>
            <w:gridSpan w:val="2"/>
            <w:tcBorders>
              <w:bottom w:val="single" w:sz="8" w:space="0" w:color="auto"/>
            </w:tcBorders>
          </w:tcPr>
          <w:p w14:paraId="23ED4846" w14:textId="77777777" w:rsidR="00DC171F" w:rsidRPr="009F254D" w:rsidRDefault="00DC171F" w:rsidP="00FA635D">
            <w:pPr>
              <w:keepNext/>
              <w:keepLines/>
              <w:tabs>
                <w:tab w:val="left" w:pos="284"/>
              </w:tabs>
              <w:jc w:val="center"/>
              <w:rPr>
                <w:b/>
                <w:sz w:val="22"/>
                <w:szCs w:val="22"/>
                <w:lang w:val="sr-Latn-ME"/>
              </w:rPr>
            </w:pPr>
            <w:r w:rsidRPr="009F254D">
              <w:rPr>
                <w:b/>
                <w:bCs/>
                <w:sz w:val="22"/>
                <w:szCs w:val="22"/>
                <w:lang w:val="sr-Latn-ME"/>
              </w:rPr>
              <w:t>Dodatak kombinovanoj terapiji</w:t>
            </w:r>
          </w:p>
        </w:tc>
      </w:tr>
      <w:tr w:rsidR="00DC171F" w:rsidRPr="009F254D" w14:paraId="51DB830E" w14:textId="77777777" w:rsidTr="00E43FA0">
        <w:tc>
          <w:tcPr>
            <w:tcW w:w="0" w:type="auto"/>
            <w:vMerge/>
            <w:tcBorders>
              <w:top w:val="single" w:sz="8" w:space="0" w:color="auto"/>
              <w:bottom w:val="single" w:sz="8" w:space="0" w:color="auto"/>
            </w:tcBorders>
            <w:vAlign w:val="bottom"/>
          </w:tcPr>
          <w:p w14:paraId="0257D9AE" w14:textId="77777777" w:rsidR="00DC171F" w:rsidRPr="009F254D" w:rsidRDefault="00DC171F" w:rsidP="00FA635D">
            <w:pPr>
              <w:keepNext/>
              <w:keepLines/>
              <w:tabs>
                <w:tab w:val="left" w:pos="284"/>
              </w:tabs>
              <w:jc w:val="both"/>
              <w:rPr>
                <w:bCs/>
                <w:sz w:val="22"/>
                <w:szCs w:val="22"/>
                <w:lang w:val="sr-Latn-ME"/>
              </w:rPr>
            </w:pPr>
          </w:p>
        </w:tc>
        <w:tc>
          <w:tcPr>
            <w:tcW w:w="0" w:type="auto"/>
            <w:gridSpan w:val="2"/>
            <w:tcBorders>
              <w:top w:val="single" w:sz="8" w:space="0" w:color="auto"/>
              <w:bottom w:val="single" w:sz="8" w:space="0" w:color="auto"/>
            </w:tcBorders>
          </w:tcPr>
          <w:p w14:paraId="7F46A965" w14:textId="77777777" w:rsidR="00DC171F" w:rsidRPr="009F254D" w:rsidRDefault="00DC171F" w:rsidP="00FA635D">
            <w:pPr>
              <w:keepNext/>
              <w:keepLines/>
              <w:tabs>
                <w:tab w:val="left" w:pos="284"/>
              </w:tabs>
              <w:jc w:val="center"/>
              <w:rPr>
                <w:b/>
                <w:bCs/>
                <w:sz w:val="22"/>
                <w:szCs w:val="22"/>
                <w:lang w:val="sr-Latn-ME"/>
              </w:rPr>
            </w:pPr>
            <w:r w:rsidRPr="009F254D">
              <w:rPr>
                <w:b/>
                <w:bCs/>
                <w:sz w:val="22"/>
                <w:szCs w:val="22"/>
                <w:lang w:val="sr-Latn-ME"/>
              </w:rPr>
              <w:t>Sulfonilurea</w:t>
            </w:r>
          </w:p>
          <w:p w14:paraId="54DD88F2" w14:textId="60967595" w:rsidR="00DC171F" w:rsidRPr="009F254D" w:rsidRDefault="00DC171F" w:rsidP="00FA635D">
            <w:pPr>
              <w:keepNext/>
              <w:keepLines/>
              <w:tabs>
                <w:tab w:val="left" w:pos="284"/>
              </w:tabs>
              <w:jc w:val="center"/>
              <w:rPr>
                <w:b/>
                <w:bCs/>
                <w:sz w:val="22"/>
                <w:szCs w:val="22"/>
                <w:lang w:val="sr-Latn-ME"/>
              </w:rPr>
            </w:pPr>
            <w:r w:rsidRPr="009F254D">
              <w:rPr>
                <w:b/>
                <w:bCs/>
                <w:sz w:val="22"/>
                <w:szCs w:val="22"/>
                <w:lang w:val="sr-Latn-ME"/>
              </w:rPr>
              <w:t>+ </w:t>
            </w:r>
            <w:r w:rsidR="008264B5">
              <w:rPr>
                <w:b/>
                <w:bCs/>
                <w:sz w:val="22"/>
                <w:szCs w:val="22"/>
                <w:lang w:val="sr-Latn-ME"/>
              </w:rPr>
              <w:t>m</w:t>
            </w:r>
            <w:r w:rsidR="008264B5" w:rsidRPr="009F254D">
              <w:rPr>
                <w:b/>
                <w:bCs/>
                <w:sz w:val="22"/>
                <w:szCs w:val="22"/>
                <w:lang w:val="sr-Latn-ME"/>
              </w:rPr>
              <w:t>etformin</w:t>
            </w:r>
            <w:r w:rsidR="008264B5" w:rsidRPr="009F254D">
              <w:rPr>
                <w:sz w:val="22"/>
                <w:szCs w:val="22"/>
                <w:vertAlign w:val="superscript"/>
                <w:lang w:val="sr-Latn-ME"/>
              </w:rPr>
              <w:t>1</w:t>
            </w:r>
          </w:p>
        </w:tc>
      </w:tr>
      <w:tr w:rsidR="00DC171F" w:rsidRPr="009F254D" w14:paraId="05E385F1" w14:textId="77777777" w:rsidTr="00E43FA0">
        <w:tc>
          <w:tcPr>
            <w:tcW w:w="0" w:type="auto"/>
            <w:tcBorders>
              <w:top w:val="single" w:sz="8" w:space="0" w:color="auto"/>
              <w:bottom w:val="single" w:sz="8" w:space="0" w:color="auto"/>
            </w:tcBorders>
            <w:vAlign w:val="bottom"/>
          </w:tcPr>
          <w:p w14:paraId="6D3F9370" w14:textId="77777777" w:rsidR="00DC171F" w:rsidRPr="009F254D" w:rsidRDefault="00DC171F" w:rsidP="00FA635D">
            <w:pPr>
              <w:keepNext/>
              <w:keepLines/>
              <w:tabs>
                <w:tab w:val="left" w:pos="284"/>
              </w:tabs>
              <w:jc w:val="both"/>
              <w:rPr>
                <w:sz w:val="22"/>
                <w:szCs w:val="22"/>
                <w:lang w:val="sr-Latn-ME"/>
              </w:rPr>
            </w:pPr>
          </w:p>
        </w:tc>
        <w:tc>
          <w:tcPr>
            <w:tcW w:w="0" w:type="auto"/>
            <w:tcBorders>
              <w:top w:val="single" w:sz="8" w:space="0" w:color="auto"/>
              <w:bottom w:val="single" w:sz="8" w:space="0" w:color="auto"/>
            </w:tcBorders>
          </w:tcPr>
          <w:p w14:paraId="3B082A59" w14:textId="77777777" w:rsidR="00DC171F" w:rsidRPr="009F254D" w:rsidRDefault="00DC171F" w:rsidP="00FA635D">
            <w:pPr>
              <w:keepNext/>
              <w:keepLines/>
              <w:tabs>
                <w:tab w:val="left" w:pos="284"/>
              </w:tabs>
              <w:autoSpaceDE w:val="0"/>
              <w:autoSpaceDN w:val="0"/>
              <w:adjustRightInd w:val="0"/>
              <w:jc w:val="center"/>
              <w:rPr>
                <w:b/>
                <w:bCs/>
                <w:sz w:val="22"/>
                <w:szCs w:val="22"/>
                <w:lang w:val="sr-Latn-ME"/>
              </w:rPr>
            </w:pPr>
            <w:r w:rsidRPr="009F254D">
              <w:rPr>
                <w:b/>
                <w:bCs/>
                <w:sz w:val="22"/>
                <w:szCs w:val="22"/>
                <w:lang w:val="sr-Latn-ME"/>
              </w:rPr>
              <w:t>Dapagliflozin</w:t>
            </w:r>
          </w:p>
          <w:p w14:paraId="434D5925" w14:textId="77777777" w:rsidR="00DC171F" w:rsidRPr="009F254D" w:rsidRDefault="00DC171F" w:rsidP="00FA635D">
            <w:pPr>
              <w:keepNext/>
              <w:keepLines/>
              <w:tabs>
                <w:tab w:val="left" w:pos="284"/>
              </w:tabs>
              <w:autoSpaceDE w:val="0"/>
              <w:autoSpaceDN w:val="0"/>
              <w:adjustRightInd w:val="0"/>
              <w:jc w:val="center"/>
              <w:rPr>
                <w:b/>
                <w:bCs/>
                <w:sz w:val="22"/>
                <w:szCs w:val="22"/>
                <w:lang w:val="sr-Latn-ME"/>
              </w:rPr>
            </w:pPr>
            <w:r w:rsidRPr="009F254D">
              <w:rPr>
                <w:b/>
                <w:bCs/>
                <w:sz w:val="22"/>
                <w:szCs w:val="22"/>
                <w:lang w:val="sr-Latn-ME"/>
              </w:rPr>
              <w:t>10 mg</w:t>
            </w:r>
          </w:p>
        </w:tc>
        <w:tc>
          <w:tcPr>
            <w:tcW w:w="0" w:type="auto"/>
            <w:tcBorders>
              <w:top w:val="single" w:sz="8" w:space="0" w:color="auto"/>
              <w:bottom w:val="single" w:sz="8" w:space="0" w:color="auto"/>
            </w:tcBorders>
          </w:tcPr>
          <w:p w14:paraId="0961BEDB" w14:textId="77777777" w:rsidR="00DC171F" w:rsidRPr="009F254D" w:rsidRDefault="00DC171F" w:rsidP="00FA635D">
            <w:pPr>
              <w:keepNext/>
              <w:keepLines/>
              <w:tabs>
                <w:tab w:val="left" w:pos="284"/>
              </w:tabs>
              <w:autoSpaceDE w:val="0"/>
              <w:autoSpaceDN w:val="0"/>
              <w:adjustRightInd w:val="0"/>
              <w:jc w:val="center"/>
              <w:rPr>
                <w:b/>
                <w:bCs/>
                <w:sz w:val="22"/>
                <w:szCs w:val="22"/>
                <w:lang w:val="sr-Latn-ME"/>
              </w:rPr>
            </w:pPr>
            <w:r w:rsidRPr="009F254D">
              <w:rPr>
                <w:b/>
                <w:bCs/>
                <w:sz w:val="22"/>
                <w:szCs w:val="22"/>
                <w:lang w:val="sr-Latn-ME"/>
              </w:rPr>
              <w:t>Placebo</w:t>
            </w:r>
          </w:p>
        </w:tc>
      </w:tr>
      <w:tr w:rsidR="00DC171F" w:rsidRPr="009F254D" w14:paraId="76F03AF3" w14:textId="77777777" w:rsidTr="00E43FA0">
        <w:tc>
          <w:tcPr>
            <w:tcW w:w="0" w:type="auto"/>
            <w:tcBorders>
              <w:top w:val="single" w:sz="8" w:space="0" w:color="auto"/>
              <w:bottom w:val="single" w:sz="8" w:space="0" w:color="auto"/>
            </w:tcBorders>
          </w:tcPr>
          <w:p w14:paraId="049632BD" w14:textId="77777777" w:rsidR="00DC171F" w:rsidRPr="009F254D" w:rsidRDefault="00DC171F" w:rsidP="00FA635D">
            <w:pPr>
              <w:keepNext/>
              <w:keepLines/>
              <w:tabs>
                <w:tab w:val="left" w:pos="284"/>
              </w:tabs>
              <w:jc w:val="both"/>
              <w:rPr>
                <w:b/>
                <w:bCs/>
                <w:sz w:val="22"/>
                <w:szCs w:val="22"/>
                <w:lang w:val="sr-Latn-ME"/>
              </w:rPr>
            </w:pPr>
            <w:r w:rsidRPr="009F254D">
              <w:rPr>
                <w:b/>
                <w:bCs/>
                <w:sz w:val="22"/>
                <w:szCs w:val="22"/>
                <w:lang w:val="sr-Latn-ME"/>
              </w:rPr>
              <w:t>N</w:t>
            </w:r>
            <w:r w:rsidRPr="009F254D">
              <w:rPr>
                <w:sz w:val="22"/>
                <w:szCs w:val="22"/>
                <w:vertAlign w:val="superscript"/>
                <w:lang w:val="sr-Latn-ME"/>
              </w:rPr>
              <w:t>a</w:t>
            </w:r>
          </w:p>
        </w:tc>
        <w:tc>
          <w:tcPr>
            <w:tcW w:w="0" w:type="auto"/>
            <w:tcBorders>
              <w:top w:val="single" w:sz="8" w:space="0" w:color="auto"/>
              <w:bottom w:val="single" w:sz="8" w:space="0" w:color="auto"/>
            </w:tcBorders>
          </w:tcPr>
          <w:p w14:paraId="11253B61" w14:textId="77777777" w:rsidR="00DC171F" w:rsidRPr="009F254D" w:rsidRDefault="00DC171F" w:rsidP="00FA635D">
            <w:pPr>
              <w:keepNext/>
              <w:keepLines/>
              <w:tabs>
                <w:tab w:val="left" w:pos="284"/>
              </w:tabs>
              <w:autoSpaceDE w:val="0"/>
              <w:autoSpaceDN w:val="0"/>
              <w:adjustRightInd w:val="0"/>
              <w:jc w:val="center"/>
              <w:rPr>
                <w:sz w:val="22"/>
                <w:szCs w:val="22"/>
                <w:lang w:val="sr-Latn-ME"/>
              </w:rPr>
            </w:pPr>
            <w:r w:rsidRPr="009F254D">
              <w:rPr>
                <w:sz w:val="22"/>
                <w:szCs w:val="22"/>
                <w:lang w:val="sr-Latn-ME"/>
              </w:rPr>
              <w:t>108</w:t>
            </w:r>
          </w:p>
        </w:tc>
        <w:tc>
          <w:tcPr>
            <w:tcW w:w="0" w:type="auto"/>
            <w:tcBorders>
              <w:top w:val="single" w:sz="8" w:space="0" w:color="auto"/>
              <w:bottom w:val="single" w:sz="8" w:space="0" w:color="auto"/>
            </w:tcBorders>
          </w:tcPr>
          <w:p w14:paraId="5C63ACFD" w14:textId="77777777" w:rsidR="00DC171F" w:rsidRPr="009F254D" w:rsidRDefault="00DC171F" w:rsidP="00FA635D">
            <w:pPr>
              <w:keepNext/>
              <w:keepLines/>
              <w:tabs>
                <w:tab w:val="left" w:pos="284"/>
              </w:tabs>
              <w:autoSpaceDE w:val="0"/>
              <w:autoSpaceDN w:val="0"/>
              <w:adjustRightInd w:val="0"/>
              <w:jc w:val="center"/>
              <w:rPr>
                <w:sz w:val="22"/>
                <w:szCs w:val="22"/>
                <w:lang w:val="sr-Latn-ME"/>
              </w:rPr>
            </w:pPr>
            <w:r w:rsidRPr="009F254D">
              <w:rPr>
                <w:sz w:val="22"/>
                <w:szCs w:val="22"/>
                <w:lang w:val="sr-Latn-ME"/>
              </w:rPr>
              <w:t>108</w:t>
            </w:r>
          </w:p>
        </w:tc>
      </w:tr>
      <w:tr w:rsidR="00DC171F" w:rsidRPr="009F254D" w14:paraId="4309E3A9" w14:textId="77777777" w:rsidTr="00E43FA0">
        <w:tc>
          <w:tcPr>
            <w:tcW w:w="0" w:type="auto"/>
            <w:tcBorders>
              <w:top w:val="single" w:sz="8" w:space="0" w:color="auto"/>
              <w:bottom w:val="single" w:sz="8" w:space="0" w:color="auto"/>
            </w:tcBorders>
          </w:tcPr>
          <w:p w14:paraId="791282B2" w14:textId="77777777" w:rsidR="00DC171F" w:rsidRPr="009F254D" w:rsidRDefault="00DC171F" w:rsidP="00FA635D">
            <w:pPr>
              <w:keepNext/>
              <w:keepLines/>
              <w:tabs>
                <w:tab w:val="left" w:pos="284"/>
              </w:tabs>
              <w:jc w:val="both"/>
              <w:rPr>
                <w:b/>
                <w:bCs/>
                <w:sz w:val="22"/>
                <w:szCs w:val="22"/>
                <w:vertAlign w:val="superscript"/>
                <w:lang w:val="sr-Latn-ME"/>
              </w:rPr>
            </w:pPr>
            <w:r w:rsidRPr="009F254D">
              <w:rPr>
                <w:b/>
                <w:bCs/>
                <w:sz w:val="22"/>
                <w:szCs w:val="22"/>
                <w:lang w:val="sr-Latn-ME"/>
              </w:rPr>
              <w:t>HbA1c (%)</w:t>
            </w:r>
            <w:r w:rsidRPr="009F254D">
              <w:rPr>
                <w:sz w:val="22"/>
                <w:szCs w:val="22"/>
                <w:vertAlign w:val="superscript"/>
                <w:lang w:val="sr-Latn-ME"/>
              </w:rPr>
              <w:t>b</w:t>
            </w:r>
          </w:p>
          <w:p w14:paraId="562CE1C5" w14:textId="77777777" w:rsidR="00DC171F" w:rsidRPr="009F254D" w:rsidRDefault="00DC171F" w:rsidP="00FA635D">
            <w:pPr>
              <w:keepNext/>
              <w:keepLines/>
              <w:tabs>
                <w:tab w:val="left" w:pos="284"/>
              </w:tabs>
              <w:ind w:left="142"/>
              <w:jc w:val="both"/>
              <w:rPr>
                <w:sz w:val="22"/>
                <w:szCs w:val="22"/>
                <w:lang w:val="sr-Latn-ME"/>
              </w:rPr>
            </w:pPr>
            <w:r w:rsidRPr="009F254D">
              <w:rPr>
                <w:sz w:val="22"/>
                <w:szCs w:val="22"/>
                <w:lang w:val="sr-Latn-ME"/>
              </w:rPr>
              <w:t>Početna vrijednost (srednja)</w:t>
            </w:r>
          </w:p>
          <w:p w14:paraId="12DE2D31" w14:textId="77777777" w:rsidR="00DC171F" w:rsidRPr="009F254D" w:rsidRDefault="00DC171F" w:rsidP="00FA635D">
            <w:pPr>
              <w:keepNext/>
              <w:keepLines/>
              <w:tabs>
                <w:tab w:val="left" w:pos="284"/>
              </w:tabs>
              <w:ind w:firstLine="142"/>
              <w:jc w:val="both"/>
              <w:rPr>
                <w:sz w:val="22"/>
                <w:szCs w:val="22"/>
                <w:lang w:val="sr-Latn-ME"/>
              </w:rPr>
            </w:pPr>
            <w:r w:rsidRPr="009F254D">
              <w:rPr>
                <w:sz w:val="22"/>
                <w:szCs w:val="22"/>
                <w:lang w:val="sr-Latn-ME"/>
              </w:rPr>
              <w:t>Promjena u odnosu na početnu vrijednost</w:t>
            </w:r>
            <w:r w:rsidRPr="009F254D">
              <w:rPr>
                <w:sz w:val="22"/>
                <w:szCs w:val="22"/>
                <w:vertAlign w:val="superscript"/>
                <w:lang w:val="sr-Latn-ME"/>
              </w:rPr>
              <w:t>c</w:t>
            </w:r>
          </w:p>
          <w:p w14:paraId="7078767B" w14:textId="77777777" w:rsidR="00DC171F" w:rsidRPr="009F254D" w:rsidRDefault="00DC171F" w:rsidP="00FA635D">
            <w:pPr>
              <w:keepNext/>
              <w:keepLines/>
              <w:tabs>
                <w:tab w:val="left" w:pos="284"/>
              </w:tabs>
              <w:ind w:firstLine="142"/>
              <w:jc w:val="both"/>
              <w:rPr>
                <w:sz w:val="22"/>
                <w:szCs w:val="22"/>
                <w:lang w:val="sr-Latn-ME"/>
              </w:rPr>
            </w:pPr>
            <w:r w:rsidRPr="009F254D">
              <w:rPr>
                <w:sz w:val="22"/>
                <w:szCs w:val="22"/>
                <w:lang w:val="sr-Latn-ME"/>
              </w:rPr>
              <w:t>Razlika u odnosu na placebo</w:t>
            </w:r>
            <w:r w:rsidRPr="009F254D">
              <w:rPr>
                <w:sz w:val="22"/>
                <w:szCs w:val="22"/>
                <w:vertAlign w:val="superscript"/>
                <w:lang w:val="sr-Latn-ME"/>
              </w:rPr>
              <w:t>c</w:t>
            </w:r>
          </w:p>
          <w:p w14:paraId="58664A0A" w14:textId="77777777" w:rsidR="00DC171F" w:rsidRPr="009F254D" w:rsidRDefault="00DC171F" w:rsidP="00FA635D">
            <w:pPr>
              <w:keepNext/>
              <w:keepLines/>
              <w:tabs>
                <w:tab w:val="left" w:pos="284"/>
              </w:tabs>
              <w:ind w:firstLine="142"/>
              <w:jc w:val="both"/>
              <w:rPr>
                <w:sz w:val="22"/>
                <w:szCs w:val="22"/>
                <w:lang w:val="sr-Latn-ME"/>
              </w:rPr>
            </w:pPr>
            <w:r w:rsidRPr="009F254D">
              <w:rPr>
                <w:sz w:val="22"/>
                <w:szCs w:val="22"/>
                <w:lang w:val="sr-Latn-ME"/>
              </w:rPr>
              <w:t xml:space="preserve">    (95% CI)</w:t>
            </w:r>
          </w:p>
        </w:tc>
        <w:tc>
          <w:tcPr>
            <w:tcW w:w="0" w:type="auto"/>
            <w:tcBorders>
              <w:top w:val="single" w:sz="8" w:space="0" w:color="auto"/>
              <w:bottom w:val="single" w:sz="8" w:space="0" w:color="auto"/>
            </w:tcBorders>
          </w:tcPr>
          <w:p w14:paraId="67333720" w14:textId="77777777" w:rsidR="00DC171F" w:rsidRPr="009F254D" w:rsidRDefault="00DC171F" w:rsidP="00FA635D">
            <w:pPr>
              <w:keepNext/>
              <w:keepLines/>
              <w:tabs>
                <w:tab w:val="left" w:pos="284"/>
              </w:tabs>
              <w:autoSpaceDE w:val="0"/>
              <w:autoSpaceDN w:val="0"/>
              <w:adjustRightInd w:val="0"/>
              <w:jc w:val="center"/>
              <w:rPr>
                <w:sz w:val="22"/>
                <w:szCs w:val="22"/>
                <w:lang w:val="sr-Latn-ME"/>
              </w:rPr>
            </w:pPr>
          </w:p>
          <w:p w14:paraId="32D6AA22" w14:textId="77777777" w:rsidR="00DC171F" w:rsidRPr="009F254D" w:rsidRDefault="00DC171F" w:rsidP="00FA635D">
            <w:pPr>
              <w:keepNext/>
              <w:keepLines/>
              <w:tabs>
                <w:tab w:val="left" w:pos="284"/>
              </w:tabs>
              <w:autoSpaceDE w:val="0"/>
              <w:autoSpaceDN w:val="0"/>
              <w:adjustRightInd w:val="0"/>
              <w:jc w:val="center"/>
              <w:rPr>
                <w:sz w:val="22"/>
                <w:szCs w:val="22"/>
                <w:lang w:val="sr-Latn-ME"/>
              </w:rPr>
            </w:pPr>
            <w:r w:rsidRPr="009F254D">
              <w:rPr>
                <w:sz w:val="22"/>
                <w:szCs w:val="22"/>
                <w:lang w:val="sr-Latn-ME"/>
              </w:rPr>
              <w:t>8,08</w:t>
            </w:r>
          </w:p>
          <w:p w14:paraId="70499637" w14:textId="77777777" w:rsidR="00DC171F" w:rsidRPr="009F254D" w:rsidRDefault="00DC171F" w:rsidP="00FA635D">
            <w:pPr>
              <w:keepNext/>
              <w:keepLines/>
              <w:tabs>
                <w:tab w:val="left" w:pos="284"/>
              </w:tabs>
              <w:autoSpaceDE w:val="0"/>
              <w:autoSpaceDN w:val="0"/>
              <w:adjustRightInd w:val="0"/>
              <w:jc w:val="center"/>
              <w:rPr>
                <w:sz w:val="22"/>
                <w:szCs w:val="22"/>
                <w:lang w:val="sr-Latn-ME"/>
              </w:rPr>
            </w:pPr>
            <w:r w:rsidRPr="009F254D">
              <w:rPr>
                <w:sz w:val="22"/>
                <w:szCs w:val="22"/>
                <w:lang w:val="sr-Latn-ME"/>
              </w:rPr>
              <w:noBreakHyphen/>
              <w:t>0,86</w:t>
            </w:r>
          </w:p>
          <w:p w14:paraId="5214C134" w14:textId="77777777" w:rsidR="00DC171F" w:rsidRPr="009F254D" w:rsidRDefault="00DC171F" w:rsidP="00FA635D">
            <w:pPr>
              <w:keepNext/>
              <w:keepLines/>
              <w:tabs>
                <w:tab w:val="left" w:pos="284"/>
              </w:tabs>
              <w:autoSpaceDE w:val="0"/>
              <w:autoSpaceDN w:val="0"/>
              <w:adjustRightInd w:val="0"/>
              <w:jc w:val="center"/>
              <w:rPr>
                <w:sz w:val="22"/>
                <w:szCs w:val="22"/>
                <w:lang w:val="sr-Latn-ME"/>
              </w:rPr>
            </w:pPr>
            <w:r w:rsidRPr="009F254D">
              <w:rPr>
                <w:sz w:val="22"/>
                <w:szCs w:val="22"/>
                <w:lang w:val="sr-Latn-ME"/>
              </w:rPr>
              <w:t>-0,69</w:t>
            </w:r>
            <w:r w:rsidRPr="009F254D">
              <w:rPr>
                <w:sz w:val="22"/>
                <w:szCs w:val="22"/>
                <w:vertAlign w:val="superscript"/>
                <w:lang w:val="sr-Latn-ME"/>
              </w:rPr>
              <w:t>*</w:t>
            </w:r>
            <w:r w:rsidRPr="009F254D">
              <w:rPr>
                <w:sz w:val="22"/>
                <w:szCs w:val="22"/>
                <w:lang w:val="sr-Latn-ME"/>
              </w:rPr>
              <w:br/>
              <w:t>(-0,89, -0,49)</w:t>
            </w:r>
          </w:p>
        </w:tc>
        <w:tc>
          <w:tcPr>
            <w:tcW w:w="0" w:type="auto"/>
            <w:tcBorders>
              <w:top w:val="single" w:sz="8" w:space="0" w:color="auto"/>
              <w:bottom w:val="single" w:sz="8" w:space="0" w:color="auto"/>
            </w:tcBorders>
          </w:tcPr>
          <w:p w14:paraId="0144C03C" w14:textId="77777777" w:rsidR="00DC171F" w:rsidRPr="009F254D" w:rsidRDefault="00DC171F" w:rsidP="00FA635D">
            <w:pPr>
              <w:keepNext/>
              <w:keepLines/>
              <w:tabs>
                <w:tab w:val="left" w:pos="284"/>
              </w:tabs>
              <w:autoSpaceDE w:val="0"/>
              <w:autoSpaceDN w:val="0"/>
              <w:adjustRightInd w:val="0"/>
              <w:jc w:val="center"/>
              <w:rPr>
                <w:sz w:val="22"/>
                <w:szCs w:val="22"/>
                <w:lang w:val="sr-Latn-ME"/>
              </w:rPr>
            </w:pPr>
          </w:p>
          <w:p w14:paraId="458F7731" w14:textId="77777777" w:rsidR="00DC171F" w:rsidRPr="009F254D" w:rsidRDefault="00DC171F" w:rsidP="00FA635D">
            <w:pPr>
              <w:keepNext/>
              <w:keepLines/>
              <w:tabs>
                <w:tab w:val="left" w:pos="284"/>
              </w:tabs>
              <w:autoSpaceDE w:val="0"/>
              <w:autoSpaceDN w:val="0"/>
              <w:adjustRightInd w:val="0"/>
              <w:jc w:val="center"/>
              <w:rPr>
                <w:sz w:val="22"/>
                <w:szCs w:val="22"/>
                <w:lang w:val="sr-Latn-ME"/>
              </w:rPr>
            </w:pPr>
            <w:r w:rsidRPr="009F254D">
              <w:rPr>
                <w:sz w:val="22"/>
                <w:szCs w:val="22"/>
                <w:lang w:val="sr-Latn-ME"/>
              </w:rPr>
              <w:t>8,24</w:t>
            </w:r>
          </w:p>
          <w:p w14:paraId="2BDC71E3" w14:textId="77777777" w:rsidR="00DC171F" w:rsidRPr="009F254D" w:rsidRDefault="00DC171F" w:rsidP="00FA635D">
            <w:pPr>
              <w:keepNext/>
              <w:keepLines/>
              <w:tabs>
                <w:tab w:val="left" w:pos="284"/>
              </w:tabs>
              <w:autoSpaceDE w:val="0"/>
              <w:autoSpaceDN w:val="0"/>
              <w:adjustRightInd w:val="0"/>
              <w:jc w:val="center"/>
              <w:rPr>
                <w:sz w:val="22"/>
                <w:szCs w:val="22"/>
                <w:lang w:val="sr-Latn-ME"/>
              </w:rPr>
            </w:pPr>
            <w:r w:rsidRPr="009F254D">
              <w:rPr>
                <w:sz w:val="22"/>
                <w:szCs w:val="22"/>
                <w:lang w:val="sr-Latn-ME"/>
              </w:rPr>
              <w:noBreakHyphen/>
              <w:t>0,17</w:t>
            </w:r>
          </w:p>
        </w:tc>
      </w:tr>
      <w:tr w:rsidR="00DC171F" w:rsidRPr="009F254D" w14:paraId="660ECE47" w14:textId="77777777" w:rsidTr="00E43FA0">
        <w:tc>
          <w:tcPr>
            <w:tcW w:w="0" w:type="auto"/>
            <w:tcBorders>
              <w:top w:val="single" w:sz="8" w:space="0" w:color="auto"/>
              <w:bottom w:val="single" w:sz="8" w:space="0" w:color="auto"/>
            </w:tcBorders>
          </w:tcPr>
          <w:p w14:paraId="6D6FAE32" w14:textId="77777777" w:rsidR="00DC171F" w:rsidRPr="009F254D" w:rsidRDefault="00DC171F" w:rsidP="00FA635D">
            <w:pPr>
              <w:keepNext/>
              <w:keepLines/>
              <w:tabs>
                <w:tab w:val="left" w:pos="284"/>
              </w:tabs>
              <w:jc w:val="both"/>
              <w:rPr>
                <w:b/>
                <w:bCs/>
                <w:sz w:val="22"/>
                <w:szCs w:val="22"/>
                <w:lang w:val="sr-Latn-ME"/>
              </w:rPr>
            </w:pPr>
            <w:r w:rsidRPr="009F254D">
              <w:rPr>
                <w:b/>
                <w:bCs/>
                <w:sz w:val="22"/>
                <w:szCs w:val="22"/>
                <w:lang w:val="sr-Latn-ME"/>
              </w:rPr>
              <w:t>Ispitanici (%) kod kojih je postignut:</w:t>
            </w:r>
          </w:p>
          <w:p w14:paraId="707AB244" w14:textId="77777777" w:rsidR="00DC171F" w:rsidRPr="009F254D" w:rsidRDefault="00DC171F" w:rsidP="00FA635D">
            <w:pPr>
              <w:keepNext/>
              <w:keepLines/>
              <w:tabs>
                <w:tab w:val="left" w:pos="284"/>
              </w:tabs>
              <w:autoSpaceDE w:val="0"/>
              <w:autoSpaceDN w:val="0"/>
              <w:adjustRightInd w:val="0"/>
              <w:jc w:val="both"/>
              <w:rPr>
                <w:b/>
                <w:bCs/>
                <w:sz w:val="22"/>
                <w:szCs w:val="22"/>
                <w:vertAlign w:val="superscript"/>
                <w:lang w:val="sr-Latn-ME"/>
              </w:rPr>
            </w:pPr>
            <w:r w:rsidRPr="009F254D">
              <w:rPr>
                <w:b/>
                <w:bCs/>
                <w:sz w:val="22"/>
                <w:szCs w:val="22"/>
                <w:lang w:val="sr-Latn-ME"/>
              </w:rPr>
              <w:t xml:space="preserve">HbA1c &lt; 7% </w:t>
            </w:r>
          </w:p>
          <w:p w14:paraId="2E15CF85" w14:textId="77777777" w:rsidR="00DC171F" w:rsidRPr="009F254D" w:rsidRDefault="00DC171F" w:rsidP="00FA635D">
            <w:pPr>
              <w:keepNext/>
              <w:keepLines/>
              <w:tabs>
                <w:tab w:val="left" w:pos="284"/>
              </w:tabs>
              <w:ind w:left="142"/>
              <w:rPr>
                <w:sz w:val="22"/>
                <w:szCs w:val="22"/>
                <w:lang w:val="sr-Latn-ME"/>
              </w:rPr>
            </w:pPr>
            <w:r w:rsidRPr="009F254D">
              <w:rPr>
                <w:sz w:val="22"/>
                <w:szCs w:val="22"/>
                <w:lang w:val="sr-Latn-ME"/>
              </w:rPr>
              <w:t>Korigovano u odnosu na početnu vrijednost</w:t>
            </w:r>
          </w:p>
        </w:tc>
        <w:tc>
          <w:tcPr>
            <w:tcW w:w="0" w:type="auto"/>
            <w:tcBorders>
              <w:top w:val="single" w:sz="8" w:space="0" w:color="auto"/>
              <w:bottom w:val="single" w:sz="8" w:space="0" w:color="auto"/>
            </w:tcBorders>
          </w:tcPr>
          <w:p w14:paraId="15C6DBB0" w14:textId="77777777" w:rsidR="00DC171F" w:rsidRPr="009F254D" w:rsidRDefault="00DC171F" w:rsidP="00FA635D">
            <w:pPr>
              <w:keepNext/>
              <w:keepLines/>
              <w:tabs>
                <w:tab w:val="left" w:pos="284"/>
              </w:tabs>
              <w:autoSpaceDE w:val="0"/>
              <w:autoSpaceDN w:val="0"/>
              <w:adjustRightInd w:val="0"/>
              <w:jc w:val="center"/>
              <w:rPr>
                <w:sz w:val="22"/>
                <w:szCs w:val="22"/>
                <w:lang w:val="sr-Latn-ME"/>
              </w:rPr>
            </w:pPr>
          </w:p>
          <w:p w14:paraId="08E6B586" w14:textId="77777777" w:rsidR="00DC171F" w:rsidRPr="009F254D" w:rsidRDefault="00DC171F" w:rsidP="00FA635D">
            <w:pPr>
              <w:keepNext/>
              <w:keepLines/>
              <w:tabs>
                <w:tab w:val="left" w:pos="284"/>
              </w:tabs>
              <w:autoSpaceDE w:val="0"/>
              <w:autoSpaceDN w:val="0"/>
              <w:adjustRightInd w:val="0"/>
              <w:jc w:val="center"/>
              <w:rPr>
                <w:sz w:val="22"/>
                <w:szCs w:val="22"/>
                <w:lang w:val="sr-Latn-ME"/>
              </w:rPr>
            </w:pPr>
          </w:p>
          <w:p w14:paraId="15CE8D34" w14:textId="77777777" w:rsidR="00DC171F" w:rsidRPr="009F254D" w:rsidRDefault="00DC171F" w:rsidP="00FA635D">
            <w:pPr>
              <w:keepNext/>
              <w:keepLines/>
              <w:tabs>
                <w:tab w:val="left" w:pos="284"/>
              </w:tabs>
              <w:autoSpaceDE w:val="0"/>
              <w:autoSpaceDN w:val="0"/>
              <w:adjustRightInd w:val="0"/>
              <w:jc w:val="center"/>
              <w:rPr>
                <w:sz w:val="22"/>
                <w:szCs w:val="22"/>
                <w:lang w:val="sr-Latn-ME"/>
              </w:rPr>
            </w:pPr>
            <w:r w:rsidRPr="009F254D">
              <w:rPr>
                <w:sz w:val="22"/>
                <w:szCs w:val="22"/>
                <w:lang w:val="sr-Latn-ME"/>
              </w:rPr>
              <w:t>31,8</w:t>
            </w:r>
            <w:r w:rsidRPr="009F254D">
              <w:rPr>
                <w:sz w:val="22"/>
                <w:szCs w:val="22"/>
                <w:vertAlign w:val="superscript"/>
                <w:lang w:val="sr-Latn-ME"/>
              </w:rPr>
              <w:t>*</w:t>
            </w:r>
          </w:p>
        </w:tc>
        <w:tc>
          <w:tcPr>
            <w:tcW w:w="0" w:type="auto"/>
            <w:tcBorders>
              <w:top w:val="single" w:sz="8" w:space="0" w:color="auto"/>
              <w:bottom w:val="single" w:sz="8" w:space="0" w:color="auto"/>
            </w:tcBorders>
          </w:tcPr>
          <w:p w14:paraId="300BCE39" w14:textId="77777777" w:rsidR="00DC171F" w:rsidRPr="009F254D" w:rsidRDefault="00DC171F" w:rsidP="00FA635D">
            <w:pPr>
              <w:keepNext/>
              <w:keepLines/>
              <w:tabs>
                <w:tab w:val="left" w:pos="284"/>
              </w:tabs>
              <w:autoSpaceDE w:val="0"/>
              <w:autoSpaceDN w:val="0"/>
              <w:adjustRightInd w:val="0"/>
              <w:jc w:val="center"/>
              <w:rPr>
                <w:sz w:val="22"/>
                <w:szCs w:val="22"/>
                <w:lang w:val="sr-Latn-ME"/>
              </w:rPr>
            </w:pPr>
          </w:p>
          <w:p w14:paraId="4FF31B60" w14:textId="77777777" w:rsidR="00DC171F" w:rsidRPr="009F254D" w:rsidRDefault="00DC171F" w:rsidP="00FA635D">
            <w:pPr>
              <w:keepNext/>
              <w:keepLines/>
              <w:tabs>
                <w:tab w:val="left" w:pos="284"/>
              </w:tabs>
              <w:autoSpaceDE w:val="0"/>
              <w:autoSpaceDN w:val="0"/>
              <w:adjustRightInd w:val="0"/>
              <w:jc w:val="center"/>
              <w:rPr>
                <w:sz w:val="22"/>
                <w:szCs w:val="22"/>
                <w:lang w:val="sr-Latn-ME"/>
              </w:rPr>
            </w:pPr>
          </w:p>
          <w:p w14:paraId="3C6E1455" w14:textId="77777777" w:rsidR="00DC171F" w:rsidRPr="009F254D" w:rsidRDefault="00DC171F" w:rsidP="00FA635D">
            <w:pPr>
              <w:keepNext/>
              <w:keepLines/>
              <w:tabs>
                <w:tab w:val="left" w:pos="284"/>
              </w:tabs>
              <w:autoSpaceDE w:val="0"/>
              <w:autoSpaceDN w:val="0"/>
              <w:adjustRightInd w:val="0"/>
              <w:jc w:val="center"/>
              <w:rPr>
                <w:sz w:val="22"/>
                <w:szCs w:val="22"/>
                <w:lang w:val="sr-Latn-ME"/>
              </w:rPr>
            </w:pPr>
            <w:r w:rsidRPr="009F254D">
              <w:rPr>
                <w:sz w:val="22"/>
                <w:szCs w:val="22"/>
                <w:lang w:val="sr-Latn-ME"/>
              </w:rPr>
              <w:t>11,1</w:t>
            </w:r>
          </w:p>
        </w:tc>
      </w:tr>
      <w:tr w:rsidR="00DC171F" w:rsidRPr="009F254D" w14:paraId="75AB94D6" w14:textId="77777777" w:rsidTr="00E43FA0">
        <w:tc>
          <w:tcPr>
            <w:tcW w:w="0" w:type="auto"/>
            <w:tcBorders>
              <w:top w:val="single" w:sz="8" w:space="0" w:color="auto"/>
              <w:bottom w:val="single" w:sz="12" w:space="0" w:color="auto"/>
            </w:tcBorders>
          </w:tcPr>
          <w:p w14:paraId="610C6BFB" w14:textId="77777777" w:rsidR="00DC171F" w:rsidRPr="009F254D" w:rsidRDefault="00DC171F" w:rsidP="00FA635D">
            <w:pPr>
              <w:keepNext/>
              <w:keepLines/>
              <w:tabs>
                <w:tab w:val="left" w:pos="284"/>
              </w:tabs>
              <w:autoSpaceDE w:val="0"/>
              <w:autoSpaceDN w:val="0"/>
              <w:adjustRightInd w:val="0"/>
              <w:ind w:left="142" w:hanging="142"/>
              <w:jc w:val="both"/>
              <w:rPr>
                <w:b/>
                <w:bCs/>
                <w:sz w:val="22"/>
                <w:szCs w:val="22"/>
                <w:vertAlign w:val="superscript"/>
                <w:lang w:val="sr-Latn-ME"/>
              </w:rPr>
            </w:pPr>
            <w:r w:rsidRPr="009F254D">
              <w:rPr>
                <w:b/>
                <w:bCs/>
                <w:sz w:val="22"/>
                <w:szCs w:val="22"/>
                <w:lang w:val="sr-Latn-ME"/>
              </w:rPr>
              <w:t>Tjelesna masa (kg)</w:t>
            </w:r>
          </w:p>
          <w:p w14:paraId="3497757E" w14:textId="77777777" w:rsidR="00DC171F" w:rsidRPr="009F254D" w:rsidRDefault="00DC171F" w:rsidP="00FA635D">
            <w:pPr>
              <w:keepNext/>
              <w:keepLines/>
              <w:tabs>
                <w:tab w:val="left" w:pos="284"/>
              </w:tabs>
              <w:ind w:left="142"/>
              <w:jc w:val="both"/>
              <w:rPr>
                <w:sz w:val="22"/>
                <w:szCs w:val="22"/>
                <w:lang w:val="sr-Latn-ME"/>
              </w:rPr>
            </w:pPr>
            <w:r w:rsidRPr="009F254D">
              <w:rPr>
                <w:sz w:val="22"/>
                <w:szCs w:val="22"/>
                <w:lang w:val="sr-Latn-ME"/>
              </w:rPr>
              <w:t>Početna vrijednost (srednja)</w:t>
            </w:r>
          </w:p>
          <w:p w14:paraId="31833F89" w14:textId="77777777" w:rsidR="00DC171F" w:rsidRPr="009F254D" w:rsidRDefault="00DC171F" w:rsidP="00FA635D">
            <w:pPr>
              <w:keepNext/>
              <w:keepLines/>
              <w:tabs>
                <w:tab w:val="left" w:pos="284"/>
              </w:tabs>
              <w:ind w:firstLine="142"/>
              <w:jc w:val="both"/>
              <w:rPr>
                <w:sz w:val="22"/>
                <w:szCs w:val="22"/>
                <w:lang w:val="sr-Latn-ME"/>
              </w:rPr>
            </w:pPr>
            <w:r w:rsidRPr="009F254D">
              <w:rPr>
                <w:sz w:val="22"/>
                <w:szCs w:val="22"/>
                <w:lang w:val="sr-Latn-ME"/>
              </w:rPr>
              <w:t>Promjena u odnosu na početnu vrijednost</w:t>
            </w:r>
            <w:r w:rsidRPr="009F254D">
              <w:rPr>
                <w:sz w:val="22"/>
                <w:szCs w:val="22"/>
                <w:vertAlign w:val="superscript"/>
                <w:lang w:val="sr-Latn-ME"/>
              </w:rPr>
              <w:t>c</w:t>
            </w:r>
          </w:p>
          <w:p w14:paraId="13293FAB" w14:textId="77777777" w:rsidR="00DC171F" w:rsidRPr="009F254D" w:rsidRDefault="00DC171F" w:rsidP="00FA635D">
            <w:pPr>
              <w:keepNext/>
              <w:keepLines/>
              <w:tabs>
                <w:tab w:val="left" w:pos="284"/>
              </w:tabs>
              <w:ind w:firstLine="142"/>
              <w:jc w:val="both"/>
              <w:rPr>
                <w:sz w:val="22"/>
                <w:szCs w:val="22"/>
                <w:lang w:val="sr-Latn-ME"/>
              </w:rPr>
            </w:pPr>
            <w:r w:rsidRPr="009F254D">
              <w:rPr>
                <w:sz w:val="22"/>
                <w:szCs w:val="22"/>
                <w:lang w:val="sr-Latn-ME"/>
              </w:rPr>
              <w:t>Razlika u odnosu na placebo</w:t>
            </w:r>
            <w:r w:rsidRPr="009F254D">
              <w:rPr>
                <w:sz w:val="22"/>
                <w:szCs w:val="22"/>
                <w:vertAlign w:val="superscript"/>
                <w:lang w:val="sr-Latn-ME"/>
              </w:rPr>
              <w:t>c</w:t>
            </w:r>
          </w:p>
          <w:p w14:paraId="307C2EE1" w14:textId="77777777" w:rsidR="00DC171F" w:rsidRPr="009F254D" w:rsidRDefault="00DC171F" w:rsidP="00FA635D">
            <w:pPr>
              <w:keepNext/>
              <w:keepLines/>
              <w:tabs>
                <w:tab w:val="left" w:pos="284"/>
              </w:tabs>
              <w:ind w:firstLine="142"/>
              <w:jc w:val="both"/>
              <w:rPr>
                <w:sz w:val="22"/>
                <w:szCs w:val="22"/>
                <w:lang w:val="sr-Latn-ME"/>
              </w:rPr>
            </w:pPr>
            <w:r w:rsidRPr="009F254D">
              <w:rPr>
                <w:sz w:val="22"/>
                <w:szCs w:val="22"/>
                <w:lang w:val="sr-Latn-ME"/>
              </w:rPr>
              <w:t xml:space="preserve">    (95% CI)</w:t>
            </w:r>
          </w:p>
        </w:tc>
        <w:tc>
          <w:tcPr>
            <w:tcW w:w="0" w:type="auto"/>
            <w:tcBorders>
              <w:top w:val="single" w:sz="8" w:space="0" w:color="auto"/>
              <w:bottom w:val="single" w:sz="12" w:space="0" w:color="auto"/>
            </w:tcBorders>
          </w:tcPr>
          <w:p w14:paraId="271F4A94" w14:textId="77777777" w:rsidR="00DC171F" w:rsidRPr="009F254D" w:rsidRDefault="00DC171F" w:rsidP="00FA635D">
            <w:pPr>
              <w:keepNext/>
              <w:keepLines/>
              <w:tabs>
                <w:tab w:val="left" w:pos="284"/>
              </w:tabs>
              <w:autoSpaceDE w:val="0"/>
              <w:autoSpaceDN w:val="0"/>
              <w:adjustRightInd w:val="0"/>
              <w:jc w:val="center"/>
              <w:rPr>
                <w:sz w:val="22"/>
                <w:szCs w:val="22"/>
                <w:lang w:val="sr-Latn-ME"/>
              </w:rPr>
            </w:pPr>
          </w:p>
          <w:p w14:paraId="767CC543" w14:textId="77777777" w:rsidR="00DC171F" w:rsidRPr="009F254D" w:rsidRDefault="00DC171F" w:rsidP="00FA635D">
            <w:pPr>
              <w:keepNext/>
              <w:keepLines/>
              <w:tabs>
                <w:tab w:val="left" w:pos="284"/>
              </w:tabs>
              <w:autoSpaceDE w:val="0"/>
              <w:autoSpaceDN w:val="0"/>
              <w:adjustRightInd w:val="0"/>
              <w:jc w:val="center"/>
              <w:rPr>
                <w:sz w:val="22"/>
                <w:szCs w:val="22"/>
                <w:lang w:val="sr-Latn-ME"/>
              </w:rPr>
            </w:pPr>
            <w:r w:rsidRPr="009F254D">
              <w:rPr>
                <w:sz w:val="22"/>
                <w:szCs w:val="22"/>
                <w:lang w:val="sr-Latn-ME"/>
              </w:rPr>
              <w:t>88,57</w:t>
            </w:r>
          </w:p>
          <w:p w14:paraId="2BA88FB4" w14:textId="77777777" w:rsidR="00DC171F" w:rsidRPr="009F254D" w:rsidRDefault="00DC171F" w:rsidP="00FA635D">
            <w:pPr>
              <w:keepNext/>
              <w:keepLines/>
              <w:tabs>
                <w:tab w:val="left" w:pos="284"/>
              </w:tabs>
              <w:autoSpaceDE w:val="0"/>
              <w:autoSpaceDN w:val="0"/>
              <w:adjustRightInd w:val="0"/>
              <w:jc w:val="center"/>
              <w:rPr>
                <w:sz w:val="22"/>
                <w:szCs w:val="22"/>
                <w:lang w:val="sr-Latn-ME"/>
              </w:rPr>
            </w:pPr>
            <w:r w:rsidRPr="009F254D">
              <w:rPr>
                <w:sz w:val="22"/>
                <w:szCs w:val="22"/>
                <w:lang w:val="sr-Latn-ME"/>
              </w:rPr>
              <w:noBreakHyphen/>
              <w:t>2,65</w:t>
            </w:r>
          </w:p>
          <w:p w14:paraId="7C9DC9AC" w14:textId="77777777" w:rsidR="00DC171F" w:rsidRPr="009F254D" w:rsidRDefault="00DC171F" w:rsidP="00FA635D">
            <w:pPr>
              <w:keepNext/>
              <w:keepLines/>
              <w:tabs>
                <w:tab w:val="left" w:pos="284"/>
              </w:tabs>
              <w:autoSpaceDE w:val="0"/>
              <w:autoSpaceDN w:val="0"/>
              <w:adjustRightInd w:val="0"/>
              <w:jc w:val="center"/>
              <w:rPr>
                <w:sz w:val="22"/>
                <w:szCs w:val="22"/>
                <w:lang w:val="sr-Latn-ME"/>
              </w:rPr>
            </w:pPr>
            <w:r w:rsidRPr="009F254D">
              <w:rPr>
                <w:sz w:val="22"/>
                <w:szCs w:val="22"/>
                <w:lang w:val="sr-Latn-ME"/>
              </w:rPr>
              <w:t>-2,07</w:t>
            </w:r>
            <w:r w:rsidRPr="009F254D">
              <w:rPr>
                <w:sz w:val="22"/>
                <w:szCs w:val="22"/>
                <w:vertAlign w:val="superscript"/>
                <w:lang w:val="sr-Latn-ME"/>
              </w:rPr>
              <w:t>*</w:t>
            </w:r>
            <w:r w:rsidRPr="009F254D">
              <w:rPr>
                <w:sz w:val="22"/>
                <w:szCs w:val="22"/>
                <w:lang w:val="sr-Latn-ME"/>
              </w:rPr>
              <w:br/>
              <w:t>(-2,79, -1,35)</w:t>
            </w:r>
          </w:p>
        </w:tc>
        <w:tc>
          <w:tcPr>
            <w:tcW w:w="0" w:type="auto"/>
            <w:tcBorders>
              <w:top w:val="single" w:sz="8" w:space="0" w:color="auto"/>
              <w:bottom w:val="single" w:sz="12" w:space="0" w:color="auto"/>
            </w:tcBorders>
          </w:tcPr>
          <w:p w14:paraId="4C4ED128" w14:textId="77777777" w:rsidR="00DC171F" w:rsidRPr="009F254D" w:rsidRDefault="00DC171F" w:rsidP="00FA635D">
            <w:pPr>
              <w:keepNext/>
              <w:keepLines/>
              <w:tabs>
                <w:tab w:val="left" w:pos="284"/>
              </w:tabs>
              <w:autoSpaceDE w:val="0"/>
              <w:autoSpaceDN w:val="0"/>
              <w:adjustRightInd w:val="0"/>
              <w:jc w:val="center"/>
              <w:rPr>
                <w:sz w:val="22"/>
                <w:szCs w:val="22"/>
                <w:lang w:val="sr-Latn-ME"/>
              </w:rPr>
            </w:pPr>
          </w:p>
          <w:p w14:paraId="06BAC72C" w14:textId="77777777" w:rsidR="00DC171F" w:rsidRPr="009F254D" w:rsidRDefault="00DC171F" w:rsidP="00FA635D">
            <w:pPr>
              <w:keepNext/>
              <w:keepLines/>
              <w:tabs>
                <w:tab w:val="left" w:pos="284"/>
              </w:tabs>
              <w:autoSpaceDE w:val="0"/>
              <w:autoSpaceDN w:val="0"/>
              <w:adjustRightInd w:val="0"/>
              <w:jc w:val="center"/>
              <w:rPr>
                <w:sz w:val="22"/>
                <w:szCs w:val="22"/>
                <w:lang w:val="sr-Latn-ME"/>
              </w:rPr>
            </w:pPr>
            <w:r w:rsidRPr="009F254D">
              <w:rPr>
                <w:sz w:val="22"/>
                <w:szCs w:val="22"/>
                <w:lang w:val="sr-Latn-ME"/>
              </w:rPr>
              <w:t>90,07</w:t>
            </w:r>
          </w:p>
          <w:p w14:paraId="46779C14" w14:textId="77777777" w:rsidR="00DC171F" w:rsidRPr="009F254D" w:rsidRDefault="00DC171F" w:rsidP="00FA635D">
            <w:pPr>
              <w:keepNext/>
              <w:keepLines/>
              <w:tabs>
                <w:tab w:val="left" w:pos="284"/>
              </w:tabs>
              <w:autoSpaceDE w:val="0"/>
              <w:autoSpaceDN w:val="0"/>
              <w:adjustRightInd w:val="0"/>
              <w:jc w:val="center"/>
              <w:rPr>
                <w:sz w:val="22"/>
                <w:szCs w:val="22"/>
                <w:lang w:val="sr-Latn-ME"/>
              </w:rPr>
            </w:pPr>
            <w:r w:rsidRPr="009F254D">
              <w:rPr>
                <w:sz w:val="22"/>
                <w:szCs w:val="22"/>
                <w:lang w:val="sr-Latn-ME"/>
              </w:rPr>
              <w:t>-0,58</w:t>
            </w:r>
          </w:p>
        </w:tc>
      </w:tr>
      <w:tr w:rsidR="00DC171F" w:rsidRPr="00E43FA0" w14:paraId="6271478C" w14:textId="77777777" w:rsidTr="00E43FA0">
        <w:tc>
          <w:tcPr>
            <w:tcW w:w="0" w:type="auto"/>
            <w:gridSpan w:val="3"/>
          </w:tcPr>
          <w:p w14:paraId="5279D352" w14:textId="77777777" w:rsidR="00DC171F" w:rsidRPr="00E43FA0" w:rsidRDefault="00DC171F" w:rsidP="00FA635D">
            <w:pPr>
              <w:tabs>
                <w:tab w:val="left" w:pos="284"/>
              </w:tabs>
              <w:ind w:left="72" w:hanging="72"/>
              <w:jc w:val="both"/>
              <w:rPr>
                <w:sz w:val="20"/>
                <w:szCs w:val="22"/>
                <w:lang w:val="sr-Latn-ME"/>
              </w:rPr>
            </w:pPr>
            <w:r w:rsidRPr="00E43FA0">
              <w:rPr>
                <w:sz w:val="20"/>
                <w:szCs w:val="22"/>
                <w:vertAlign w:val="superscript"/>
                <w:lang w:val="sr-Latn-ME"/>
              </w:rPr>
              <w:t>1</w:t>
            </w:r>
            <w:r w:rsidRPr="00E43FA0">
              <w:rPr>
                <w:sz w:val="20"/>
                <w:szCs w:val="22"/>
                <w:lang w:val="sr-Latn-ME"/>
              </w:rPr>
              <w:t>Metformin (formule sa trenutnim ili produženim dejstvom) ≥1500 mg dnevno u kombinaciji sa maksimalnom tolerisanom dozom, koja mora da bude najmanje pola od maksimalne doze, ili sulfonilureom u periodu od najmanje 8 nedjelja prije uključivanja.</w:t>
            </w:r>
          </w:p>
          <w:p w14:paraId="26ACDB1D" w14:textId="77777777" w:rsidR="00DC171F" w:rsidRPr="00E43FA0" w:rsidRDefault="00DC171F" w:rsidP="00FA635D">
            <w:pPr>
              <w:tabs>
                <w:tab w:val="left" w:pos="284"/>
              </w:tabs>
              <w:ind w:left="72" w:hanging="72"/>
              <w:jc w:val="both"/>
              <w:rPr>
                <w:sz w:val="20"/>
                <w:szCs w:val="22"/>
                <w:lang w:val="sr-Latn-ME"/>
              </w:rPr>
            </w:pPr>
            <w:r w:rsidRPr="00E43FA0">
              <w:rPr>
                <w:sz w:val="20"/>
                <w:szCs w:val="22"/>
                <w:vertAlign w:val="superscript"/>
                <w:lang w:val="sr-Latn-ME"/>
              </w:rPr>
              <w:t>a</w:t>
            </w:r>
            <w:r w:rsidRPr="00E43FA0">
              <w:rPr>
                <w:sz w:val="20"/>
                <w:szCs w:val="22"/>
                <w:lang w:val="sr-Latn-ME"/>
              </w:rPr>
              <w:t>Randomizovani i liječeni ispitanici sa mjerenjem efikasnosti na početku i najmanje jednim mjerenjem nakon početka.</w:t>
            </w:r>
          </w:p>
          <w:p w14:paraId="505EB7B5" w14:textId="2ADF0A18" w:rsidR="00DC171F" w:rsidRPr="00E43FA0" w:rsidRDefault="00DC171F" w:rsidP="00FA635D">
            <w:pPr>
              <w:tabs>
                <w:tab w:val="left" w:pos="284"/>
              </w:tabs>
              <w:jc w:val="both"/>
              <w:rPr>
                <w:sz w:val="20"/>
                <w:szCs w:val="22"/>
                <w:lang w:val="sr-Latn-ME"/>
              </w:rPr>
            </w:pPr>
            <w:r w:rsidRPr="00E43FA0">
              <w:rPr>
                <w:sz w:val="20"/>
                <w:szCs w:val="22"/>
                <w:vertAlign w:val="superscript"/>
                <w:lang w:val="sr-Latn-ME"/>
              </w:rPr>
              <w:t>b</w:t>
            </w:r>
            <w:r w:rsidRPr="00E43FA0">
              <w:rPr>
                <w:sz w:val="20"/>
                <w:szCs w:val="22"/>
                <w:lang w:val="sr-Latn-ME"/>
              </w:rPr>
              <w:t>HbA1c analiziran tokom korišćenja LRM (</w:t>
            </w:r>
            <w:r w:rsidR="002553ED" w:rsidRPr="00E43FA0">
              <w:rPr>
                <w:sz w:val="20"/>
                <w:szCs w:val="22"/>
                <w:lang w:val="sr-Latn-ME"/>
              </w:rPr>
              <w:t xml:space="preserve">engl. </w:t>
            </w:r>
            <w:r w:rsidR="00207719" w:rsidRPr="00E43FA0">
              <w:rPr>
                <w:i/>
                <w:sz w:val="20"/>
                <w:szCs w:val="22"/>
                <w:lang w:val="sr-Latn-ME"/>
              </w:rPr>
              <w:t>Longitudinal repeated measures analysis</w:t>
            </w:r>
            <w:r w:rsidR="00207719" w:rsidRPr="00E43FA0">
              <w:rPr>
                <w:sz w:val="20"/>
                <w:szCs w:val="22"/>
                <w:lang w:val="sr-Latn-ME"/>
              </w:rPr>
              <w:t xml:space="preserve"> – L</w:t>
            </w:r>
            <w:r w:rsidRPr="00E43FA0">
              <w:rPr>
                <w:sz w:val="20"/>
                <w:szCs w:val="22"/>
                <w:lang w:val="sr-Latn-ME"/>
              </w:rPr>
              <w:t>ongitudinaln</w:t>
            </w:r>
            <w:r w:rsidR="00207719" w:rsidRPr="00E43FA0">
              <w:rPr>
                <w:sz w:val="20"/>
                <w:szCs w:val="22"/>
                <w:lang w:val="sr-Latn-ME"/>
              </w:rPr>
              <w:t>a</w:t>
            </w:r>
            <w:r w:rsidRPr="00E43FA0">
              <w:rPr>
                <w:sz w:val="20"/>
                <w:szCs w:val="22"/>
                <w:lang w:val="sr-Latn-ME"/>
              </w:rPr>
              <w:t xml:space="preserve"> analiz</w:t>
            </w:r>
            <w:r w:rsidR="00207719" w:rsidRPr="00E43FA0">
              <w:rPr>
                <w:sz w:val="20"/>
                <w:szCs w:val="22"/>
                <w:lang w:val="sr-Latn-ME"/>
              </w:rPr>
              <w:t>a</w:t>
            </w:r>
            <w:r w:rsidRPr="00E43FA0">
              <w:rPr>
                <w:sz w:val="20"/>
                <w:szCs w:val="22"/>
                <w:lang w:val="sr-Latn-ME"/>
              </w:rPr>
              <w:t xml:space="preserve"> ponovljenih mjerenja)</w:t>
            </w:r>
          </w:p>
          <w:p w14:paraId="5CBA823A" w14:textId="77777777" w:rsidR="00DC171F" w:rsidRPr="00E43FA0" w:rsidRDefault="00DC171F" w:rsidP="00FA635D">
            <w:pPr>
              <w:tabs>
                <w:tab w:val="left" w:pos="284"/>
              </w:tabs>
              <w:jc w:val="both"/>
              <w:rPr>
                <w:sz w:val="20"/>
                <w:szCs w:val="22"/>
                <w:lang w:val="sr-Latn-ME"/>
              </w:rPr>
            </w:pPr>
            <w:r w:rsidRPr="00E43FA0">
              <w:rPr>
                <w:sz w:val="20"/>
                <w:szCs w:val="22"/>
                <w:vertAlign w:val="superscript"/>
                <w:lang w:val="sr-Latn-ME"/>
              </w:rPr>
              <w:t>c</w:t>
            </w:r>
            <w:r w:rsidRPr="00E43FA0">
              <w:rPr>
                <w:sz w:val="20"/>
                <w:szCs w:val="22"/>
                <w:lang w:val="sr-Latn-ME"/>
              </w:rPr>
              <w:t>Srednja vrijednost najmanjih kvadrata korigovana za početnu vrijednost</w:t>
            </w:r>
          </w:p>
          <w:p w14:paraId="7A22E55A" w14:textId="77777777" w:rsidR="00DC171F" w:rsidRPr="00E43FA0" w:rsidRDefault="00DC171F" w:rsidP="00FA635D">
            <w:pPr>
              <w:tabs>
                <w:tab w:val="left" w:pos="284"/>
              </w:tabs>
              <w:jc w:val="both"/>
              <w:rPr>
                <w:sz w:val="20"/>
                <w:szCs w:val="22"/>
                <w:lang w:val="sr-Latn-ME"/>
              </w:rPr>
            </w:pPr>
            <w:r w:rsidRPr="00E43FA0">
              <w:rPr>
                <w:sz w:val="20"/>
                <w:szCs w:val="22"/>
                <w:vertAlign w:val="superscript"/>
                <w:lang w:val="sr-Latn-ME"/>
              </w:rPr>
              <w:t>*</w:t>
            </w:r>
            <w:r w:rsidRPr="00E43FA0">
              <w:rPr>
                <w:sz w:val="20"/>
                <w:szCs w:val="22"/>
                <w:lang w:val="sr-Latn-ME"/>
              </w:rPr>
              <w:t>p</w:t>
            </w:r>
            <w:r w:rsidRPr="00E43FA0">
              <w:rPr>
                <w:sz w:val="20"/>
                <w:szCs w:val="22"/>
                <w:lang w:val="sr-Latn-ME"/>
              </w:rPr>
              <w:noBreakHyphen/>
              <w:t>vrijednost &lt; 0,0001 u odnosu na placebo + oralni lijek za snižavanje nivoa glukoze</w:t>
            </w:r>
          </w:p>
          <w:p w14:paraId="27C59852" w14:textId="77777777" w:rsidR="00DC171F" w:rsidRPr="00E43FA0" w:rsidRDefault="00DC171F" w:rsidP="00FA635D">
            <w:pPr>
              <w:keepNext/>
              <w:keepLines/>
              <w:tabs>
                <w:tab w:val="left" w:pos="284"/>
              </w:tabs>
              <w:autoSpaceDE w:val="0"/>
              <w:autoSpaceDN w:val="0"/>
              <w:adjustRightInd w:val="0"/>
              <w:jc w:val="both"/>
              <w:rPr>
                <w:sz w:val="20"/>
                <w:szCs w:val="22"/>
                <w:vertAlign w:val="superscript"/>
                <w:lang w:val="sr-Latn-ME"/>
              </w:rPr>
            </w:pPr>
          </w:p>
        </w:tc>
      </w:tr>
    </w:tbl>
    <w:p w14:paraId="0C14521F" w14:textId="4AC564BB" w:rsidR="00DC171F" w:rsidRPr="009F254D" w:rsidRDefault="00DC171F" w:rsidP="00FA635D">
      <w:pPr>
        <w:keepNext/>
        <w:keepLines/>
        <w:tabs>
          <w:tab w:val="left" w:pos="284"/>
        </w:tabs>
        <w:jc w:val="both"/>
        <w:rPr>
          <w:b/>
          <w:sz w:val="22"/>
          <w:szCs w:val="22"/>
          <w:lang w:val="sr-Latn-ME"/>
        </w:rPr>
      </w:pPr>
      <w:r w:rsidRPr="009F254D">
        <w:rPr>
          <w:b/>
          <w:bCs/>
          <w:sz w:val="22"/>
          <w:szCs w:val="22"/>
          <w:lang w:val="sr-Latn-ME"/>
        </w:rPr>
        <w:lastRenderedPageBreak/>
        <w:t>Tabela 6. Rezultati u 24. nedjelji (LOCF</w:t>
      </w:r>
      <w:r w:rsidRPr="009F254D">
        <w:rPr>
          <w:b/>
          <w:bCs/>
          <w:sz w:val="22"/>
          <w:szCs w:val="22"/>
          <w:vertAlign w:val="superscript"/>
          <w:lang w:val="sr-Latn-ME"/>
        </w:rPr>
        <w:t>a</w:t>
      </w:r>
      <w:r w:rsidRPr="009F254D">
        <w:rPr>
          <w:b/>
          <w:bCs/>
          <w:sz w:val="22"/>
          <w:szCs w:val="22"/>
          <w:lang w:val="sr-Latn-ME"/>
        </w:rPr>
        <w:t>) placebo</w:t>
      </w:r>
      <w:r w:rsidR="00207719" w:rsidRPr="009F254D">
        <w:rPr>
          <w:b/>
          <w:bCs/>
          <w:sz w:val="22"/>
          <w:szCs w:val="22"/>
          <w:lang w:val="sr-Latn-ME"/>
        </w:rPr>
        <w:t>-</w:t>
      </w:r>
      <w:r w:rsidRPr="009F254D">
        <w:rPr>
          <w:b/>
          <w:bCs/>
          <w:sz w:val="22"/>
          <w:szCs w:val="22"/>
          <w:lang w:val="sr-Latn-ME"/>
        </w:rPr>
        <w:t>kontrolisane studije dapagliflozina u kombinaciji sa insulinom (samim ili sa oralnim ljekovima za snižavanje nivoa glukoze, uključujući metformin)</w:t>
      </w:r>
    </w:p>
    <w:tbl>
      <w:tblPr>
        <w:tblW w:w="4985" w:type="pct"/>
        <w:tblBorders>
          <w:top w:val="single" w:sz="12" w:space="0" w:color="auto"/>
          <w:bottom w:val="single" w:sz="4" w:space="0" w:color="auto"/>
          <w:insideH w:val="single" w:sz="4" w:space="0" w:color="auto"/>
        </w:tblBorders>
        <w:tblLook w:val="0000" w:firstRow="0" w:lastRow="0" w:firstColumn="0" w:lastColumn="0" w:noHBand="0" w:noVBand="0"/>
      </w:tblPr>
      <w:tblGrid>
        <w:gridCol w:w="3618"/>
        <w:gridCol w:w="2818"/>
        <w:gridCol w:w="2610"/>
      </w:tblGrid>
      <w:tr w:rsidR="00DC171F" w:rsidRPr="00E43FA0" w14:paraId="6A39E032" w14:textId="77777777" w:rsidTr="00E43FA0">
        <w:tc>
          <w:tcPr>
            <w:tcW w:w="0" w:type="auto"/>
            <w:tcBorders>
              <w:top w:val="single" w:sz="12" w:space="0" w:color="auto"/>
              <w:bottom w:val="single" w:sz="4" w:space="0" w:color="auto"/>
            </w:tcBorders>
            <w:vAlign w:val="bottom"/>
          </w:tcPr>
          <w:p w14:paraId="23BB5790" w14:textId="77777777" w:rsidR="00DC171F" w:rsidRPr="009F254D" w:rsidRDefault="00DC171F" w:rsidP="00FA635D">
            <w:pPr>
              <w:keepNext/>
              <w:keepLines/>
              <w:tabs>
                <w:tab w:val="left" w:pos="567"/>
              </w:tabs>
              <w:rPr>
                <w:rFonts w:eastAsia="MS Mincho"/>
                <w:b/>
                <w:bCs/>
                <w:sz w:val="22"/>
                <w:szCs w:val="22"/>
                <w:lang w:val="sr-Latn-ME"/>
              </w:rPr>
            </w:pPr>
            <w:r w:rsidRPr="009F254D">
              <w:rPr>
                <w:rFonts w:eastAsia="MS Mincho"/>
                <w:b/>
                <w:bCs/>
                <w:sz w:val="22"/>
                <w:szCs w:val="22"/>
                <w:lang w:val="sr-Latn-ME"/>
              </w:rPr>
              <w:t>Parametar</w:t>
            </w:r>
          </w:p>
        </w:tc>
        <w:tc>
          <w:tcPr>
            <w:tcW w:w="0" w:type="auto"/>
            <w:tcBorders>
              <w:top w:val="single" w:sz="12" w:space="0" w:color="auto"/>
              <w:bottom w:val="single" w:sz="4" w:space="0" w:color="auto"/>
            </w:tcBorders>
          </w:tcPr>
          <w:p w14:paraId="651AEBA1" w14:textId="77777777" w:rsidR="00DC171F" w:rsidRPr="009F254D" w:rsidRDefault="00DC171F" w:rsidP="00FA635D">
            <w:pPr>
              <w:keepNext/>
              <w:keepLines/>
              <w:tabs>
                <w:tab w:val="left" w:pos="284"/>
              </w:tabs>
              <w:autoSpaceDE w:val="0"/>
              <w:autoSpaceDN w:val="0"/>
              <w:adjustRightInd w:val="0"/>
              <w:jc w:val="center"/>
              <w:rPr>
                <w:b/>
                <w:bCs/>
                <w:sz w:val="22"/>
                <w:szCs w:val="22"/>
                <w:lang w:val="sr-Latn-ME"/>
              </w:rPr>
            </w:pPr>
            <w:r w:rsidRPr="009F254D">
              <w:rPr>
                <w:b/>
                <w:bCs/>
                <w:sz w:val="22"/>
                <w:szCs w:val="22"/>
                <w:lang w:val="sr-Latn-ME"/>
              </w:rPr>
              <w:t>Dapagliflozin od 10 mg</w:t>
            </w:r>
          </w:p>
          <w:p w14:paraId="54CE61CB" w14:textId="77777777" w:rsidR="00DC171F" w:rsidRPr="009F254D" w:rsidRDefault="00DC171F" w:rsidP="00FA635D">
            <w:pPr>
              <w:keepNext/>
              <w:keepLines/>
              <w:tabs>
                <w:tab w:val="left" w:pos="284"/>
              </w:tabs>
              <w:autoSpaceDE w:val="0"/>
              <w:autoSpaceDN w:val="0"/>
              <w:adjustRightInd w:val="0"/>
              <w:jc w:val="center"/>
              <w:rPr>
                <w:sz w:val="22"/>
                <w:szCs w:val="22"/>
                <w:vertAlign w:val="superscript"/>
                <w:lang w:val="sr-Latn-ME"/>
              </w:rPr>
            </w:pPr>
            <w:r w:rsidRPr="009F254D">
              <w:rPr>
                <w:b/>
                <w:bCs/>
                <w:sz w:val="22"/>
                <w:szCs w:val="22"/>
                <w:lang w:val="sr-Latn-ME"/>
              </w:rPr>
              <w:t>+ insulin</w:t>
            </w:r>
          </w:p>
          <w:p w14:paraId="0C8A8E94" w14:textId="39BBAE3B" w:rsidR="00DC171F" w:rsidRPr="009F254D" w:rsidRDefault="00DC171F" w:rsidP="00FA635D">
            <w:pPr>
              <w:keepNext/>
              <w:keepLines/>
              <w:tabs>
                <w:tab w:val="left" w:pos="284"/>
              </w:tabs>
              <w:autoSpaceDE w:val="0"/>
              <w:autoSpaceDN w:val="0"/>
              <w:adjustRightInd w:val="0"/>
              <w:jc w:val="center"/>
              <w:rPr>
                <w:b/>
                <w:bCs/>
                <w:sz w:val="22"/>
                <w:szCs w:val="22"/>
                <w:lang w:val="sr-Latn-ME"/>
              </w:rPr>
            </w:pPr>
            <w:r w:rsidRPr="009F254D">
              <w:rPr>
                <w:b/>
                <w:bCs/>
                <w:noProof/>
                <w:sz w:val="22"/>
                <w:szCs w:val="22"/>
                <w:lang w:val="sr-Latn-ME"/>
              </w:rPr>
              <w:t>± oralni l</w:t>
            </w:r>
            <w:r w:rsidR="00207719" w:rsidRPr="009F254D">
              <w:rPr>
                <w:b/>
                <w:bCs/>
                <w:noProof/>
                <w:sz w:val="22"/>
                <w:szCs w:val="22"/>
                <w:lang w:val="sr-Latn-ME"/>
              </w:rPr>
              <w:t>j</w:t>
            </w:r>
            <w:r w:rsidRPr="009F254D">
              <w:rPr>
                <w:b/>
                <w:bCs/>
                <w:noProof/>
                <w:sz w:val="22"/>
                <w:szCs w:val="22"/>
                <w:lang w:val="sr-Latn-ME"/>
              </w:rPr>
              <w:t>ekovi za snižavanje nivoa glukoze</w:t>
            </w:r>
            <w:r w:rsidRPr="009F254D">
              <w:rPr>
                <w:noProof/>
                <w:sz w:val="22"/>
                <w:szCs w:val="22"/>
                <w:vertAlign w:val="superscript"/>
                <w:lang w:val="sr-Latn-ME"/>
              </w:rPr>
              <w:t>2</w:t>
            </w:r>
          </w:p>
        </w:tc>
        <w:tc>
          <w:tcPr>
            <w:tcW w:w="0" w:type="auto"/>
            <w:tcBorders>
              <w:top w:val="single" w:sz="12" w:space="0" w:color="auto"/>
              <w:bottom w:val="single" w:sz="4" w:space="0" w:color="auto"/>
            </w:tcBorders>
            <w:vAlign w:val="bottom"/>
          </w:tcPr>
          <w:p w14:paraId="3A8C7179" w14:textId="77777777" w:rsidR="00DC171F" w:rsidRPr="009F254D" w:rsidRDefault="00DC171F" w:rsidP="00FA635D">
            <w:pPr>
              <w:keepNext/>
              <w:keepLines/>
              <w:tabs>
                <w:tab w:val="left" w:pos="284"/>
              </w:tabs>
              <w:autoSpaceDE w:val="0"/>
              <w:autoSpaceDN w:val="0"/>
              <w:adjustRightInd w:val="0"/>
              <w:jc w:val="center"/>
              <w:rPr>
                <w:b/>
                <w:bCs/>
                <w:sz w:val="22"/>
                <w:szCs w:val="22"/>
                <w:lang w:val="sr-Latn-ME"/>
              </w:rPr>
            </w:pPr>
            <w:r w:rsidRPr="009F254D">
              <w:rPr>
                <w:b/>
                <w:bCs/>
                <w:sz w:val="22"/>
                <w:szCs w:val="22"/>
                <w:lang w:val="sr-Latn-ME"/>
              </w:rPr>
              <w:t>Placebo</w:t>
            </w:r>
          </w:p>
          <w:p w14:paraId="38EA0127" w14:textId="77777777" w:rsidR="00DC171F" w:rsidRPr="009F254D" w:rsidRDefault="00DC171F" w:rsidP="00FA635D">
            <w:pPr>
              <w:keepNext/>
              <w:keepLines/>
              <w:tabs>
                <w:tab w:val="left" w:pos="284"/>
              </w:tabs>
              <w:autoSpaceDE w:val="0"/>
              <w:autoSpaceDN w:val="0"/>
              <w:adjustRightInd w:val="0"/>
              <w:jc w:val="center"/>
              <w:rPr>
                <w:sz w:val="22"/>
                <w:szCs w:val="22"/>
                <w:vertAlign w:val="superscript"/>
                <w:lang w:val="sr-Latn-ME"/>
              </w:rPr>
            </w:pPr>
            <w:r w:rsidRPr="009F254D">
              <w:rPr>
                <w:b/>
                <w:bCs/>
                <w:sz w:val="22"/>
                <w:szCs w:val="22"/>
                <w:lang w:val="sr-Latn-ME"/>
              </w:rPr>
              <w:t>+ insulin</w:t>
            </w:r>
          </w:p>
          <w:p w14:paraId="043B18FA" w14:textId="77777777" w:rsidR="00DC171F" w:rsidRPr="009F254D" w:rsidRDefault="00DC171F" w:rsidP="00FA635D">
            <w:pPr>
              <w:keepNext/>
              <w:keepLines/>
              <w:tabs>
                <w:tab w:val="left" w:pos="284"/>
              </w:tabs>
              <w:autoSpaceDE w:val="0"/>
              <w:autoSpaceDN w:val="0"/>
              <w:adjustRightInd w:val="0"/>
              <w:jc w:val="center"/>
              <w:rPr>
                <w:b/>
                <w:bCs/>
                <w:sz w:val="22"/>
                <w:szCs w:val="22"/>
                <w:lang w:val="sr-Latn-ME"/>
              </w:rPr>
            </w:pPr>
            <w:r w:rsidRPr="009F254D">
              <w:rPr>
                <w:b/>
                <w:bCs/>
                <w:noProof/>
                <w:sz w:val="22"/>
                <w:szCs w:val="22"/>
                <w:lang w:val="sr-Latn-ME"/>
              </w:rPr>
              <w:t>± oralni ljekovi za snižavanje nivoa glukoze</w:t>
            </w:r>
            <w:r w:rsidRPr="009F254D">
              <w:rPr>
                <w:noProof/>
                <w:sz w:val="22"/>
                <w:szCs w:val="22"/>
                <w:vertAlign w:val="superscript"/>
                <w:lang w:val="sr-Latn-ME"/>
              </w:rPr>
              <w:t>2</w:t>
            </w:r>
          </w:p>
        </w:tc>
      </w:tr>
      <w:tr w:rsidR="00DC171F" w:rsidRPr="009F254D" w14:paraId="798B1469" w14:textId="77777777" w:rsidTr="00E43FA0">
        <w:tc>
          <w:tcPr>
            <w:tcW w:w="0" w:type="auto"/>
            <w:tcBorders>
              <w:top w:val="single" w:sz="4" w:space="0" w:color="auto"/>
              <w:bottom w:val="single" w:sz="4" w:space="0" w:color="auto"/>
            </w:tcBorders>
          </w:tcPr>
          <w:p w14:paraId="495AD2E7" w14:textId="77777777" w:rsidR="00DC171F" w:rsidRPr="009F254D" w:rsidRDefault="00DC171F" w:rsidP="00FA635D">
            <w:pPr>
              <w:keepNext/>
              <w:keepLines/>
              <w:tabs>
                <w:tab w:val="left" w:pos="284"/>
              </w:tabs>
              <w:jc w:val="both"/>
              <w:rPr>
                <w:sz w:val="22"/>
                <w:szCs w:val="22"/>
                <w:lang w:val="sr-Latn-ME"/>
              </w:rPr>
            </w:pPr>
            <w:r w:rsidRPr="009F254D">
              <w:rPr>
                <w:b/>
                <w:bCs/>
                <w:sz w:val="22"/>
                <w:szCs w:val="22"/>
                <w:lang w:val="sr-Latn-ME"/>
              </w:rPr>
              <w:t>N</w:t>
            </w:r>
            <w:r w:rsidRPr="009F254D">
              <w:rPr>
                <w:sz w:val="22"/>
                <w:szCs w:val="22"/>
                <w:vertAlign w:val="superscript"/>
                <w:lang w:val="sr-Latn-ME"/>
              </w:rPr>
              <w:t>b</w:t>
            </w:r>
          </w:p>
        </w:tc>
        <w:tc>
          <w:tcPr>
            <w:tcW w:w="0" w:type="auto"/>
            <w:tcBorders>
              <w:top w:val="single" w:sz="4" w:space="0" w:color="auto"/>
              <w:bottom w:val="single" w:sz="4" w:space="0" w:color="auto"/>
            </w:tcBorders>
          </w:tcPr>
          <w:p w14:paraId="3C59C19C" w14:textId="77777777" w:rsidR="00DC171F" w:rsidRPr="009F254D" w:rsidRDefault="00DC171F" w:rsidP="00FA635D">
            <w:pPr>
              <w:keepNext/>
              <w:keepLines/>
              <w:tabs>
                <w:tab w:val="left" w:pos="284"/>
              </w:tabs>
              <w:autoSpaceDE w:val="0"/>
              <w:autoSpaceDN w:val="0"/>
              <w:adjustRightInd w:val="0"/>
              <w:jc w:val="center"/>
              <w:rPr>
                <w:sz w:val="22"/>
                <w:szCs w:val="22"/>
                <w:lang w:val="sr-Latn-ME"/>
              </w:rPr>
            </w:pPr>
            <w:r w:rsidRPr="009F254D">
              <w:rPr>
                <w:sz w:val="22"/>
                <w:szCs w:val="22"/>
                <w:lang w:val="sr-Latn-ME"/>
              </w:rPr>
              <w:t>194</w:t>
            </w:r>
          </w:p>
        </w:tc>
        <w:tc>
          <w:tcPr>
            <w:tcW w:w="0" w:type="auto"/>
            <w:tcBorders>
              <w:top w:val="single" w:sz="4" w:space="0" w:color="auto"/>
              <w:bottom w:val="single" w:sz="4" w:space="0" w:color="auto"/>
            </w:tcBorders>
          </w:tcPr>
          <w:p w14:paraId="5A654168" w14:textId="77777777" w:rsidR="00DC171F" w:rsidRPr="009F254D" w:rsidRDefault="00DC171F" w:rsidP="00FA635D">
            <w:pPr>
              <w:keepNext/>
              <w:keepLines/>
              <w:tabs>
                <w:tab w:val="left" w:pos="284"/>
              </w:tabs>
              <w:autoSpaceDE w:val="0"/>
              <w:autoSpaceDN w:val="0"/>
              <w:adjustRightInd w:val="0"/>
              <w:jc w:val="center"/>
              <w:rPr>
                <w:sz w:val="22"/>
                <w:szCs w:val="22"/>
                <w:lang w:val="sr-Latn-ME"/>
              </w:rPr>
            </w:pPr>
            <w:r w:rsidRPr="009F254D">
              <w:rPr>
                <w:sz w:val="22"/>
                <w:szCs w:val="22"/>
                <w:lang w:val="sr-Latn-ME"/>
              </w:rPr>
              <w:t>193</w:t>
            </w:r>
          </w:p>
        </w:tc>
      </w:tr>
      <w:tr w:rsidR="00DC171F" w:rsidRPr="009F254D" w14:paraId="2CA54C59" w14:textId="77777777" w:rsidTr="00E43FA0">
        <w:tc>
          <w:tcPr>
            <w:tcW w:w="0" w:type="auto"/>
            <w:tcBorders>
              <w:top w:val="single" w:sz="4" w:space="0" w:color="auto"/>
              <w:bottom w:val="single" w:sz="4" w:space="0" w:color="auto"/>
            </w:tcBorders>
          </w:tcPr>
          <w:p w14:paraId="679AF3FB" w14:textId="77777777" w:rsidR="00DC171F" w:rsidRPr="009F254D" w:rsidRDefault="00DC171F" w:rsidP="00FA635D">
            <w:pPr>
              <w:keepNext/>
              <w:keepLines/>
              <w:tabs>
                <w:tab w:val="left" w:pos="284"/>
              </w:tabs>
              <w:jc w:val="both"/>
              <w:rPr>
                <w:b/>
                <w:bCs/>
                <w:sz w:val="22"/>
                <w:szCs w:val="22"/>
                <w:lang w:val="sr-Latn-ME"/>
              </w:rPr>
            </w:pPr>
            <w:r w:rsidRPr="009F254D">
              <w:rPr>
                <w:b/>
                <w:bCs/>
                <w:sz w:val="22"/>
                <w:szCs w:val="22"/>
                <w:lang w:val="sr-Latn-ME"/>
              </w:rPr>
              <w:t>HbA1c (%)</w:t>
            </w:r>
          </w:p>
          <w:p w14:paraId="3E8EDD7E" w14:textId="77777777" w:rsidR="00DC171F" w:rsidRPr="009F254D" w:rsidRDefault="00DC171F" w:rsidP="00FA635D">
            <w:pPr>
              <w:keepNext/>
              <w:keepLines/>
              <w:tabs>
                <w:tab w:val="left" w:pos="284"/>
              </w:tabs>
              <w:ind w:left="142"/>
              <w:jc w:val="both"/>
              <w:rPr>
                <w:sz w:val="22"/>
                <w:szCs w:val="22"/>
                <w:lang w:val="sr-Latn-ME"/>
              </w:rPr>
            </w:pPr>
            <w:r w:rsidRPr="009F254D">
              <w:rPr>
                <w:sz w:val="22"/>
                <w:szCs w:val="22"/>
                <w:lang w:val="sr-Latn-ME"/>
              </w:rPr>
              <w:t>Početna vrijednost (srednja)</w:t>
            </w:r>
          </w:p>
          <w:p w14:paraId="09D4078A" w14:textId="77777777" w:rsidR="00DC171F" w:rsidRPr="009F254D" w:rsidRDefault="00DC171F" w:rsidP="00FA635D">
            <w:pPr>
              <w:keepNext/>
              <w:keepLines/>
              <w:tabs>
                <w:tab w:val="left" w:pos="284"/>
              </w:tabs>
              <w:ind w:left="142"/>
              <w:jc w:val="both"/>
              <w:rPr>
                <w:sz w:val="22"/>
                <w:szCs w:val="22"/>
                <w:lang w:val="sr-Latn-ME"/>
              </w:rPr>
            </w:pPr>
            <w:r w:rsidRPr="009F254D">
              <w:rPr>
                <w:sz w:val="22"/>
                <w:szCs w:val="22"/>
                <w:lang w:val="sr-Latn-ME"/>
              </w:rPr>
              <w:t>Promjena u odnosu na početnu vrijednost</w:t>
            </w:r>
            <w:r w:rsidRPr="009F254D">
              <w:rPr>
                <w:sz w:val="22"/>
                <w:szCs w:val="22"/>
                <w:vertAlign w:val="superscript"/>
                <w:lang w:val="sr-Latn-ME"/>
              </w:rPr>
              <w:t>c</w:t>
            </w:r>
          </w:p>
          <w:p w14:paraId="2631E7AA" w14:textId="77777777" w:rsidR="00DC171F" w:rsidRPr="009F254D" w:rsidRDefault="00DC171F" w:rsidP="00FA635D">
            <w:pPr>
              <w:keepNext/>
              <w:keepLines/>
              <w:tabs>
                <w:tab w:val="left" w:pos="284"/>
              </w:tabs>
              <w:ind w:left="142"/>
              <w:jc w:val="both"/>
              <w:rPr>
                <w:sz w:val="22"/>
                <w:szCs w:val="22"/>
                <w:lang w:val="sr-Latn-ME"/>
              </w:rPr>
            </w:pPr>
            <w:r w:rsidRPr="009F254D">
              <w:rPr>
                <w:sz w:val="22"/>
                <w:szCs w:val="22"/>
                <w:lang w:val="sr-Latn-ME"/>
              </w:rPr>
              <w:t>Razlika u odnosu na placebo</w:t>
            </w:r>
            <w:r w:rsidRPr="009F254D">
              <w:rPr>
                <w:sz w:val="22"/>
                <w:szCs w:val="22"/>
                <w:vertAlign w:val="superscript"/>
                <w:lang w:val="sr-Latn-ME"/>
              </w:rPr>
              <w:t>c</w:t>
            </w:r>
          </w:p>
          <w:p w14:paraId="639136E1" w14:textId="77777777" w:rsidR="00DC171F" w:rsidRPr="009F254D" w:rsidRDefault="00DC171F" w:rsidP="00FA635D">
            <w:pPr>
              <w:keepNext/>
              <w:keepLines/>
              <w:tabs>
                <w:tab w:val="left" w:pos="284"/>
              </w:tabs>
              <w:ind w:left="142"/>
              <w:jc w:val="both"/>
              <w:rPr>
                <w:sz w:val="22"/>
                <w:szCs w:val="22"/>
                <w:lang w:val="sr-Latn-ME"/>
              </w:rPr>
            </w:pPr>
            <w:r w:rsidRPr="009F254D">
              <w:rPr>
                <w:sz w:val="22"/>
                <w:szCs w:val="22"/>
                <w:lang w:val="sr-Latn-ME"/>
              </w:rPr>
              <w:t xml:space="preserve">    (95% CI)</w:t>
            </w:r>
          </w:p>
        </w:tc>
        <w:tc>
          <w:tcPr>
            <w:tcW w:w="0" w:type="auto"/>
            <w:tcBorders>
              <w:top w:val="single" w:sz="4" w:space="0" w:color="auto"/>
              <w:bottom w:val="single" w:sz="4" w:space="0" w:color="auto"/>
            </w:tcBorders>
          </w:tcPr>
          <w:p w14:paraId="54F33293" w14:textId="77777777" w:rsidR="00DC171F" w:rsidRPr="009F254D" w:rsidRDefault="00DC171F" w:rsidP="00FA635D">
            <w:pPr>
              <w:keepNext/>
              <w:keepLines/>
              <w:tabs>
                <w:tab w:val="left" w:pos="284"/>
              </w:tabs>
              <w:autoSpaceDE w:val="0"/>
              <w:autoSpaceDN w:val="0"/>
              <w:adjustRightInd w:val="0"/>
              <w:jc w:val="center"/>
              <w:rPr>
                <w:sz w:val="22"/>
                <w:szCs w:val="22"/>
                <w:lang w:val="sr-Latn-ME"/>
              </w:rPr>
            </w:pPr>
          </w:p>
          <w:p w14:paraId="10E80D45" w14:textId="31180018" w:rsidR="00DC171F" w:rsidRPr="009F254D" w:rsidRDefault="00DC171F" w:rsidP="00FA635D">
            <w:pPr>
              <w:keepNext/>
              <w:keepLines/>
              <w:tabs>
                <w:tab w:val="left" w:pos="284"/>
              </w:tabs>
              <w:autoSpaceDE w:val="0"/>
              <w:autoSpaceDN w:val="0"/>
              <w:adjustRightInd w:val="0"/>
              <w:jc w:val="center"/>
              <w:rPr>
                <w:sz w:val="22"/>
                <w:szCs w:val="22"/>
                <w:lang w:val="sr-Latn-ME"/>
              </w:rPr>
            </w:pPr>
            <w:r w:rsidRPr="009F254D">
              <w:rPr>
                <w:sz w:val="22"/>
                <w:szCs w:val="22"/>
                <w:lang w:val="sr-Latn-ME"/>
              </w:rPr>
              <w:t>8,58</w:t>
            </w:r>
          </w:p>
          <w:p w14:paraId="00C85AE2" w14:textId="77777777" w:rsidR="00207719" w:rsidRPr="009F254D" w:rsidRDefault="00207719" w:rsidP="00FA635D">
            <w:pPr>
              <w:keepNext/>
              <w:keepLines/>
              <w:tabs>
                <w:tab w:val="left" w:pos="284"/>
              </w:tabs>
              <w:autoSpaceDE w:val="0"/>
              <w:autoSpaceDN w:val="0"/>
              <w:adjustRightInd w:val="0"/>
              <w:jc w:val="center"/>
              <w:rPr>
                <w:sz w:val="22"/>
                <w:szCs w:val="22"/>
                <w:lang w:val="sr-Latn-ME"/>
              </w:rPr>
            </w:pPr>
          </w:p>
          <w:p w14:paraId="4524E9EF" w14:textId="773F3F4A" w:rsidR="00207719" w:rsidRPr="009F254D" w:rsidRDefault="00DC171F" w:rsidP="00FA635D">
            <w:pPr>
              <w:keepNext/>
              <w:keepLines/>
              <w:tabs>
                <w:tab w:val="left" w:pos="284"/>
              </w:tabs>
              <w:autoSpaceDE w:val="0"/>
              <w:autoSpaceDN w:val="0"/>
              <w:adjustRightInd w:val="0"/>
              <w:jc w:val="center"/>
              <w:rPr>
                <w:sz w:val="22"/>
                <w:szCs w:val="22"/>
                <w:lang w:val="sr-Latn-ME"/>
              </w:rPr>
            </w:pPr>
            <w:r w:rsidRPr="009F254D">
              <w:rPr>
                <w:sz w:val="22"/>
                <w:szCs w:val="22"/>
                <w:lang w:val="sr-Latn-ME"/>
              </w:rPr>
              <w:noBreakHyphen/>
              <w:t>0,90</w:t>
            </w:r>
          </w:p>
          <w:p w14:paraId="2701519A" w14:textId="77777777" w:rsidR="00DC171F" w:rsidRPr="009F254D" w:rsidRDefault="00DC171F" w:rsidP="00FA635D">
            <w:pPr>
              <w:keepNext/>
              <w:keepLines/>
              <w:tabs>
                <w:tab w:val="left" w:pos="284"/>
              </w:tabs>
              <w:autoSpaceDE w:val="0"/>
              <w:autoSpaceDN w:val="0"/>
              <w:adjustRightInd w:val="0"/>
              <w:jc w:val="center"/>
              <w:rPr>
                <w:sz w:val="22"/>
                <w:szCs w:val="22"/>
                <w:lang w:val="sr-Latn-ME"/>
              </w:rPr>
            </w:pPr>
            <w:r w:rsidRPr="009F254D">
              <w:rPr>
                <w:sz w:val="22"/>
                <w:szCs w:val="22"/>
                <w:lang w:val="sr-Latn-ME"/>
              </w:rPr>
              <w:noBreakHyphen/>
              <w:t>0,60</w:t>
            </w:r>
            <w:r w:rsidRPr="009F254D">
              <w:rPr>
                <w:sz w:val="22"/>
                <w:szCs w:val="22"/>
                <w:vertAlign w:val="superscript"/>
                <w:lang w:val="sr-Latn-ME"/>
              </w:rPr>
              <w:t>*</w:t>
            </w:r>
          </w:p>
          <w:p w14:paraId="78A45948" w14:textId="77777777" w:rsidR="00DC171F" w:rsidRPr="009F254D" w:rsidRDefault="00DC171F" w:rsidP="00FA635D">
            <w:pPr>
              <w:keepNext/>
              <w:keepLines/>
              <w:tabs>
                <w:tab w:val="left" w:pos="284"/>
              </w:tabs>
              <w:autoSpaceDE w:val="0"/>
              <w:autoSpaceDN w:val="0"/>
              <w:adjustRightInd w:val="0"/>
              <w:jc w:val="center"/>
              <w:rPr>
                <w:sz w:val="22"/>
                <w:szCs w:val="22"/>
                <w:lang w:val="sr-Latn-ME"/>
              </w:rPr>
            </w:pPr>
            <w:r w:rsidRPr="009F254D">
              <w:rPr>
                <w:sz w:val="22"/>
                <w:szCs w:val="22"/>
                <w:lang w:val="sr-Latn-ME"/>
              </w:rPr>
              <w:t>(</w:t>
            </w:r>
            <w:r w:rsidRPr="009F254D">
              <w:rPr>
                <w:sz w:val="22"/>
                <w:szCs w:val="22"/>
                <w:lang w:val="sr-Latn-ME"/>
              </w:rPr>
              <w:noBreakHyphen/>
              <w:t xml:space="preserve">0,74, </w:t>
            </w:r>
            <w:r w:rsidRPr="009F254D">
              <w:rPr>
                <w:sz w:val="22"/>
                <w:szCs w:val="22"/>
                <w:lang w:val="sr-Latn-ME"/>
              </w:rPr>
              <w:noBreakHyphen/>
              <w:t>0,45)</w:t>
            </w:r>
          </w:p>
        </w:tc>
        <w:tc>
          <w:tcPr>
            <w:tcW w:w="0" w:type="auto"/>
            <w:tcBorders>
              <w:top w:val="single" w:sz="4" w:space="0" w:color="auto"/>
              <w:bottom w:val="single" w:sz="4" w:space="0" w:color="auto"/>
            </w:tcBorders>
          </w:tcPr>
          <w:p w14:paraId="54022547" w14:textId="77777777" w:rsidR="00DC171F" w:rsidRPr="009F254D" w:rsidRDefault="00DC171F" w:rsidP="00FA635D">
            <w:pPr>
              <w:keepNext/>
              <w:keepLines/>
              <w:tabs>
                <w:tab w:val="left" w:pos="284"/>
              </w:tabs>
              <w:autoSpaceDE w:val="0"/>
              <w:autoSpaceDN w:val="0"/>
              <w:adjustRightInd w:val="0"/>
              <w:jc w:val="center"/>
              <w:rPr>
                <w:sz w:val="22"/>
                <w:szCs w:val="22"/>
                <w:lang w:val="sr-Latn-ME"/>
              </w:rPr>
            </w:pPr>
          </w:p>
          <w:p w14:paraId="715CF406" w14:textId="1FF57237" w:rsidR="00DC171F" w:rsidRPr="009F254D" w:rsidRDefault="00DC171F" w:rsidP="00FA635D">
            <w:pPr>
              <w:keepNext/>
              <w:keepLines/>
              <w:tabs>
                <w:tab w:val="left" w:pos="284"/>
              </w:tabs>
              <w:autoSpaceDE w:val="0"/>
              <w:autoSpaceDN w:val="0"/>
              <w:adjustRightInd w:val="0"/>
              <w:jc w:val="center"/>
              <w:rPr>
                <w:sz w:val="22"/>
                <w:szCs w:val="22"/>
                <w:lang w:val="sr-Latn-ME"/>
              </w:rPr>
            </w:pPr>
            <w:r w:rsidRPr="009F254D">
              <w:rPr>
                <w:sz w:val="22"/>
                <w:szCs w:val="22"/>
                <w:lang w:val="sr-Latn-ME"/>
              </w:rPr>
              <w:t>8,46</w:t>
            </w:r>
          </w:p>
          <w:p w14:paraId="262B7B27" w14:textId="77777777" w:rsidR="00207719" w:rsidRPr="009F254D" w:rsidRDefault="00207719" w:rsidP="00FA635D">
            <w:pPr>
              <w:keepNext/>
              <w:keepLines/>
              <w:tabs>
                <w:tab w:val="left" w:pos="284"/>
              </w:tabs>
              <w:autoSpaceDE w:val="0"/>
              <w:autoSpaceDN w:val="0"/>
              <w:adjustRightInd w:val="0"/>
              <w:jc w:val="center"/>
              <w:rPr>
                <w:sz w:val="22"/>
                <w:szCs w:val="22"/>
                <w:lang w:val="sr-Latn-ME"/>
              </w:rPr>
            </w:pPr>
          </w:p>
          <w:p w14:paraId="160A8537" w14:textId="77777777" w:rsidR="00DC171F" w:rsidRPr="009F254D" w:rsidRDefault="00DC171F" w:rsidP="00FA635D">
            <w:pPr>
              <w:keepNext/>
              <w:keepLines/>
              <w:tabs>
                <w:tab w:val="left" w:pos="284"/>
              </w:tabs>
              <w:autoSpaceDE w:val="0"/>
              <w:autoSpaceDN w:val="0"/>
              <w:adjustRightInd w:val="0"/>
              <w:jc w:val="center"/>
              <w:rPr>
                <w:sz w:val="22"/>
                <w:szCs w:val="22"/>
                <w:lang w:val="sr-Latn-ME"/>
              </w:rPr>
            </w:pPr>
            <w:r w:rsidRPr="009F254D">
              <w:rPr>
                <w:sz w:val="22"/>
                <w:szCs w:val="22"/>
                <w:lang w:val="sr-Latn-ME"/>
              </w:rPr>
              <w:noBreakHyphen/>
              <w:t>0,30</w:t>
            </w:r>
          </w:p>
        </w:tc>
      </w:tr>
      <w:tr w:rsidR="00DC171F" w:rsidRPr="009F254D" w14:paraId="72430A3A" w14:textId="77777777" w:rsidTr="00E43FA0">
        <w:tc>
          <w:tcPr>
            <w:tcW w:w="0" w:type="auto"/>
            <w:tcBorders>
              <w:top w:val="single" w:sz="4" w:space="0" w:color="auto"/>
              <w:bottom w:val="single" w:sz="4" w:space="0" w:color="auto"/>
            </w:tcBorders>
          </w:tcPr>
          <w:p w14:paraId="5C6EC31A" w14:textId="77777777" w:rsidR="00DC171F" w:rsidRPr="009F254D" w:rsidRDefault="00DC171F" w:rsidP="00FA635D">
            <w:pPr>
              <w:keepNext/>
              <w:keepLines/>
              <w:tabs>
                <w:tab w:val="left" w:pos="284"/>
              </w:tabs>
              <w:autoSpaceDE w:val="0"/>
              <w:autoSpaceDN w:val="0"/>
              <w:adjustRightInd w:val="0"/>
              <w:ind w:left="142" w:hanging="142"/>
              <w:jc w:val="both"/>
              <w:rPr>
                <w:b/>
                <w:bCs/>
                <w:sz w:val="22"/>
                <w:szCs w:val="22"/>
                <w:lang w:val="sr-Latn-ME"/>
              </w:rPr>
            </w:pPr>
            <w:r w:rsidRPr="009F254D">
              <w:rPr>
                <w:b/>
                <w:bCs/>
                <w:sz w:val="22"/>
                <w:szCs w:val="22"/>
                <w:lang w:val="sr-Latn-ME"/>
              </w:rPr>
              <w:t>Tjelesna masa (kg)</w:t>
            </w:r>
          </w:p>
          <w:p w14:paraId="203FB54F" w14:textId="77777777" w:rsidR="00DC171F" w:rsidRPr="009F254D" w:rsidRDefault="00DC171F" w:rsidP="00FA635D">
            <w:pPr>
              <w:keepNext/>
              <w:keepLines/>
              <w:tabs>
                <w:tab w:val="left" w:pos="284"/>
              </w:tabs>
              <w:ind w:firstLine="142"/>
              <w:jc w:val="both"/>
              <w:rPr>
                <w:sz w:val="22"/>
                <w:szCs w:val="22"/>
                <w:lang w:val="sr-Latn-ME"/>
              </w:rPr>
            </w:pPr>
            <w:r w:rsidRPr="009F254D">
              <w:rPr>
                <w:sz w:val="22"/>
                <w:szCs w:val="22"/>
                <w:lang w:val="sr-Latn-ME"/>
              </w:rPr>
              <w:t>Početna vrijednost (srednja)</w:t>
            </w:r>
          </w:p>
          <w:p w14:paraId="471B4AA6" w14:textId="77777777" w:rsidR="00DC171F" w:rsidRPr="009F254D" w:rsidRDefault="00DC171F" w:rsidP="00FA635D">
            <w:pPr>
              <w:keepNext/>
              <w:keepLines/>
              <w:tabs>
                <w:tab w:val="left" w:pos="284"/>
              </w:tabs>
              <w:ind w:left="179" w:hanging="37"/>
              <w:jc w:val="both"/>
              <w:rPr>
                <w:sz w:val="22"/>
                <w:szCs w:val="22"/>
                <w:lang w:val="sr-Latn-ME"/>
              </w:rPr>
            </w:pPr>
            <w:r w:rsidRPr="009F254D">
              <w:rPr>
                <w:sz w:val="22"/>
                <w:szCs w:val="22"/>
                <w:lang w:val="sr-Latn-ME"/>
              </w:rPr>
              <w:t>Promjena u odnosu na početnu vrijednost</w:t>
            </w:r>
            <w:r w:rsidRPr="009F254D">
              <w:rPr>
                <w:sz w:val="22"/>
                <w:szCs w:val="22"/>
                <w:vertAlign w:val="superscript"/>
                <w:lang w:val="sr-Latn-ME"/>
              </w:rPr>
              <w:t>c</w:t>
            </w:r>
          </w:p>
          <w:p w14:paraId="7D0BAFEC" w14:textId="77777777" w:rsidR="00DC171F" w:rsidRPr="009F254D" w:rsidRDefault="00DC171F" w:rsidP="00FA635D">
            <w:pPr>
              <w:keepNext/>
              <w:keepLines/>
              <w:tabs>
                <w:tab w:val="left" w:pos="284"/>
              </w:tabs>
              <w:ind w:left="142"/>
              <w:jc w:val="both"/>
              <w:rPr>
                <w:sz w:val="22"/>
                <w:szCs w:val="22"/>
                <w:lang w:val="sr-Latn-ME"/>
              </w:rPr>
            </w:pPr>
            <w:r w:rsidRPr="009F254D">
              <w:rPr>
                <w:sz w:val="22"/>
                <w:szCs w:val="22"/>
                <w:lang w:val="sr-Latn-ME"/>
              </w:rPr>
              <w:t>Razlika u odnosu na placebo</w:t>
            </w:r>
            <w:r w:rsidRPr="009F254D">
              <w:rPr>
                <w:sz w:val="22"/>
                <w:szCs w:val="22"/>
                <w:vertAlign w:val="superscript"/>
                <w:lang w:val="sr-Latn-ME"/>
              </w:rPr>
              <w:t>c</w:t>
            </w:r>
          </w:p>
          <w:p w14:paraId="4468E6F9" w14:textId="77777777" w:rsidR="00DC171F" w:rsidRPr="009F254D" w:rsidRDefault="00DC171F" w:rsidP="00FA635D">
            <w:pPr>
              <w:keepNext/>
              <w:keepLines/>
              <w:tabs>
                <w:tab w:val="left" w:pos="284"/>
              </w:tabs>
              <w:ind w:firstLine="142"/>
              <w:jc w:val="both"/>
              <w:rPr>
                <w:sz w:val="22"/>
                <w:szCs w:val="22"/>
                <w:lang w:val="sr-Latn-ME"/>
              </w:rPr>
            </w:pPr>
            <w:r w:rsidRPr="009F254D">
              <w:rPr>
                <w:sz w:val="22"/>
                <w:szCs w:val="22"/>
                <w:lang w:val="sr-Latn-ME"/>
              </w:rPr>
              <w:t xml:space="preserve">    (95% CI)</w:t>
            </w:r>
          </w:p>
        </w:tc>
        <w:tc>
          <w:tcPr>
            <w:tcW w:w="0" w:type="auto"/>
            <w:tcBorders>
              <w:top w:val="single" w:sz="4" w:space="0" w:color="auto"/>
              <w:bottom w:val="single" w:sz="4" w:space="0" w:color="auto"/>
            </w:tcBorders>
          </w:tcPr>
          <w:p w14:paraId="0771AA37" w14:textId="77777777" w:rsidR="00DC171F" w:rsidRPr="009F254D" w:rsidRDefault="00DC171F" w:rsidP="00FA635D">
            <w:pPr>
              <w:keepNext/>
              <w:keepLines/>
              <w:tabs>
                <w:tab w:val="left" w:pos="284"/>
              </w:tabs>
              <w:autoSpaceDE w:val="0"/>
              <w:autoSpaceDN w:val="0"/>
              <w:adjustRightInd w:val="0"/>
              <w:jc w:val="center"/>
              <w:rPr>
                <w:sz w:val="22"/>
                <w:szCs w:val="22"/>
                <w:lang w:val="sr-Latn-ME"/>
              </w:rPr>
            </w:pPr>
          </w:p>
          <w:p w14:paraId="2E9BA599" w14:textId="3EDBEB3F" w:rsidR="00DC171F" w:rsidRPr="009F254D" w:rsidRDefault="00DC171F" w:rsidP="00FA635D">
            <w:pPr>
              <w:keepNext/>
              <w:keepLines/>
              <w:tabs>
                <w:tab w:val="left" w:pos="284"/>
              </w:tabs>
              <w:autoSpaceDE w:val="0"/>
              <w:autoSpaceDN w:val="0"/>
              <w:adjustRightInd w:val="0"/>
              <w:jc w:val="center"/>
              <w:rPr>
                <w:sz w:val="22"/>
                <w:szCs w:val="22"/>
                <w:lang w:val="sr-Latn-ME"/>
              </w:rPr>
            </w:pPr>
            <w:r w:rsidRPr="009F254D">
              <w:rPr>
                <w:sz w:val="22"/>
                <w:szCs w:val="22"/>
                <w:lang w:val="sr-Latn-ME"/>
              </w:rPr>
              <w:t>94,63</w:t>
            </w:r>
          </w:p>
          <w:p w14:paraId="15DCB0D9" w14:textId="77777777" w:rsidR="00207719" w:rsidRPr="009F254D" w:rsidRDefault="00207719" w:rsidP="00FA635D">
            <w:pPr>
              <w:keepNext/>
              <w:keepLines/>
              <w:tabs>
                <w:tab w:val="left" w:pos="284"/>
              </w:tabs>
              <w:autoSpaceDE w:val="0"/>
              <w:autoSpaceDN w:val="0"/>
              <w:adjustRightInd w:val="0"/>
              <w:jc w:val="center"/>
              <w:rPr>
                <w:sz w:val="22"/>
                <w:szCs w:val="22"/>
                <w:lang w:val="sr-Latn-ME"/>
              </w:rPr>
            </w:pPr>
          </w:p>
          <w:p w14:paraId="242C991A" w14:textId="77777777" w:rsidR="00DC171F" w:rsidRPr="009F254D" w:rsidRDefault="00DC171F" w:rsidP="00FA635D">
            <w:pPr>
              <w:keepNext/>
              <w:keepLines/>
              <w:tabs>
                <w:tab w:val="left" w:pos="284"/>
              </w:tabs>
              <w:autoSpaceDE w:val="0"/>
              <w:autoSpaceDN w:val="0"/>
              <w:adjustRightInd w:val="0"/>
              <w:jc w:val="center"/>
              <w:rPr>
                <w:sz w:val="22"/>
                <w:szCs w:val="22"/>
                <w:lang w:val="sr-Latn-ME"/>
              </w:rPr>
            </w:pPr>
            <w:r w:rsidRPr="009F254D">
              <w:rPr>
                <w:sz w:val="22"/>
                <w:szCs w:val="22"/>
                <w:lang w:val="sr-Latn-ME"/>
              </w:rPr>
              <w:noBreakHyphen/>
              <w:t>1,67</w:t>
            </w:r>
          </w:p>
          <w:p w14:paraId="5DFA4EF7" w14:textId="77777777" w:rsidR="00DC171F" w:rsidRPr="009F254D" w:rsidRDefault="00DC171F" w:rsidP="00FA635D">
            <w:pPr>
              <w:keepNext/>
              <w:keepLines/>
              <w:tabs>
                <w:tab w:val="left" w:pos="284"/>
              </w:tabs>
              <w:autoSpaceDE w:val="0"/>
              <w:autoSpaceDN w:val="0"/>
              <w:adjustRightInd w:val="0"/>
              <w:ind w:firstLine="142"/>
              <w:jc w:val="center"/>
              <w:rPr>
                <w:sz w:val="22"/>
                <w:szCs w:val="22"/>
                <w:lang w:val="sr-Latn-ME"/>
              </w:rPr>
            </w:pPr>
            <w:r w:rsidRPr="009F254D">
              <w:rPr>
                <w:sz w:val="22"/>
                <w:szCs w:val="22"/>
                <w:lang w:val="sr-Latn-ME"/>
              </w:rPr>
              <w:noBreakHyphen/>
              <w:t>1,68</w:t>
            </w:r>
            <w:r w:rsidRPr="009F254D">
              <w:rPr>
                <w:sz w:val="22"/>
                <w:szCs w:val="22"/>
                <w:vertAlign w:val="superscript"/>
                <w:lang w:val="sr-Latn-ME"/>
              </w:rPr>
              <w:t>*</w:t>
            </w:r>
          </w:p>
          <w:p w14:paraId="66B42F5F" w14:textId="77777777" w:rsidR="00DC171F" w:rsidRPr="009F254D" w:rsidRDefault="00DC171F" w:rsidP="00FA635D">
            <w:pPr>
              <w:keepNext/>
              <w:keepLines/>
              <w:tabs>
                <w:tab w:val="left" w:pos="284"/>
              </w:tabs>
              <w:autoSpaceDE w:val="0"/>
              <w:autoSpaceDN w:val="0"/>
              <w:adjustRightInd w:val="0"/>
              <w:jc w:val="center"/>
              <w:rPr>
                <w:sz w:val="22"/>
                <w:szCs w:val="22"/>
                <w:lang w:val="sr-Latn-ME"/>
              </w:rPr>
            </w:pPr>
            <w:r w:rsidRPr="009F254D">
              <w:rPr>
                <w:sz w:val="22"/>
                <w:szCs w:val="22"/>
                <w:lang w:val="sr-Latn-ME"/>
              </w:rPr>
              <w:t>(</w:t>
            </w:r>
            <w:r w:rsidRPr="009F254D">
              <w:rPr>
                <w:sz w:val="22"/>
                <w:szCs w:val="22"/>
                <w:lang w:val="sr-Latn-ME"/>
              </w:rPr>
              <w:noBreakHyphen/>
              <w:t xml:space="preserve">2,19, </w:t>
            </w:r>
            <w:r w:rsidRPr="009F254D">
              <w:rPr>
                <w:sz w:val="22"/>
                <w:szCs w:val="22"/>
                <w:lang w:val="sr-Latn-ME"/>
              </w:rPr>
              <w:noBreakHyphen/>
              <w:t>1,18)</w:t>
            </w:r>
          </w:p>
        </w:tc>
        <w:tc>
          <w:tcPr>
            <w:tcW w:w="0" w:type="auto"/>
            <w:tcBorders>
              <w:top w:val="single" w:sz="4" w:space="0" w:color="auto"/>
              <w:bottom w:val="single" w:sz="4" w:space="0" w:color="auto"/>
            </w:tcBorders>
          </w:tcPr>
          <w:p w14:paraId="298A40F4" w14:textId="77777777" w:rsidR="00DC171F" w:rsidRPr="009F254D" w:rsidRDefault="00DC171F" w:rsidP="00FA635D">
            <w:pPr>
              <w:keepNext/>
              <w:keepLines/>
              <w:tabs>
                <w:tab w:val="left" w:pos="284"/>
              </w:tabs>
              <w:autoSpaceDE w:val="0"/>
              <w:autoSpaceDN w:val="0"/>
              <w:adjustRightInd w:val="0"/>
              <w:jc w:val="center"/>
              <w:rPr>
                <w:sz w:val="22"/>
                <w:szCs w:val="22"/>
                <w:lang w:val="sr-Latn-ME"/>
              </w:rPr>
            </w:pPr>
          </w:p>
          <w:p w14:paraId="37EAAAA1" w14:textId="58BD4BF1" w:rsidR="00DC171F" w:rsidRPr="009F254D" w:rsidRDefault="00DC171F" w:rsidP="00FA635D">
            <w:pPr>
              <w:keepNext/>
              <w:keepLines/>
              <w:tabs>
                <w:tab w:val="left" w:pos="284"/>
              </w:tabs>
              <w:autoSpaceDE w:val="0"/>
              <w:autoSpaceDN w:val="0"/>
              <w:adjustRightInd w:val="0"/>
              <w:jc w:val="center"/>
              <w:rPr>
                <w:sz w:val="22"/>
                <w:szCs w:val="22"/>
                <w:lang w:val="sr-Latn-ME"/>
              </w:rPr>
            </w:pPr>
            <w:r w:rsidRPr="009F254D">
              <w:rPr>
                <w:sz w:val="22"/>
                <w:szCs w:val="22"/>
                <w:lang w:val="sr-Latn-ME"/>
              </w:rPr>
              <w:t>94,21</w:t>
            </w:r>
          </w:p>
          <w:p w14:paraId="71174107" w14:textId="77777777" w:rsidR="00207719" w:rsidRPr="009F254D" w:rsidRDefault="00207719" w:rsidP="00FA635D">
            <w:pPr>
              <w:keepNext/>
              <w:keepLines/>
              <w:tabs>
                <w:tab w:val="left" w:pos="284"/>
              </w:tabs>
              <w:autoSpaceDE w:val="0"/>
              <w:autoSpaceDN w:val="0"/>
              <w:adjustRightInd w:val="0"/>
              <w:jc w:val="center"/>
              <w:rPr>
                <w:sz w:val="22"/>
                <w:szCs w:val="22"/>
                <w:lang w:val="sr-Latn-ME"/>
              </w:rPr>
            </w:pPr>
          </w:p>
          <w:p w14:paraId="40A0C219" w14:textId="77777777" w:rsidR="00DC171F" w:rsidRPr="009F254D" w:rsidRDefault="00DC171F" w:rsidP="00FA635D">
            <w:pPr>
              <w:keepNext/>
              <w:keepLines/>
              <w:tabs>
                <w:tab w:val="left" w:pos="284"/>
              </w:tabs>
              <w:autoSpaceDE w:val="0"/>
              <w:autoSpaceDN w:val="0"/>
              <w:adjustRightInd w:val="0"/>
              <w:jc w:val="center"/>
              <w:rPr>
                <w:sz w:val="22"/>
                <w:szCs w:val="22"/>
                <w:lang w:val="sr-Latn-ME"/>
              </w:rPr>
            </w:pPr>
            <w:r w:rsidRPr="009F254D">
              <w:rPr>
                <w:sz w:val="22"/>
                <w:szCs w:val="22"/>
                <w:lang w:val="sr-Latn-ME"/>
              </w:rPr>
              <w:t>0,02</w:t>
            </w:r>
          </w:p>
        </w:tc>
      </w:tr>
      <w:tr w:rsidR="00DC171F" w:rsidRPr="009F254D" w14:paraId="078B374D" w14:textId="77777777" w:rsidTr="00E43FA0">
        <w:tc>
          <w:tcPr>
            <w:tcW w:w="0" w:type="auto"/>
            <w:tcBorders>
              <w:top w:val="single" w:sz="4" w:space="0" w:color="auto"/>
              <w:bottom w:val="single" w:sz="4" w:space="0" w:color="auto"/>
            </w:tcBorders>
          </w:tcPr>
          <w:p w14:paraId="10EC4869" w14:textId="77777777" w:rsidR="00DC171F" w:rsidRPr="009F254D" w:rsidRDefault="00DC171F" w:rsidP="00FA635D">
            <w:pPr>
              <w:keepNext/>
              <w:keepLines/>
              <w:tabs>
                <w:tab w:val="left" w:pos="284"/>
              </w:tabs>
              <w:autoSpaceDE w:val="0"/>
              <w:autoSpaceDN w:val="0"/>
              <w:adjustRightInd w:val="0"/>
              <w:ind w:left="142" w:hanging="142"/>
              <w:jc w:val="both"/>
              <w:rPr>
                <w:sz w:val="22"/>
                <w:szCs w:val="22"/>
                <w:lang w:val="sr-Latn-ME"/>
              </w:rPr>
            </w:pPr>
            <w:r w:rsidRPr="009F254D">
              <w:rPr>
                <w:b/>
                <w:bCs/>
                <w:sz w:val="22"/>
                <w:szCs w:val="22"/>
                <w:lang w:val="sr-Latn-ME"/>
              </w:rPr>
              <w:t>Srednja dnevna doza insulina (IU)</w:t>
            </w:r>
            <w:r w:rsidRPr="009F254D">
              <w:rPr>
                <w:sz w:val="22"/>
                <w:szCs w:val="22"/>
                <w:vertAlign w:val="superscript"/>
                <w:lang w:val="sr-Latn-ME"/>
              </w:rPr>
              <w:t>1</w:t>
            </w:r>
          </w:p>
          <w:p w14:paraId="53A2A901" w14:textId="77777777" w:rsidR="00DC171F" w:rsidRPr="009F254D" w:rsidRDefault="00DC171F" w:rsidP="00FA635D">
            <w:pPr>
              <w:keepNext/>
              <w:keepLines/>
              <w:tabs>
                <w:tab w:val="left" w:pos="284"/>
              </w:tabs>
              <w:ind w:left="142"/>
              <w:jc w:val="both"/>
              <w:rPr>
                <w:sz w:val="22"/>
                <w:szCs w:val="22"/>
                <w:lang w:val="sr-Latn-ME"/>
              </w:rPr>
            </w:pPr>
            <w:r w:rsidRPr="009F254D">
              <w:rPr>
                <w:sz w:val="22"/>
                <w:szCs w:val="22"/>
                <w:lang w:val="sr-Latn-ME"/>
              </w:rPr>
              <w:t>Početna vrijednost (srednja)</w:t>
            </w:r>
          </w:p>
          <w:p w14:paraId="223A626F" w14:textId="77777777" w:rsidR="00DC171F" w:rsidRPr="009F254D" w:rsidRDefault="00DC171F" w:rsidP="00FA635D">
            <w:pPr>
              <w:keepNext/>
              <w:keepLines/>
              <w:tabs>
                <w:tab w:val="left" w:pos="284"/>
              </w:tabs>
              <w:ind w:left="142"/>
              <w:jc w:val="both"/>
              <w:rPr>
                <w:sz w:val="22"/>
                <w:szCs w:val="22"/>
                <w:lang w:val="sr-Latn-ME"/>
              </w:rPr>
            </w:pPr>
            <w:r w:rsidRPr="009F254D">
              <w:rPr>
                <w:sz w:val="22"/>
                <w:szCs w:val="22"/>
                <w:lang w:val="sr-Latn-ME"/>
              </w:rPr>
              <w:t>Promjena u odnosu na početnu vrijednost</w:t>
            </w:r>
            <w:r w:rsidRPr="009F254D">
              <w:rPr>
                <w:sz w:val="22"/>
                <w:szCs w:val="22"/>
                <w:vertAlign w:val="superscript"/>
                <w:lang w:val="sr-Latn-ME"/>
              </w:rPr>
              <w:t>c</w:t>
            </w:r>
          </w:p>
          <w:p w14:paraId="34DEF259" w14:textId="77777777" w:rsidR="00DC171F" w:rsidRPr="009F254D" w:rsidRDefault="00DC171F" w:rsidP="00FA635D">
            <w:pPr>
              <w:keepNext/>
              <w:keepLines/>
              <w:tabs>
                <w:tab w:val="left" w:pos="284"/>
              </w:tabs>
              <w:ind w:left="142"/>
              <w:jc w:val="both"/>
              <w:rPr>
                <w:sz w:val="22"/>
                <w:szCs w:val="22"/>
                <w:lang w:val="sr-Latn-ME"/>
              </w:rPr>
            </w:pPr>
            <w:r w:rsidRPr="009F254D">
              <w:rPr>
                <w:sz w:val="22"/>
                <w:szCs w:val="22"/>
                <w:lang w:val="sr-Latn-ME"/>
              </w:rPr>
              <w:t>Razlika u odnosu na placebo</w:t>
            </w:r>
            <w:r w:rsidRPr="009F254D">
              <w:rPr>
                <w:sz w:val="22"/>
                <w:szCs w:val="22"/>
                <w:vertAlign w:val="superscript"/>
                <w:lang w:val="sr-Latn-ME"/>
              </w:rPr>
              <w:t>c</w:t>
            </w:r>
          </w:p>
          <w:p w14:paraId="680418BF" w14:textId="77777777" w:rsidR="00DC171F" w:rsidRPr="009F254D" w:rsidRDefault="00DC171F" w:rsidP="00FA635D">
            <w:pPr>
              <w:keepNext/>
              <w:keepLines/>
              <w:tabs>
                <w:tab w:val="left" w:pos="284"/>
              </w:tabs>
              <w:ind w:left="142"/>
              <w:jc w:val="both"/>
              <w:rPr>
                <w:sz w:val="22"/>
                <w:szCs w:val="22"/>
                <w:lang w:val="sr-Latn-ME"/>
              </w:rPr>
            </w:pPr>
            <w:r w:rsidRPr="009F254D">
              <w:rPr>
                <w:sz w:val="22"/>
                <w:szCs w:val="22"/>
                <w:lang w:val="sr-Latn-ME"/>
              </w:rPr>
              <w:t xml:space="preserve">    (95% CI)</w:t>
            </w:r>
          </w:p>
          <w:p w14:paraId="00363E1E" w14:textId="77777777" w:rsidR="00DC171F" w:rsidRPr="009F254D" w:rsidRDefault="00DC171F" w:rsidP="00FA635D">
            <w:pPr>
              <w:keepNext/>
              <w:keepLines/>
              <w:tabs>
                <w:tab w:val="left" w:pos="284"/>
              </w:tabs>
              <w:ind w:left="142"/>
              <w:jc w:val="both"/>
              <w:rPr>
                <w:b/>
                <w:bCs/>
                <w:sz w:val="22"/>
                <w:szCs w:val="22"/>
                <w:lang w:val="sr-Latn-ME"/>
              </w:rPr>
            </w:pPr>
            <w:r w:rsidRPr="009F254D">
              <w:rPr>
                <w:sz w:val="22"/>
                <w:szCs w:val="22"/>
                <w:lang w:val="sr-Latn-ME"/>
              </w:rPr>
              <w:t>Ispitanici sa srednjim smanjenjem doze insulina od najmanje 10% (%)</w:t>
            </w:r>
          </w:p>
        </w:tc>
        <w:tc>
          <w:tcPr>
            <w:tcW w:w="0" w:type="auto"/>
            <w:tcBorders>
              <w:top w:val="single" w:sz="4" w:space="0" w:color="auto"/>
              <w:bottom w:val="single" w:sz="4" w:space="0" w:color="auto"/>
            </w:tcBorders>
          </w:tcPr>
          <w:p w14:paraId="3BF9B980" w14:textId="77777777" w:rsidR="00DC171F" w:rsidRPr="009F254D" w:rsidRDefault="00DC171F" w:rsidP="00FA635D">
            <w:pPr>
              <w:keepNext/>
              <w:keepLines/>
              <w:tabs>
                <w:tab w:val="left" w:pos="284"/>
              </w:tabs>
              <w:autoSpaceDE w:val="0"/>
              <w:autoSpaceDN w:val="0"/>
              <w:adjustRightInd w:val="0"/>
              <w:jc w:val="center"/>
              <w:rPr>
                <w:sz w:val="22"/>
                <w:szCs w:val="22"/>
                <w:lang w:val="sr-Latn-ME"/>
              </w:rPr>
            </w:pPr>
          </w:p>
          <w:p w14:paraId="2B835376" w14:textId="77777777" w:rsidR="00207719" w:rsidRPr="009F254D" w:rsidRDefault="00207719" w:rsidP="00FA635D">
            <w:pPr>
              <w:keepNext/>
              <w:keepLines/>
              <w:tabs>
                <w:tab w:val="left" w:pos="284"/>
              </w:tabs>
              <w:autoSpaceDE w:val="0"/>
              <w:autoSpaceDN w:val="0"/>
              <w:adjustRightInd w:val="0"/>
              <w:jc w:val="center"/>
              <w:rPr>
                <w:sz w:val="22"/>
                <w:szCs w:val="22"/>
                <w:lang w:val="sr-Latn-ME"/>
              </w:rPr>
            </w:pPr>
          </w:p>
          <w:p w14:paraId="764E2A9B" w14:textId="554B3966" w:rsidR="00DC171F" w:rsidRPr="009F254D" w:rsidRDefault="00DC171F" w:rsidP="00FA635D">
            <w:pPr>
              <w:keepNext/>
              <w:keepLines/>
              <w:tabs>
                <w:tab w:val="left" w:pos="284"/>
              </w:tabs>
              <w:autoSpaceDE w:val="0"/>
              <w:autoSpaceDN w:val="0"/>
              <w:adjustRightInd w:val="0"/>
              <w:jc w:val="center"/>
              <w:rPr>
                <w:sz w:val="22"/>
                <w:szCs w:val="22"/>
                <w:lang w:val="sr-Latn-ME"/>
              </w:rPr>
            </w:pPr>
            <w:r w:rsidRPr="009F254D">
              <w:rPr>
                <w:sz w:val="22"/>
                <w:szCs w:val="22"/>
                <w:lang w:val="sr-Latn-ME"/>
              </w:rPr>
              <w:t>77,96</w:t>
            </w:r>
          </w:p>
          <w:p w14:paraId="41E5ECB9" w14:textId="77777777" w:rsidR="00207719" w:rsidRPr="009F254D" w:rsidRDefault="00207719" w:rsidP="00FA635D">
            <w:pPr>
              <w:keepNext/>
              <w:keepLines/>
              <w:tabs>
                <w:tab w:val="left" w:pos="284"/>
              </w:tabs>
              <w:autoSpaceDE w:val="0"/>
              <w:autoSpaceDN w:val="0"/>
              <w:adjustRightInd w:val="0"/>
              <w:jc w:val="center"/>
              <w:rPr>
                <w:sz w:val="22"/>
                <w:szCs w:val="22"/>
                <w:lang w:val="sr-Latn-ME"/>
              </w:rPr>
            </w:pPr>
          </w:p>
          <w:p w14:paraId="2FC572FF" w14:textId="77777777" w:rsidR="00DC171F" w:rsidRPr="009F254D" w:rsidRDefault="00DC171F" w:rsidP="00FA635D">
            <w:pPr>
              <w:keepNext/>
              <w:keepLines/>
              <w:tabs>
                <w:tab w:val="left" w:pos="284"/>
              </w:tabs>
              <w:autoSpaceDE w:val="0"/>
              <w:autoSpaceDN w:val="0"/>
              <w:adjustRightInd w:val="0"/>
              <w:jc w:val="center"/>
              <w:rPr>
                <w:sz w:val="22"/>
                <w:szCs w:val="22"/>
                <w:lang w:val="sr-Latn-ME"/>
              </w:rPr>
            </w:pPr>
            <w:r w:rsidRPr="009F254D">
              <w:rPr>
                <w:sz w:val="22"/>
                <w:szCs w:val="22"/>
                <w:lang w:val="sr-Latn-ME"/>
              </w:rPr>
              <w:noBreakHyphen/>
              <w:t>1,16</w:t>
            </w:r>
          </w:p>
          <w:p w14:paraId="44D96FB0" w14:textId="77777777" w:rsidR="00DC171F" w:rsidRPr="009F254D" w:rsidRDefault="00DC171F" w:rsidP="00FA635D">
            <w:pPr>
              <w:keepNext/>
              <w:keepLines/>
              <w:tabs>
                <w:tab w:val="left" w:pos="284"/>
              </w:tabs>
              <w:autoSpaceDE w:val="0"/>
              <w:autoSpaceDN w:val="0"/>
              <w:adjustRightInd w:val="0"/>
              <w:jc w:val="center"/>
              <w:rPr>
                <w:sz w:val="22"/>
                <w:szCs w:val="22"/>
                <w:lang w:val="sr-Latn-ME"/>
              </w:rPr>
            </w:pPr>
            <w:r w:rsidRPr="009F254D">
              <w:rPr>
                <w:sz w:val="22"/>
                <w:szCs w:val="22"/>
                <w:lang w:val="sr-Latn-ME"/>
              </w:rPr>
              <w:noBreakHyphen/>
              <w:t>6,23</w:t>
            </w:r>
            <w:r w:rsidRPr="009F254D">
              <w:rPr>
                <w:sz w:val="22"/>
                <w:szCs w:val="22"/>
                <w:vertAlign w:val="superscript"/>
                <w:lang w:val="sr-Latn-ME"/>
              </w:rPr>
              <w:t>*</w:t>
            </w:r>
          </w:p>
          <w:p w14:paraId="649E7E9D" w14:textId="77777777" w:rsidR="00DC171F" w:rsidRPr="009F254D" w:rsidRDefault="00DC171F" w:rsidP="00FA635D">
            <w:pPr>
              <w:keepNext/>
              <w:keepLines/>
              <w:tabs>
                <w:tab w:val="left" w:pos="284"/>
              </w:tabs>
              <w:autoSpaceDE w:val="0"/>
              <w:autoSpaceDN w:val="0"/>
              <w:adjustRightInd w:val="0"/>
              <w:jc w:val="center"/>
              <w:rPr>
                <w:sz w:val="22"/>
                <w:szCs w:val="22"/>
                <w:lang w:val="sr-Latn-ME"/>
              </w:rPr>
            </w:pPr>
            <w:r w:rsidRPr="009F254D">
              <w:rPr>
                <w:sz w:val="22"/>
                <w:szCs w:val="22"/>
                <w:lang w:val="sr-Latn-ME"/>
              </w:rPr>
              <w:t>(</w:t>
            </w:r>
            <w:r w:rsidRPr="009F254D">
              <w:rPr>
                <w:sz w:val="22"/>
                <w:szCs w:val="22"/>
                <w:lang w:val="sr-Latn-ME"/>
              </w:rPr>
              <w:noBreakHyphen/>
              <w:t xml:space="preserve">8,84, </w:t>
            </w:r>
            <w:r w:rsidRPr="009F254D">
              <w:rPr>
                <w:sz w:val="22"/>
                <w:szCs w:val="22"/>
                <w:lang w:val="sr-Latn-ME"/>
              </w:rPr>
              <w:noBreakHyphen/>
              <w:t>3,63)</w:t>
            </w:r>
          </w:p>
          <w:p w14:paraId="2F6C3869" w14:textId="77CF668F" w:rsidR="00DC171F" w:rsidRPr="009F254D" w:rsidRDefault="00DC171F" w:rsidP="00FA635D">
            <w:pPr>
              <w:keepNext/>
              <w:keepLines/>
              <w:tabs>
                <w:tab w:val="left" w:pos="284"/>
              </w:tabs>
              <w:autoSpaceDE w:val="0"/>
              <w:autoSpaceDN w:val="0"/>
              <w:adjustRightInd w:val="0"/>
              <w:jc w:val="center"/>
              <w:rPr>
                <w:sz w:val="22"/>
                <w:szCs w:val="22"/>
                <w:lang w:val="sr-Latn-ME"/>
              </w:rPr>
            </w:pPr>
          </w:p>
          <w:p w14:paraId="65BCD2C8" w14:textId="77777777" w:rsidR="00DC171F" w:rsidRPr="009F254D" w:rsidRDefault="00DC171F" w:rsidP="00FA635D">
            <w:pPr>
              <w:keepNext/>
              <w:keepLines/>
              <w:tabs>
                <w:tab w:val="left" w:pos="284"/>
              </w:tabs>
              <w:autoSpaceDE w:val="0"/>
              <w:autoSpaceDN w:val="0"/>
              <w:adjustRightInd w:val="0"/>
              <w:jc w:val="center"/>
              <w:rPr>
                <w:sz w:val="22"/>
                <w:szCs w:val="22"/>
                <w:lang w:val="sr-Latn-ME"/>
              </w:rPr>
            </w:pPr>
            <w:r w:rsidRPr="009F254D">
              <w:rPr>
                <w:sz w:val="22"/>
                <w:szCs w:val="22"/>
                <w:lang w:val="sr-Latn-ME"/>
              </w:rPr>
              <w:t>19,7</w:t>
            </w:r>
            <w:r w:rsidRPr="009F254D">
              <w:rPr>
                <w:sz w:val="22"/>
                <w:szCs w:val="22"/>
                <w:vertAlign w:val="superscript"/>
                <w:lang w:val="sr-Latn-ME"/>
              </w:rPr>
              <w:t>**</w:t>
            </w:r>
          </w:p>
        </w:tc>
        <w:tc>
          <w:tcPr>
            <w:tcW w:w="0" w:type="auto"/>
            <w:tcBorders>
              <w:top w:val="single" w:sz="4" w:space="0" w:color="auto"/>
              <w:bottom w:val="single" w:sz="4" w:space="0" w:color="auto"/>
            </w:tcBorders>
          </w:tcPr>
          <w:p w14:paraId="17EF3D2B" w14:textId="77777777" w:rsidR="00DC171F" w:rsidRPr="009F254D" w:rsidRDefault="00DC171F" w:rsidP="00FA635D">
            <w:pPr>
              <w:keepNext/>
              <w:keepLines/>
              <w:tabs>
                <w:tab w:val="left" w:pos="284"/>
              </w:tabs>
              <w:autoSpaceDE w:val="0"/>
              <w:autoSpaceDN w:val="0"/>
              <w:adjustRightInd w:val="0"/>
              <w:jc w:val="center"/>
              <w:rPr>
                <w:sz w:val="22"/>
                <w:szCs w:val="22"/>
                <w:lang w:val="sr-Latn-ME"/>
              </w:rPr>
            </w:pPr>
          </w:p>
          <w:p w14:paraId="3FF1E059" w14:textId="77777777" w:rsidR="00207719" w:rsidRPr="009F254D" w:rsidRDefault="00207719" w:rsidP="00FA635D">
            <w:pPr>
              <w:keepNext/>
              <w:keepLines/>
              <w:tabs>
                <w:tab w:val="left" w:pos="284"/>
              </w:tabs>
              <w:autoSpaceDE w:val="0"/>
              <w:autoSpaceDN w:val="0"/>
              <w:adjustRightInd w:val="0"/>
              <w:jc w:val="center"/>
              <w:rPr>
                <w:sz w:val="22"/>
                <w:szCs w:val="22"/>
                <w:lang w:val="sr-Latn-ME"/>
              </w:rPr>
            </w:pPr>
          </w:p>
          <w:p w14:paraId="500A4D6C" w14:textId="53B9B493" w:rsidR="00DC171F" w:rsidRPr="009F254D" w:rsidRDefault="00DC171F" w:rsidP="00FA635D">
            <w:pPr>
              <w:keepNext/>
              <w:keepLines/>
              <w:tabs>
                <w:tab w:val="left" w:pos="284"/>
              </w:tabs>
              <w:autoSpaceDE w:val="0"/>
              <w:autoSpaceDN w:val="0"/>
              <w:adjustRightInd w:val="0"/>
              <w:jc w:val="center"/>
              <w:rPr>
                <w:sz w:val="22"/>
                <w:szCs w:val="22"/>
                <w:lang w:val="sr-Latn-ME"/>
              </w:rPr>
            </w:pPr>
            <w:r w:rsidRPr="009F254D">
              <w:rPr>
                <w:sz w:val="22"/>
                <w:szCs w:val="22"/>
                <w:lang w:val="sr-Latn-ME"/>
              </w:rPr>
              <w:t>73,96</w:t>
            </w:r>
          </w:p>
          <w:p w14:paraId="16515F3F" w14:textId="77777777" w:rsidR="00207719" w:rsidRPr="009F254D" w:rsidRDefault="00207719" w:rsidP="00FA635D">
            <w:pPr>
              <w:keepNext/>
              <w:keepLines/>
              <w:tabs>
                <w:tab w:val="left" w:pos="284"/>
              </w:tabs>
              <w:autoSpaceDE w:val="0"/>
              <w:autoSpaceDN w:val="0"/>
              <w:adjustRightInd w:val="0"/>
              <w:jc w:val="center"/>
              <w:rPr>
                <w:sz w:val="22"/>
                <w:szCs w:val="22"/>
                <w:lang w:val="sr-Latn-ME"/>
              </w:rPr>
            </w:pPr>
          </w:p>
          <w:p w14:paraId="364907EB" w14:textId="77777777" w:rsidR="00DC171F" w:rsidRPr="009F254D" w:rsidRDefault="00DC171F" w:rsidP="00FA635D">
            <w:pPr>
              <w:keepNext/>
              <w:keepLines/>
              <w:tabs>
                <w:tab w:val="left" w:pos="284"/>
              </w:tabs>
              <w:autoSpaceDE w:val="0"/>
              <w:autoSpaceDN w:val="0"/>
              <w:adjustRightInd w:val="0"/>
              <w:jc w:val="center"/>
              <w:rPr>
                <w:sz w:val="22"/>
                <w:szCs w:val="22"/>
                <w:lang w:val="sr-Latn-ME"/>
              </w:rPr>
            </w:pPr>
            <w:r w:rsidRPr="009F254D">
              <w:rPr>
                <w:sz w:val="22"/>
                <w:szCs w:val="22"/>
                <w:lang w:val="sr-Latn-ME"/>
              </w:rPr>
              <w:t>5,08</w:t>
            </w:r>
          </w:p>
          <w:p w14:paraId="2AC19A7D" w14:textId="77777777" w:rsidR="00DC171F" w:rsidRPr="009F254D" w:rsidRDefault="00DC171F" w:rsidP="00FA635D">
            <w:pPr>
              <w:keepNext/>
              <w:keepLines/>
              <w:tabs>
                <w:tab w:val="left" w:pos="284"/>
              </w:tabs>
              <w:autoSpaceDE w:val="0"/>
              <w:autoSpaceDN w:val="0"/>
              <w:adjustRightInd w:val="0"/>
              <w:jc w:val="center"/>
              <w:rPr>
                <w:sz w:val="22"/>
                <w:szCs w:val="22"/>
                <w:lang w:val="sr-Latn-ME"/>
              </w:rPr>
            </w:pPr>
          </w:p>
          <w:p w14:paraId="60507843" w14:textId="77777777" w:rsidR="00DC171F" w:rsidRPr="009F254D" w:rsidRDefault="00DC171F" w:rsidP="00FA635D">
            <w:pPr>
              <w:keepNext/>
              <w:keepLines/>
              <w:tabs>
                <w:tab w:val="left" w:pos="284"/>
              </w:tabs>
              <w:autoSpaceDE w:val="0"/>
              <w:autoSpaceDN w:val="0"/>
              <w:adjustRightInd w:val="0"/>
              <w:jc w:val="center"/>
              <w:rPr>
                <w:sz w:val="22"/>
                <w:szCs w:val="22"/>
                <w:lang w:val="sr-Latn-ME"/>
              </w:rPr>
            </w:pPr>
          </w:p>
          <w:p w14:paraId="0A228DCA" w14:textId="1171FFE5" w:rsidR="00DC171F" w:rsidRPr="009F254D" w:rsidRDefault="00DC171F" w:rsidP="00FA635D">
            <w:pPr>
              <w:keepNext/>
              <w:keepLines/>
              <w:tabs>
                <w:tab w:val="left" w:pos="284"/>
              </w:tabs>
              <w:autoSpaceDE w:val="0"/>
              <w:autoSpaceDN w:val="0"/>
              <w:adjustRightInd w:val="0"/>
              <w:jc w:val="center"/>
              <w:rPr>
                <w:sz w:val="22"/>
                <w:szCs w:val="22"/>
                <w:lang w:val="sr-Latn-ME"/>
              </w:rPr>
            </w:pPr>
          </w:p>
          <w:p w14:paraId="6AA643FD" w14:textId="77777777" w:rsidR="00DC171F" w:rsidRPr="009F254D" w:rsidRDefault="00DC171F" w:rsidP="00FA635D">
            <w:pPr>
              <w:keepNext/>
              <w:keepLines/>
              <w:tabs>
                <w:tab w:val="left" w:pos="284"/>
              </w:tabs>
              <w:autoSpaceDE w:val="0"/>
              <w:autoSpaceDN w:val="0"/>
              <w:adjustRightInd w:val="0"/>
              <w:jc w:val="center"/>
              <w:rPr>
                <w:sz w:val="22"/>
                <w:szCs w:val="22"/>
                <w:lang w:val="sr-Latn-ME"/>
              </w:rPr>
            </w:pPr>
            <w:r w:rsidRPr="009F254D">
              <w:rPr>
                <w:sz w:val="22"/>
                <w:szCs w:val="22"/>
                <w:lang w:val="sr-Latn-ME"/>
              </w:rPr>
              <w:t>11,0</w:t>
            </w:r>
          </w:p>
        </w:tc>
      </w:tr>
      <w:tr w:rsidR="00DC171F" w:rsidRPr="00E43FA0" w14:paraId="4CFCDE6E" w14:textId="77777777" w:rsidTr="00E43FA0">
        <w:tblPrEx>
          <w:tblBorders>
            <w:top w:val="single" w:sz="4" w:space="0" w:color="auto"/>
            <w:bottom w:val="none" w:sz="0" w:space="0" w:color="auto"/>
            <w:insideH w:val="none" w:sz="0" w:space="0" w:color="auto"/>
          </w:tblBorders>
        </w:tblPrEx>
        <w:tc>
          <w:tcPr>
            <w:tcW w:w="0" w:type="auto"/>
            <w:gridSpan w:val="3"/>
          </w:tcPr>
          <w:p w14:paraId="02D53827" w14:textId="5E275066" w:rsidR="00DC171F" w:rsidRPr="00E43FA0" w:rsidRDefault="00DC171F" w:rsidP="00FA635D">
            <w:pPr>
              <w:keepNext/>
              <w:keepLines/>
              <w:tabs>
                <w:tab w:val="left" w:pos="284"/>
              </w:tabs>
              <w:autoSpaceDE w:val="0"/>
              <w:autoSpaceDN w:val="0"/>
              <w:adjustRightInd w:val="0"/>
              <w:jc w:val="both"/>
              <w:rPr>
                <w:sz w:val="20"/>
                <w:szCs w:val="22"/>
                <w:lang w:val="sr-Latn-ME"/>
              </w:rPr>
            </w:pPr>
            <w:r w:rsidRPr="00E43FA0">
              <w:rPr>
                <w:sz w:val="20"/>
                <w:szCs w:val="22"/>
                <w:vertAlign w:val="superscript"/>
                <w:lang w:val="sr-Latn-ME"/>
              </w:rPr>
              <w:t>a</w:t>
            </w:r>
            <w:r w:rsidRPr="00E43FA0">
              <w:rPr>
                <w:sz w:val="20"/>
                <w:szCs w:val="22"/>
                <w:lang w:val="sr-Latn-ME"/>
              </w:rPr>
              <w:t>LOCF: Posl</w:t>
            </w:r>
            <w:r w:rsidR="00207719" w:rsidRPr="00E43FA0">
              <w:rPr>
                <w:sz w:val="20"/>
                <w:szCs w:val="22"/>
                <w:lang w:val="sr-Latn-ME"/>
              </w:rPr>
              <w:t>j</w:t>
            </w:r>
            <w:r w:rsidRPr="00E43FA0">
              <w:rPr>
                <w:sz w:val="20"/>
                <w:szCs w:val="22"/>
                <w:lang w:val="sr-Latn-ME"/>
              </w:rPr>
              <w:t>ednja izvršena opservacija (prije datuma ili na dan prvog povećanja doze insulina, ukoliko je potrebno)</w:t>
            </w:r>
          </w:p>
          <w:p w14:paraId="48D7E5F7" w14:textId="77777777" w:rsidR="00DC171F" w:rsidRPr="00E43FA0" w:rsidRDefault="00DC171F" w:rsidP="00FA635D">
            <w:pPr>
              <w:keepNext/>
              <w:keepLines/>
              <w:tabs>
                <w:tab w:val="left" w:pos="284"/>
              </w:tabs>
              <w:autoSpaceDE w:val="0"/>
              <w:autoSpaceDN w:val="0"/>
              <w:adjustRightInd w:val="0"/>
              <w:ind w:left="180" w:hanging="180"/>
              <w:jc w:val="both"/>
              <w:rPr>
                <w:sz w:val="20"/>
                <w:szCs w:val="22"/>
                <w:lang w:val="sr-Latn-ME"/>
              </w:rPr>
            </w:pPr>
            <w:r w:rsidRPr="00E43FA0">
              <w:rPr>
                <w:sz w:val="20"/>
                <w:szCs w:val="22"/>
                <w:vertAlign w:val="superscript"/>
                <w:lang w:val="sr-Latn-ME"/>
              </w:rPr>
              <w:t>b</w:t>
            </w:r>
            <w:r w:rsidRPr="00E43FA0">
              <w:rPr>
                <w:sz w:val="20"/>
                <w:szCs w:val="22"/>
                <w:lang w:val="sr-Latn-ME"/>
              </w:rPr>
              <w:t>Svi randomizovani ispitanici koji su uzeli barem jednu dozu lijeka iz dvostruko slijepe studije tokom kratkotrajnog dvostruko slijepog perioda</w:t>
            </w:r>
          </w:p>
          <w:p w14:paraId="1D9E1E9C" w14:textId="797FF754" w:rsidR="00DC171F" w:rsidRPr="00E43FA0" w:rsidRDefault="00DC171F" w:rsidP="00FA635D">
            <w:pPr>
              <w:keepNext/>
              <w:keepLines/>
              <w:tabs>
                <w:tab w:val="left" w:pos="284"/>
              </w:tabs>
              <w:autoSpaceDE w:val="0"/>
              <w:autoSpaceDN w:val="0"/>
              <w:adjustRightInd w:val="0"/>
              <w:ind w:left="180" w:hanging="180"/>
              <w:jc w:val="both"/>
              <w:rPr>
                <w:sz w:val="20"/>
                <w:szCs w:val="22"/>
                <w:lang w:val="sr-Latn-ME"/>
              </w:rPr>
            </w:pPr>
            <w:r w:rsidRPr="00E43FA0">
              <w:rPr>
                <w:sz w:val="20"/>
                <w:szCs w:val="22"/>
                <w:vertAlign w:val="superscript"/>
                <w:lang w:val="sr-Latn-ME"/>
              </w:rPr>
              <w:t>c</w:t>
            </w:r>
            <w:r w:rsidRPr="00E43FA0">
              <w:rPr>
                <w:sz w:val="20"/>
                <w:szCs w:val="22"/>
                <w:lang w:val="sr-Latn-ME"/>
              </w:rPr>
              <w:t>Srednja vrijednost najmanjih kvadrata korigovana za početnu vrijednost</w:t>
            </w:r>
            <w:r w:rsidR="00207719" w:rsidRPr="00E43FA0">
              <w:rPr>
                <w:sz w:val="20"/>
                <w:szCs w:val="22"/>
                <w:lang w:val="sr-Latn-ME"/>
              </w:rPr>
              <w:t xml:space="preserve"> i prisustvo oralnog lijeka za smanjenje glukoze</w:t>
            </w:r>
          </w:p>
          <w:p w14:paraId="5609040A" w14:textId="77777777" w:rsidR="00DC171F" w:rsidRPr="00E43FA0" w:rsidRDefault="00DC171F" w:rsidP="00FA635D">
            <w:pPr>
              <w:keepNext/>
              <w:keepLines/>
              <w:tabs>
                <w:tab w:val="left" w:pos="284"/>
              </w:tabs>
              <w:autoSpaceDE w:val="0"/>
              <w:autoSpaceDN w:val="0"/>
              <w:adjustRightInd w:val="0"/>
              <w:ind w:left="180" w:hanging="180"/>
              <w:jc w:val="both"/>
              <w:rPr>
                <w:sz w:val="20"/>
                <w:szCs w:val="22"/>
                <w:lang w:val="sr-Latn-ME"/>
              </w:rPr>
            </w:pPr>
            <w:r w:rsidRPr="00E43FA0">
              <w:rPr>
                <w:sz w:val="20"/>
                <w:szCs w:val="22"/>
                <w:vertAlign w:val="superscript"/>
                <w:lang w:val="sr-Latn-ME"/>
              </w:rPr>
              <w:t>*</w:t>
            </w:r>
            <w:r w:rsidRPr="00E43FA0">
              <w:rPr>
                <w:sz w:val="20"/>
                <w:szCs w:val="22"/>
                <w:lang w:val="sr-Latn-ME"/>
              </w:rPr>
              <w:t>p</w:t>
            </w:r>
            <w:r w:rsidRPr="00E43FA0">
              <w:rPr>
                <w:sz w:val="20"/>
                <w:szCs w:val="22"/>
                <w:lang w:val="sr-Latn-ME"/>
              </w:rPr>
              <w:noBreakHyphen/>
              <w:t>vrijednost &lt; 0,0001 u odnosu na placebo + insulin ± oralni lijek za snižavanje nivoa glukoze</w:t>
            </w:r>
          </w:p>
          <w:p w14:paraId="32ECC468" w14:textId="77777777" w:rsidR="00DC171F" w:rsidRPr="00E43FA0" w:rsidRDefault="00DC171F" w:rsidP="00FA635D">
            <w:pPr>
              <w:keepNext/>
              <w:keepLines/>
              <w:tabs>
                <w:tab w:val="left" w:pos="284"/>
              </w:tabs>
              <w:autoSpaceDE w:val="0"/>
              <w:autoSpaceDN w:val="0"/>
              <w:adjustRightInd w:val="0"/>
              <w:ind w:left="180" w:hanging="180"/>
              <w:jc w:val="both"/>
              <w:rPr>
                <w:sz w:val="20"/>
                <w:szCs w:val="22"/>
                <w:lang w:val="sr-Latn-ME"/>
              </w:rPr>
            </w:pPr>
            <w:r w:rsidRPr="00E43FA0">
              <w:rPr>
                <w:sz w:val="20"/>
                <w:szCs w:val="22"/>
                <w:vertAlign w:val="superscript"/>
                <w:lang w:val="sr-Latn-ME"/>
              </w:rPr>
              <w:t>**</w:t>
            </w:r>
            <w:r w:rsidRPr="00E43FA0">
              <w:rPr>
                <w:sz w:val="20"/>
                <w:szCs w:val="22"/>
                <w:lang w:val="sr-Latn-ME"/>
              </w:rPr>
              <w:t>p</w:t>
            </w:r>
            <w:r w:rsidRPr="00E43FA0">
              <w:rPr>
                <w:sz w:val="20"/>
                <w:szCs w:val="22"/>
                <w:lang w:val="sr-Latn-ME"/>
              </w:rPr>
              <w:noBreakHyphen/>
              <w:t>vrijednost &lt; 0,05 u odnosu na placebo + insulin ± oralni lijek za snižavanje nivoa glukoze</w:t>
            </w:r>
          </w:p>
          <w:p w14:paraId="40379C47" w14:textId="77777777" w:rsidR="00DC171F" w:rsidRPr="00E43FA0" w:rsidRDefault="00DC171F" w:rsidP="00FA635D">
            <w:pPr>
              <w:keepNext/>
              <w:keepLines/>
              <w:tabs>
                <w:tab w:val="left" w:pos="284"/>
              </w:tabs>
              <w:autoSpaceDE w:val="0"/>
              <w:autoSpaceDN w:val="0"/>
              <w:adjustRightInd w:val="0"/>
              <w:ind w:left="180" w:hanging="180"/>
              <w:jc w:val="both"/>
              <w:rPr>
                <w:sz w:val="20"/>
                <w:szCs w:val="22"/>
                <w:lang w:val="sr-Latn-ME"/>
              </w:rPr>
            </w:pPr>
            <w:r w:rsidRPr="00E43FA0">
              <w:rPr>
                <w:sz w:val="20"/>
                <w:szCs w:val="22"/>
                <w:vertAlign w:val="superscript"/>
                <w:lang w:val="sr-Latn-ME"/>
              </w:rPr>
              <w:t>1</w:t>
            </w:r>
            <w:r w:rsidRPr="00E43FA0">
              <w:rPr>
                <w:sz w:val="20"/>
                <w:szCs w:val="22"/>
                <w:lang w:val="sr-Latn-ME"/>
              </w:rPr>
              <w:t>Povećanje doze insulina (uključujući i kratkodjelujući, srednjedjelujući i bazalni insulin) bilo je dozvoljeno samo ukoliko su ispitanici ispunjavali unaprijed definisane FPG kriterijume.</w:t>
            </w:r>
          </w:p>
          <w:p w14:paraId="3073291C" w14:textId="77777777" w:rsidR="00DC171F" w:rsidRPr="00E43FA0" w:rsidRDefault="00DC171F" w:rsidP="00FA635D">
            <w:pPr>
              <w:keepNext/>
              <w:keepLines/>
              <w:tabs>
                <w:tab w:val="left" w:pos="284"/>
              </w:tabs>
              <w:autoSpaceDE w:val="0"/>
              <w:autoSpaceDN w:val="0"/>
              <w:adjustRightInd w:val="0"/>
              <w:ind w:left="180" w:hanging="180"/>
              <w:jc w:val="both"/>
              <w:rPr>
                <w:sz w:val="20"/>
                <w:szCs w:val="22"/>
                <w:lang w:val="sr-Latn-ME"/>
              </w:rPr>
            </w:pPr>
            <w:r w:rsidRPr="00E43FA0">
              <w:rPr>
                <w:sz w:val="20"/>
                <w:szCs w:val="22"/>
                <w:vertAlign w:val="superscript"/>
                <w:lang w:val="sr-Latn-ME"/>
              </w:rPr>
              <w:t>2</w:t>
            </w:r>
            <w:r w:rsidRPr="00E43FA0">
              <w:rPr>
                <w:sz w:val="20"/>
                <w:szCs w:val="22"/>
                <w:lang w:val="sr-Latn-ME"/>
              </w:rPr>
              <w:t>Pedeset procenata ispitanika je na početku primalo monoterapiju insulinom; 50% ih je uz insulin primalo 1 ili 2 oralna lijeka za snižavanje nivoa glukoze: U toj drugoj grupi 80% ispitanika je primalo samo metformin, njih 12% metformin i sulfonilureu, dok su ostali primali druge oralne ljekove za snižavanje nivoa glukoze.</w:t>
            </w:r>
          </w:p>
        </w:tc>
      </w:tr>
    </w:tbl>
    <w:p w14:paraId="2DDB37B2" w14:textId="598D7E5F" w:rsidR="00DC171F" w:rsidRPr="009F254D" w:rsidRDefault="00DC171F" w:rsidP="00FA635D">
      <w:pPr>
        <w:tabs>
          <w:tab w:val="left" w:pos="540"/>
          <w:tab w:val="left" w:pos="569"/>
        </w:tabs>
        <w:rPr>
          <w:b/>
          <w:bCs/>
          <w:sz w:val="22"/>
          <w:szCs w:val="22"/>
          <w:lang w:val="sr-Latn-ME"/>
        </w:rPr>
      </w:pPr>
    </w:p>
    <w:p w14:paraId="427E2CEB" w14:textId="34E7F6EF" w:rsidR="00DC171F" w:rsidRPr="009F254D" w:rsidRDefault="00DC171F" w:rsidP="00E43FA0">
      <w:pPr>
        <w:tabs>
          <w:tab w:val="left" w:pos="284"/>
        </w:tabs>
        <w:jc w:val="both"/>
        <w:rPr>
          <w:i/>
          <w:sz w:val="22"/>
          <w:szCs w:val="22"/>
          <w:lang w:val="sr-Latn-ME"/>
        </w:rPr>
      </w:pPr>
      <w:r w:rsidRPr="009F254D">
        <w:rPr>
          <w:i/>
          <w:iCs/>
          <w:sz w:val="22"/>
          <w:szCs w:val="22"/>
          <w:lang w:val="sr-Latn-ME"/>
        </w:rPr>
        <w:t>U kombinaciji sa metforminom kod pacijenata koji prethodno ni</w:t>
      </w:r>
      <w:r w:rsidR="00012F5E" w:rsidRPr="009F254D">
        <w:rPr>
          <w:i/>
          <w:iCs/>
          <w:sz w:val="22"/>
          <w:szCs w:val="22"/>
          <w:lang w:val="sr-Latn-ME"/>
        </w:rPr>
        <w:t>je</w:t>
      </w:r>
      <w:r w:rsidRPr="009F254D">
        <w:rPr>
          <w:i/>
          <w:iCs/>
          <w:sz w:val="22"/>
          <w:szCs w:val="22"/>
          <w:lang w:val="sr-Latn-ME"/>
        </w:rPr>
        <w:t>su primali lijek</w:t>
      </w:r>
    </w:p>
    <w:p w14:paraId="7D8E062A" w14:textId="6AB50342" w:rsidR="00DC171F" w:rsidRPr="009F254D" w:rsidRDefault="00DC171F" w:rsidP="00E43FA0">
      <w:pPr>
        <w:tabs>
          <w:tab w:val="left" w:pos="284"/>
        </w:tabs>
        <w:jc w:val="both"/>
        <w:rPr>
          <w:sz w:val="22"/>
          <w:szCs w:val="22"/>
          <w:lang w:val="sr-Latn-ME"/>
        </w:rPr>
      </w:pPr>
      <w:r w:rsidRPr="009F254D">
        <w:rPr>
          <w:sz w:val="22"/>
          <w:szCs w:val="22"/>
          <w:lang w:val="sr-Latn-ME"/>
        </w:rPr>
        <w:t>Ukupno 1236 pacijenata sa dijabetes melitusom tipa 2</w:t>
      </w:r>
      <w:r w:rsidR="00012F5E" w:rsidRPr="009F254D">
        <w:rPr>
          <w:sz w:val="22"/>
          <w:szCs w:val="22"/>
          <w:lang w:val="sr-Latn-ME"/>
        </w:rPr>
        <w:t xml:space="preserve"> koji je </w:t>
      </w:r>
      <w:r w:rsidRPr="009F254D">
        <w:rPr>
          <w:sz w:val="22"/>
          <w:szCs w:val="22"/>
          <w:lang w:val="sr-Latn-ME"/>
        </w:rPr>
        <w:t>neadekvatno kontrolisan (HbA1c ≥ 7,5% i ≤ 12%), koji prethodno ni</w:t>
      </w:r>
      <w:r w:rsidR="00012F5E" w:rsidRPr="009F254D">
        <w:rPr>
          <w:sz w:val="22"/>
          <w:szCs w:val="22"/>
          <w:lang w:val="sr-Latn-ME"/>
        </w:rPr>
        <w:t>je</w:t>
      </w:r>
      <w:r w:rsidRPr="009F254D">
        <w:rPr>
          <w:sz w:val="22"/>
          <w:szCs w:val="22"/>
          <w:lang w:val="sr-Latn-ME"/>
        </w:rPr>
        <w:t>su primali lijek</w:t>
      </w:r>
      <w:r w:rsidR="00012F5E" w:rsidRPr="009F254D">
        <w:rPr>
          <w:sz w:val="22"/>
          <w:szCs w:val="22"/>
          <w:lang w:val="sr-Latn-ME"/>
        </w:rPr>
        <w:t>,</w:t>
      </w:r>
      <w:r w:rsidRPr="009F254D">
        <w:rPr>
          <w:sz w:val="22"/>
          <w:szCs w:val="22"/>
          <w:lang w:val="sr-Latn-ME"/>
        </w:rPr>
        <w:t xml:space="preserve"> učestvovalo je u dvije aktivno</w:t>
      </w:r>
      <w:r w:rsidR="00012F5E" w:rsidRPr="009F254D">
        <w:rPr>
          <w:sz w:val="22"/>
          <w:szCs w:val="22"/>
          <w:lang w:val="sr-Latn-ME"/>
        </w:rPr>
        <w:t>-</w:t>
      </w:r>
      <w:r w:rsidRPr="009F254D">
        <w:rPr>
          <w:sz w:val="22"/>
          <w:szCs w:val="22"/>
          <w:lang w:val="sr-Latn-ME"/>
        </w:rPr>
        <w:t>kontrolisane studije u trajanju od 24 nedjelje u cilju procjene efikasnosti i bezbjednosti dapagliflozina (5 mg ili 10 mg) u kombinaciji sa metforminom kod pacijenata koji prethodno ni</w:t>
      </w:r>
      <w:r w:rsidR="00012F5E" w:rsidRPr="009F254D">
        <w:rPr>
          <w:sz w:val="22"/>
          <w:szCs w:val="22"/>
          <w:lang w:val="sr-Latn-ME"/>
        </w:rPr>
        <w:t>je</w:t>
      </w:r>
      <w:r w:rsidRPr="009F254D">
        <w:rPr>
          <w:sz w:val="22"/>
          <w:szCs w:val="22"/>
          <w:lang w:val="sr-Latn-ME"/>
        </w:rPr>
        <w:t>su primali lijek u poređenju sa terapijom pojedinačnim komponentama.</w:t>
      </w:r>
    </w:p>
    <w:p w14:paraId="4C8F6E72" w14:textId="77777777" w:rsidR="00DC171F" w:rsidRPr="009F254D" w:rsidRDefault="00DC171F" w:rsidP="00E43FA0">
      <w:pPr>
        <w:tabs>
          <w:tab w:val="left" w:pos="284"/>
        </w:tabs>
        <w:jc w:val="both"/>
        <w:rPr>
          <w:sz w:val="22"/>
          <w:szCs w:val="22"/>
          <w:lang w:val="sr-Latn-ME"/>
        </w:rPr>
      </w:pPr>
    </w:p>
    <w:p w14:paraId="358CE88D" w14:textId="1202595C" w:rsidR="00DC171F" w:rsidRDefault="00DC171F" w:rsidP="00E43FA0">
      <w:pPr>
        <w:tabs>
          <w:tab w:val="left" w:pos="284"/>
        </w:tabs>
        <w:jc w:val="both"/>
        <w:rPr>
          <w:sz w:val="22"/>
          <w:szCs w:val="22"/>
          <w:lang w:val="sr-Latn-ME"/>
        </w:rPr>
      </w:pPr>
      <w:r w:rsidRPr="009F254D">
        <w:rPr>
          <w:sz w:val="22"/>
          <w:szCs w:val="22"/>
          <w:lang w:val="sr-Latn-ME"/>
        </w:rPr>
        <w:t>Terapija dapagliflozinom od 10 mg u kombinaciji sa metforminom (do najviše 2000 mg dnevno) omogućila je značajna poboljšanja HbA1c u poređenju sa individualnim komponentama (</w:t>
      </w:r>
      <w:r w:rsidR="00012F5E" w:rsidRPr="009F254D">
        <w:rPr>
          <w:sz w:val="22"/>
          <w:szCs w:val="22"/>
          <w:lang w:val="sr-Latn-ME"/>
        </w:rPr>
        <w:t>T</w:t>
      </w:r>
      <w:r w:rsidRPr="009F254D">
        <w:rPr>
          <w:sz w:val="22"/>
          <w:szCs w:val="22"/>
          <w:lang w:val="sr-Latn-ME"/>
        </w:rPr>
        <w:t>abela 7) i dovela do većih smanjenja glukoze u plazmi natašte (u poređenju sa individualnim komponentama) i tjelesne mase (u poređenju sa metforminom).</w:t>
      </w:r>
    </w:p>
    <w:p w14:paraId="7F2ACAED" w14:textId="77777777" w:rsidR="00E43FA0" w:rsidRPr="009F254D" w:rsidRDefault="00E43FA0" w:rsidP="00E43FA0">
      <w:pPr>
        <w:tabs>
          <w:tab w:val="left" w:pos="284"/>
        </w:tabs>
        <w:jc w:val="both"/>
        <w:rPr>
          <w:sz w:val="22"/>
          <w:szCs w:val="22"/>
          <w:lang w:val="sr-Latn-ME"/>
        </w:rPr>
      </w:pPr>
    </w:p>
    <w:p w14:paraId="5B385006" w14:textId="70EA21FD" w:rsidR="00AC3E4D" w:rsidRPr="009F254D" w:rsidRDefault="00AC3E4D" w:rsidP="00E43FA0">
      <w:pPr>
        <w:tabs>
          <w:tab w:val="left" w:pos="284"/>
        </w:tabs>
        <w:jc w:val="both"/>
        <w:rPr>
          <w:b/>
          <w:sz w:val="22"/>
          <w:szCs w:val="22"/>
          <w:lang w:val="sr-Latn-ME"/>
        </w:rPr>
      </w:pPr>
      <w:r w:rsidRPr="009F254D">
        <w:rPr>
          <w:b/>
          <w:bCs/>
          <w:sz w:val="22"/>
          <w:szCs w:val="22"/>
          <w:lang w:val="sr-Latn-ME"/>
        </w:rPr>
        <w:t>Tabela 7. Rezultati u 24. nedjelji (LOCF</w:t>
      </w:r>
      <w:r w:rsidRPr="009F254D">
        <w:rPr>
          <w:b/>
          <w:bCs/>
          <w:sz w:val="22"/>
          <w:szCs w:val="22"/>
          <w:vertAlign w:val="superscript"/>
          <w:lang w:val="sr-Latn-ME"/>
        </w:rPr>
        <w:t>a</w:t>
      </w:r>
      <w:r w:rsidRPr="009F254D">
        <w:rPr>
          <w:b/>
          <w:bCs/>
          <w:sz w:val="22"/>
          <w:szCs w:val="22"/>
          <w:lang w:val="sr-Latn-ME"/>
        </w:rPr>
        <w:t>) u jednoj aktivno</w:t>
      </w:r>
      <w:r w:rsidR="00E83D2A" w:rsidRPr="009F254D">
        <w:rPr>
          <w:b/>
          <w:bCs/>
          <w:sz w:val="22"/>
          <w:szCs w:val="22"/>
          <w:lang w:val="sr-Latn-ME"/>
        </w:rPr>
        <w:t>-</w:t>
      </w:r>
      <w:r w:rsidRPr="009F254D">
        <w:rPr>
          <w:b/>
          <w:bCs/>
          <w:sz w:val="22"/>
          <w:szCs w:val="22"/>
          <w:lang w:val="sr-Latn-ME"/>
        </w:rPr>
        <w:t>kontrolisanoj studiji kombinovane terapije dapagliflozin</w:t>
      </w:r>
      <w:r w:rsidR="00E83D2A" w:rsidRPr="009F254D">
        <w:rPr>
          <w:b/>
          <w:bCs/>
          <w:sz w:val="22"/>
          <w:szCs w:val="22"/>
          <w:lang w:val="sr-Latn-ME"/>
        </w:rPr>
        <w:t>om</w:t>
      </w:r>
      <w:r w:rsidRPr="009F254D">
        <w:rPr>
          <w:b/>
          <w:bCs/>
          <w:sz w:val="22"/>
          <w:szCs w:val="22"/>
          <w:lang w:val="sr-Latn-ME"/>
        </w:rPr>
        <w:t xml:space="preserve"> i metformin</w:t>
      </w:r>
      <w:r w:rsidR="00E83D2A" w:rsidRPr="009F254D">
        <w:rPr>
          <w:b/>
          <w:bCs/>
          <w:sz w:val="22"/>
          <w:szCs w:val="22"/>
          <w:lang w:val="sr-Latn-ME"/>
        </w:rPr>
        <w:t>om</w:t>
      </w:r>
      <w:r w:rsidRPr="009F254D">
        <w:rPr>
          <w:b/>
          <w:bCs/>
          <w:sz w:val="22"/>
          <w:szCs w:val="22"/>
          <w:lang w:val="sr-Latn-ME"/>
        </w:rPr>
        <w:t xml:space="preserve"> kod pacijenata koji ranije ni</w:t>
      </w:r>
      <w:r w:rsidR="00E83D2A" w:rsidRPr="009F254D">
        <w:rPr>
          <w:b/>
          <w:bCs/>
          <w:sz w:val="22"/>
          <w:szCs w:val="22"/>
          <w:lang w:val="sr-Latn-ME"/>
        </w:rPr>
        <w:t>je</w:t>
      </w:r>
      <w:r w:rsidRPr="009F254D">
        <w:rPr>
          <w:b/>
          <w:bCs/>
          <w:sz w:val="22"/>
          <w:szCs w:val="22"/>
          <w:lang w:val="sr-Latn-ME"/>
        </w:rPr>
        <w:t xml:space="preserve">su </w:t>
      </w:r>
      <w:r w:rsidR="00E83D2A" w:rsidRPr="009F254D">
        <w:rPr>
          <w:b/>
          <w:bCs/>
          <w:sz w:val="22"/>
          <w:szCs w:val="22"/>
          <w:lang w:val="sr-Latn-ME"/>
        </w:rPr>
        <w:t>liječeni</w:t>
      </w:r>
    </w:p>
    <w:tbl>
      <w:tblPr>
        <w:tblW w:w="4992" w:type="pct"/>
        <w:tblBorders>
          <w:top w:val="single" w:sz="12" w:space="0" w:color="auto"/>
          <w:insideH w:val="single" w:sz="4" w:space="0" w:color="auto"/>
        </w:tblBorders>
        <w:tblLayout w:type="fixed"/>
        <w:tblLook w:val="0000" w:firstRow="0" w:lastRow="0" w:firstColumn="0" w:lastColumn="0" w:noHBand="0" w:noVBand="0"/>
      </w:tblPr>
      <w:tblGrid>
        <w:gridCol w:w="3215"/>
        <w:gridCol w:w="2033"/>
        <w:gridCol w:w="2031"/>
        <w:gridCol w:w="1779"/>
      </w:tblGrid>
      <w:tr w:rsidR="00AC3E4D" w:rsidRPr="009F254D" w14:paraId="7F2F31C6" w14:textId="77777777" w:rsidTr="00E43FA0">
        <w:tc>
          <w:tcPr>
            <w:tcW w:w="3215" w:type="dxa"/>
            <w:vAlign w:val="bottom"/>
          </w:tcPr>
          <w:p w14:paraId="694213AF" w14:textId="77777777" w:rsidR="00AC3E4D" w:rsidRPr="009F254D" w:rsidRDefault="00AC3E4D" w:rsidP="00E43FA0">
            <w:pPr>
              <w:tabs>
                <w:tab w:val="left" w:pos="567"/>
              </w:tabs>
              <w:rPr>
                <w:rFonts w:eastAsia="MS Mincho"/>
                <w:b/>
                <w:bCs/>
                <w:sz w:val="22"/>
                <w:szCs w:val="22"/>
                <w:lang w:val="sr-Latn-ME"/>
              </w:rPr>
            </w:pPr>
            <w:r w:rsidRPr="009F254D">
              <w:rPr>
                <w:rFonts w:eastAsia="MS Mincho"/>
                <w:b/>
                <w:bCs/>
                <w:sz w:val="22"/>
                <w:szCs w:val="22"/>
                <w:lang w:val="sr-Latn-ME"/>
              </w:rPr>
              <w:lastRenderedPageBreak/>
              <w:t>Parametar</w:t>
            </w:r>
          </w:p>
        </w:tc>
        <w:tc>
          <w:tcPr>
            <w:tcW w:w="2033" w:type="dxa"/>
          </w:tcPr>
          <w:p w14:paraId="26FA11A5" w14:textId="77777777" w:rsidR="00AC3E4D" w:rsidRPr="009F254D" w:rsidRDefault="00AC3E4D" w:rsidP="00E43FA0">
            <w:pPr>
              <w:tabs>
                <w:tab w:val="left" w:pos="284"/>
              </w:tabs>
              <w:autoSpaceDE w:val="0"/>
              <w:autoSpaceDN w:val="0"/>
              <w:adjustRightInd w:val="0"/>
              <w:jc w:val="center"/>
              <w:rPr>
                <w:b/>
                <w:bCs/>
                <w:sz w:val="22"/>
                <w:szCs w:val="22"/>
                <w:lang w:val="sr-Latn-ME"/>
              </w:rPr>
            </w:pPr>
            <w:r w:rsidRPr="009F254D">
              <w:rPr>
                <w:b/>
                <w:bCs/>
                <w:sz w:val="22"/>
                <w:szCs w:val="22"/>
                <w:lang w:val="sr-Latn-ME"/>
              </w:rPr>
              <w:t>Dapagliflozin od 10 mg +</w:t>
            </w:r>
          </w:p>
          <w:p w14:paraId="62839E16" w14:textId="0729BA23" w:rsidR="00AC3E4D" w:rsidRPr="009F254D" w:rsidRDefault="008264B5" w:rsidP="00E43FA0">
            <w:pPr>
              <w:tabs>
                <w:tab w:val="left" w:pos="284"/>
              </w:tabs>
              <w:autoSpaceDE w:val="0"/>
              <w:autoSpaceDN w:val="0"/>
              <w:adjustRightInd w:val="0"/>
              <w:jc w:val="center"/>
              <w:rPr>
                <w:b/>
                <w:bCs/>
                <w:sz w:val="22"/>
                <w:szCs w:val="22"/>
                <w:lang w:val="sr-Latn-ME"/>
              </w:rPr>
            </w:pPr>
            <w:r>
              <w:rPr>
                <w:b/>
                <w:bCs/>
                <w:sz w:val="22"/>
                <w:szCs w:val="22"/>
                <w:lang w:val="sr-Latn-ME"/>
              </w:rPr>
              <w:t>m</w:t>
            </w:r>
            <w:r w:rsidRPr="009F254D">
              <w:rPr>
                <w:b/>
                <w:bCs/>
                <w:sz w:val="22"/>
                <w:szCs w:val="22"/>
                <w:lang w:val="sr-Latn-ME"/>
              </w:rPr>
              <w:t>etformin</w:t>
            </w:r>
          </w:p>
        </w:tc>
        <w:tc>
          <w:tcPr>
            <w:tcW w:w="2031" w:type="dxa"/>
          </w:tcPr>
          <w:p w14:paraId="6E54A634" w14:textId="77777777" w:rsidR="00AC3E4D" w:rsidRPr="009F254D" w:rsidRDefault="00AC3E4D" w:rsidP="00E43FA0">
            <w:pPr>
              <w:tabs>
                <w:tab w:val="left" w:pos="284"/>
              </w:tabs>
              <w:autoSpaceDE w:val="0"/>
              <w:autoSpaceDN w:val="0"/>
              <w:adjustRightInd w:val="0"/>
              <w:jc w:val="center"/>
              <w:rPr>
                <w:b/>
                <w:bCs/>
                <w:sz w:val="22"/>
                <w:szCs w:val="22"/>
                <w:lang w:val="sr-Latn-ME"/>
              </w:rPr>
            </w:pPr>
            <w:r w:rsidRPr="009F254D">
              <w:rPr>
                <w:b/>
                <w:bCs/>
                <w:sz w:val="22"/>
                <w:szCs w:val="22"/>
                <w:lang w:val="sr-Latn-ME"/>
              </w:rPr>
              <w:t>Dapagliflozin od 10 mg</w:t>
            </w:r>
          </w:p>
        </w:tc>
        <w:tc>
          <w:tcPr>
            <w:tcW w:w="1779" w:type="dxa"/>
          </w:tcPr>
          <w:p w14:paraId="40790E87" w14:textId="77777777" w:rsidR="00AC3E4D" w:rsidRPr="009F254D" w:rsidRDefault="00AC3E4D" w:rsidP="00E43FA0">
            <w:pPr>
              <w:tabs>
                <w:tab w:val="left" w:pos="284"/>
              </w:tabs>
              <w:autoSpaceDE w:val="0"/>
              <w:autoSpaceDN w:val="0"/>
              <w:adjustRightInd w:val="0"/>
              <w:jc w:val="center"/>
              <w:rPr>
                <w:b/>
                <w:bCs/>
                <w:sz w:val="22"/>
                <w:szCs w:val="22"/>
                <w:lang w:val="sr-Latn-ME"/>
              </w:rPr>
            </w:pPr>
            <w:r w:rsidRPr="009F254D">
              <w:rPr>
                <w:b/>
                <w:bCs/>
                <w:sz w:val="22"/>
                <w:szCs w:val="22"/>
                <w:lang w:val="sr-Latn-ME"/>
              </w:rPr>
              <w:t>Metformin</w:t>
            </w:r>
          </w:p>
        </w:tc>
      </w:tr>
      <w:tr w:rsidR="00AC3E4D" w:rsidRPr="009F254D" w14:paraId="52794C07" w14:textId="77777777" w:rsidTr="00E43FA0">
        <w:tc>
          <w:tcPr>
            <w:tcW w:w="3215" w:type="dxa"/>
          </w:tcPr>
          <w:p w14:paraId="509565E0" w14:textId="77777777" w:rsidR="00AC3E4D" w:rsidRPr="009F254D" w:rsidRDefault="00AC3E4D" w:rsidP="00E43FA0">
            <w:pPr>
              <w:tabs>
                <w:tab w:val="left" w:pos="284"/>
              </w:tabs>
              <w:jc w:val="both"/>
              <w:rPr>
                <w:sz w:val="22"/>
                <w:szCs w:val="22"/>
                <w:lang w:val="sr-Latn-ME"/>
              </w:rPr>
            </w:pPr>
            <w:r w:rsidRPr="009F254D">
              <w:rPr>
                <w:b/>
                <w:bCs/>
                <w:sz w:val="22"/>
                <w:szCs w:val="22"/>
                <w:lang w:val="sr-Latn-ME"/>
              </w:rPr>
              <w:t>N</w:t>
            </w:r>
            <w:r w:rsidRPr="009F254D">
              <w:rPr>
                <w:sz w:val="22"/>
                <w:szCs w:val="22"/>
                <w:vertAlign w:val="superscript"/>
                <w:lang w:val="sr-Latn-ME"/>
              </w:rPr>
              <w:t>b</w:t>
            </w:r>
          </w:p>
        </w:tc>
        <w:tc>
          <w:tcPr>
            <w:tcW w:w="2033" w:type="dxa"/>
          </w:tcPr>
          <w:p w14:paraId="0E72206A" w14:textId="77777777" w:rsidR="00AC3E4D" w:rsidRPr="009F254D" w:rsidRDefault="00AC3E4D" w:rsidP="00E43FA0">
            <w:pPr>
              <w:tabs>
                <w:tab w:val="left" w:pos="284"/>
              </w:tabs>
              <w:autoSpaceDE w:val="0"/>
              <w:autoSpaceDN w:val="0"/>
              <w:adjustRightInd w:val="0"/>
              <w:jc w:val="center"/>
              <w:rPr>
                <w:sz w:val="22"/>
                <w:szCs w:val="22"/>
                <w:lang w:val="sr-Latn-ME"/>
              </w:rPr>
            </w:pPr>
            <w:r w:rsidRPr="009F254D">
              <w:rPr>
                <w:sz w:val="22"/>
                <w:szCs w:val="22"/>
                <w:lang w:val="sr-Latn-ME"/>
              </w:rPr>
              <w:t>211</w:t>
            </w:r>
            <w:r w:rsidRPr="009F254D">
              <w:rPr>
                <w:sz w:val="22"/>
                <w:szCs w:val="22"/>
                <w:vertAlign w:val="superscript"/>
                <w:lang w:val="sr-Latn-ME"/>
              </w:rPr>
              <w:t>b</w:t>
            </w:r>
          </w:p>
        </w:tc>
        <w:tc>
          <w:tcPr>
            <w:tcW w:w="2031" w:type="dxa"/>
          </w:tcPr>
          <w:p w14:paraId="4B523469" w14:textId="77777777" w:rsidR="00AC3E4D" w:rsidRPr="009F254D" w:rsidRDefault="00AC3E4D" w:rsidP="00E43FA0">
            <w:pPr>
              <w:tabs>
                <w:tab w:val="left" w:pos="284"/>
              </w:tabs>
              <w:autoSpaceDE w:val="0"/>
              <w:autoSpaceDN w:val="0"/>
              <w:adjustRightInd w:val="0"/>
              <w:jc w:val="center"/>
              <w:rPr>
                <w:sz w:val="22"/>
                <w:szCs w:val="22"/>
                <w:lang w:val="sr-Latn-ME"/>
              </w:rPr>
            </w:pPr>
            <w:r w:rsidRPr="009F254D">
              <w:rPr>
                <w:sz w:val="22"/>
                <w:szCs w:val="22"/>
                <w:lang w:val="sr-Latn-ME"/>
              </w:rPr>
              <w:t>219</w:t>
            </w:r>
            <w:r w:rsidRPr="009F254D">
              <w:rPr>
                <w:sz w:val="22"/>
                <w:szCs w:val="22"/>
                <w:vertAlign w:val="superscript"/>
                <w:lang w:val="sr-Latn-ME"/>
              </w:rPr>
              <w:t>b</w:t>
            </w:r>
          </w:p>
        </w:tc>
        <w:tc>
          <w:tcPr>
            <w:tcW w:w="1779" w:type="dxa"/>
          </w:tcPr>
          <w:p w14:paraId="2BB178F0" w14:textId="77777777" w:rsidR="00AC3E4D" w:rsidRPr="009F254D" w:rsidRDefault="00AC3E4D" w:rsidP="00E43FA0">
            <w:pPr>
              <w:tabs>
                <w:tab w:val="left" w:pos="284"/>
              </w:tabs>
              <w:autoSpaceDE w:val="0"/>
              <w:autoSpaceDN w:val="0"/>
              <w:adjustRightInd w:val="0"/>
              <w:jc w:val="center"/>
              <w:rPr>
                <w:sz w:val="22"/>
                <w:szCs w:val="22"/>
                <w:lang w:val="sr-Latn-ME"/>
              </w:rPr>
            </w:pPr>
            <w:r w:rsidRPr="009F254D">
              <w:rPr>
                <w:sz w:val="22"/>
                <w:szCs w:val="22"/>
                <w:lang w:val="sr-Latn-ME"/>
              </w:rPr>
              <w:t>208</w:t>
            </w:r>
            <w:r w:rsidRPr="009F254D">
              <w:rPr>
                <w:sz w:val="22"/>
                <w:szCs w:val="22"/>
                <w:vertAlign w:val="superscript"/>
                <w:lang w:val="sr-Latn-ME"/>
              </w:rPr>
              <w:t>b</w:t>
            </w:r>
          </w:p>
        </w:tc>
      </w:tr>
      <w:tr w:rsidR="00AC3E4D" w:rsidRPr="009F254D" w14:paraId="50837737" w14:textId="77777777" w:rsidTr="00E43FA0">
        <w:tc>
          <w:tcPr>
            <w:tcW w:w="3215" w:type="dxa"/>
          </w:tcPr>
          <w:p w14:paraId="12669544" w14:textId="77777777" w:rsidR="00AC3E4D" w:rsidRPr="009F254D" w:rsidRDefault="00AC3E4D" w:rsidP="00E43FA0">
            <w:pPr>
              <w:tabs>
                <w:tab w:val="left" w:pos="284"/>
              </w:tabs>
              <w:jc w:val="both"/>
              <w:rPr>
                <w:b/>
                <w:bCs/>
                <w:sz w:val="22"/>
                <w:szCs w:val="22"/>
                <w:lang w:val="sr-Latn-ME"/>
              </w:rPr>
            </w:pPr>
            <w:r w:rsidRPr="009F254D">
              <w:rPr>
                <w:b/>
                <w:bCs/>
                <w:sz w:val="22"/>
                <w:szCs w:val="22"/>
                <w:lang w:val="sr-Latn-ME"/>
              </w:rPr>
              <w:t>HbA1c (%)</w:t>
            </w:r>
          </w:p>
          <w:p w14:paraId="04791AB0" w14:textId="77777777" w:rsidR="00AC3E4D" w:rsidRPr="009F254D" w:rsidRDefault="00AC3E4D" w:rsidP="00E43FA0">
            <w:pPr>
              <w:tabs>
                <w:tab w:val="left" w:pos="284"/>
              </w:tabs>
              <w:ind w:left="142"/>
              <w:jc w:val="both"/>
              <w:rPr>
                <w:sz w:val="22"/>
                <w:szCs w:val="22"/>
                <w:lang w:val="sr-Latn-ME"/>
              </w:rPr>
            </w:pPr>
            <w:r w:rsidRPr="009F254D">
              <w:rPr>
                <w:sz w:val="22"/>
                <w:szCs w:val="22"/>
                <w:lang w:val="sr-Latn-ME"/>
              </w:rPr>
              <w:t>Početna vrijednost (srednja)</w:t>
            </w:r>
          </w:p>
          <w:p w14:paraId="35018244" w14:textId="77777777" w:rsidR="00AC3E4D" w:rsidRPr="009F254D" w:rsidRDefault="00AC3E4D" w:rsidP="00E43FA0">
            <w:pPr>
              <w:tabs>
                <w:tab w:val="left" w:pos="284"/>
              </w:tabs>
              <w:ind w:left="142"/>
              <w:jc w:val="both"/>
              <w:rPr>
                <w:sz w:val="22"/>
                <w:szCs w:val="22"/>
                <w:lang w:val="sr-Latn-ME"/>
              </w:rPr>
            </w:pPr>
            <w:r w:rsidRPr="009F254D">
              <w:rPr>
                <w:sz w:val="22"/>
                <w:szCs w:val="22"/>
                <w:lang w:val="sr-Latn-ME"/>
              </w:rPr>
              <w:t>Promjena u odnosu na početnu vrijednost</w:t>
            </w:r>
            <w:r w:rsidRPr="009F254D">
              <w:rPr>
                <w:sz w:val="22"/>
                <w:szCs w:val="22"/>
                <w:vertAlign w:val="superscript"/>
                <w:lang w:val="sr-Latn-ME"/>
              </w:rPr>
              <w:t>c</w:t>
            </w:r>
          </w:p>
          <w:p w14:paraId="15EF4A9D" w14:textId="77777777" w:rsidR="00AC3E4D" w:rsidRPr="009F254D" w:rsidRDefault="00AC3E4D" w:rsidP="00E43FA0">
            <w:pPr>
              <w:tabs>
                <w:tab w:val="left" w:pos="284"/>
              </w:tabs>
              <w:ind w:left="142"/>
              <w:jc w:val="both"/>
              <w:rPr>
                <w:sz w:val="22"/>
                <w:szCs w:val="22"/>
                <w:vertAlign w:val="superscript"/>
                <w:lang w:val="sr-Latn-ME"/>
              </w:rPr>
            </w:pPr>
            <w:r w:rsidRPr="009F254D">
              <w:rPr>
                <w:sz w:val="22"/>
                <w:szCs w:val="22"/>
                <w:lang w:val="sr-Latn-ME"/>
              </w:rPr>
              <w:t>Razlika u odnosu na dapagliflozin</w:t>
            </w:r>
            <w:r w:rsidRPr="009F254D">
              <w:rPr>
                <w:sz w:val="22"/>
                <w:szCs w:val="22"/>
                <w:vertAlign w:val="superscript"/>
                <w:lang w:val="sr-Latn-ME"/>
              </w:rPr>
              <w:t>c</w:t>
            </w:r>
          </w:p>
          <w:p w14:paraId="180E2FB2" w14:textId="77777777" w:rsidR="00AC3E4D" w:rsidRPr="009F254D" w:rsidRDefault="00AC3E4D" w:rsidP="00E43FA0">
            <w:pPr>
              <w:tabs>
                <w:tab w:val="left" w:pos="284"/>
              </w:tabs>
              <w:ind w:left="142"/>
              <w:jc w:val="both"/>
              <w:rPr>
                <w:sz w:val="22"/>
                <w:szCs w:val="22"/>
                <w:lang w:val="sr-Latn-ME"/>
              </w:rPr>
            </w:pPr>
            <w:r w:rsidRPr="009F254D">
              <w:rPr>
                <w:sz w:val="22"/>
                <w:szCs w:val="22"/>
                <w:lang w:val="sr-Latn-ME"/>
              </w:rPr>
              <w:t xml:space="preserve">    (95% CI)</w:t>
            </w:r>
          </w:p>
          <w:p w14:paraId="73487E27" w14:textId="77777777" w:rsidR="00AC3E4D" w:rsidRPr="009F254D" w:rsidRDefault="00AC3E4D" w:rsidP="00E43FA0">
            <w:pPr>
              <w:tabs>
                <w:tab w:val="left" w:pos="284"/>
              </w:tabs>
              <w:ind w:left="142"/>
              <w:jc w:val="both"/>
              <w:rPr>
                <w:sz w:val="22"/>
                <w:szCs w:val="22"/>
                <w:vertAlign w:val="superscript"/>
                <w:lang w:val="sr-Latn-ME"/>
              </w:rPr>
            </w:pPr>
            <w:r w:rsidRPr="009F254D">
              <w:rPr>
                <w:sz w:val="22"/>
                <w:szCs w:val="22"/>
                <w:lang w:val="sr-Latn-ME"/>
              </w:rPr>
              <w:t>Razlika u odnosu na metformin</w:t>
            </w:r>
            <w:r w:rsidRPr="009F254D">
              <w:rPr>
                <w:sz w:val="22"/>
                <w:szCs w:val="22"/>
                <w:vertAlign w:val="superscript"/>
                <w:lang w:val="sr-Latn-ME"/>
              </w:rPr>
              <w:t>c</w:t>
            </w:r>
          </w:p>
          <w:p w14:paraId="3F1C8ABD" w14:textId="77777777" w:rsidR="00AC3E4D" w:rsidRPr="009F254D" w:rsidRDefault="00AC3E4D" w:rsidP="00E43FA0">
            <w:pPr>
              <w:tabs>
                <w:tab w:val="left" w:pos="284"/>
              </w:tabs>
              <w:ind w:left="142"/>
              <w:jc w:val="both"/>
              <w:rPr>
                <w:sz w:val="22"/>
                <w:szCs w:val="22"/>
                <w:lang w:val="sr-Latn-ME"/>
              </w:rPr>
            </w:pPr>
            <w:r w:rsidRPr="009F254D">
              <w:rPr>
                <w:sz w:val="22"/>
                <w:szCs w:val="22"/>
                <w:lang w:val="sr-Latn-ME"/>
              </w:rPr>
              <w:t xml:space="preserve">    (95% CI)</w:t>
            </w:r>
          </w:p>
        </w:tc>
        <w:tc>
          <w:tcPr>
            <w:tcW w:w="2033" w:type="dxa"/>
          </w:tcPr>
          <w:p w14:paraId="45035624" w14:textId="77777777" w:rsidR="00AC3E4D" w:rsidRPr="009F254D" w:rsidRDefault="00AC3E4D" w:rsidP="00E43FA0">
            <w:pPr>
              <w:tabs>
                <w:tab w:val="left" w:pos="284"/>
              </w:tabs>
              <w:autoSpaceDE w:val="0"/>
              <w:autoSpaceDN w:val="0"/>
              <w:adjustRightInd w:val="0"/>
              <w:jc w:val="center"/>
              <w:rPr>
                <w:sz w:val="22"/>
                <w:szCs w:val="22"/>
                <w:lang w:val="sr-Latn-ME"/>
              </w:rPr>
            </w:pPr>
          </w:p>
          <w:p w14:paraId="2C0C88FB" w14:textId="1B2082B5" w:rsidR="00AC3E4D" w:rsidRPr="009F254D" w:rsidRDefault="00AC3E4D" w:rsidP="00E43FA0">
            <w:pPr>
              <w:tabs>
                <w:tab w:val="left" w:pos="284"/>
              </w:tabs>
              <w:autoSpaceDE w:val="0"/>
              <w:autoSpaceDN w:val="0"/>
              <w:adjustRightInd w:val="0"/>
              <w:jc w:val="center"/>
              <w:rPr>
                <w:sz w:val="22"/>
                <w:szCs w:val="22"/>
                <w:lang w:val="sr-Latn-ME"/>
              </w:rPr>
            </w:pPr>
            <w:r w:rsidRPr="009F254D">
              <w:rPr>
                <w:sz w:val="22"/>
                <w:szCs w:val="22"/>
                <w:lang w:val="sr-Latn-ME"/>
              </w:rPr>
              <w:t>9,10</w:t>
            </w:r>
          </w:p>
          <w:p w14:paraId="49430EE1" w14:textId="77777777" w:rsidR="00E83D2A" w:rsidRPr="009F254D" w:rsidRDefault="00E83D2A" w:rsidP="00E43FA0">
            <w:pPr>
              <w:tabs>
                <w:tab w:val="left" w:pos="284"/>
              </w:tabs>
              <w:autoSpaceDE w:val="0"/>
              <w:autoSpaceDN w:val="0"/>
              <w:adjustRightInd w:val="0"/>
              <w:jc w:val="center"/>
              <w:rPr>
                <w:sz w:val="22"/>
                <w:szCs w:val="22"/>
                <w:lang w:val="sr-Latn-ME"/>
              </w:rPr>
            </w:pPr>
          </w:p>
          <w:p w14:paraId="77EFE038" w14:textId="48034987" w:rsidR="00AC3E4D" w:rsidRPr="009F254D" w:rsidRDefault="00AC3E4D" w:rsidP="00E43FA0">
            <w:pPr>
              <w:tabs>
                <w:tab w:val="left" w:pos="284"/>
              </w:tabs>
              <w:autoSpaceDE w:val="0"/>
              <w:autoSpaceDN w:val="0"/>
              <w:adjustRightInd w:val="0"/>
              <w:jc w:val="center"/>
              <w:rPr>
                <w:sz w:val="22"/>
                <w:szCs w:val="22"/>
                <w:lang w:val="sr-Latn-ME"/>
              </w:rPr>
            </w:pPr>
            <w:r w:rsidRPr="009F254D">
              <w:rPr>
                <w:sz w:val="22"/>
                <w:szCs w:val="22"/>
                <w:lang w:val="sr-Latn-ME"/>
              </w:rPr>
              <w:noBreakHyphen/>
              <w:t>1,98</w:t>
            </w:r>
          </w:p>
          <w:p w14:paraId="41288919" w14:textId="77777777" w:rsidR="00E83D2A" w:rsidRPr="009F254D" w:rsidRDefault="00E83D2A" w:rsidP="00E43FA0">
            <w:pPr>
              <w:tabs>
                <w:tab w:val="left" w:pos="284"/>
              </w:tabs>
              <w:autoSpaceDE w:val="0"/>
              <w:autoSpaceDN w:val="0"/>
              <w:adjustRightInd w:val="0"/>
              <w:jc w:val="center"/>
              <w:rPr>
                <w:sz w:val="22"/>
                <w:szCs w:val="22"/>
                <w:lang w:val="sr-Latn-ME"/>
              </w:rPr>
            </w:pPr>
          </w:p>
          <w:p w14:paraId="4879B8C8" w14:textId="77777777" w:rsidR="00AC3E4D" w:rsidRPr="009F254D" w:rsidRDefault="00AC3E4D" w:rsidP="00E43FA0">
            <w:pPr>
              <w:tabs>
                <w:tab w:val="left" w:pos="284"/>
              </w:tabs>
              <w:autoSpaceDE w:val="0"/>
              <w:autoSpaceDN w:val="0"/>
              <w:adjustRightInd w:val="0"/>
              <w:jc w:val="center"/>
              <w:rPr>
                <w:sz w:val="22"/>
                <w:szCs w:val="22"/>
                <w:vertAlign w:val="superscript"/>
                <w:lang w:val="sr-Latn-ME"/>
              </w:rPr>
            </w:pPr>
            <w:r w:rsidRPr="009F254D">
              <w:rPr>
                <w:sz w:val="22"/>
                <w:szCs w:val="22"/>
                <w:lang w:val="sr-Latn-ME"/>
              </w:rPr>
              <w:t>-0,53</w:t>
            </w:r>
            <w:r w:rsidRPr="009F254D">
              <w:rPr>
                <w:sz w:val="22"/>
                <w:szCs w:val="22"/>
                <w:vertAlign w:val="superscript"/>
                <w:lang w:val="sr-Latn-ME"/>
              </w:rPr>
              <w:t>*</w:t>
            </w:r>
          </w:p>
          <w:p w14:paraId="00B2B4FD" w14:textId="77777777" w:rsidR="00AC3E4D" w:rsidRPr="009F254D" w:rsidRDefault="00AC3E4D" w:rsidP="00E43FA0">
            <w:pPr>
              <w:tabs>
                <w:tab w:val="left" w:pos="284"/>
              </w:tabs>
              <w:autoSpaceDE w:val="0"/>
              <w:autoSpaceDN w:val="0"/>
              <w:adjustRightInd w:val="0"/>
              <w:jc w:val="center"/>
              <w:rPr>
                <w:sz w:val="22"/>
                <w:szCs w:val="22"/>
                <w:lang w:val="sr-Latn-ME"/>
              </w:rPr>
            </w:pPr>
            <w:r w:rsidRPr="009F254D">
              <w:rPr>
                <w:sz w:val="22"/>
                <w:szCs w:val="22"/>
                <w:lang w:val="sr-Latn-ME"/>
              </w:rPr>
              <w:t>(-0,74, -0,32)</w:t>
            </w:r>
          </w:p>
          <w:p w14:paraId="62D609B3" w14:textId="77777777" w:rsidR="00AC3E4D" w:rsidRPr="009F254D" w:rsidRDefault="00AC3E4D" w:rsidP="00E43FA0">
            <w:pPr>
              <w:tabs>
                <w:tab w:val="left" w:pos="284"/>
              </w:tabs>
              <w:autoSpaceDE w:val="0"/>
              <w:autoSpaceDN w:val="0"/>
              <w:adjustRightInd w:val="0"/>
              <w:jc w:val="center"/>
              <w:rPr>
                <w:sz w:val="22"/>
                <w:szCs w:val="22"/>
                <w:vertAlign w:val="superscript"/>
                <w:lang w:val="sr-Latn-ME"/>
              </w:rPr>
            </w:pPr>
            <w:r w:rsidRPr="009F254D">
              <w:rPr>
                <w:sz w:val="22"/>
                <w:szCs w:val="22"/>
                <w:lang w:val="sr-Latn-ME"/>
              </w:rPr>
              <w:noBreakHyphen/>
              <w:t>0,54</w:t>
            </w:r>
            <w:r w:rsidRPr="009F254D">
              <w:rPr>
                <w:sz w:val="22"/>
                <w:szCs w:val="22"/>
                <w:vertAlign w:val="superscript"/>
                <w:lang w:val="sr-Latn-ME"/>
              </w:rPr>
              <w:t>*</w:t>
            </w:r>
          </w:p>
          <w:p w14:paraId="483F1648" w14:textId="77777777" w:rsidR="00AC3E4D" w:rsidRPr="009F254D" w:rsidRDefault="00AC3E4D" w:rsidP="00E43FA0">
            <w:pPr>
              <w:tabs>
                <w:tab w:val="left" w:pos="284"/>
              </w:tabs>
              <w:autoSpaceDE w:val="0"/>
              <w:autoSpaceDN w:val="0"/>
              <w:adjustRightInd w:val="0"/>
              <w:jc w:val="center"/>
              <w:rPr>
                <w:sz w:val="22"/>
                <w:szCs w:val="22"/>
                <w:lang w:val="sr-Latn-ME"/>
              </w:rPr>
            </w:pPr>
            <w:r w:rsidRPr="009F254D">
              <w:rPr>
                <w:sz w:val="22"/>
                <w:szCs w:val="22"/>
                <w:lang w:val="sr-Latn-ME"/>
              </w:rPr>
              <w:t>(-0,75, -0,33)</w:t>
            </w:r>
          </w:p>
        </w:tc>
        <w:tc>
          <w:tcPr>
            <w:tcW w:w="2031" w:type="dxa"/>
          </w:tcPr>
          <w:p w14:paraId="3746AFEF" w14:textId="77777777" w:rsidR="00AC3E4D" w:rsidRPr="009F254D" w:rsidRDefault="00AC3E4D" w:rsidP="00E43FA0">
            <w:pPr>
              <w:tabs>
                <w:tab w:val="left" w:pos="284"/>
              </w:tabs>
              <w:autoSpaceDE w:val="0"/>
              <w:autoSpaceDN w:val="0"/>
              <w:adjustRightInd w:val="0"/>
              <w:jc w:val="center"/>
              <w:rPr>
                <w:sz w:val="22"/>
                <w:szCs w:val="22"/>
                <w:lang w:val="sr-Latn-ME"/>
              </w:rPr>
            </w:pPr>
          </w:p>
          <w:p w14:paraId="2DD82D41" w14:textId="3778F6E1" w:rsidR="00AC3E4D" w:rsidRPr="009F254D" w:rsidRDefault="00AC3E4D" w:rsidP="00E43FA0">
            <w:pPr>
              <w:tabs>
                <w:tab w:val="left" w:pos="284"/>
              </w:tabs>
              <w:autoSpaceDE w:val="0"/>
              <w:autoSpaceDN w:val="0"/>
              <w:adjustRightInd w:val="0"/>
              <w:jc w:val="center"/>
              <w:rPr>
                <w:sz w:val="22"/>
                <w:szCs w:val="22"/>
                <w:lang w:val="sr-Latn-ME"/>
              </w:rPr>
            </w:pPr>
            <w:r w:rsidRPr="009F254D">
              <w:rPr>
                <w:sz w:val="22"/>
                <w:szCs w:val="22"/>
                <w:lang w:val="sr-Latn-ME"/>
              </w:rPr>
              <w:t>9,03</w:t>
            </w:r>
          </w:p>
          <w:p w14:paraId="36A3EAEF" w14:textId="77777777" w:rsidR="00E83D2A" w:rsidRPr="009F254D" w:rsidRDefault="00E83D2A" w:rsidP="00E43FA0">
            <w:pPr>
              <w:tabs>
                <w:tab w:val="left" w:pos="284"/>
              </w:tabs>
              <w:autoSpaceDE w:val="0"/>
              <w:autoSpaceDN w:val="0"/>
              <w:adjustRightInd w:val="0"/>
              <w:jc w:val="center"/>
              <w:rPr>
                <w:sz w:val="22"/>
                <w:szCs w:val="22"/>
                <w:lang w:val="sr-Latn-ME"/>
              </w:rPr>
            </w:pPr>
          </w:p>
          <w:p w14:paraId="594CF0C0" w14:textId="77777777" w:rsidR="00AC3E4D" w:rsidRPr="009F254D" w:rsidRDefault="00AC3E4D" w:rsidP="00E43FA0">
            <w:pPr>
              <w:tabs>
                <w:tab w:val="left" w:pos="284"/>
              </w:tabs>
              <w:autoSpaceDE w:val="0"/>
              <w:autoSpaceDN w:val="0"/>
              <w:adjustRightInd w:val="0"/>
              <w:jc w:val="center"/>
              <w:rPr>
                <w:sz w:val="22"/>
                <w:szCs w:val="22"/>
                <w:lang w:val="sr-Latn-ME"/>
              </w:rPr>
            </w:pPr>
            <w:r w:rsidRPr="009F254D">
              <w:rPr>
                <w:sz w:val="22"/>
                <w:szCs w:val="22"/>
                <w:lang w:val="sr-Latn-ME"/>
              </w:rPr>
              <w:noBreakHyphen/>
              <w:t>1,45</w:t>
            </w:r>
          </w:p>
          <w:p w14:paraId="77BCE34B" w14:textId="77777777" w:rsidR="00AC3E4D" w:rsidRPr="009F254D" w:rsidRDefault="00AC3E4D" w:rsidP="00E43FA0">
            <w:pPr>
              <w:tabs>
                <w:tab w:val="left" w:pos="284"/>
              </w:tabs>
              <w:autoSpaceDE w:val="0"/>
              <w:autoSpaceDN w:val="0"/>
              <w:adjustRightInd w:val="0"/>
              <w:jc w:val="center"/>
              <w:rPr>
                <w:sz w:val="22"/>
                <w:szCs w:val="22"/>
                <w:lang w:val="sr-Latn-ME"/>
              </w:rPr>
            </w:pPr>
          </w:p>
          <w:p w14:paraId="2468A384" w14:textId="3D1E06E9" w:rsidR="00AC3E4D" w:rsidRPr="009F254D" w:rsidRDefault="00AC3E4D" w:rsidP="00E43FA0">
            <w:pPr>
              <w:tabs>
                <w:tab w:val="left" w:pos="284"/>
              </w:tabs>
              <w:autoSpaceDE w:val="0"/>
              <w:autoSpaceDN w:val="0"/>
              <w:adjustRightInd w:val="0"/>
              <w:jc w:val="center"/>
              <w:rPr>
                <w:sz w:val="22"/>
                <w:szCs w:val="22"/>
                <w:lang w:val="sr-Latn-ME"/>
              </w:rPr>
            </w:pPr>
          </w:p>
          <w:p w14:paraId="43FBFBDA" w14:textId="77777777" w:rsidR="00E83D2A" w:rsidRPr="009F254D" w:rsidRDefault="00E83D2A" w:rsidP="00E43FA0">
            <w:pPr>
              <w:tabs>
                <w:tab w:val="left" w:pos="284"/>
              </w:tabs>
              <w:autoSpaceDE w:val="0"/>
              <w:autoSpaceDN w:val="0"/>
              <w:adjustRightInd w:val="0"/>
              <w:jc w:val="center"/>
              <w:rPr>
                <w:sz w:val="22"/>
                <w:szCs w:val="22"/>
                <w:lang w:val="sr-Latn-ME"/>
              </w:rPr>
            </w:pPr>
          </w:p>
          <w:p w14:paraId="5D55CEC0" w14:textId="77777777" w:rsidR="00AC3E4D" w:rsidRPr="009F254D" w:rsidRDefault="00AC3E4D" w:rsidP="00E43FA0">
            <w:pPr>
              <w:tabs>
                <w:tab w:val="left" w:pos="284"/>
              </w:tabs>
              <w:autoSpaceDE w:val="0"/>
              <w:autoSpaceDN w:val="0"/>
              <w:adjustRightInd w:val="0"/>
              <w:jc w:val="center"/>
              <w:rPr>
                <w:sz w:val="22"/>
                <w:szCs w:val="22"/>
                <w:vertAlign w:val="superscript"/>
                <w:lang w:val="sr-Latn-ME"/>
              </w:rPr>
            </w:pPr>
            <w:r w:rsidRPr="009F254D">
              <w:rPr>
                <w:sz w:val="22"/>
                <w:szCs w:val="22"/>
                <w:lang w:val="sr-Latn-ME"/>
              </w:rPr>
              <w:t>-0,01</w:t>
            </w:r>
          </w:p>
          <w:p w14:paraId="3FE986BF" w14:textId="77777777" w:rsidR="00AC3E4D" w:rsidRPr="009F254D" w:rsidRDefault="00AC3E4D" w:rsidP="00E43FA0">
            <w:pPr>
              <w:tabs>
                <w:tab w:val="left" w:pos="284"/>
              </w:tabs>
              <w:autoSpaceDE w:val="0"/>
              <w:autoSpaceDN w:val="0"/>
              <w:adjustRightInd w:val="0"/>
              <w:jc w:val="center"/>
              <w:rPr>
                <w:sz w:val="22"/>
                <w:szCs w:val="22"/>
                <w:lang w:val="sr-Latn-ME"/>
              </w:rPr>
            </w:pPr>
            <w:r w:rsidRPr="009F254D">
              <w:rPr>
                <w:sz w:val="22"/>
                <w:szCs w:val="22"/>
                <w:lang w:val="sr-Latn-ME"/>
              </w:rPr>
              <w:t>(-0,22, 0,20)</w:t>
            </w:r>
          </w:p>
        </w:tc>
        <w:tc>
          <w:tcPr>
            <w:tcW w:w="1779" w:type="dxa"/>
          </w:tcPr>
          <w:p w14:paraId="7CE335E9" w14:textId="77777777" w:rsidR="00AC3E4D" w:rsidRPr="009F254D" w:rsidRDefault="00AC3E4D" w:rsidP="00E43FA0">
            <w:pPr>
              <w:tabs>
                <w:tab w:val="left" w:pos="284"/>
              </w:tabs>
              <w:autoSpaceDE w:val="0"/>
              <w:autoSpaceDN w:val="0"/>
              <w:adjustRightInd w:val="0"/>
              <w:jc w:val="center"/>
              <w:rPr>
                <w:sz w:val="22"/>
                <w:szCs w:val="22"/>
                <w:lang w:val="sr-Latn-ME"/>
              </w:rPr>
            </w:pPr>
          </w:p>
          <w:p w14:paraId="33981465" w14:textId="00CCA99A" w:rsidR="00AC3E4D" w:rsidRPr="009F254D" w:rsidRDefault="00AC3E4D" w:rsidP="00E43FA0">
            <w:pPr>
              <w:tabs>
                <w:tab w:val="left" w:pos="284"/>
              </w:tabs>
              <w:autoSpaceDE w:val="0"/>
              <w:autoSpaceDN w:val="0"/>
              <w:adjustRightInd w:val="0"/>
              <w:jc w:val="center"/>
              <w:rPr>
                <w:sz w:val="22"/>
                <w:szCs w:val="22"/>
                <w:lang w:val="sr-Latn-ME"/>
              </w:rPr>
            </w:pPr>
            <w:r w:rsidRPr="009F254D">
              <w:rPr>
                <w:sz w:val="22"/>
                <w:szCs w:val="22"/>
                <w:lang w:val="sr-Latn-ME"/>
              </w:rPr>
              <w:t>9,03</w:t>
            </w:r>
          </w:p>
          <w:p w14:paraId="46933C4E" w14:textId="77777777" w:rsidR="00E83D2A" w:rsidRPr="009F254D" w:rsidRDefault="00E83D2A" w:rsidP="00E43FA0">
            <w:pPr>
              <w:tabs>
                <w:tab w:val="left" w:pos="284"/>
              </w:tabs>
              <w:autoSpaceDE w:val="0"/>
              <w:autoSpaceDN w:val="0"/>
              <w:adjustRightInd w:val="0"/>
              <w:jc w:val="center"/>
              <w:rPr>
                <w:sz w:val="22"/>
                <w:szCs w:val="22"/>
                <w:lang w:val="sr-Latn-ME"/>
              </w:rPr>
            </w:pPr>
          </w:p>
          <w:p w14:paraId="6C533E21" w14:textId="77777777" w:rsidR="00AC3E4D" w:rsidRPr="009F254D" w:rsidRDefault="00AC3E4D" w:rsidP="00E43FA0">
            <w:pPr>
              <w:tabs>
                <w:tab w:val="left" w:pos="284"/>
              </w:tabs>
              <w:autoSpaceDE w:val="0"/>
              <w:autoSpaceDN w:val="0"/>
              <w:adjustRightInd w:val="0"/>
              <w:jc w:val="center"/>
              <w:rPr>
                <w:sz w:val="22"/>
                <w:szCs w:val="22"/>
                <w:lang w:val="sr-Latn-ME"/>
              </w:rPr>
            </w:pPr>
            <w:r w:rsidRPr="009F254D">
              <w:rPr>
                <w:sz w:val="22"/>
                <w:szCs w:val="22"/>
                <w:lang w:val="sr-Latn-ME"/>
              </w:rPr>
              <w:noBreakHyphen/>
              <w:t>1,44</w:t>
            </w:r>
          </w:p>
        </w:tc>
      </w:tr>
      <w:tr w:rsidR="00AC3E4D" w:rsidRPr="009F254D" w14:paraId="75B47F52" w14:textId="77777777" w:rsidTr="00E43FA0">
        <w:tc>
          <w:tcPr>
            <w:tcW w:w="9058" w:type="dxa"/>
            <w:gridSpan w:val="4"/>
            <w:tcBorders>
              <w:top w:val="single" w:sz="12" w:space="0" w:color="auto"/>
            </w:tcBorders>
          </w:tcPr>
          <w:p w14:paraId="5E81634D" w14:textId="6126DC05" w:rsidR="00AC3E4D" w:rsidRPr="00E43FA0" w:rsidRDefault="00AC3E4D" w:rsidP="00E43FA0">
            <w:pPr>
              <w:tabs>
                <w:tab w:val="left" w:pos="284"/>
              </w:tabs>
              <w:autoSpaceDE w:val="0"/>
              <w:autoSpaceDN w:val="0"/>
              <w:adjustRightInd w:val="0"/>
              <w:jc w:val="both"/>
              <w:rPr>
                <w:sz w:val="20"/>
                <w:szCs w:val="22"/>
                <w:lang w:val="sr-Latn-ME"/>
              </w:rPr>
            </w:pPr>
            <w:r w:rsidRPr="00E43FA0">
              <w:rPr>
                <w:sz w:val="20"/>
                <w:szCs w:val="22"/>
                <w:vertAlign w:val="superscript"/>
                <w:lang w:val="sr-Latn-ME"/>
              </w:rPr>
              <w:t>a</w:t>
            </w:r>
            <w:r w:rsidRPr="00E43FA0">
              <w:rPr>
                <w:sz w:val="20"/>
                <w:szCs w:val="22"/>
                <w:lang w:val="sr-Latn-ME"/>
              </w:rPr>
              <w:t>Posl</w:t>
            </w:r>
            <w:r w:rsidR="00E83D2A" w:rsidRPr="00E43FA0">
              <w:rPr>
                <w:sz w:val="20"/>
                <w:szCs w:val="22"/>
                <w:lang w:val="sr-Latn-ME"/>
              </w:rPr>
              <w:t>j</w:t>
            </w:r>
            <w:r w:rsidRPr="00E43FA0">
              <w:rPr>
                <w:sz w:val="20"/>
                <w:szCs w:val="22"/>
                <w:lang w:val="sr-Latn-ME"/>
              </w:rPr>
              <w:t xml:space="preserve">ednja izvršena opservacija (prije primjene </w:t>
            </w:r>
            <w:r w:rsidR="00E83D2A" w:rsidRPr="00E43FA0">
              <w:rPr>
                <w:sz w:val="20"/>
                <w:szCs w:val="22"/>
                <w:lang w:val="sr-Latn-ME"/>
              </w:rPr>
              <w:t>terapije za hitnu regulaciju neregulisane glikemije kod ispitanika kod kojih je primijenjena takva hitna regulacija</w:t>
            </w:r>
            <w:r w:rsidRPr="00E43FA0">
              <w:rPr>
                <w:sz w:val="20"/>
                <w:szCs w:val="22"/>
                <w:lang w:val="sr-Latn-ME"/>
              </w:rPr>
              <w:t>).</w:t>
            </w:r>
          </w:p>
          <w:p w14:paraId="24CB7783" w14:textId="77777777" w:rsidR="00AC3E4D" w:rsidRPr="00E43FA0" w:rsidRDefault="00AC3E4D" w:rsidP="00E43FA0">
            <w:pPr>
              <w:tabs>
                <w:tab w:val="left" w:pos="284"/>
              </w:tabs>
              <w:autoSpaceDE w:val="0"/>
              <w:autoSpaceDN w:val="0"/>
              <w:adjustRightInd w:val="0"/>
              <w:jc w:val="both"/>
              <w:rPr>
                <w:sz w:val="20"/>
                <w:szCs w:val="22"/>
                <w:lang w:val="sr-Latn-ME"/>
              </w:rPr>
            </w:pPr>
            <w:r w:rsidRPr="00E43FA0">
              <w:rPr>
                <w:sz w:val="20"/>
                <w:szCs w:val="22"/>
                <w:vertAlign w:val="superscript"/>
                <w:lang w:val="sr-Latn-ME"/>
              </w:rPr>
              <w:t>b</w:t>
            </w:r>
            <w:r w:rsidRPr="00E43FA0">
              <w:rPr>
                <w:sz w:val="20"/>
                <w:szCs w:val="22"/>
                <w:lang w:val="sr-Latn-ME"/>
              </w:rPr>
              <w:t>Svi randomizovani pacijenti koji su uzeli barem jednu dozu lijeka iz dvostruko slijepe studije tokom kratkotrajnog dvostruko slijepog perioda.</w:t>
            </w:r>
          </w:p>
          <w:p w14:paraId="2CB49DB4" w14:textId="77777777" w:rsidR="00AC3E4D" w:rsidRPr="00E43FA0" w:rsidRDefault="00AC3E4D" w:rsidP="00E43FA0">
            <w:pPr>
              <w:tabs>
                <w:tab w:val="left" w:pos="284"/>
              </w:tabs>
              <w:autoSpaceDE w:val="0"/>
              <w:autoSpaceDN w:val="0"/>
              <w:adjustRightInd w:val="0"/>
              <w:jc w:val="both"/>
              <w:rPr>
                <w:sz w:val="20"/>
                <w:szCs w:val="22"/>
                <w:lang w:val="sr-Latn-ME"/>
              </w:rPr>
            </w:pPr>
            <w:r w:rsidRPr="00E43FA0">
              <w:rPr>
                <w:sz w:val="20"/>
                <w:szCs w:val="22"/>
                <w:vertAlign w:val="superscript"/>
                <w:lang w:val="sr-Latn-ME"/>
              </w:rPr>
              <w:t>c</w:t>
            </w:r>
            <w:r w:rsidRPr="00E43FA0">
              <w:rPr>
                <w:sz w:val="20"/>
                <w:szCs w:val="22"/>
                <w:lang w:val="sr-Latn-ME"/>
              </w:rPr>
              <w:t>Srednja vrijednost najmanjih kvadrata korigovana za početnu vrijednost.</w:t>
            </w:r>
          </w:p>
          <w:p w14:paraId="2812D650" w14:textId="77777777" w:rsidR="00AC3E4D" w:rsidRPr="00E43FA0" w:rsidRDefault="00AC3E4D" w:rsidP="00E43FA0">
            <w:pPr>
              <w:tabs>
                <w:tab w:val="left" w:pos="284"/>
              </w:tabs>
              <w:autoSpaceDE w:val="0"/>
              <w:autoSpaceDN w:val="0"/>
              <w:adjustRightInd w:val="0"/>
              <w:jc w:val="both"/>
              <w:rPr>
                <w:sz w:val="20"/>
                <w:szCs w:val="22"/>
                <w:lang w:val="sr-Latn-ME"/>
              </w:rPr>
            </w:pPr>
            <w:r w:rsidRPr="00E43FA0">
              <w:rPr>
                <w:sz w:val="20"/>
                <w:szCs w:val="22"/>
                <w:vertAlign w:val="superscript"/>
                <w:lang w:val="sr-Latn-ME"/>
              </w:rPr>
              <w:t>*</w:t>
            </w:r>
            <w:r w:rsidRPr="00E43FA0">
              <w:rPr>
                <w:sz w:val="20"/>
                <w:szCs w:val="22"/>
                <w:lang w:val="sr-Latn-ME"/>
              </w:rPr>
              <w:t>p</w:t>
            </w:r>
            <w:r w:rsidRPr="00E43FA0">
              <w:rPr>
                <w:sz w:val="20"/>
                <w:szCs w:val="22"/>
                <w:lang w:val="sr-Latn-ME"/>
              </w:rPr>
              <w:noBreakHyphen/>
              <w:t>vrijednost &lt; 0,0001.</w:t>
            </w:r>
          </w:p>
        </w:tc>
      </w:tr>
    </w:tbl>
    <w:p w14:paraId="2435E425" w14:textId="26C53B6F" w:rsidR="00DC171F" w:rsidRPr="009F254D" w:rsidRDefault="00DC171F" w:rsidP="00FA635D">
      <w:pPr>
        <w:tabs>
          <w:tab w:val="left" w:pos="540"/>
          <w:tab w:val="left" w:pos="569"/>
        </w:tabs>
        <w:rPr>
          <w:b/>
          <w:bCs/>
          <w:sz w:val="22"/>
          <w:szCs w:val="22"/>
          <w:lang w:val="sr-Latn-ME"/>
        </w:rPr>
      </w:pPr>
    </w:p>
    <w:p w14:paraId="3770DDC6" w14:textId="77777777" w:rsidR="00AC3E4D" w:rsidRPr="009F254D" w:rsidRDefault="00AC3E4D" w:rsidP="00FA635D">
      <w:pPr>
        <w:keepNext/>
        <w:keepLines/>
        <w:tabs>
          <w:tab w:val="left" w:pos="284"/>
        </w:tabs>
        <w:jc w:val="both"/>
        <w:rPr>
          <w:i/>
          <w:noProof/>
          <w:sz w:val="22"/>
          <w:szCs w:val="22"/>
          <w:lang w:val="sr-Latn-ME"/>
        </w:rPr>
      </w:pPr>
      <w:r w:rsidRPr="009F254D">
        <w:rPr>
          <w:i/>
          <w:iCs/>
          <w:noProof/>
          <w:sz w:val="22"/>
          <w:szCs w:val="22"/>
          <w:lang w:val="sr-Latn-ME"/>
        </w:rPr>
        <w:t>Kombinovana terapija eksenatidom sa produženim oslobađanjem</w:t>
      </w:r>
    </w:p>
    <w:p w14:paraId="7FF8BCC8" w14:textId="5A3BB244" w:rsidR="00AC3E4D" w:rsidRPr="009F254D" w:rsidRDefault="00AC3E4D" w:rsidP="00FA635D">
      <w:pPr>
        <w:tabs>
          <w:tab w:val="left" w:pos="284"/>
        </w:tabs>
        <w:jc w:val="both"/>
        <w:rPr>
          <w:noProof/>
          <w:sz w:val="22"/>
          <w:szCs w:val="22"/>
          <w:lang w:val="sr-Latn-ME"/>
        </w:rPr>
      </w:pPr>
      <w:r w:rsidRPr="009F254D">
        <w:rPr>
          <w:noProof/>
          <w:sz w:val="22"/>
          <w:szCs w:val="22"/>
          <w:lang w:val="sr-Latn-ME"/>
        </w:rPr>
        <w:t>U dvostruko slijepoj studiji kontrolisanoj aktivnim komparatorom u trajanju od 28 nedjelja, kombinacija dapagliflozina i eksenatida sa produženim oslobađanjem (agonist GLP-1 receptora) poređena je sa sam</w:t>
      </w:r>
      <w:r w:rsidR="00E83D2A" w:rsidRPr="009F254D">
        <w:rPr>
          <w:noProof/>
          <w:sz w:val="22"/>
          <w:szCs w:val="22"/>
          <w:lang w:val="sr-Latn-ME"/>
        </w:rPr>
        <w:t>im</w:t>
      </w:r>
      <w:r w:rsidRPr="009F254D">
        <w:rPr>
          <w:noProof/>
          <w:sz w:val="22"/>
          <w:szCs w:val="22"/>
          <w:lang w:val="sr-Latn-ME"/>
        </w:rPr>
        <w:t xml:space="preserve"> dapagliflozinom i sam</w:t>
      </w:r>
      <w:r w:rsidR="00E83D2A" w:rsidRPr="009F254D">
        <w:rPr>
          <w:noProof/>
          <w:sz w:val="22"/>
          <w:szCs w:val="22"/>
          <w:lang w:val="sr-Latn-ME"/>
        </w:rPr>
        <w:t>im</w:t>
      </w:r>
      <w:r w:rsidRPr="009F254D">
        <w:rPr>
          <w:noProof/>
          <w:sz w:val="22"/>
          <w:szCs w:val="22"/>
          <w:lang w:val="sr-Latn-ME"/>
        </w:rPr>
        <w:t xml:space="preserve"> eksenatidom sa produženim oslobađanjem kod ispitanika sa neodgovarajućom kontrolom glikemije koji su primali samo metformin (HbA1c ≥ 8% i ≤ 12%). Sve terapijske grupe imale su smanjenje HbA1c u poređenju sa početnom vrijednošću. Kombinovano liječenje u grupi koja je primala dapagliflozin od 10 mg i eksenatid sa produženim oslobađanjem pokazalo je superiorna smanjenja HbA1c </w:t>
      </w:r>
      <w:r w:rsidR="00E83D2A" w:rsidRPr="009F254D">
        <w:rPr>
          <w:noProof/>
          <w:sz w:val="22"/>
          <w:szCs w:val="22"/>
          <w:lang w:val="sr-Latn-ME"/>
        </w:rPr>
        <w:t xml:space="preserve">u odnosu na </w:t>
      </w:r>
      <w:r w:rsidRPr="009F254D">
        <w:rPr>
          <w:noProof/>
          <w:sz w:val="22"/>
          <w:szCs w:val="22"/>
          <w:lang w:val="sr-Latn-ME"/>
        </w:rPr>
        <w:t>početn</w:t>
      </w:r>
      <w:r w:rsidR="00E83D2A" w:rsidRPr="009F254D">
        <w:rPr>
          <w:noProof/>
          <w:sz w:val="22"/>
          <w:szCs w:val="22"/>
          <w:lang w:val="sr-Latn-ME"/>
        </w:rPr>
        <w:t>u</w:t>
      </w:r>
      <w:r w:rsidRPr="009F254D">
        <w:rPr>
          <w:noProof/>
          <w:sz w:val="22"/>
          <w:szCs w:val="22"/>
          <w:lang w:val="sr-Latn-ME"/>
        </w:rPr>
        <w:t xml:space="preserve"> vrijednost u poređenju sa sam</w:t>
      </w:r>
      <w:r w:rsidR="00E83D2A" w:rsidRPr="009F254D">
        <w:rPr>
          <w:noProof/>
          <w:sz w:val="22"/>
          <w:szCs w:val="22"/>
          <w:lang w:val="sr-Latn-ME"/>
        </w:rPr>
        <w:t>im</w:t>
      </w:r>
      <w:r w:rsidRPr="009F254D">
        <w:rPr>
          <w:noProof/>
          <w:sz w:val="22"/>
          <w:szCs w:val="22"/>
          <w:lang w:val="sr-Latn-ME"/>
        </w:rPr>
        <w:t xml:space="preserve"> dapagliflozinom i sam</w:t>
      </w:r>
      <w:r w:rsidR="00E83D2A" w:rsidRPr="009F254D">
        <w:rPr>
          <w:noProof/>
          <w:sz w:val="22"/>
          <w:szCs w:val="22"/>
          <w:lang w:val="sr-Latn-ME"/>
        </w:rPr>
        <w:t>im</w:t>
      </w:r>
      <w:r w:rsidRPr="009F254D">
        <w:rPr>
          <w:noProof/>
          <w:sz w:val="22"/>
          <w:szCs w:val="22"/>
          <w:lang w:val="sr-Latn-ME"/>
        </w:rPr>
        <w:t xml:space="preserve"> eksenatidom sa produženim oslobađanjem (</w:t>
      </w:r>
      <w:r w:rsidR="00E83D2A" w:rsidRPr="009F254D">
        <w:rPr>
          <w:noProof/>
          <w:sz w:val="22"/>
          <w:szCs w:val="22"/>
          <w:lang w:val="sr-Latn-ME"/>
        </w:rPr>
        <w:t>T</w:t>
      </w:r>
      <w:r w:rsidRPr="009F254D">
        <w:rPr>
          <w:noProof/>
          <w:sz w:val="22"/>
          <w:szCs w:val="22"/>
          <w:lang w:val="sr-Latn-ME"/>
        </w:rPr>
        <w:t>abela 8).</w:t>
      </w:r>
    </w:p>
    <w:p w14:paraId="7785E2C5" w14:textId="326C3F92" w:rsidR="00AC3E4D" w:rsidRPr="009F254D" w:rsidRDefault="00AC3E4D" w:rsidP="00FA635D">
      <w:pPr>
        <w:tabs>
          <w:tab w:val="left" w:pos="540"/>
          <w:tab w:val="left" w:pos="569"/>
        </w:tabs>
        <w:rPr>
          <w:b/>
          <w:bCs/>
          <w:sz w:val="22"/>
          <w:szCs w:val="22"/>
          <w:lang w:val="sr-Latn-ME"/>
        </w:rPr>
      </w:pPr>
    </w:p>
    <w:p w14:paraId="1F9281CD" w14:textId="1B4A1BDF" w:rsidR="00AC3E4D" w:rsidRPr="009F254D" w:rsidRDefault="00AC3E4D" w:rsidP="00E43FA0">
      <w:pPr>
        <w:tabs>
          <w:tab w:val="left" w:pos="284"/>
        </w:tabs>
        <w:jc w:val="both"/>
        <w:rPr>
          <w:b/>
          <w:sz w:val="22"/>
          <w:szCs w:val="22"/>
          <w:lang w:val="sr-Latn-ME"/>
        </w:rPr>
      </w:pPr>
      <w:r w:rsidRPr="009F254D">
        <w:rPr>
          <w:b/>
          <w:bCs/>
          <w:sz w:val="22"/>
          <w:szCs w:val="22"/>
          <w:lang w:val="sr-Latn-ME"/>
        </w:rPr>
        <w:t>Tabela 8. Rezultati jedne 28-nedjeljne studije dapagliflozina i eksenatida sa produženim oslobađanjem u poređenju sa sam</w:t>
      </w:r>
      <w:r w:rsidR="00E83D2A" w:rsidRPr="009F254D">
        <w:rPr>
          <w:b/>
          <w:bCs/>
          <w:sz w:val="22"/>
          <w:szCs w:val="22"/>
          <w:lang w:val="sr-Latn-ME"/>
        </w:rPr>
        <w:t>im</w:t>
      </w:r>
      <w:r w:rsidRPr="009F254D">
        <w:rPr>
          <w:b/>
          <w:bCs/>
          <w:sz w:val="22"/>
          <w:szCs w:val="22"/>
          <w:lang w:val="sr-Latn-ME"/>
        </w:rPr>
        <w:t xml:space="preserve"> dapagliflozinom i sam</w:t>
      </w:r>
      <w:r w:rsidR="00E83D2A" w:rsidRPr="009F254D">
        <w:rPr>
          <w:b/>
          <w:bCs/>
          <w:sz w:val="22"/>
          <w:szCs w:val="22"/>
          <w:lang w:val="sr-Latn-ME"/>
        </w:rPr>
        <w:t>im</w:t>
      </w:r>
      <w:r w:rsidRPr="009F254D">
        <w:rPr>
          <w:b/>
          <w:bCs/>
          <w:sz w:val="22"/>
          <w:szCs w:val="22"/>
          <w:lang w:val="sr-Latn-ME"/>
        </w:rPr>
        <w:t xml:space="preserve"> eksenatidom sa produženim oslobađanjem, u kombinaciji sa metforminom (analiza podataka pacijenata u početnoj populaciji)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19"/>
        <w:gridCol w:w="2214"/>
        <w:gridCol w:w="2126"/>
        <w:gridCol w:w="1914"/>
      </w:tblGrid>
      <w:tr w:rsidR="00AC3E4D" w:rsidRPr="009F254D" w14:paraId="01030876" w14:textId="77777777" w:rsidTr="005F1D3C">
        <w:tc>
          <w:tcPr>
            <w:tcW w:w="2898" w:type="dxa"/>
            <w:tcBorders>
              <w:top w:val="single" w:sz="12" w:space="0" w:color="000000"/>
              <w:left w:val="nil"/>
              <w:bottom w:val="single" w:sz="4" w:space="0" w:color="000000"/>
              <w:right w:val="nil"/>
            </w:tcBorders>
            <w:vAlign w:val="bottom"/>
          </w:tcPr>
          <w:p w14:paraId="2C1CD124" w14:textId="77777777" w:rsidR="00AC3E4D" w:rsidRPr="009F254D" w:rsidRDefault="00AC3E4D" w:rsidP="00E43FA0">
            <w:pPr>
              <w:tabs>
                <w:tab w:val="left" w:pos="284"/>
              </w:tabs>
              <w:jc w:val="both"/>
              <w:rPr>
                <w:b/>
                <w:sz w:val="22"/>
                <w:szCs w:val="22"/>
                <w:lang w:val="sr-Latn-ME"/>
              </w:rPr>
            </w:pPr>
            <w:r w:rsidRPr="009F254D">
              <w:rPr>
                <w:b/>
                <w:bCs/>
                <w:sz w:val="22"/>
                <w:szCs w:val="22"/>
                <w:lang w:val="sr-Latn-ME"/>
              </w:rPr>
              <w:t>Parametar</w:t>
            </w:r>
          </w:p>
        </w:tc>
        <w:tc>
          <w:tcPr>
            <w:tcW w:w="2250" w:type="dxa"/>
            <w:tcBorders>
              <w:top w:val="single" w:sz="12" w:space="0" w:color="000000"/>
              <w:left w:val="nil"/>
              <w:bottom w:val="single" w:sz="4" w:space="0" w:color="000000"/>
              <w:right w:val="nil"/>
            </w:tcBorders>
          </w:tcPr>
          <w:p w14:paraId="68901643" w14:textId="77777777" w:rsidR="00AC3E4D" w:rsidRPr="009F254D" w:rsidRDefault="00AC3E4D" w:rsidP="00E43FA0">
            <w:pPr>
              <w:tabs>
                <w:tab w:val="left" w:pos="284"/>
              </w:tabs>
              <w:jc w:val="center"/>
              <w:rPr>
                <w:b/>
                <w:sz w:val="22"/>
                <w:szCs w:val="22"/>
                <w:lang w:val="sr-Latn-ME"/>
              </w:rPr>
            </w:pPr>
            <w:r w:rsidRPr="009F254D">
              <w:rPr>
                <w:b/>
                <w:bCs/>
                <w:sz w:val="22"/>
                <w:szCs w:val="22"/>
                <w:lang w:val="sr-Latn-ME"/>
              </w:rPr>
              <w:t>Dapagliflozin od 10 mg jednom dnevno</w:t>
            </w:r>
          </w:p>
          <w:p w14:paraId="7AB2ED6A" w14:textId="77777777" w:rsidR="00AC3E4D" w:rsidRPr="009F254D" w:rsidRDefault="00AC3E4D" w:rsidP="00E43FA0">
            <w:pPr>
              <w:tabs>
                <w:tab w:val="left" w:pos="284"/>
              </w:tabs>
              <w:jc w:val="center"/>
              <w:rPr>
                <w:b/>
                <w:sz w:val="22"/>
                <w:szCs w:val="22"/>
                <w:lang w:val="sr-Latn-ME"/>
              </w:rPr>
            </w:pPr>
            <w:r w:rsidRPr="009F254D">
              <w:rPr>
                <w:b/>
                <w:bCs/>
                <w:sz w:val="22"/>
                <w:szCs w:val="22"/>
                <w:lang w:val="sr-Latn-ME"/>
              </w:rPr>
              <w:t>+</w:t>
            </w:r>
          </w:p>
          <w:p w14:paraId="3D4AFCFC" w14:textId="66D67E7E" w:rsidR="00AC3E4D" w:rsidRPr="009F254D" w:rsidRDefault="008264B5" w:rsidP="00E43FA0">
            <w:pPr>
              <w:tabs>
                <w:tab w:val="left" w:pos="284"/>
              </w:tabs>
              <w:jc w:val="center"/>
              <w:rPr>
                <w:b/>
                <w:sz w:val="22"/>
                <w:szCs w:val="22"/>
                <w:lang w:val="sr-Latn-ME"/>
              </w:rPr>
            </w:pPr>
            <w:r>
              <w:rPr>
                <w:b/>
                <w:bCs/>
                <w:sz w:val="22"/>
                <w:szCs w:val="22"/>
                <w:lang w:val="sr-Latn-ME"/>
              </w:rPr>
              <w:t>e</w:t>
            </w:r>
            <w:r w:rsidRPr="009F254D">
              <w:rPr>
                <w:b/>
                <w:bCs/>
                <w:sz w:val="22"/>
                <w:szCs w:val="22"/>
                <w:lang w:val="sr-Latn-ME"/>
              </w:rPr>
              <w:t xml:space="preserve">ksenatid </w:t>
            </w:r>
            <w:r w:rsidR="00AC3E4D" w:rsidRPr="009F254D">
              <w:rPr>
                <w:b/>
                <w:bCs/>
                <w:sz w:val="22"/>
                <w:szCs w:val="22"/>
                <w:lang w:val="sr-Latn-ME"/>
              </w:rPr>
              <w:t>sa produženim oslobađanjem 2 mg jednom nedjeljno</w:t>
            </w:r>
          </w:p>
        </w:tc>
        <w:tc>
          <w:tcPr>
            <w:tcW w:w="2160" w:type="dxa"/>
            <w:tcBorders>
              <w:top w:val="single" w:sz="12" w:space="0" w:color="000000"/>
              <w:left w:val="nil"/>
              <w:bottom w:val="single" w:sz="4" w:space="0" w:color="000000"/>
              <w:right w:val="nil"/>
            </w:tcBorders>
          </w:tcPr>
          <w:p w14:paraId="00D82498" w14:textId="77777777" w:rsidR="00AC3E4D" w:rsidRPr="009F254D" w:rsidRDefault="00AC3E4D" w:rsidP="00E43FA0">
            <w:pPr>
              <w:tabs>
                <w:tab w:val="left" w:pos="284"/>
              </w:tabs>
              <w:jc w:val="center"/>
              <w:rPr>
                <w:b/>
                <w:sz w:val="22"/>
                <w:szCs w:val="22"/>
                <w:lang w:val="sr-Latn-ME"/>
              </w:rPr>
            </w:pPr>
            <w:r w:rsidRPr="009F254D">
              <w:rPr>
                <w:b/>
                <w:bCs/>
                <w:sz w:val="22"/>
                <w:szCs w:val="22"/>
                <w:lang w:val="sr-Latn-ME"/>
              </w:rPr>
              <w:t>Dapagliflozin od 10 mg jednom dnevno</w:t>
            </w:r>
          </w:p>
          <w:p w14:paraId="7F0094E9" w14:textId="77777777" w:rsidR="00AC3E4D" w:rsidRPr="009F254D" w:rsidRDefault="00AC3E4D" w:rsidP="00E43FA0">
            <w:pPr>
              <w:tabs>
                <w:tab w:val="left" w:pos="284"/>
              </w:tabs>
              <w:jc w:val="center"/>
              <w:rPr>
                <w:b/>
                <w:sz w:val="22"/>
                <w:szCs w:val="22"/>
                <w:lang w:val="sr-Latn-ME"/>
              </w:rPr>
            </w:pPr>
            <w:r w:rsidRPr="009F254D">
              <w:rPr>
                <w:b/>
                <w:bCs/>
                <w:sz w:val="22"/>
                <w:szCs w:val="22"/>
                <w:lang w:val="sr-Latn-ME"/>
              </w:rPr>
              <w:t>+</w:t>
            </w:r>
          </w:p>
          <w:p w14:paraId="545DA99A" w14:textId="4DBFA74D" w:rsidR="00AC3E4D" w:rsidRPr="009F254D" w:rsidRDefault="008264B5" w:rsidP="00E43FA0">
            <w:pPr>
              <w:tabs>
                <w:tab w:val="left" w:pos="284"/>
              </w:tabs>
              <w:jc w:val="center"/>
              <w:rPr>
                <w:b/>
                <w:sz w:val="22"/>
                <w:szCs w:val="22"/>
                <w:lang w:val="sr-Latn-ME"/>
              </w:rPr>
            </w:pPr>
            <w:r>
              <w:rPr>
                <w:b/>
                <w:bCs/>
                <w:sz w:val="22"/>
                <w:szCs w:val="22"/>
                <w:lang w:val="sr-Latn-ME"/>
              </w:rPr>
              <w:t>p</w:t>
            </w:r>
            <w:r w:rsidRPr="009F254D">
              <w:rPr>
                <w:b/>
                <w:bCs/>
                <w:sz w:val="22"/>
                <w:szCs w:val="22"/>
                <w:lang w:val="sr-Latn-ME"/>
              </w:rPr>
              <w:t xml:space="preserve">lacebo </w:t>
            </w:r>
            <w:r w:rsidR="00AC3E4D" w:rsidRPr="009F254D">
              <w:rPr>
                <w:b/>
                <w:bCs/>
                <w:sz w:val="22"/>
                <w:szCs w:val="22"/>
                <w:lang w:val="sr-Latn-ME"/>
              </w:rPr>
              <w:t>jednom nedjeljno</w:t>
            </w:r>
          </w:p>
        </w:tc>
        <w:tc>
          <w:tcPr>
            <w:tcW w:w="1934" w:type="dxa"/>
            <w:tcBorders>
              <w:top w:val="single" w:sz="12" w:space="0" w:color="000000"/>
              <w:left w:val="nil"/>
              <w:bottom w:val="single" w:sz="4" w:space="0" w:color="000000"/>
              <w:right w:val="nil"/>
            </w:tcBorders>
          </w:tcPr>
          <w:p w14:paraId="2840612C" w14:textId="77777777" w:rsidR="00AC3E4D" w:rsidRPr="009F254D" w:rsidRDefault="00AC3E4D" w:rsidP="00E43FA0">
            <w:pPr>
              <w:tabs>
                <w:tab w:val="left" w:pos="284"/>
              </w:tabs>
              <w:jc w:val="center"/>
              <w:rPr>
                <w:b/>
                <w:sz w:val="22"/>
                <w:szCs w:val="22"/>
                <w:lang w:val="sr-Latn-ME"/>
              </w:rPr>
            </w:pPr>
            <w:r w:rsidRPr="009F254D">
              <w:rPr>
                <w:b/>
                <w:bCs/>
                <w:sz w:val="22"/>
                <w:szCs w:val="22"/>
                <w:lang w:val="sr-Latn-ME"/>
              </w:rPr>
              <w:t>Eksenatid sa produženim oslobađanjem 2 mg jednom nedjeljno</w:t>
            </w:r>
          </w:p>
          <w:p w14:paraId="48DCA1DC" w14:textId="77777777" w:rsidR="00AC3E4D" w:rsidRPr="009F254D" w:rsidRDefault="00AC3E4D" w:rsidP="00E43FA0">
            <w:pPr>
              <w:tabs>
                <w:tab w:val="left" w:pos="284"/>
              </w:tabs>
              <w:jc w:val="center"/>
              <w:rPr>
                <w:b/>
                <w:sz w:val="22"/>
                <w:szCs w:val="22"/>
                <w:lang w:val="sr-Latn-ME"/>
              </w:rPr>
            </w:pPr>
            <w:r w:rsidRPr="009F254D">
              <w:rPr>
                <w:b/>
                <w:bCs/>
                <w:sz w:val="22"/>
                <w:szCs w:val="22"/>
                <w:lang w:val="sr-Latn-ME"/>
              </w:rPr>
              <w:t>+</w:t>
            </w:r>
          </w:p>
          <w:p w14:paraId="533A5CB2" w14:textId="4C8214A8" w:rsidR="00AC3E4D" w:rsidRPr="009F254D" w:rsidRDefault="008264B5" w:rsidP="00E43FA0">
            <w:pPr>
              <w:tabs>
                <w:tab w:val="left" w:pos="284"/>
              </w:tabs>
              <w:jc w:val="center"/>
              <w:rPr>
                <w:b/>
                <w:sz w:val="22"/>
                <w:szCs w:val="22"/>
                <w:lang w:val="sr-Latn-ME"/>
              </w:rPr>
            </w:pPr>
            <w:r>
              <w:rPr>
                <w:b/>
                <w:bCs/>
                <w:sz w:val="22"/>
                <w:szCs w:val="22"/>
                <w:lang w:val="sr-Latn-ME"/>
              </w:rPr>
              <w:t>p</w:t>
            </w:r>
            <w:r w:rsidRPr="009F254D">
              <w:rPr>
                <w:b/>
                <w:bCs/>
                <w:sz w:val="22"/>
                <w:szCs w:val="22"/>
                <w:lang w:val="sr-Latn-ME"/>
              </w:rPr>
              <w:t xml:space="preserve">lacebo </w:t>
            </w:r>
            <w:r w:rsidR="00AC3E4D" w:rsidRPr="009F254D">
              <w:rPr>
                <w:b/>
                <w:bCs/>
                <w:sz w:val="22"/>
                <w:szCs w:val="22"/>
                <w:lang w:val="sr-Latn-ME"/>
              </w:rPr>
              <w:t>jednom dnevno</w:t>
            </w:r>
          </w:p>
        </w:tc>
      </w:tr>
      <w:tr w:rsidR="00AC3E4D" w:rsidRPr="009F254D" w14:paraId="3F44590D" w14:textId="77777777" w:rsidTr="005F1D3C">
        <w:tc>
          <w:tcPr>
            <w:tcW w:w="2898" w:type="dxa"/>
            <w:tcBorders>
              <w:left w:val="nil"/>
              <w:bottom w:val="single" w:sz="4" w:space="0" w:color="auto"/>
              <w:right w:val="nil"/>
            </w:tcBorders>
          </w:tcPr>
          <w:p w14:paraId="6C684AA4" w14:textId="77777777" w:rsidR="00AC3E4D" w:rsidRPr="009F254D" w:rsidRDefault="00AC3E4D" w:rsidP="00E43FA0">
            <w:pPr>
              <w:tabs>
                <w:tab w:val="left" w:pos="284"/>
              </w:tabs>
              <w:jc w:val="both"/>
              <w:rPr>
                <w:b/>
                <w:sz w:val="22"/>
                <w:szCs w:val="22"/>
                <w:lang w:val="sr-Latn-ME"/>
              </w:rPr>
            </w:pPr>
            <w:r w:rsidRPr="009F254D">
              <w:rPr>
                <w:b/>
                <w:bCs/>
                <w:sz w:val="22"/>
                <w:szCs w:val="22"/>
                <w:lang w:val="sr-Latn-ME"/>
              </w:rPr>
              <w:t>N</w:t>
            </w:r>
          </w:p>
        </w:tc>
        <w:tc>
          <w:tcPr>
            <w:tcW w:w="2250" w:type="dxa"/>
            <w:tcBorders>
              <w:left w:val="nil"/>
              <w:bottom w:val="single" w:sz="4" w:space="0" w:color="auto"/>
              <w:right w:val="nil"/>
            </w:tcBorders>
            <w:vAlign w:val="center"/>
          </w:tcPr>
          <w:p w14:paraId="7804631F" w14:textId="77777777" w:rsidR="00AC3E4D" w:rsidRPr="009F254D" w:rsidRDefault="00AC3E4D" w:rsidP="00E43FA0">
            <w:pPr>
              <w:tabs>
                <w:tab w:val="left" w:pos="284"/>
              </w:tabs>
              <w:jc w:val="center"/>
              <w:rPr>
                <w:b/>
                <w:sz w:val="22"/>
                <w:szCs w:val="22"/>
                <w:lang w:val="sr-Latn-ME"/>
              </w:rPr>
            </w:pPr>
            <w:r w:rsidRPr="009F254D">
              <w:rPr>
                <w:b/>
                <w:bCs/>
                <w:sz w:val="22"/>
                <w:szCs w:val="22"/>
                <w:lang w:val="sr-Latn-ME"/>
              </w:rPr>
              <w:t>228</w:t>
            </w:r>
          </w:p>
        </w:tc>
        <w:tc>
          <w:tcPr>
            <w:tcW w:w="2160" w:type="dxa"/>
            <w:tcBorders>
              <w:left w:val="nil"/>
              <w:bottom w:val="single" w:sz="4" w:space="0" w:color="auto"/>
              <w:right w:val="nil"/>
            </w:tcBorders>
            <w:vAlign w:val="center"/>
          </w:tcPr>
          <w:p w14:paraId="5B5B9711" w14:textId="77777777" w:rsidR="00AC3E4D" w:rsidRPr="009F254D" w:rsidRDefault="00AC3E4D" w:rsidP="00E43FA0">
            <w:pPr>
              <w:tabs>
                <w:tab w:val="left" w:pos="284"/>
              </w:tabs>
              <w:jc w:val="center"/>
              <w:rPr>
                <w:b/>
                <w:sz w:val="22"/>
                <w:szCs w:val="22"/>
                <w:lang w:val="sr-Latn-ME"/>
              </w:rPr>
            </w:pPr>
            <w:r w:rsidRPr="009F254D">
              <w:rPr>
                <w:b/>
                <w:bCs/>
                <w:sz w:val="22"/>
                <w:szCs w:val="22"/>
                <w:lang w:val="sr-Latn-ME"/>
              </w:rPr>
              <w:t>230</w:t>
            </w:r>
          </w:p>
        </w:tc>
        <w:tc>
          <w:tcPr>
            <w:tcW w:w="1934" w:type="dxa"/>
            <w:tcBorders>
              <w:left w:val="nil"/>
              <w:bottom w:val="single" w:sz="4" w:space="0" w:color="auto"/>
              <w:right w:val="nil"/>
            </w:tcBorders>
            <w:vAlign w:val="center"/>
          </w:tcPr>
          <w:p w14:paraId="63BF5C49" w14:textId="77777777" w:rsidR="00AC3E4D" w:rsidRPr="009F254D" w:rsidRDefault="00AC3E4D" w:rsidP="00E43FA0">
            <w:pPr>
              <w:tabs>
                <w:tab w:val="left" w:pos="284"/>
              </w:tabs>
              <w:jc w:val="center"/>
              <w:rPr>
                <w:b/>
                <w:sz w:val="22"/>
                <w:szCs w:val="22"/>
                <w:lang w:val="sr-Latn-ME"/>
              </w:rPr>
            </w:pPr>
            <w:r w:rsidRPr="009F254D">
              <w:rPr>
                <w:b/>
                <w:bCs/>
                <w:sz w:val="22"/>
                <w:szCs w:val="22"/>
                <w:lang w:val="sr-Latn-ME"/>
              </w:rPr>
              <w:t>227</w:t>
            </w:r>
          </w:p>
        </w:tc>
      </w:tr>
      <w:tr w:rsidR="00AC3E4D" w:rsidRPr="009F254D" w14:paraId="46E8DA02" w14:textId="77777777" w:rsidTr="005F1D3C">
        <w:tc>
          <w:tcPr>
            <w:tcW w:w="2898" w:type="dxa"/>
            <w:tcBorders>
              <w:top w:val="single" w:sz="4" w:space="0" w:color="auto"/>
              <w:left w:val="nil"/>
              <w:bottom w:val="nil"/>
              <w:right w:val="nil"/>
            </w:tcBorders>
          </w:tcPr>
          <w:p w14:paraId="3C191D37" w14:textId="77777777" w:rsidR="00AC3E4D" w:rsidRPr="009F254D" w:rsidRDefault="00AC3E4D" w:rsidP="00E43FA0">
            <w:pPr>
              <w:tabs>
                <w:tab w:val="left" w:pos="284"/>
              </w:tabs>
              <w:jc w:val="both"/>
              <w:rPr>
                <w:b/>
                <w:sz w:val="22"/>
                <w:szCs w:val="22"/>
                <w:lang w:val="sr-Latn-ME"/>
              </w:rPr>
            </w:pPr>
            <w:r w:rsidRPr="009F254D">
              <w:rPr>
                <w:b/>
                <w:bCs/>
                <w:sz w:val="22"/>
                <w:szCs w:val="22"/>
                <w:lang w:val="sr-Latn-ME"/>
              </w:rPr>
              <w:t>HbA1c (%)</w:t>
            </w:r>
          </w:p>
        </w:tc>
        <w:tc>
          <w:tcPr>
            <w:tcW w:w="2250" w:type="dxa"/>
            <w:tcBorders>
              <w:top w:val="single" w:sz="4" w:space="0" w:color="auto"/>
              <w:left w:val="nil"/>
              <w:bottom w:val="nil"/>
              <w:right w:val="nil"/>
            </w:tcBorders>
          </w:tcPr>
          <w:p w14:paraId="2A82AA7D" w14:textId="77777777" w:rsidR="00AC3E4D" w:rsidRPr="009F254D" w:rsidRDefault="00AC3E4D" w:rsidP="00E43FA0">
            <w:pPr>
              <w:tabs>
                <w:tab w:val="left" w:pos="284"/>
              </w:tabs>
              <w:jc w:val="center"/>
              <w:rPr>
                <w:sz w:val="22"/>
                <w:szCs w:val="22"/>
                <w:lang w:val="sr-Latn-ME"/>
              </w:rPr>
            </w:pPr>
          </w:p>
        </w:tc>
        <w:tc>
          <w:tcPr>
            <w:tcW w:w="2160" w:type="dxa"/>
            <w:tcBorders>
              <w:top w:val="single" w:sz="4" w:space="0" w:color="auto"/>
              <w:left w:val="nil"/>
              <w:bottom w:val="nil"/>
              <w:right w:val="nil"/>
            </w:tcBorders>
          </w:tcPr>
          <w:p w14:paraId="71D33946" w14:textId="77777777" w:rsidR="00AC3E4D" w:rsidRPr="009F254D" w:rsidRDefault="00AC3E4D" w:rsidP="00E43FA0">
            <w:pPr>
              <w:tabs>
                <w:tab w:val="left" w:pos="284"/>
              </w:tabs>
              <w:jc w:val="center"/>
              <w:rPr>
                <w:sz w:val="22"/>
                <w:szCs w:val="22"/>
                <w:lang w:val="sr-Latn-ME"/>
              </w:rPr>
            </w:pPr>
          </w:p>
        </w:tc>
        <w:tc>
          <w:tcPr>
            <w:tcW w:w="1934" w:type="dxa"/>
            <w:tcBorders>
              <w:top w:val="single" w:sz="4" w:space="0" w:color="auto"/>
              <w:left w:val="nil"/>
              <w:bottom w:val="nil"/>
              <w:right w:val="nil"/>
            </w:tcBorders>
          </w:tcPr>
          <w:p w14:paraId="4F4937A7" w14:textId="77777777" w:rsidR="00AC3E4D" w:rsidRPr="009F254D" w:rsidRDefault="00AC3E4D" w:rsidP="00E43FA0">
            <w:pPr>
              <w:tabs>
                <w:tab w:val="left" w:pos="284"/>
              </w:tabs>
              <w:jc w:val="center"/>
              <w:rPr>
                <w:sz w:val="22"/>
                <w:szCs w:val="22"/>
                <w:lang w:val="sr-Latn-ME"/>
              </w:rPr>
            </w:pPr>
          </w:p>
        </w:tc>
      </w:tr>
      <w:tr w:rsidR="00AC3E4D" w:rsidRPr="009F254D" w14:paraId="7EC7D41D" w14:textId="77777777" w:rsidTr="005F1D3C">
        <w:tc>
          <w:tcPr>
            <w:tcW w:w="2898" w:type="dxa"/>
            <w:tcBorders>
              <w:top w:val="nil"/>
              <w:left w:val="nil"/>
              <w:bottom w:val="nil"/>
              <w:right w:val="nil"/>
            </w:tcBorders>
          </w:tcPr>
          <w:p w14:paraId="6E005E7C" w14:textId="77777777" w:rsidR="00AC3E4D" w:rsidRPr="009F254D" w:rsidRDefault="00AC3E4D" w:rsidP="00E43FA0">
            <w:pPr>
              <w:tabs>
                <w:tab w:val="left" w:pos="284"/>
              </w:tabs>
              <w:jc w:val="both"/>
              <w:rPr>
                <w:sz w:val="22"/>
                <w:szCs w:val="22"/>
                <w:lang w:val="sr-Latn-ME"/>
              </w:rPr>
            </w:pPr>
            <w:r w:rsidRPr="009F254D">
              <w:rPr>
                <w:sz w:val="22"/>
                <w:szCs w:val="22"/>
                <w:lang w:val="sr-Latn-ME"/>
              </w:rPr>
              <w:t>Početna vrijednost (srednja)</w:t>
            </w:r>
          </w:p>
        </w:tc>
        <w:tc>
          <w:tcPr>
            <w:tcW w:w="2250" w:type="dxa"/>
            <w:tcBorders>
              <w:top w:val="nil"/>
              <w:left w:val="nil"/>
              <w:bottom w:val="nil"/>
              <w:right w:val="nil"/>
            </w:tcBorders>
            <w:vAlign w:val="center"/>
          </w:tcPr>
          <w:p w14:paraId="1F359A22" w14:textId="77777777" w:rsidR="00AC3E4D" w:rsidRPr="009F254D" w:rsidRDefault="00AC3E4D" w:rsidP="00E43FA0">
            <w:pPr>
              <w:tabs>
                <w:tab w:val="left" w:pos="284"/>
              </w:tabs>
              <w:jc w:val="center"/>
              <w:rPr>
                <w:sz w:val="22"/>
                <w:szCs w:val="22"/>
                <w:lang w:val="sr-Latn-ME"/>
              </w:rPr>
            </w:pPr>
            <w:r w:rsidRPr="009F254D">
              <w:rPr>
                <w:sz w:val="22"/>
                <w:szCs w:val="22"/>
                <w:lang w:val="sr-Latn-ME"/>
              </w:rPr>
              <w:t>9,29</w:t>
            </w:r>
          </w:p>
        </w:tc>
        <w:tc>
          <w:tcPr>
            <w:tcW w:w="2160" w:type="dxa"/>
            <w:tcBorders>
              <w:top w:val="nil"/>
              <w:left w:val="nil"/>
              <w:bottom w:val="nil"/>
              <w:right w:val="nil"/>
            </w:tcBorders>
            <w:vAlign w:val="center"/>
          </w:tcPr>
          <w:p w14:paraId="6666D128" w14:textId="77777777" w:rsidR="00AC3E4D" w:rsidRPr="009F254D" w:rsidRDefault="00AC3E4D" w:rsidP="00E43FA0">
            <w:pPr>
              <w:tabs>
                <w:tab w:val="left" w:pos="284"/>
              </w:tabs>
              <w:jc w:val="center"/>
              <w:rPr>
                <w:sz w:val="22"/>
                <w:szCs w:val="22"/>
                <w:lang w:val="sr-Latn-ME"/>
              </w:rPr>
            </w:pPr>
            <w:r w:rsidRPr="009F254D">
              <w:rPr>
                <w:sz w:val="22"/>
                <w:szCs w:val="22"/>
                <w:lang w:val="sr-Latn-ME"/>
              </w:rPr>
              <w:t>9,25</w:t>
            </w:r>
          </w:p>
        </w:tc>
        <w:tc>
          <w:tcPr>
            <w:tcW w:w="1934" w:type="dxa"/>
            <w:tcBorders>
              <w:top w:val="nil"/>
              <w:left w:val="nil"/>
              <w:bottom w:val="nil"/>
              <w:right w:val="nil"/>
            </w:tcBorders>
            <w:vAlign w:val="center"/>
          </w:tcPr>
          <w:p w14:paraId="1172DE53" w14:textId="77777777" w:rsidR="00AC3E4D" w:rsidRPr="009F254D" w:rsidRDefault="00AC3E4D" w:rsidP="00E43FA0">
            <w:pPr>
              <w:tabs>
                <w:tab w:val="left" w:pos="284"/>
              </w:tabs>
              <w:jc w:val="center"/>
              <w:rPr>
                <w:sz w:val="22"/>
                <w:szCs w:val="22"/>
                <w:lang w:val="sr-Latn-ME"/>
              </w:rPr>
            </w:pPr>
            <w:r w:rsidRPr="009F254D">
              <w:rPr>
                <w:sz w:val="22"/>
                <w:szCs w:val="22"/>
                <w:lang w:val="sr-Latn-ME"/>
              </w:rPr>
              <w:t>9,26</w:t>
            </w:r>
          </w:p>
        </w:tc>
      </w:tr>
      <w:tr w:rsidR="00AC3E4D" w:rsidRPr="009F254D" w14:paraId="7F57126F" w14:textId="77777777" w:rsidTr="005F1D3C">
        <w:tc>
          <w:tcPr>
            <w:tcW w:w="2898" w:type="dxa"/>
            <w:tcBorders>
              <w:top w:val="nil"/>
              <w:left w:val="nil"/>
              <w:bottom w:val="nil"/>
              <w:right w:val="nil"/>
            </w:tcBorders>
          </w:tcPr>
          <w:p w14:paraId="5321650E" w14:textId="77777777" w:rsidR="00AC3E4D" w:rsidRPr="009F254D" w:rsidRDefault="00AC3E4D" w:rsidP="00E43FA0">
            <w:pPr>
              <w:tabs>
                <w:tab w:val="left" w:pos="284"/>
              </w:tabs>
              <w:jc w:val="both"/>
              <w:rPr>
                <w:sz w:val="22"/>
                <w:szCs w:val="22"/>
                <w:lang w:val="sr-Latn-ME"/>
              </w:rPr>
            </w:pPr>
            <w:r w:rsidRPr="009F254D">
              <w:rPr>
                <w:sz w:val="22"/>
                <w:szCs w:val="22"/>
                <w:lang w:val="sr-Latn-ME"/>
              </w:rPr>
              <w:t>Promjena u odnosu na početnu vrijednost</w:t>
            </w:r>
            <w:r w:rsidRPr="009F254D">
              <w:rPr>
                <w:sz w:val="22"/>
                <w:szCs w:val="22"/>
                <w:vertAlign w:val="superscript"/>
                <w:lang w:val="sr-Latn-ME"/>
              </w:rPr>
              <w:t>a</w:t>
            </w:r>
          </w:p>
        </w:tc>
        <w:tc>
          <w:tcPr>
            <w:tcW w:w="2250" w:type="dxa"/>
            <w:tcBorders>
              <w:top w:val="nil"/>
              <w:left w:val="nil"/>
              <w:bottom w:val="nil"/>
              <w:right w:val="nil"/>
            </w:tcBorders>
            <w:vAlign w:val="center"/>
          </w:tcPr>
          <w:p w14:paraId="432EA220" w14:textId="77777777" w:rsidR="00AC3E4D" w:rsidRPr="009F254D" w:rsidRDefault="00AC3E4D" w:rsidP="00E43FA0">
            <w:pPr>
              <w:tabs>
                <w:tab w:val="left" w:pos="284"/>
              </w:tabs>
              <w:jc w:val="center"/>
              <w:rPr>
                <w:sz w:val="22"/>
                <w:szCs w:val="22"/>
                <w:lang w:val="sr-Latn-ME"/>
              </w:rPr>
            </w:pPr>
            <w:r w:rsidRPr="009F254D">
              <w:rPr>
                <w:sz w:val="22"/>
                <w:szCs w:val="22"/>
                <w:lang w:val="sr-Latn-ME"/>
              </w:rPr>
              <w:noBreakHyphen/>
              <w:t>1,98</w:t>
            </w:r>
          </w:p>
        </w:tc>
        <w:tc>
          <w:tcPr>
            <w:tcW w:w="2160" w:type="dxa"/>
            <w:tcBorders>
              <w:top w:val="nil"/>
              <w:left w:val="nil"/>
              <w:bottom w:val="nil"/>
              <w:right w:val="nil"/>
            </w:tcBorders>
            <w:vAlign w:val="center"/>
          </w:tcPr>
          <w:p w14:paraId="6F0E8FDF" w14:textId="77777777" w:rsidR="00AC3E4D" w:rsidRPr="009F254D" w:rsidRDefault="00AC3E4D" w:rsidP="00E43FA0">
            <w:pPr>
              <w:tabs>
                <w:tab w:val="left" w:pos="284"/>
              </w:tabs>
              <w:jc w:val="center"/>
              <w:rPr>
                <w:sz w:val="22"/>
                <w:szCs w:val="22"/>
                <w:lang w:val="sr-Latn-ME"/>
              </w:rPr>
            </w:pPr>
            <w:r w:rsidRPr="009F254D">
              <w:rPr>
                <w:sz w:val="22"/>
                <w:szCs w:val="22"/>
                <w:lang w:val="sr-Latn-ME"/>
              </w:rPr>
              <w:noBreakHyphen/>
              <w:t>1,39</w:t>
            </w:r>
          </w:p>
        </w:tc>
        <w:tc>
          <w:tcPr>
            <w:tcW w:w="1934" w:type="dxa"/>
            <w:tcBorders>
              <w:top w:val="nil"/>
              <w:left w:val="nil"/>
              <w:bottom w:val="nil"/>
              <w:right w:val="nil"/>
            </w:tcBorders>
            <w:vAlign w:val="center"/>
          </w:tcPr>
          <w:p w14:paraId="1CB24D95" w14:textId="77777777" w:rsidR="00AC3E4D" w:rsidRPr="009F254D" w:rsidRDefault="00AC3E4D" w:rsidP="00E43FA0">
            <w:pPr>
              <w:tabs>
                <w:tab w:val="left" w:pos="284"/>
              </w:tabs>
              <w:jc w:val="center"/>
              <w:rPr>
                <w:sz w:val="22"/>
                <w:szCs w:val="22"/>
                <w:lang w:val="sr-Latn-ME"/>
              </w:rPr>
            </w:pPr>
            <w:r w:rsidRPr="009F254D">
              <w:rPr>
                <w:sz w:val="22"/>
                <w:szCs w:val="22"/>
                <w:lang w:val="sr-Latn-ME"/>
              </w:rPr>
              <w:noBreakHyphen/>
              <w:t>1,60</w:t>
            </w:r>
          </w:p>
        </w:tc>
      </w:tr>
      <w:tr w:rsidR="00AC3E4D" w:rsidRPr="009F254D" w14:paraId="0E55D2D3" w14:textId="77777777" w:rsidTr="005F1D3C">
        <w:tc>
          <w:tcPr>
            <w:tcW w:w="2898" w:type="dxa"/>
            <w:tcBorders>
              <w:top w:val="nil"/>
              <w:left w:val="nil"/>
              <w:bottom w:val="single" w:sz="4" w:space="0" w:color="000000"/>
              <w:right w:val="nil"/>
            </w:tcBorders>
            <w:vAlign w:val="center"/>
          </w:tcPr>
          <w:p w14:paraId="4A6B2D33" w14:textId="77777777" w:rsidR="00AC3E4D" w:rsidRPr="009F254D" w:rsidRDefault="00AC3E4D" w:rsidP="00E43FA0">
            <w:pPr>
              <w:tabs>
                <w:tab w:val="left" w:pos="284"/>
              </w:tabs>
              <w:jc w:val="both"/>
              <w:rPr>
                <w:sz w:val="22"/>
                <w:szCs w:val="22"/>
                <w:lang w:val="sr-Latn-ME"/>
              </w:rPr>
            </w:pPr>
            <w:r w:rsidRPr="009F254D">
              <w:rPr>
                <w:sz w:val="22"/>
                <w:szCs w:val="22"/>
                <w:lang w:val="sr-Latn-ME"/>
              </w:rPr>
              <w:t>Srednja razlika u promjeni u odnosu na početnu vrijednost između kombinacije i jednog aktivnog sastojka (95% CI)</w:t>
            </w:r>
          </w:p>
        </w:tc>
        <w:tc>
          <w:tcPr>
            <w:tcW w:w="2250" w:type="dxa"/>
            <w:tcBorders>
              <w:top w:val="nil"/>
              <w:left w:val="nil"/>
              <w:bottom w:val="single" w:sz="4" w:space="0" w:color="000000"/>
              <w:right w:val="nil"/>
            </w:tcBorders>
          </w:tcPr>
          <w:p w14:paraId="0CB1E78E" w14:textId="77777777" w:rsidR="00AC3E4D" w:rsidRPr="009F254D" w:rsidRDefault="00AC3E4D" w:rsidP="00E43FA0">
            <w:pPr>
              <w:tabs>
                <w:tab w:val="left" w:pos="284"/>
              </w:tabs>
              <w:jc w:val="center"/>
              <w:rPr>
                <w:sz w:val="22"/>
                <w:szCs w:val="22"/>
                <w:lang w:val="sr-Latn-ME"/>
              </w:rPr>
            </w:pPr>
          </w:p>
        </w:tc>
        <w:tc>
          <w:tcPr>
            <w:tcW w:w="2160" w:type="dxa"/>
            <w:tcBorders>
              <w:top w:val="nil"/>
              <w:left w:val="nil"/>
              <w:bottom w:val="single" w:sz="4" w:space="0" w:color="000000"/>
              <w:right w:val="nil"/>
            </w:tcBorders>
            <w:vAlign w:val="center"/>
          </w:tcPr>
          <w:p w14:paraId="200CE6E3" w14:textId="77777777" w:rsidR="00AC3E4D" w:rsidRPr="009F254D" w:rsidRDefault="00AC3E4D" w:rsidP="00E43FA0">
            <w:pPr>
              <w:jc w:val="center"/>
              <w:rPr>
                <w:sz w:val="22"/>
                <w:szCs w:val="22"/>
                <w:lang w:val="sr-Latn-ME"/>
              </w:rPr>
            </w:pPr>
            <w:r w:rsidRPr="009F254D">
              <w:rPr>
                <w:sz w:val="22"/>
                <w:szCs w:val="22"/>
                <w:lang w:val="sr-Latn-ME"/>
              </w:rPr>
              <w:noBreakHyphen/>
              <w:t>0,59</w:t>
            </w:r>
            <w:r w:rsidRPr="009F254D">
              <w:rPr>
                <w:sz w:val="22"/>
                <w:szCs w:val="22"/>
                <w:vertAlign w:val="superscript"/>
                <w:lang w:val="sr-Latn-ME"/>
              </w:rPr>
              <w:t>*</w:t>
            </w:r>
          </w:p>
          <w:p w14:paraId="2A026410" w14:textId="77777777" w:rsidR="00AC3E4D" w:rsidRPr="009F254D" w:rsidRDefault="00AC3E4D" w:rsidP="00E43FA0">
            <w:pPr>
              <w:tabs>
                <w:tab w:val="left" w:pos="284"/>
              </w:tabs>
              <w:jc w:val="center"/>
              <w:rPr>
                <w:sz w:val="22"/>
                <w:szCs w:val="22"/>
                <w:lang w:val="sr-Latn-ME"/>
              </w:rPr>
            </w:pPr>
            <w:r w:rsidRPr="009F254D">
              <w:rPr>
                <w:sz w:val="22"/>
                <w:szCs w:val="22"/>
                <w:lang w:val="sr-Latn-ME"/>
              </w:rPr>
              <w:t>(</w:t>
            </w:r>
            <w:r w:rsidRPr="009F254D">
              <w:rPr>
                <w:sz w:val="22"/>
                <w:szCs w:val="22"/>
                <w:lang w:val="sr-Latn-ME"/>
              </w:rPr>
              <w:noBreakHyphen/>
              <w:t xml:space="preserve">0,84, </w:t>
            </w:r>
            <w:r w:rsidRPr="009F254D">
              <w:rPr>
                <w:sz w:val="22"/>
                <w:szCs w:val="22"/>
                <w:lang w:val="sr-Latn-ME"/>
              </w:rPr>
              <w:noBreakHyphen/>
              <w:t>0,34)</w:t>
            </w:r>
          </w:p>
        </w:tc>
        <w:tc>
          <w:tcPr>
            <w:tcW w:w="1934" w:type="dxa"/>
            <w:tcBorders>
              <w:top w:val="nil"/>
              <w:left w:val="nil"/>
              <w:bottom w:val="single" w:sz="4" w:space="0" w:color="000000"/>
              <w:right w:val="nil"/>
            </w:tcBorders>
            <w:vAlign w:val="center"/>
          </w:tcPr>
          <w:p w14:paraId="38C58C3C" w14:textId="77777777" w:rsidR="00AC3E4D" w:rsidRPr="009F254D" w:rsidRDefault="00AC3E4D" w:rsidP="00E43FA0">
            <w:pPr>
              <w:jc w:val="center"/>
              <w:rPr>
                <w:sz w:val="22"/>
                <w:szCs w:val="22"/>
                <w:lang w:val="sr-Latn-ME"/>
              </w:rPr>
            </w:pPr>
            <w:r w:rsidRPr="009F254D">
              <w:rPr>
                <w:sz w:val="22"/>
                <w:szCs w:val="22"/>
                <w:lang w:val="sr-Latn-ME"/>
              </w:rPr>
              <w:noBreakHyphen/>
              <w:t>0,38</w:t>
            </w:r>
            <w:r w:rsidRPr="009F254D">
              <w:rPr>
                <w:sz w:val="22"/>
                <w:szCs w:val="22"/>
                <w:vertAlign w:val="superscript"/>
                <w:lang w:val="sr-Latn-ME"/>
              </w:rPr>
              <w:t>**</w:t>
            </w:r>
          </w:p>
          <w:p w14:paraId="0DA1AC25" w14:textId="77777777" w:rsidR="00AC3E4D" w:rsidRPr="009F254D" w:rsidRDefault="00AC3E4D" w:rsidP="00E43FA0">
            <w:pPr>
              <w:tabs>
                <w:tab w:val="left" w:pos="284"/>
              </w:tabs>
              <w:jc w:val="center"/>
              <w:rPr>
                <w:sz w:val="22"/>
                <w:szCs w:val="22"/>
                <w:lang w:val="sr-Latn-ME"/>
              </w:rPr>
            </w:pPr>
            <w:r w:rsidRPr="009F254D">
              <w:rPr>
                <w:sz w:val="22"/>
                <w:szCs w:val="22"/>
                <w:lang w:val="sr-Latn-ME"/>
              </w:rPr>
              <w:t>(</w:t>
            </w:r>
            <w:r w:rsidRPr="009F254D">
              <w:rPr>
                <w:sz w:val="22"/>
                <w:szCs w:val="22"/>
                <w:lang w:val="sr-Latn-ME"/>
              </w:rPr>
              <w:noBreakHyphen/>
              <w:t xml:space="preserve">0,63, </w:t>
            </w:r>
            <w:r w:rsidRPr="009F254D">
              <w:rPr>
                <w:sz w:val="22"/>
                <w:szCs w:val="22"/>
                <w:lang w:val="sr-Latn-ME"/>
              </w:rPr>
              <w:noBreakHyphen/>
              <w:t>0,13)</w:t>
            </w:r>
          </w:p>
        </w:tc>
      </w:tr>
      <w:tr w:rsidR="00AC3E4D" w:rsidRPr="009F254D" w14:paraId="0625F3B9" w14:textId="77777777" w:rsidTr="005F1D3C">
        <w:tc>
          <w:tcPr>
            <w:tcW w:w="2898" w:type="dxa"/>
            <w:tcBorders>
              <w:left w:val="nil"/>
              <w:bottom w:val="single" w:sz="4" w:space="0" w:color="000000"/>
              <w:right w:val="nil"/>
            </w:tcBorders>
          </w:tcPr>
          <w:p w14:paraId="0D8591CB" w14:textId="2E9EA9E5" w:rsidR="00AC3E4D" w:rsidRPr="009F254D" w:rsidRDefault="00AC3E4D" w:rsidP="00E43FA0">
            <w:pPr>
              <w:tabs>
                <w:tab w:val="left" w:pos="284"/>
              </w:tabs>
              <w:jc w:val="both"/>
              <w:rPr>
                <w:b/>
                <w:sz w:val="22"/>
                <w:szCs w:val="22"/>
                <w:lang w:val="sr-Latn-ME"/>
              </w:rPr>
            </w:pPr>
            <w:r w:rsidRPr="009F254D">
              <w:rPr>
                <w:b/>
                <w:bCs/>
                <w:sz w:val="22"/>
                <w:szCs w:val="22"/>
                <w:lang w:val="sr-Latn-ME"/>
              </w:rPr>
              <w:t>Ispitanici (%) kod kojih je postignut HbA1c</w:t>
            </w:r>
            <w:r w:rsidRPr="009F254D">
              <w:rPr>
                <w:b/>
                <w:bCs/>
                <w:sz w:val="22"/>
                <w:szCs w:val="22"/>
                <w:vertAlign w:val="subscript"/>
                <w:lang w:val="sr-Latn-ME"/>
              </w:rPr>
              <w:t xml:space="preserve"> </w:t>
            </w:r>
            <w:r w:rsidR="00374715">
              <w:rPr>
                <w:b/>
                <w:bCs/>
                <w:sz w:val="22"/>
                <w:szCs w:val="22"/>
                <w:lang w:val="sr-Latn-ME"/>
              </w:rPr>
              <w:t>&lt;</w:t>
            </w:r>
            <w:r w:rsidRPr="009F254D">
              <w:rPr>
                <w:b/>
                <w:bCs/>
                <w:sz w:val="22"/>
                <w:szCs w:val="22"/>
                <w:lang w:val="sr-Latn-ME"/>
              </w:rPr>
              <w:t>7%</w:t>
            </w:r>
          </w:p>
        </w:tc>
        <w:tc>
          <w:tcPr>
            <w:tcW w:w="2250" w:type="dxa"/>
            <w:tcBorders>
              <w:left w:val="nil"/>
              <w:right w:val="nil"/>
            </w:tcBorders>
            <w:vAlign w:val="center"/>
          </w:tcPr>
          <w:p w14:paraId="5836C182" w14:textId="77777777" w:rsidR="00AC3E4D" w:rsidRPr="009F254D" w:rsidRDefault="00AC3E4D" w:rsidP="00E43FA0">
            <w:pPr>
              <w:tabs>
                <w:tab w:val="left" w:pos="284"/>
              </w:tabs>
              <w:jc w:val="center"/>
              <w:rPr>
                <w:sz w:val="22"/>
                <w:szCs w:val="22"/>
                <w:lang w:val="sr-Latn-ME"/>
              </w:rPr>
            </w:pPr>
            <w:r w:rsidRPr="009F254D">
              <w:rPr>
                <w:sz w:val="22"/>
                <w:szCs w:val="22"/>
                <w:lang w:val="sr-Latn-ME"/>
              </w:rPr>
              <w:t>44,7</w:t>
            </w:r>
          </w:p>
        </w:tc>
        <w:tc>
          <w:tcPr>
            <w:tcW w:w="2160" w:type="dxa"/>
            <w:tcBorders>
              <w:left w:val="nil"/>
              <w:right w:val="nil"/>
            </w:tcBorders>
            <w:vAlign w:val="center"/>
          </w:tcPr>
          <w:p w14:paraId="47AA6ADF" w14:textId="77777777" w:rsidR="00AC3E4D" w:rsidRPr="009F254D" w:rsidRDefault="00AC3E4D" w:rsidP="00E43FA0">
            <w:pPr>
              <w:tabs>
                <w:tab w:val="left" w:pos="284"/>
              </w:tabs>
              <w:jc w:val="center"/>
              <w:rPr>
                <w:sz w:val="22"/>
                <w:szCs w:val="22"/>
                <w:lang w:val="sr-Latn-ME"/>
              </w:rPr>
            </w:pPr>
            <w:r w:rsidRPr="009F254D">
              <w:rPr>
                <w:sz w:val="22"/>
                <w:szCs w:val="22"/>
                <w:lang w:val="sr-Latn-ME"/>
              </w:rPr>
              <w:t>19,1</w:t>
            </w:r>
          </w:p>
        </w:tc>
        <w:tc>
          <w:tcPr>
            <w:tcW w:w="1934" w:type="dxa"/>
            <w:tcBorders>
              <w:left w:val="nil"/>
              <w:bottom w:val="single" w:sz="4" w:space="0" w:color="000000"/>
              <w:right w:val="nil"/>
            </w:tcBorders>
            <w:vAlign w:val="center"/>
          </w:tcPr>
          <w:p w14:paraId="6FD2D443" w14:textId="77777777" w:rsidR="00AC3E4D" w:rsidRPr="009F254D" w:rsidRDefault="00AC3E4D" w:rsidP="00E43FA0">
            <w:pPr>
              <w:tabs>
                <w:tab w:val="left" w:pos="284"/>
              </w:tabs>
              <w:jc w:val="center"/>
              <w:rPr>
                <w:sz w:val="22"/>
                <w:szCs w:val="22"/>
                <w:lang w:val="sr-Latn-ME"/>
              </w:rPr>
            </w:pPr>
            <w:r w:rsidRPr="009F254D">
              <w:rPr>
                <w:sz w:val="22"/>
                <w:szCs w:val="22"/>
                <w:lang w:val="sr-Latn-ME"/>
              </w:rPr>
              <w:t>26,9</w:t>
            </w:r>
          </w:p>
        </w:tc>
      </w:tr>
      <w:tr w:rsidR="00AC3E4D" w:rsidRPr="009F254D" w14:paraId="765EC68D" w14:textId="77777777" w:rsidTr="005F1D3C">
        <w:tc>
          <w:tcPr>
            <w:tcW w:w="2898" w:type="dxa"/>
            <w:tcBorders>
              <w:left w:val="nil"/>
              <w:bottom w:val="nil"/>
              <w:right w:val="nil"/>
            </w:tcBorders>
          </w:tcPr>
          <w:p w14:paraId="7903AA8A" w14:textId="77777777" w:rsidR="00AC3E4D" w:rsidRPr="009F254D" w:rsidRDefault="00AC3E4D" w:rsidP="00E43FA0">
            <w:pPr>
              <w:tabs>
                <w:tab w:val="left" w:pos="284"/>
              </w:tabs>
              <w:jc w:val="both"/>
              <w:rPr>
                <w:b/>
                <w:sz w:val="22"/>
                <w:szCs w:val="22"/>
                <w:lang w:val="sr-Latn-ME"/>
              </w:rPr>
            </w:pPr>
            <w:r w:rsidRPr="009F254D">
              <w:rPr>
                <w:b/>
                <w:bCs/>
                <w:sz w:val="22"/>
                <w:szCs w:val="22"/>
                <w:lang w:val="sr-Latn-ME"/>
              </w:rPr>
              <w:t>Tjelesna masa (kg)</w:t>
            </w:r>
          </w:p>
        </w:tc>
        <w:tc>
          <w:tcPr>
            <w:tcW w:w="2250" w:type="dxa"/>
            <w:tcBorders>
              <w:left w:val="nil"/>
              <w:bottom w:val="nil"/>
              <w:right w:val="nil"/>
            </w:tcBorders>
          </w:tcPr>
          <w:p w14:paraId="1CB26207" w14:textId="77777777" w:rsidR="00AC3E4D" w:rsidRPr="009F254D" w:rsidRDefault="00AC3E4D" w:rsidP="00E43FA0">
            <w:pPr>
              <w:tabs>
                <w:tab w:val="left" w:pos="284"/>
              </w:tabs>
              <w:jc w:val="both"/>
              <w:rPr>
                <w:sz w:val="22"/>
                <w:szCs w:val="22"/>
                <w:lang w:val="sr-Latn-ME"/>
              </w:rPr>
            </w:pPr>
          </w:p>
        </w:tc>
        <w:tc>
          <w:tcPr>
            <w:tcW w:w="2160" w:type="dxa"/>
            <w:tcBorders>
              <w:left w:val="nil"/>
              <w:bottom w:val="nil"/>
              <w:right w:val="nil"/>
            </w:tcBorders>
          </w:tcPr>
          <w:p w14:paraId="02675D9F" w14:textId="77777777" w:rsidR="00AC3E4D" w:rsidRPr="009F254D" w:rsidRDefault="00AC3E4D" w:rsidP="00E43FA0">
            <w:pPr>
              <w:tabs>
                <w:tab w:val="left" w:pos="284"/>
              </w:tabs>
              <w:jc w:val="both"/>
              <w:rPr>
                <w:sz w:val="22"/>
                <w:szCs w:val="22"/>
                <w:lang w:val="sr-Latn-ME"/>
              </w:rPr>
            </w:pPr>
          </w:p>
        </w:tc>
        <w:tc>
          <w:tcPr>
            <w:tcW w:w="1934" w:type="dxa"/>
            <w:tcBorders>
              <w:left w:val="nil"/>
              <w:bottom w:val="nil"/>
              <w:right w:val="nil"/>
            </w:tcBorders>
          </w:tcPr>
          <w:p w14:paraId="527F3D48" w14:textId="77777777" w:rsidR="00AC3E4D" w:rsidRPr="009F254D" w:rsidRDefault="00AC3E4D" w:rsidP="00E43FA0">
            <w:pPr>
              <w:tabs>
                <w:tab w:val="left" w:pos="284"/>
              </w:tabs>
              <w:jc w:val="both"/>
              <w:rPr>
                <w:sz w:val="22"/>
                <w:szCs w:val="22"/>
                <w:lang w:val="sr-Latn-ME"/>
              </w:rPr>
            </w:pPr>
          </w:p>
        </w:tc>
      </w:tr>
      <w:tr w:rsidR="00AC3E4D" w:rsidRPr="009F254D" w14:paraId="49D11D9C" w14:textId="77777777" w:rsidTr="005F1D3C">
        <w:tc>
          <w:tcPr>
            <w:tcW w:w="2898" w:type="dxa"/>
            <w:tcBorders>
              <w:top w:val="nil"/>
              <w:left w:val="nil"/>
              <w:bottom w:val="nil"/>
              <w:right w:val="nil"/>
            </w:tcBorders>
          </w:tcPr>
          <w:p w14:paraId="2CF4066F" w14:textId="77777777" w:rsidR="00AC3E4D" w:rsidRPr="009F254D" w:rsidRDefault="00AC3E4D" w:rsidP="00E43FA0">
            <w:pPr>
              <w:tabs>
                <w:tab w:val="left" w:pos="284"/>
              </w:tabs>
              <w:jc w:val="both"/>
              <w:rPr>
                <w:sz w:val="22"/>
                <w:szCs w:val="22"/>
                <w:lang w:val="sr-Latn-ME"/>
              </w:rPr>
            </w:pPr>
            <w:r w:rsidRPr="009F254D">
              <w:rPr>
                <w:sz w:val="22"/>
                <w:szCs w:val="22"/>
                <w:lang w:val="sr-Latn-ME"/>
              </w:rPr>
              <w:t>Početna vrijednost (srednja)</w:t>
            </w:r>
          </w:p>
        </w:tc>
        <w:tc>
          <w:tcPr>
            <w:tcW w:w="2250" w:type="dxa"/>
            <w:tcBorders>
              <w:top w:val="nil"/>
              <w:left w:val="nil"/>
              <w:bottom w:val="nil"/>
              <w:right w:val="nil"/>
            </w:tcBorders>
            <w:vAlign w:val="center"/>
          </w:tcPr>
          <w:p w14:paraId="28A7A9DE" w14:textId="77777777" w:rsidR="00AC3E4D" w:rsidRPr="009F254D" w:rsidRDefault="00AC3E4D" w:rsidP="00E43FA0">
            <w:pPr>
              <w:tabs>
                <w:tab w:val="left" w:pos="284"/>
              </w:tabs>
              <w:jc w:val="center"/>
              <w:rPr>
                <w:sz w:val="22"/>
                <w:szCs w:val="22"/>
                <w:lang w:val="sr-Latn-ME"/>
              </w:rPr>
            </w:pPr>
            <w:r w:rsidRPr="009F254D">
              <w:rPr>
                <w:sz w:val="22"/>
                <w:szCs w:val="22"/>
                <w:lang w:val="sr-Latn-ME"/>
              </w:rPr>
              <w:t>92,13</w:t>
            </w:r>
          </w:p>
        </w:tc>
        <w:tc>
          <w:tcPr>
            <w:tcW w:w="2160" w:type="dxa"/>
            <w:tcBorders>
              <w:top w:val="nil"/>
              <w:left w:val="nil"/>
              <w:bottom w:val="nil"/>
              <w:right w:val="nil"/>
            </w:tcBorders>
            <w:vAlign w:val="center"/>
          </w:tcPr>
          <w:p w14:paraId="432C5F72" w14:textId="77777777" w:rsidR="00AC3E4D" w:rsidRPr="009F254D" w:rsidRDefault="00AC3E4D" w:rsidP="00E43FA0">
            <w:pPr>
              <w:tabs>
                <w:tab w:val="left" w:pos="284"/>
              </w:tabs>
              <w:jc w:val="center"/>
              <w:rPr>
                <w:sz w:val="22"/>
                <w:szCs w:val="22"/>
                <w:lang w:val="sr-Latn-ME"/>
              </w:rPr>
            </w:pPr>
            <w:r w:rsidRPr="009F254D">
              <w:rPr>
                <w:sz w:val="22"/>
                <w:szCs w:val="22"/>
                <w:lang w:val="sr-Latn-ME"/>
              </w:rPr>
              <w:t>90,87</w:t>
            </w:r>
          </w:p>
        </w:tc>
        <w:tc>
          <w:tcPr>
            <w:tcW w:w="1934" w:type="dxa"/>
            <w:tcBorders>
              <w:top w:val="nil"/>
              <w:left w:val="nil"/>
              <w:bottom w:val="nil"/>
              <w:right w:val="nil"/>
            </w:tcBorders>
            <w:vAlign w:val="center"/>
          </w:tcPr>
          <w:p w14:paraId="1856824A" w14:textId="77777777" w:rsidR="00AC3E4D" w:rsidRPr="009F254D" w:rsidRDefault="00AC3E4D" w:rsidP="00E43FA0">
            <w:pPr>
              <w:tabs>
                <w:tab w:val="left" w:pos="284"/>
              </w:tabs>
              <w:jc w:val="center"/>
              <w:rPr>
                <w:sz w:val="22"/>
                <w:szCs w:val="22"/>
                <w:lang w:val="sr-Latn-ME"/>
              </w:rPr>
            </w:pPr>
            <w:r w:rsidRPr="009F254D">
              <w:rPr>
                <w:sz w:val="22"/>
                <w:szCs w:val="22"/>
                <w:lang w:val="sr-Latn-ME"/>
              </w:rPr>
              <w:t>89,12</w:t>
            </w:r>
          </w:p>
        </w:tc>
      </w:tr>
      <w:tr w:rsidR="00AC3E4D" w:rsidRPr="009F254D" w14:paraId="30C3756E" w14:textId="77777777" w:rsidTr="005F1D3C">
        <w:tc>
          <w:tcPr>
            <w:tcW w:w="2898" w:type="dxa"/>
            <w:tcBorders>
              <w:top w:val="nil"/>
              <w:left w:val="nil"/>
              <w:bottom w:val="nil"/>
              <w:right w:val="nil"/>
            </w:tcBorders>
          </w:tcPr>
          <w:p w14:paraId="7669C382" w14:textId="77777777" w:rsidR="00AC3E4D" w:rsidRPr="009F254D" w:rsidRDefault="00AC3E4D" w:rsidP="00E43FA0">
            <w:pPr>
              <w:tabs>
                <w:tab w:val="left" w:pos="284"/>
              </w:tabs>
              <w:jc w:val="both"/>
              <w:rPr>
                <w:sz w:val="22"/>
                <w:szCs w:val="22"/>
                <w:lang w:val="sr-Latn-ME"/>
              </w:rPr>
            </w:pPr>
            <w:r w:rsidRPr="009F254D">
              <w:rPr>
                <w:sz w:val="22"/>
                <w:szCs w:val="22"/>
                <w:lang w:val="sr-Latn-ME"/>
              </w:rPr>
              <w:t>Promjena u odnosu na početnu vrijednost</w:t>
            </w:r>
            <w:r w:rsidRPr="009F254D">
              <w:rPr>
                <w:sz w:val="22"/>
                <w:szCs w:val="22"/>
                <w:vertAlign w:val="superscript"/>
                <w:lang w:val="sr-Latn-ME"/>
              </w:rPr>
              <w:t xml:space="preserve"> a</w:t>
            </w:r>
          </w:p>
        </w:tc>
        <w:tc>
          <w:tcPr>
            <w:tcW w:w="2250" w:type="dxa"/>
            <w:tcBorders>
              <w:top w:val="nil"/>
              <w:left w:val="nil"/>
              <w:bottom w:val="nil"/>
              <w:right w:val="nil"/>
            </w:tcBorders>
            <w:vAlign w:val="center"/>
          </w:tcPr>
          <w:p w14:paraId="527E4A43" w14:textId="77777777" w:rsidR="00AC3E4D" w:rsidRPr="009F254D" w:rsidRDefault="00AC3E4D" w:rsidP="00E43FA0">
            <w:pPr>
              <w:tabs>
                <w:tab w:val="left" w:pos="284"/>
              </w:tabs>
              <w:jc w:val="center"/>
              <w:rPr>
                <w:sz w:val="22"/>
                <w:szCs w:val="22"/>
                <w:lang w:val="sr-Latn-ME"/>
              </w:rPr>
            </w:pPr>
            <w:r w:rsidRPr="009F254D">
              <w:rPr>
                <w:sz w:val="22"/>
                <w:szCs w:val="22"/>
                <w:lang w:val="sr-Latn-ME"/>
              </w:rPr>
              <w:noBreakHyphen/>
              <w:t>3,55</w:t>
            </w:r>
          </w:p>
        </w:tc>
        <w:tc>
          <w:tcPr>
            <w:tcW w:w="2160" w:type="dxa"/>
            <w:tcBorders>
              <w:top w:val="nil"/>
              <w:left w:val="nil"/>
              <w:bottom w:val="nil"/>
              <w:right w:val="nil"/>
            </w:tcBorders>
            <w:vAlign w:val="center"/>
          </w:tcPr>
          <w:p w14:paraId="51F3C5E1" w14:textId="77777777" w:rsidR="00AC3E4D" w:rsidRPr="009F254D" w:rsidRDefault="00AC3E4D" w:rsidP="00E43FA0">
            <w:pPr>
              <w:tabs>
                <w:tab w:val="left" w:pos="284"/>
              </w:tabs>
              <w:jc w:val="center"/>
              <w:rPr>
                <w:sz w:val="22"/>
                <w:szCs w:val="22"/>
                <w:lang w:val="sr-Latn-ME"/>
              </w:rPr>
            </w:pPr>
            <w:r w:rsidRPr="009F254D">
              <w:rPr>
                <w:sz w:val="22"/>
                <w:szCs w:val="22"/>
                <w:lang w:val="sr-Latn-ME"/>
              </w:rPr>
              <w:noBreakHyphen/>
              <w:t>2,22</w:t>
            </w:r>
          </w:p>
        </w:tc>
        <w:tc>
          <w:tcPr>
            <w:tcW w:w="1934" w:type="dxa"/>
            <w:tcBorders>
              <w:top w:val="nil"/>
              <w:left w:val="nil"/>
              <w:bottom w:val="nil"/>
              <w:right w:val="nil"/>
            </w:tcBorders>
            <w:vAlign w:val="center"/>
          </w:tcPr>
          <w:p w14:paraId="0FFB24E7" w14:textId="77777777" w:rsidR="00AC3E4D" w:rsidRPr="009F254D" w:rsidRDefault="00AC3E4D" w:rsidP="00E43FA0">
            <w:pPr>
              <w:tabs>
                <w:tab w:val="left" w:pos="284"/>
              </w:tabs>
              <w:jc w:val="center"/>
              <w:rPr>
                <w:sz w:val="22"/>
                <w:szCs w:val="22"/>
                <w:lang w:val="sr-Latn-ME"/>
              </w:rPr>
            </w:pPr>
            <w:r w:rsidRPr="009F254D">
              <w:rPr>
                <w:sz w:val="22"/>
                <w:szCs w:val="22"/>
                <w:lang w:val="sr-Latn-ME"/>
              </w:rPr>
              <w:noBreakHyphen/>
              <w:t>1,56</w:t>
            </w:r>
          </w:p>
        </w:tc>
      </w:tr>
      <w:tr w:rsidR="00AC3E4D" w:rsidRPr="009F254D" w14:paraId="4696E352" w14:textId="77777777" w:rsidTr="005F1D3C">
        <w:tc>
          <w:tcPr>
            <w:tcW w:w="2898" w:type="dxa"/>
            <w:tcBorders>
              <w:top w:val="nil"/>
              <w:left w:val="nil"/>
              <w:bottom w:val="single" w:sz="12" w:space="0" w:color="000000"/>
              <w:right w:val="nil"/>
            </w:tcBorders>
            <w:vAlign w:val="center"/>
          </w:tcPr>
          <w:p w14:paraId="557CC9B0" w14:textId="77777777" w:rsidR="00AC3E4D" w:rsidRPr="009F254D" w:rsidRDefault="00AC3E4D" w:rsidP="00E43FA0">
            <w:pPr>
              <w:tabs>
                <w:tab w:val="left" w:pos="284"/>
              </w:tabs>
              <w:jc w:val="both"/>
              <w:rPr>
                <w:sz w:val="22"/>
                <w:szCs w:val="22"/>
                <w:lang w:val="sr-Latn-ME"/>
              </w:rPr>
            </w:pPr>
            <w:r w:rsidRPr="009F254D">
              <w:rPr>
                <w:sz w:val="22"/>
                <w:szCs w:val="22"/>
                <w:lang w:val="sr-Latn-ME"/>
              </w:rPr>
              <w:lastRenderedPageBreak/>
              <w:t>Srednja razlika u promjeni u odnosu na početnu vrijednost između kombinacije i jednog aktivnog sastojka (95% CI)</w:t>
            </w:r>
          </w:p>
        </w:tc>
        <w:tc>
          <w:tcPr>
            <w:tcW w:w="2250" w:type="dxa"/>
            <w:tcBorders>
              <w:top w:val="nil"/>
              <w:left w:val="nil"/>
              <w:bottom w:val="single" w:sz="12" w:space="0" w:color="000000"/>
              <w:right w:val="nil"/>
            </w:tcBorders>
          </w:tcPr>
          <w:p w14:paraId="2F523EC7" w14:textId="77777777" w:rsidR="00AC3E4D" w:rsidRPr="009F254D" w:rsidRDefault="00AC3E4D" w:rsidP="00E43FA0">
            <w:pPr>
              <w:tabs>
                <w:tab w:val="left" w:pos="284"/>
              </w:tabs>
              <w:jc w:val="center"/>
              <w:rPr>
                <w:sz w:val="22"/>
                <w:szCs w:val="22"/>
                <w:lang w:val="sr-Latn-ME"/>
              </w:rPr>
            </w:pPr>
          </w:p>
        </w:tc>
        <w:tc>
          <w:tcPr>
            <w:tcW w:w="2160" w:type="dxa"/>
            <w:tcBorders>
              <w:top w:val="nil"/>
              <w:left w:val="nil"/>
              <w:bottom w:val="single" w:sz="12" w:space="0" w:color="000000"/>
              <w:right w:val="nil"/>
            </w:tcBorders>
            <w:vAlign w:val="center"/>
          </w:tcPr>
          <w:p w14:paraId="013F29F8" w14:textId="77777777" w:rsidR="00AC3E4D" w:rsidRPr="009F254D" w:rsidRDefault="00AC3E4D" w:rsidP="00E43FA0">
            <w:pPr>
              <w:jc w:val="center"/>
              <w:rPr>
                <w:sz w:val="22"/>
                <w:szCs w:val="22"/>
                <w:lang w:val="sr-Latn-ME"/>
              </w:rPr>
            </w:pPr>
            <w:r w:rsidRPr="009F254D">
              <w:rPr>
                <w:sz w:val="22"/>
                <w:szCs w:val="22"/>
                <w:lang w:val="sr-Latn-ME"/>
              </w:rPr>
              <w:noBreakHyphen/>
              <w:t>1,33</w:t>
            </w:r>
            <w:r w:rsidRPr="009F254D">
              <w:rPr>
                <w:sz w:val="22"/>
                <w:szCs w:val="22"/>
                <w:vertAlign w:val="superscript"/>
                <w:lang w:val="sr-Latn-ME"/>
              </w:rPr>
              <w:t>*</w:t>
            </w:r>
          </w:p>
          <w:p w14:paraId="6F39C21E" w14:textId="77777777" w:rsidR="00AC3E4D" w:rsidRPr="009F254D" w:rsidRDefault="00AC3E4D" w:rsidP="00E43FA0">
            <w:pPr>
              <w:tabs>
                <w:tab w:val="left" w:pos="284"/>
              </w:tabs>
              <w:jc w:val="center"/>
              <w:rPr>
                <w:sz w:val="22"/>
                <w:szCs w:val="22"/>
                <w:lang w:val="sr-Latn-ME"/>
              </w:rPr>
            </w:pPr>
            <w:r w:rsidRPr="009F254D">
              <w:rPr>
                <w:sz w:val="22"/>
                <w:szCs w:val="22"/>
                <w:lang w:val="sr-Latn-ME"/>
              </w:rPr>
              <w:t>(</w:t>
            </w:r>
            <w:r w:rsidRPr="009F254D">
              <w:rPr>
                <w:sz w:val="22"/>
                <w:szCs w:val="22"/>
                <w:lang w:val="sr-Latn-ME"/>
              </w:rPr>
              <w:noBreakHyphen/>
              <w:t xml:space="preserve">2,12, </w:t>
            </w:r>
            <w:r w:rsidRPr="009F254D">
              <w:rPr>
                <w:sz w:val="22"/>
                <w:szCs w:val="22"/>
                <w:lang w:val="sr-Latn-ME"/>
              </w:rPr>
              <w:noBreakHyphen/>
              <w:t>0,55)</w:t>
            </w:r>
          </w:p>
        </w:tc>
        <w:tc>
          <w:tcPr>
            <w:tcW w:w="1934" w:type="dxa"/>
            <w:tcBorders>
              <w:top w:val="nil"/>
              <w:left w:val="nil"/>
              <w:bottom w:val="single" w:sz="12" w:space="0" w:color="000000"/>
              <w:right w:val="nil"/>
            </w:tcBorders>
            <w:vAlign w:val="center"/>
          </w:tcPr>
          <w:p w14:paraId="15D8ED7E" w14:textId="77777777" w:rsidR="00AC3E4D" w:rsidRPr="009F254D" w:rsidRDefault="00AC3E4D" w:rsidP="00E43FA0">
            <w:pPr>
              <w:jc w:val="center"/>
              <w:rPr>
                <w:sz w:val="22"/>
                <w:szCs w:val="22"/>
                <w:lang w:val="sr-Latn-ME"/>
              </w:rPr>
            </w:pPr>
            <w:r w:rsidRPr="009F254D">
              <w:rPr>
                <w:sz w:val="22"/>
                <w:szCs w:val="22"/>
                <w:lang w:val="sr-Latn-ME"/>
              </w:rPr>
              <w:noBreakHyphen/>
              <w:t>2,00</w:t>
            </w:r>
            <w:r w:rsidRPr="009F254D">
              <w:rPr>
                <w:sz w:val="22"/>
                <w:szCs w:val="22"/>
                <w:vertAlign w:val="superscript"/>
                <w:lang w:val="sr-Latn-ME"/>
              </w:rPr>
              <w:t>*</w:t>
            </w:r>
          </w:p>
          <w:p w14:paraId="3E1BABB4" w14:textId="77777777" w:rsidR="00AC3E4D" w:rsidRPr="009F254D" w:rsidRDefault="00AC3E4D" w:rsidP="00E43FA0">
            <w:pPr>
              <w:tabs>
                <w:tab w:val="left" w:pos="284"/>
              </w:tabs>
              <w:jc w:val="center"/>
              <w:rPr>
                <w:sz w:val="22"/>
                <w:szCs w:val="22"/>
                <w:lang w:val="sr-Latn-ME"/>
              </w:rPr>
            </w:pPr>
            <w:r w:rsidRPr="009F254D">
              <w:rPr>
                <w:sz w:val="22"/>
                <w:szCs w:val="22"/>
                <w:lang w:val="sr-Latn-ME"/>
              </w:rPr>
              <w:t>(</w:t>
            </w:r>
            <w:r w:rsidRPr="009F254D">
              <w:rPr>
                <w:sz w:val="22"/>
                <w:szCs w:val="22"/>
                <w:lang w:val="sr-Latn-ME"/>
              </w:rPr>
              <w:noBreakHyphen/>
              <w:t xml:space="preserve">2,79, </w:t>
            </w:r>
            <w:r w:rsidRPr="009F254D">
              <w:rPr>
                <w:sz w:val="22"/>
                <w:szCs w:val="22"/>
                <w:lang w:val="sr-Latn-ME"/>
              </w:rPr>
              <w:noBreakHyphen/>
              <w:t>1,20)</w:t>
            </w:r>
          </w:p>
        </w:tc>
      </w:tr>
      <w:tr w:rsidR="00AC3E4D" w:rsidRPr="00E43FA0" w14:paraId="64E64145" w14:textId="77777777" w:rsidTr="005F1D3C">
        <w:tc>
          <w:tcPr>
            <w:tcW w:w="9242" w:type="dxa"/>
            <w:gridSpan w:val="4"/>
            <w:tcBorders>
              <w:top w:val="single" w:sz="12" w:space="0" w:color="000000"/>
              <w:left w:val="nil"/>
              <w:bottom w:val="nil"/>
              <w:right w:val="nil"/>
            </w:tcBorders>
            <w:vAlign w:val="center"/>
          </w:tcPr>
          <w:p w14:paraId="259B8CD8" w14:textId="051C01DF" w:rsidR="00AC3E4D" w:rsidRPr="00E43FA0" w:rsidRDefault="00AC3E4D" w:rsidP="00E43FA0">
            <w:pPr>
              <w:ind w:left="57" w:hanging="102"/>
              <w:rPr>
                <w:rFonts w:eastAsia="MS Mincho"/>
                <w:sz w:val="20"/>
                <w:szCs w:val="22"/>
                <w:lang w:val="sr-Latn-ME"/>
              </w:rPr>
            </w:pPr>
            <w:r w:rsidRPr="00E43FA0">
              <w:rPr>
                <w:rFonts w:eastAsia="MS Mincho"/>
                <w:sz w:val="20"/>
                <w:szCs w:val="22"/>
                <w:lang w:val="sr-Latn-ME"/>
              </w:rPr>
              <w:t>N = broj pacijenata, CI = interval pouzdanosti.</w:t>
            </w:r>
          </w:p>
          <w:p w14:paraId="5B76FBF4" w14:textId="0EB52297" w:rsidR="00AC3E4D" w:rsidRPr="00E43FA0" w:rsidRDefault="00AC3E4D" w:rsidP="00E43FA0">
            <w:pPr>
              <w:ind w:left="57" w:hanging="102"/>
              <w:rPr>
                <w:rFonts w:eastAsia="MS Mincho"/>
                <w:sz w:val="20"/>
                <w:szCs w:val="22"/>
                <w:lang w:val="sr-Latn-ME"/>
              </w:rPr>
            </w:pPr>
            <w:r w:rsidRPr="00E43FA0">
              <w:rPr>
                <w:rFonts w:eastAsia="MS Mincho"/>
                <w:sz w:val="20"/>
                <w:szCs w:val="22"/>
                <w:vertAlign w:val="superscript"/>
                <w:lang w:val="sr-Latn-ME"/>
              </w:rPr>
              <w:t>a</w:t>
            </w:r>
            <w:r w:rsidRPr="00E43FA0">
              <w:rPr>
                <w:rFonts w:eastAsia="MS Mincho"/>
                <w:sz w:val="20"/>
                <w:szCs w:val="22"/>
                <w:lang w:val="sr-Latn-ME"/>
              </w:rPr>
              <w:t xml:space="preserve">Korigovana srednja vrijednost dobijena metodom najmanjih kvadrata i razlika između terapijskih grupa u promjeni </w:t>
            </w:r>
            <w:r w:rsidR="004D184F" w:rsidRPr="00E43FA0">
              <w:rPr>
                <w:rFonts w:eastAsia="MS Mincho"/>
                <w:sz w:val="20"/>
                <w:szCs w:val="22"/>
                <w:lang w:val="sr-Latn-ME"/>
              </w:rPr>
              <w:t>u odnosu na</w:t>
            </w:r>
            <w:r w:rsidRPr="00E43FA0">
              <w:rPr>
                <w:rFonts w:eastAsia="MS Mincho"/>
                <w:sz w:val="20"/>
                <w:szCs w:val="22"/>
                <w:lang w:val="sr-Latn-ME"/>
              </w:rPr>
              <w:t xml:space="preserve"> početn</w:t>
            </w:r>
            <w:r w:rsidR="004D184F" w:rsidRPr="00E43FA0">
              <w:rPr>
                <w:rFonts w:eastAsia="MS Mincho"/>
                <w:sz w:val="20"/>
                <w:szCs w:val="22"/>
                <w:lang w:val="sr-Latn-ME"/>
              </w:rPr>
              <w:t>e</w:t>
            </w:r>
            <w:r w:rsidRPr="00E43FA0">
              <w:rPr>
                <w:rFonts w:eastAsia="MS Mincho"/>
                <w:sz w:val="20"/>
                <w:szCs w:val="22"/>
                <w:lang w:val="sr-Latn-ME"/>
              </w:rPr>
              <w:t xml:space="preserve"> vrijednosti u 28. nedjelji dobijen</w:t>
            </w:r>
            <w:r w:rsidR="004D184F" w:rsidRPr="00E43FA0">
              <w:rPr>
                <w:rFonts w:eastAsia="MS Mincho"/>
                <w:sz w:val="20"/>
                <w:szCs w:val="22"/>
                <w:lang w:val="sr-Latn-ME"/>
              </w:rPr>
              <w:t>e</w:t>
            </w:r>
            <w:r w:rsidRPr="00E43FA0">
              <w:rPr>
                <w:rFonts w:eastAsia="MS Mincho"/>
                <w:sz w:val="20"/>
                <w:szCs w:val="22"/>
                <w:lang w:val="sr-Latn-ME"/>
              </w:rPr>
              <w:t xml:space="preserve"> su primjenom mješovitog modela sa ponovljenim mjerenjima (</w:t>
            </w:r>
            <w:r w:rsidR="00374715" w:rsidRPr="00E43FA0">
              <w:rPr>
                <w:rFonts w:eastAsia="MS Mincho"/>
                <w:sz w:val="20"/>
                <w:szCs w:val="22"/>
                <w:lang w:val="sr-Latn-ME"/>
              </w:rPr>
              <w:t xml:space="preserve">engl. </w:t>
            </w:r>
            <w:r w:rsidR="004D184F" w:rsidRPr="00E43FA0">
              <w:rPr>
                <w:rFonts w:eastAsia="MS Mincho"/>
                <w:i/>
                <w:sz w:val="20"/>
                <w:szCs w:val="22"/>
                <w:lang w:val="sr-Latn-ME"/>
              </w:rPr>
              <w:t>mixed model with repeated measures</w:t>
            </w:r>
            <w:r w:rsidR="004D184F" w:rsidRPr="00E43FA0">
              <w:rPr>
                <w:rFonts w:eastAsia="MS Mincho"/>
                <w:sz w:val="20"/>
                <w:szCs w:val="22"/>
                <w:lang w:val="sr-Latn-ME"/>
              </w:rPr>
              <w:t xml:space="preserve"> – </w:t>
            </w:r>
            <w:r w:rsidRPr="00E43FA0">
              <w:rPr>
                <w:rFonts w:eastAsia="MS Mincho"/>
                <w:sz w:val="20"/>
                <w:szCs w:val="22"/>
                <w:lang w:val="sr-Latn-ME"/>
              </w:rPr>
              <w:t>MMRM), uključujući i liječenje, regi</w:t>
            </w:r>
            <w:r w:rsidR="004D184F" w:rsidRPr="00E43FA0">
              <w:rPr>
                <w:rFonts w:eastAsia="MS Mincho"/>
                <w:sz w:val="20"/>
                <w:szCs w:val="22"/>
                <w:lang w:val="sr-Latn-ME"/>
              </w:rPr>
              <w:t>ju</w:t>
            </w:r>
            <w:r w:rsidRPr="00E43FA0">
              <w:rPr>
                <w:rFonts w:eastAsia="MS Mincho"/>
                <w:sz w:val="20"/>
                <w:szCs w:val="22"/>
                <w:lang w:val="sr-Latn-ME"/>
              </w:rPr>
              <w:t>, početni HbA1c stratum (&lt; 9,0% ili ≥ 9,0%), nedjelju i interakciju liječenja po nedjeljama kao fiksne faktore i početnu vrijednost kao kovarijansu.</w:t>
            </w:r>
          </w:p>
          <w:p w14:paraId="7EACB666" w14:textId="77777777" w:rsidR="00AC3E4D" w:rsidRPr="00E43FA0" w:rsidRDefault="00AC3E4D" w:rsidP="00E43FA0">
            <w:pPr>
              <w:ind w:left="57" w:hanging="102"/>
              <w:rPr>
                <w:rFonts w:eastAsia="MS Mincho"/>
                <w:sz w:val="20"/>
                <w:szCs w:val="22"/>
                <w:lang w:val="sr-Latn-ME"/>
              </w:rPr>
            </w:pPr>
            <w:r w:rsidRPr="00E43FA0">
              <w:rPr>
                <w:rFonts w:eastAsia="MS Mincho"/>
                <w:sz w:val="20"/>
                <w:szCs w:val="22"/>
                <w:vertAlign w:val="superscript"/>
                <w:lang w:val="sr-Latn-ME"/>
              </w:rPr>
              <w:t>*</w:t>
            </w:r>
            <w:r w:rsidRPr="00E43FA0">
              <w:rPr>
                <w:rFonts w:eastAsia="MS Mincho"/>
                <w:sz w:val="20"/>
                <w:szCs w:val="22"/>
                <w:lang w:val="sr-Latn-ME"/>
              </w:rPr>
              <w:t xml:space="preserve">p &lt; 0,001, </w:t>
            </w:r>
            <w:r w:rsidRPr="00E43FA0">
              <w:rPr>
                <w:rFonts w:eastAsia="MS Mincho"/>
                <w:sz w:val="20"/>
                <w:szCs w:val="22"/>
                <w:vertAlign w:val="superscript"/>
                <w:lang w:val="sr-Latn-ME"/>
              </w:rPr>
              <w:t>**</w:t>
            </w:r>
            <w:r w:rsidRPr="00E43FA0">
              <w:rPr>
                <w:rFonts w:eastAsia="MS Mincho"/>
                <w:sz w:val="20"/>
                <w:szCs w:val="22"/>
                <w:lang w:val="sr-Latn-ME"/>
              </w:rPr>
              <w:t>p &lt; 0,01.</w:t>
            </w:r>
          </w:p>
          <w:p w14:paraId="42DE6370" w14:textId="2F3BB448" w:rsidR="00AC3E4D" w:rsidRPr="00E43FA0" w:rsidRDefault="00AC3E4D" w:rsidP="00E43FA0">
            <w:pPr>
              <w:ind w:left="57" w:hanging="102"/>
              <w:rPr>
                <w:rFonts w:eastAsia="MS Mincho"/>
                <w:sz w:val="20"/>
                <w:szCs w:val="22"/>
                <w:lang w:val="sr-Latn-ME"/>
              </w:rPr>
            </w:pPr>
            <w:r w:rsidRPr="00E43FA0">
              <w:rPr>
                <w:rFonts w:eastAsia="MS Mincho"/>
                <w:sz w:val="20"/>
                <w:szCs w:val="22"/>
                <w:lang w:val="sr-Latn-ME"/>
              </w:rPr>
              <w:t>P</w:t>
            </w:r>
            <w:r w:rsidRPr="00E43FA0">
              <w:rPr>
                <w:rFonts w:eastAsia="MS Mincho"/>
                <w:sz w:val="20"/>
                <w:szCs w:val="22"/>
                <w:lang w:val="sr-Latn-ME"/>
              </w:rPr>
              <w:noBreakHyphen/>
              <w:t xml:space="preserve">vrijednosti su sve </w:t>
            </w:r>
            <w:r w:rsidR="004D184F" w:rsidRPr="00E43FA0">
              <w:rPr>
                <w:rFonts w:eastAsia="MS Mincho"/>
                <w:sz w:val="20"/>
                <w:szCs w:val="22"/>
                <w:lang w:val="sr-Latn-ME"/>
              </w:rPr>
              <w:t>p</w:t>
            </w:r>
            <w:r w:rsidR="004D184F" w:rsidRPr="00E43FA0">
              <w:rPr>
                <w:rFonts w:eastAsia="MS Mincho"/>
                <w:sz w:val="20"/>
                <w:szCs w:val="22"/>
                <w:lang w:val="sr-Latn-ME"/>
              </w:rPr>
              <w:noBreakHyphen/>
              <w:t xml:space="preserve">vrijednosti </w:t>
            </w:r>
            <w:r w:rsidRPr="00E43FA0">
              <w:rPr>
                <w:rFonts w:eastAsia="MS Mincho"/>
                <w:sz w:val="20"/>
                <w:szCs w:val="22"/>
                <w:lang w:val="sr-Latn-ME"/>
              </w:rPr>
              <w:t>korigovane za multiplicitet.</w:t>
            </w:r>
          </w:p>
          <w:p w14:paraId="6899873E" w14:textId="79C95AF5" w:rsidR="00AC3E4D" w:rsidRPr="009F254D" w:rsidRDefault="00AC3E4D" w:rsidP="00E43FA0">
            <w:pPr>
              <w:ind w:left="57" w:hanging="102"/>
              <w:rPr>
                <w:sz w:val="22"/>
                <w:szCs w:val="22"/>
                <w:lang w:val="sr-Latn-ME"/>
              </w:rPr>
            </w:pPr>
            <w:r w:rsidRPr="00E43FA0">
              <w:rPr>
                <w:rFonts w:eastAsia="MS Mincho"/>
                <w:sz w:val="20"/>
                <w:szCs w:val="22"/>
                <w:lang w:val="sr-Latn-ME"/>
              </w:rPr>
              <w:t>Analize isključuju mjerenja nakon primjene terapije za neophodnu regulaciju neregulisane glikemije i nakon pr</w:t>
            </w:r>
            <w:r w:rsidR="004D184F" w:rsidRPr="00E43FA0">
              <w:rPr>
                <w:rFonts w:eastAsia="MS Mincho"/>
                <w:sz w:val="20"/>
                <w:szCs w:val="22"/>
                <w:lang w:val="sr-Latn-ME"/>
              </w:rPr>
              <w:t>ij</w:t>
            </w:r>
            <w:r w:rsidRPr="00E43FA0">
              <w:rPr>
                <w:rFonts w:eastAsia="MS Mincho"/>
                <w:sz w:val="20"/>
                <w:szCs w:val="22"/>
                <w:lang w:val="sr-Latn-ME"/>
              </w:rPr>
              <w:t>evremenog prekida primjene ispitivanog lijeka.</w:t>
            </w:r>
          </w:p>
        </w:tc>
      </w:tr>
    </w:tbl>
    <w:p w14:paraId="7DCF94F5" w14:textId="01C43453" w:rsidR="00AC3E4D" w:rsidRPr="009F254D" w:rsidRDefault="00AC3E4D" w:rsidP="00E43FA0">
      <w:pPr>
        <w:tabs>
          <w:tab w:val="left" w:pos="540"/>
          <w:tab w:val="left" w:pos="569"/>
        </w:tabs>
        <w:rPr>
          <w:b/>
          <w:bCs/>
          <w:sz w:val="22"/>
          <w:szCs w:val="22"/>
          <w:lang w:val="sr-Latn-ME"/>
        </w:rPr>
      </w:pPr>
    </w:p>
    <w:p w14:paraId="34DBA057" w14:textId="77777777" w:rsidR="00AC3E4D" w:rsidRPr="009F254D" w:rsidRDefault="00AC3E4D" w:rsidP="00E43FA0">
      <w:pPr>
        <w:tabs>
          <w:tab w:val="left" w:pos="284"/>
        </w:tabs>
        <w:jc w:val="both"/>
        <w:rPr>
          <w:i/>
          <w:sz w:val="22"/>
          <w:szCs w:val="22"/>
          <w:u w:val="single"/>
          <w:lang w:val="sr-Latn-ME"/>
        </w:rPr>
      </w:pPr>
      <w:r w:rsidRPr="009F254D">
        <w:rPr>
          <w:i/>
          <w:iCs/>
          <w:sz w:val="22"/>
          <w:szCs w:val="22"/>
          <w:u w:val="single"/>
          <w:lang w:val="sr-Latn-ME"/>
        </w:rPr>
        <w:t>Glukoza u plazmi natašte</w:t>
      </w:r>
    </w:p>
    <w:p w14:paraId="68A2FC06" w14:textId="77777777" w:rsidR="00AC3E4D" w:rsidRPr="009F254D" w:rsidRDefault="00AC3E4D" w:rsidP="00E43FA0">
      <w:pPr>
        <w:tabs>
          <w:tab w:val="left" w:pos="284"/>
        </w:tabs>
        <w:jc w:val="both"/>
        <w:rPr>
          <w:sz w:val="22"/>
          <w:szCs w:val="22"/>
          <w:lang w:val="sr-Latn-ME"/>
        </w:rPr>
      </w:pPr>
      <w:r w:rsidRPr="009F254D">
        <w:rPr>
          <w:sz w:val="22"/>
          <w:szCs w:val="22"/>
          <w:lang w:val="sr-Latn-ME"/>
        </w:rPr>
        <w:t xml:space="preserve">Terapija </w:t>
      </w:r>
      <w:r w:rsidRPr="009F254D">
        <w:rPr>
          <w:noProof/>
          <w:sz w:val="22"/>
          <w:szCs w:val="22"/>
          <w:lang w:val="sr-Latn-ME"/>
        </w:rPr>
        <w:t>dapagliflozinom</w:t>
      </w:r>
      <w:r w:rsidRPr="009F254D">
        <w:rPr>
          <w:sz w:val="22"/>
          <w:szCs w:val="22"/>
          <w:lang w:val="sr-Latn-ME"/>
        </w:rPr>
        <w:t xml:space="preserve"> kao dodatak monoterapiji metforminom (dapagliflozin u dozi od 10 mg jednom dnevno ili dapagliflozin u dozi od 5 mg dvaput dnevno) ili liječenju metforminom u kombinaciji sa sitagliptinom, sulfonilureom ili insulinom dovela je do statistički značajnih smanjenja vrijednosti glukoze u plazmi natašte (od -1,90 do -1,20 mmol/l [od -34,2 do -21,7 mg/dl]) u poređenju sa placebom (od -0,58 do 0,18 mmol/l [od -10,4 do 3,3 mg/dl]) u 16. nedjelji (5 mg dvaput dnevno), odnosno 24. nedjelji. Ovaj efekat je zabilježen u prvoj nedjelji terapije i održao se u studijama produženim do 104. nedjelje.</w:t>
      </w:r>
    </w:p>
    <w:p w14:paraId="4FAB6AE3" w14:textId="77777777" w:rsidR="00AC3E4D" w:rsidRPr="009F254D" w:rsidRDefault="00AC3E4D" w:rsidP="00E43FA0">
      <w:pPr>
        <w:tabs>
          <w:tab w:val="left" w:pos="284"/>
        </w:tabs>
        <w:jc w:val="both"/>
        <w:rPr>
          <w:sz w:val="22"/>
          <w:szCs w:val="22"/>
          <w:lang w:val="sr-Latn-ME"/>
        </w:rPr>
      </w:pPr>
    </w:p>
    <w:p w14:paraId="7E307834" w14:textId="67ABF6BE" w:rsidR="00AC3E4D" w:rsidRPr="009F254D" w:rsidRDefault="00AC3E4D" w:rsidP="00E43FA0">
      <w:pPr>
        <w:tabs>
          <w:tab w:val="left" w:pos="284"/>
        </w:tabs>
        <w:jc w:val="both"/>
        <w:rPr>
          <w:sz w:val="22"/>
          <w:szCs w:val="22"/>
          <w:lang w:val="sr-Latn-ME"/>
        </w:rPr>
      </w:pPr>
      <w:r w:rsidRPr="009F254D">
        <w:rPr>
          <w:sz w:val="22"/>
          <w:szCs w:val="22"/>
          <w:lang w:val="sr-Latn-ME"/>
        </w:rPr>
        <w:t>Kombinovana terapija dapagliflozinom od 10 mg i eksenatidom sa produženim oslobađanjem dovela je do značajno većeg smanjenja glukoze u plazmi natašte u 28. nedjelji: -3,66 mmol/l (-65,8 mg/dl), u poređenju sa -2,73 mmol/l (-49,2 mg/dl) za sam</w:t>
      </w:r>
      <w:r w:rsidR="00726CC4" w:rsidRPr="009F254D">
        <w:rPr>
          <w:sz w:val="22"/>
          <w:szCs w:val="22"/>
          <w:lang w:val="sr-Latn-ME"/>
        </w:rPr>
        <w:t>i</w:t>
      </w:r>
      <w:r w:rsidRPr="009F254D">
        <w:rPr>
          <w:sz w:val="22"/>
          <w:szCs w:val="22"/>
          <w:lang w:val="sr-Latn-ME"/>
        </w:rPr>
        <w:t xml:space="preserve"> dapagliflozin (p &lt; 0,001) i -2,54 mmol/l (-45,8 mg/dl) za sam</w:t>
      </w:r>
      <w:r w:rsidR="00726CC4" w:rsidRPr="009F254D">
        <w:rPr>
          <w:sz w:val="22"/>
          <w:szCs w:val="22"/>
          <w:lang w:val="sr-Latn-ME"/>
        </w:rPr>
        <w:t>i</w:t>
      </w:r>
      <w:r w:rsidRPr="009F254D">
        <w:rPr>
          <w:sz w:val="22"/>
          <w:szCs w:val="22"/>
          <w:lang w:val="sr-Latn-ME"/>
        </w:rPr>
        <w:t xml:space="preserve"> eksenatid (p &lt; 0,001).</w:t>
      </w:r>
    </w:p>
    <w:p w14:paraId="11A16123" w14:textId="77777777" w:rsidR="00AC3E4D" w:rsidRPr="009F254D" w:rsidRDefault="00AC3E4D" w:rsidP="00FA635D">
      <w:pPr>
        <w:tabs>
          <w:tab w:val="left" w:pos="284"/>
        </w:tabs>
        <w:jc w:val="both"/>
        <w:rPr>
          <w:sz w:val="22"/>
          <w:szCs w:val="22"/>
          <w:lang w:val="sr-Latn-ME"/>
        </w:rPr>
      </w:pPr>
      <w:r w:rsidRPr="009F254D">
        <w:rPr>
          <w:sz w:val="22"/>
          <w:szCs w:val="22"/>
          <w:lang w:val="sr-Latn-ME"/>
        </w:rPr>
        <w:t>U posebnoj studiji pacijenata sa dijabetes melitusom koji su imali eGFR ≥ 45 do &lt; 60 ml/min/1,73 m</w:t>
      </w:r>
      <w:r w:rsidRPr="009F254D">
        <w:rPr>
          <w:sz w:val="22"/>
          <w:szCs w:val="22"/>
          <w:vertAlign w:val="superscript"/>
          <w:lang w:val="sr-Latn-ME"/>
        </w:rPr>
        <w:t>2</w:t>
      </w:r>
      <w:r w:rsidRPr="009F254D">
        <w:rPr>
          <w:sz w:val="22"/>
          <w:szCs w:val="22"/>
          <w:lang w:val="sr-Latn-ME"/>
        </w:rPr>
        <w:t>, terapija dapagliflozinom pokazala je smanjenje nivoa glukoze u plazmi natašte u 24. nedjelji: -1,19 mmol/l (-21,46 mg/dl) u poređenju sa -0,27 mmol/l (-4,87 mg/dl) za placebo (p=0,001).</w:t>
      </w:r>
    </w:p>
    <w:p w14:paraId="77183FF9" w14:textId="77777777" w:rsidR="00AC3E4D" w:rsidRPr="009F254D" w:rsidRDefault="00AC3E4D" w:rsidP="00FA635D">
      <w:pPr>
        <w:tabs>
          <w:tab w:val="left" w:pos="284"/>
        </w:tabs>
        <w:jc w:val="both"/>
        <w:rPr>
          <w:sz w:val="22"/>
          <w:szCs w:val="22"/>
          <w:lang w:val="sr-Latn-ME"/>
        </w:rPr>
      </w:pPr>
    </w:p>
    <w:p w14:paraId="785B1F80" w14:textId="77777777" w:rsidR="00AC3E4D" w:rsidRPr="009F254D" w:rsidRDefault="00AC3E4D" w:rsidP="00FA635D">
      <w:pPr>
        <w:keepNext/>
        <w:keepLines/>
        <w:tabs>
          <w:tab w:val="left" w:pos="284"/>
        </w:tabs>
        <w:jc w:val="both"/>
        <w:rPr>
          <w:i/>
          <w:sz w:val="22"/>
          <w:szCs w:val="22"/>
          <w:u w:val="single"/>
          <w:lang w:val="sr-Latn-ME"/>
        </w:rPr>
      </w:pPr>
      <w:r w:rsidRPr="009F254D">
        <w:rPr>
          <w:i/>
          <w:iCs/>
          <w:sz w:val="22"/>
          <w:szCs w:val="22"/>
          <w:u w:val="single"/>
          <w:lang w:val="sr-Latn-ME"/>
        </w:rPr>
        <w:t>Postprandijalni nivoi glukoze</w:t>
      </w:r>
    </w:p>
    <w:p w14:paraId="5AD46F01" w14:textId="1CF83386" w:rsidR="00AC3E4D" w:rsidRPr="009F254D" w:rsidRDefault="00AC3E4D" w:rsidP="00FA635D">
      <w:pPr>
        <w:tabs>
          <w:tab w:val="left" w:pos="284"/>
        </w:tabs>
        <w:jc w:val="both"/>
        <w:rPr>
          <w:sz w:val="22"/>
          <w:szCs w:val="22"/>
          <w:lang w:val="sr-Latn-ME"/>
        </w:rPr>
      </w:pPr>
      <w:r w:rsidRPr="009F254D">
        <w:rPr>
          <w:sz w:val="22"/>
          <w:szCs w:val="22"/>
          <w:lang w:val="sr-Latn-ME"/>
        </w:rPr>
        <w:t>Terapija dapagliflozinom od 10 mg kao dodatak sitagliptinu u kombinaciji sa metforminom dovela je do smanjenja nivoa glukoze 2 sata nakon obroka tokom 24 nedjelje</w:t>
      </w:r>
      <w:r w:rsidR="00726CC4" w:rsidRPr="009F254D">
        <w:rPr>
          <w:sz w:val="22"/>
          <w:szCs w:val="22"/>
          <w:lang w:val="sr-Latn-ME"/>
        </w:rPr>
        <w:t>,</w:t>
      </w:r>
      <w:r w:rsidRPr="009F254D">
        <w:rPr>
          <w:sz w:val="22"/>
          <w:szCs w:val="22"/>
          <w:lang w:val="sr-Latn-ME"/>
        </w:rPr>
        <w:t xml:space="preserve"> što se održalo do 48. nedjelje.</w:t>
      </w:r>
    </w:p>
    <w:p w14:paraId="22B35CCC" w14:textId="77777777" w:rsidR="00AC3E4D" w:rsidRPr="009F254D" w:rsidRDefault="00AC3E4D" w:rsidP="00FA635D">
      <w:pPr>
        <w:tabs>
          <w:tab w:val="left" w:pos="284"/>
        </w:tabs>
        <w:jc w:val="both"/>
        <w:rPr>
          <w:sz w:val="22"/>
          <w:szCs w:val="22"/>
          <w:lang w:val="sr-Latn-ME"/>
        </w:rPr>
      </w:pPr>
    </w:p>
    <w:p w14:paraId="55FBB302" w14:textId="77777777" w:rsidR="00AC3E4D" w:rsidRPr="009F254D" w:rsidRDefault="00AC3E4D" w:rsidP="00FA635D">
      <w:pPr>
        <w:tabs>
          <w:tab w:val="left" w:pos="284"/>
        </w:tabs>
        <w:jc w:val="both"/>
        <w:rPr>
          <w:sz w:val="22"/>
          <w:szCs w:val="22"/>
          <w:lang w:val="sr-Latn-ME"/>
        </w:rPr>
      </w:pPr>
      <w:r w:rsidRPr="009F254D">
        <w:rPr>
          <w:sz w:val="22"/>
          <w:szCs w:val="22"/>
          <w:lang w:val="sr-Latn-ME"/>
        </w:rPr>
        <w:t>Kombinovana terapija dapagliflozinom od 10 mg i eksenatidom sa produženim oslobađanjem dovela je do značajno većeg smanjenja nivoa glukoze 2 sata nakon obroka u 28. nedjelji u poređenju sa bilo kojom drugom supstancom koja je primjenjivana zasebno.</w:t>
      </w:r>
    </w:p>
    <w:p w14:paraId="340F36B5" w14:textId="77777777" w:rsidR="00AC3E4D" w:rsidRPr="009F254D" w:rsidRDefault="00AC3E4D" w:rsidP="00FA635D">
      <w:pPr>
        <w:tabs>
          <w:tab w:val="left" w:pos="284"/>
        </w:tabs>
        <w:jc w:val="both"/>
        <w:rPr>
          <w:sz w:val="22"/>
          <w:szCs w:val="22"/>
          <w:lang w:val="sr-Latn-ME"/>
        </w:rPr>
      </w:pPr>
    </w:p>
    <w:p w14:paraId="46B29592" w14:textId="77777777" w:rsidR="00AC3E4D" w:rsidRPr="009F254D" w:rsidRDefault="00AC3E4D" w:rsidP="00FA635D">
      <w:pPr>
        <w:keepNext/>
        <w:keepLines/>
        <w:tabs>
          <w:tab w:val="left" w:pos="284"/>
        </w:tabs>
        <w:jc w:val="both"/>
        <w:rPr>
          <w:i/>
          <w:sz w:val="22"/>
          <w:szCs w:val="22"/>
          <w:u w:val="single"/>
          <w:lang w:val="sr-Latn-ME"/>
        </w:rPr>
      </w:pPr>
      <w:r w:rsidRPr="009F254D">
        <w:rPr>
          <w:i/>
          <w:iCs/>
          <w:sz w:val="22"/>
          <w:szCs w:val="22"/>
          <w:u w:val="single"/>
          <w:lang w:val="sr-Latn-ME"/>
        </w:rPr>
        <w:t>Tjelesna masa</w:t>
      </w:r>
    </w:p>
    <w:p w14:paraId="4C20D762" w14:textId="0F4528F4" w:rsidR="00AC3E4D" w:rsidRPr="009F254D" w:rsidRDefault="00AC3E4D" w:rsidP="00FA635D">
      <w:pPr>
        <w:tabs>
          <w:tab w:val="left" w:pos="284"/>
        </w:tabs>
        <w:jc w:val="both"/>
        <w:rPr>
          <w:sz w:val="22"/>
          <w:szCs w:val="22"/>
          <w:lang w:val="sr-Latn-ME"/>
        </w:rPr>
      </w:pPr>
      <w:r w:rsidRPr="009F254D">
        <w:rPr>
          <w:noProof/>
          <w:sz w:val="22"/>
          <w:szCs w:val="22"/>
          <w:lang w:val="sr-Latn-ME"/>
        </w:rPr>
        <w:t>Dapagliflozin</w:t>
      </w:r>
      <w:r w:rsidRPr="009F254D">
        <w:rPr>
          <w:sz w:val="22"/>
          <w:szCs w:val="22"/>
          <w:lang w:val="sr-Latn-ME"/>
        </w:rPr>
        <w:t xml:space="preserve"> kao dodatak monoterapiji metforminom ili terapiji metforminom sa sitagliptinom, sulfonilureom ili insulinom (sa dodatnim oralnim ljekovima za snižavanje nivoa glukoze, uključujući metformin, ili bez</w:t>
      </w:r>
      <w:r w:rsidR="00726CC4" w:rsidRPr="009F254D">
        <w:rPr>
          <w:sz w:val="22"/>
          <w:szCs w:val="22"/>
          <w:lang w:val="sr-Latn-ME"/>
        </w:rPr>
        <w:t xml:space="preserve"> njih</w:t>
      </w:r>
      <w:r w:rsidRPr="009F254D">
        <w:rPr>
          <w:sz w:val="22"/>
          <w:szCs w:val="22"/>
          <w:lang w:val="sr-Latn-ME"/>
        </w:rPr>
        <w:t xml:space="preserve">) doveo je do statistički značajnog smanjenja tjelesne mase u 24. nedjelji (p &lt; 0.0001; </w:t>
      </w:r>
      <w:r w:rsidR="00726CC4" w:rsidRPr="009F254D">
        <w:rPr>
          <w:sz w:val="22"/>
          <w:szCs w:val="22"/>
          <w:lang w:val="sr-Latn-ME"/>
        </w:rPr>
        <w:t>T</w:t>
      </w:r>
      <w:r w:rsidRPr="009F254D">
        <w:rPr>
          <w:sz w:val="22"/>
          <w:szCs w:val="22"/>
          <w:lang w:val="sr-Latn-ME"/>
        </w:rPr>
        <w:t>abele 4, 5 i 6). Ta dejstva održana su u dugoročnim ispitivanjima.</w:t>
      </w:r>
      <w:r w:rsidR="001336AD" w:rsidRPr="009F254D">
        <w:rPr>
          <w:sz w:val="22"/>
          <w:szCs w:val="22"/>
          <w:lang w:val="sr-Latn-ME"/>
        </w:rPr>
        <w:t xml:space="preserve"> U</w:t>
      </w:r>
      <w:r w:rsidRPr="009F254D">
        <w:rPr>
          <w:sz w:val="22"/>
          <w:szCs w:val="22"/>
          <w:lang w:val="sr-Latn-ME"/>
        </w:rPr>
        <w:t xml:space="preserve"> 48</w:t>
      </w:r>
      <w:r w:rsidR="001336AD" w:rsidRPr="009F254D">
        <w:rPr>
          <w:sz w:val="22"/>
          <w:szCs w:val="22"/>
          <w:lang w:val="sr-Latn-ME"/>
        </w:rPr>
        <w:t>.</w:t>
      </w:r>
      <w:r w:rsidRPr="009F254D">
        <w:rPr>
          <w:sz w:val="22"/>
          <w:szCs w:val="22"/>
          <w:lang w:val="sr-Latn-ME"/>
        </w:rPr>
        <w:t xml:space="preserve"> </w:t>
      </w:r>
      <w:r w:rsidR="001336AD" w:rsidRPr="009F254D">
        <w:rPr>
          <w:sz w:val="22"/>
          <w:szCs w:val="22"/>
          <w:lang w:val="sr-Latn-ME"/>
        </w:rPr>
        <w:t>nedjelji</w:t>
      </w:r>
      <w:r w:rsidRPr="009F254D">
        <w:rPr>
          <w:sz w:val="22"/>
          <w:szCs w:val="22"/>
          <w:lang w:val="sr-Latn-ME"/>
        </w:rPr>
        <w:t xml:space="preserve">, razlika za dapagliflozin kao dodatak metforminu sa sitagliptinom u poređenju sa placebom bila je </w:t>
      </w:r>
      <w:r w:rsidRPr="009F254D">
        <w:rPr>
          <w:sz w:val="22"/>
          <w:szCs w:val="22"/>
          <w:lang w:val="sr-Latn-ME"/>
        </w:rPr>
        <w:noBreakHyphen/>
        <w:t xml:space="preserve">2,07 kg. </w:t>
      </w:r>
      <w:r w:rsidR="00726CC4" w:rsidRPr="009F254D">
        <w:rPr>
          <w:sz w:val="22"/>
          <w:szCs w:val="22"/>
          <w:lang w:val="sr-Latn-ME"/>
        </w:rPr>
        <w:t xml:space="preserve">U </w:t>
      </w:r>
      <w:r w:rsidRPr="009F254D">
        <w:rPr>
          <w:sz w:val="22"/>
          <w:szCs w:val="22"/>
          <w:lang w:val="sr-Latn-ME"/>
        </w:rPr>
        <w:t>102</w:t>
      </w:r>
      <w:r w:rsidR="00726CC4" w:rsidRPr="009F254D">
        <w:rPr>
          <w:sz w:val="22"/>
          <w:szCs w:val="22"/>
          <w:lang w:val="sr-Latn-ME"/>
        </w:rPr>
        <w:t>.</w:t>
      </w:r>
      <w:r w:rsidRPr="009F254D">
        <w:rPr>
          <w:sz w:val="22"/>
          <w:szCs w:val="22"/>
          <w:lang w:val="sr-Latn-ME"/>
        </w:rPr>
        <w:t xml:space="preserve"> nedjelj</w:t>
      </w:r>
      <w:r w:rsidR="00726CC4" w:rsidRPr="009F254D">
        <w:rPr>
          <w:sz w:val="22"/>
          <w:szCs w:val="22"/>
          <w:lang w:val="sr-Latn-ME"/>
        </w:rPr>
        <w:t>i</w:t>
      </w:r>
      <w:r w:rsidRPr="009F254D">
        <w:rPr>
          <w:sz w:val="22"/>
          <w:szCs w:val="22"/>
          <w:lang w:val="sr-Latn-ME"/>
        </w:rPr>
        <w:t xml:space="preserve"> razlika </w:t>
      </w:r>
      <w:r w:rsidR="001336AD" w:rsidRPr="009F254D">
        <w:rPr>
          <w:sz w:val="22"/>
          <w:szCs w:val="22"/>
          <w:lang w:val="sr-Latn-ME"/>
        </w:rPr>
        <w:t>kod primjene</w:t>
      </w:r>
      <w:r w:rsidRPr="009F254D">
        <w:rPr>
          <w:sz w:val="22"/>
          <w:szCs w:val="22"/>
          <w:lang w:val="sr-Latn-ME"/>
        </w:rPr>
        <w:t xml:space="preserve"> dapagliflozin</w:t>
      </w:r>
      <w:r w:rsidR="001336AD" w:rsidRPr="009F254D">
        <w:rPr>
          <w:sz w:val="22"/>
          <w:szCs w:val="22"/>
          <w:lang w:val="sr-Latn-ME"/>
        </w:rPr>
        <w:t xml:space="preserve">a kao dodatka </w:t>
      </w:r>
      <w:r w:rsidRPr="009F254D">
        <w:rPr>
          <w:sz w:val="22"/>
          <w:szCs w:val="22"/>
          <w:lang w:val="sr-Latn-ME"/>
        </w:rPr>
        <w:t>metformin</w:t>
      </w:r>
      <w:r w:rsidR="001336AD" w:rsidRPr="009F254D">
        <w:rPr>
          <w:sz w:val="22"/>
          <w:szCs w:val="22"/>
          <w:lang w:val="sr-Latn-ME"/>
        </w:rPr>
        <w:t xml:space="preserve">u, odnosno insulinu u poređenju s placebom iznosila je </w:t>
      </w:r>
      <w:r w:rsidRPr="009F254D">
        <w:rPr>
          <w:sz w:val="22"/>
          <w:szCs w:val="22"/>
          <w:lang w:val="sr-Latn-ME"/>
        </w:rPr>
        <w:t xml:space="preserve"> -2,14 kg</w:t>
      </w:r>
      <w:r w:rsidR="001336AD" w:rsidRPr="009F254D">
        <w:rPr>
          <w:sz w:val="22"/>
          <w:szCs w:val="22"/>
          <w:lang w:val="sr-Latn-ME"/>
        </w:rPr>
        <w:t>, odnosno</w:t>
      </w:r>
      <w:r w:rsidRPr="009F254D">
        <w:rPr>
          <w:sz w:val="22"/>
          <w:szCs w:val="22"/>
          <w:lang w:val="sr-Latn-ME"/>
        </w:rPr>
        <w:t xml:space="preserve"> -2,88 kg.</w:t>
      </w:r>
    </w:p>
    <w:p w14:paraId="22F3A02C" w14:textId="77777777" w:rsidR="00AC3E4D" w:rsidRPr="009F254D" w:rsidRDefault="00AC3E4D" w:rsidP="00FA635D">
      <w:pPr>
        <w:tabs>
          <w:tab w:val="left" w:pos="284"/>
        </w:tabs>
        <w:autoSpaceDE w:val="0"/>
        <w:autoSpaceDN w:val="0"/>
        <w:adjustRightInd w:val="0"/>
        <w:jc w:val="both"/>
        <w:rPr>
          <w:sz w:val="22"/>
          <w:szCs w:val="22"/>
          <w:lang w:val="sr-Latn-ME"/>
        </w:rPr>
      </w:pPr>
    </w:p>
    <w:p w14:paraId="77547C17" w14:textId="4CD9F125" w:rsidR="00AC3E4D" w:rsidRPr="009F254D" w:rsidRDefault="00AC3E4D" w:rsidP="00FA635D">
      <w:pPr>
        <w:tabs>
          <w:tab w:val="left" w:pos="284"/>
        </w:tabs>
        <w:jc w:val="both"/>
        <w:rPr>
          <w:sz w:val="22"/>
          <w:szCs w:val="22"/>
          <w:lang w:val="sr-Latn-ME"/>
        </w:rPr>
      </w:pPr>
      <w:r w:rsidRPr="009F254D">
        <w:rPr>
          <w:sz w:val="22"/>
          <w:szCs w:val="22"/>
          <w:lang w:val="sr-Latn-ME"/>
        </w:rPr>
        <w:t>Kao dodatak terapiji metforminom u aktivno</w:t>
      </w:r>
      <w:r w:rsidR="00726CC4" w:rsidRPr="009F254D">
        <w:rPr>
          <w:sz w:val="22"/>
          <w:szCs w:val="22"/>
          <w:lang w:val="sr-Latn-ME"/>
        </w:rPr>
        <w:t>-</w:t>
      </w:r>
      <w:r w:rsidRPr="009F254D">
        <w:rPr>
          <w:sz w:val="22"/>
          <w:szCs w:val="22"/>
          <w:lang w:val="sr-Latn-ME"/>
        </w:rPr>
        <w:t xml:space="preserve">kontrolisanoj studiji neinferiornosti, dapagliflozin je u poređenju sa glipizidom doveo do statistički značajne promjene tjelesne mase od -4,65 kg u 52. nedjelji (p &lt; 0,0001, </w:t>
      </w:r>
      <w:r w:rsidR="00726CC4" w:rsidRPr="009F254D">
        <w:rPr>
          <w:sz w:val="22"/>
          <w:szCs w:val="22"/>
          <w:lang w:val="sr-Latn-ME"/>
        </w:rPr>
        <w:t>T</w:t>
      </w:r>
      <w:r w:rsidRPr="009F254D">
        <w:rPr>
          <w:sz w:val="22"/>
          <w:szCs w:val="22"/>
          <w:lang w:val="sr-Latn-ME"/>
        </w:rPr>
        <w:t>abela 3) koj</w:t>
      </w:r>
      <w:r w:rsidR="00726CC4" w:rsidRPr="009F254D">
        <w:rPr>
          <w:sz w:val="22"/>
          <w:szCs w:val="22"/>
          <w:lang w:val="sr-Latn-ME"/>
        </w:rPr>
        <w:t>a</w:t>
      </w:r>
      <w:r w:rsidRPr="009F254D">
        <w:rPr>
          <w:sz w:val="22"/>
          <w:szCs w:val="22"/>
          <w:lang w:val="sr-Latn-ME"/>
        </w:rPr>
        <w:t xml:space="preserve"> se održal</w:t>
      </w:r>
      <w:r w:rsidR="00726CC4" w:rsidRPr="009F254D">
        <w:rPr>
          <w:sz w:val="22"/>
          <w:szCs w:val="22"/>
          <w:lang w:val="sr-Latn-ME"/>
        </w:rPr>
        <w:t>a</w:t>
      </w:r>
      <w:r w:rsidRPr="009F254D">
        <w:rPr>
          <w:sz w:val="22"/>
          <w:szCs w:val="22"/>
          <w:lang w:val="sr-Latn-ME"/>
        </w:rPr>
        <w:t xml:space="preserve"> i u 104. i 208. nedjelji (-5,06 kg, odnosno -4,38 kg).</w:t>
      </w:r>
    </w:p>
    <w:p w14:paraId="7F2982D3" w14:textId="77777777" w:rsidR="00AC3E4D" w:rsidRPr="009F254D" w:rsidRDefault="00AC3E4D" w:rsidP="00FA635D">
      <w:pPr>
        <w:tabs>
          <w:tab w:val="left" w:pos="284"/>
        </w:tabs>
        <w:autoSpaceDE w:val="0"/>
        <w:autoSpaceDN w:val="0"/>
        <w:adjustRightInd w:val="0"/>
        <w:jc w:val="both"/>
        <w:rPr>
          <w:sz w:val="22"/>
          <w:szCs w:val="22"/>
          <w:lang w:val="sr-Latn-ME"/>
        </w:rPr>
      </w:pPr>
    </w:p>
    <w:p w14:paraId="768CDE3F" w14:textId="6004F5BA" w:rsidR="00AC3E4D" w:rsidRPr="009F254D" w:rsidRDefault="00AC3E4D" w:rsidP="00FA635D">
      <w:pPr>
        <w:tabs>
          <w:tab w:val="left" w:pos="284"/>
        </w:tabs>
        <w:autoSpaceDE w:val="0"/>
        <w:autoSpaceDN w:val="0"/>
        <w:adjustRightInd w:val="0"/>
        <w:jc w:val="both"/>
        <w:rPr>
          <w:sz w:val="22"/>
          <w:szCs w:val="22"/>
          <w:lang w:val="sr-Latn-ME"/>
        </w:rPr>
      </w:pPr>
      <w:r w:rsidRPr="009F254D">
        <w:rPr>
          <w:sz w:val="22"/>
          <w:szCs w:val="22"/>
          <w:lang w:val="sr-Latn-ME"/>
        </w:rPr>
        <w:t>Kombinacija dapagliflozina od 10 mg i eksenatida sa produženim oslobađanjem pokazala je značajno veća smanjenja tjelesne mase u poređenju sa bilo kojom drugom supstancom koja je primjenjivana zasebno (</w:t>
      </w:r>
      <w:r w:rsidR="00726CC4" w:rsidRPr="009F254D">
        <w:rPr>
          <w:sz w:val="22"/>
          <w:szCs w:val="22"/>
          <w:lang w:val="sr-Latn-ME"/>
        </w:rPr>
        <w:t>T</w:t>
      </w:r>
      <w:r w:rsidRPr="009F254D">
        <w:rPr>
          <w:sz w:val="22"/>
          <w:szCs w:val="22"/>
          <w:lang w:val="sr-Latn-ME"/>
        </w:rPr>
        <w:t>abela 8).</w:t>
      </w:r>
    </w:p>
    <w:p w14:paraId="153711FF" w14:textId="77777777" w:rsidR="00AC3E4D" w:rsidRPr="009F254D" w:rsidRDefault="00AC3E4D" w:rsidP="00FA635D">
      <w:pPr>
        <w:tabs>
          <w:tab w:val="left" w:pos="284"/>
        </w:tabs>
        <w:autoSpaceDE w:val="0"/>
        <w:autoSpaceDN w:val="0"/>
        <w:adjustRightInd w:val="0"/>
        <w:jc w:val="both"/>
        <w:rPr>
          <w:sz w:val="22"/>
          <w:szCs w:val="22"/>
          <w:lang w:val="sr-Latn-ME"/>
        </w:rPr>
      </w:pPr>
    </w:p>
    <w:p w14:paraId="7CBA27E5" w14:textId="5CF4F660" w:rsidR="00AC3E4D" w:rsidRPr="009F254D" w:rsidRDefault="00AC3E4D" w:rsidP="00FA635D">
      <w:pPr>
        <w:tabs>
          <w:tab w:val="left" w:pos="284"/>
        </w:tabs>
        <w:autoSpaceDE w:val="0"/>
        <w:autoSpaceDN w:val="0"/>
        <w:adjustRightInd w:val="0"/>
        <w:jc w:val="both"/>
        <w:rPr>
          <w:sz w:val="22"/>
          <w:szCs w:val="22"/>
          <w:lang w:val="sr-Latn-ME"/>
        </w:rPr>
      </w:pPr>
      <w:r w:rsidRPr="009F254D">
        <w:rPr>
          <w:sz w:val="22"/>
          <w:szCs w:val="22"/>
          <w:lang w:val="sr-Latn-ME"/>
        </w:rPr>
        <w:lastRenderedPageBreak/>
        <w:t>U 24-nedjeljnoj studiji sa 182 ispitanika sa dijabetesom čiji je t</w:t>
      </w:r>
      <w:r w:rsidR="00726CC4" w:rsidRPr="009F254D">
        <w:rPr>
          <w:sz w:val="22"/>
          <w:szCs w:val="22"/>
          <w:lang w:val="sr-Latn-ME"/>
        </w:rPr>
        <w:t>j</w:t>
      </w:r>
      <w:r w:rsidRPr="009F254D">
        <w:rPr>
          <w:sz w:val="22"/>
          <w:szCs w:val="22"/>
          <w:lang w:val="sr-Latn-ME"/>
        </w:rPr>
        <w:t>elesni sastav procijenjen dvoenergetskom ren</w:t>
      </w:r>
      <w:r w:rsidR="00A0553A" w:rsidRPr="009F254D">
        <w:rPr>
          <w:sz w:val="22"/>
          <w:szCs w:val="22"/>
          <w:lang w:val="sr-Latn-ME"/>
        </w:rPr>
        <w:t>t</w:t>
      </w:r>
      <w:r w:rsidRPr="009F254D">
        <w:rPr>
          <w:sz w:val="22"/>
          <w:szCs w:val="22"/>
          <w:lang w:val="sr-Latn-ME"/>
        </w:rPr>
        <w:t>genskom apsorpciometrijom (</w:t>
      </w:r>
      <w:r w:rsidR="00726CC4" w:rsidRPr="009F254D">
        <w:rPr>
          <w:i/>
          <w:sz w:val="22"/>
          <w:szCs w:val="22"/>
          <w:lang w:val="sr-Latn-ME"/>
        </w:rPr>
        <w:t>dual energy X-ray absorptiometry</w:t>
      </w:r>
      <w:r w:rsidR="00726CC4" w:rsidRPr="009F254D">
        <w:rPr>
          <w:sz w:val="22"/>
          <w:szCs w:val="22"/>
          <w:lang w:val="sr-Latn-ME"/>
        </w:rPr>
        <w:t xml:space="preserve"> – </w:t>
      </w:r>
      <w:r w:rsidRPr="009F254D">
        <w:rPr>
          <w:sz w:val="22"/>
          <w:szCs w:val="22"/>
          <w:lang w:val="sr-Latn-ME"/>
        </w:rPr>
        <w:t xml:space="preserve">DXA) pokazalo se da kod primjene dapagliflozina od 10 mg u kombinaciji sa metforminom u poređenju sa placebom u kombinaciji sa metforminom dolazi do smanjenja tjelesne mase, odnosno mase masnog tkiva </w:t>
      </w:r>
      <w:r w:rsidR="000019FF" w:rsidRPr="009F254D">
        <w:rPr>
          <w:sz w:val="22"/>
          <w:szCs w:val="22"/>
          <w:lang w:val="sr-Latn-ME"/>
        </w:rPr>
        <w:t>(</w:t>
      </w:r>
      <w:r w:rsidRPr="009F254D">
        <w:rPr>
          <w:sz w:val="22"/>
          <w:szCs w:val="22"/>
          <w:lang w:val="sr-Latn-ME"/>
        </w:rPr>
        <w:t>izm</w:t>
      </w:r>
      <w:r w:rsidR="000019FF" w:rsidRPr="009F254D">
        <w:rPr>
          <w:sz w:val="22"/>
          <w:szCs w:val="22"/>
          <w:lang w:val="sr-Latn-ME"/>
        </w:rPr>
        <w:t>j</w:t>
      </w:r>
      <w:r w:rsidRPr="009F254D">
        <w:rPr>
          <w:sz w:val="22"/>
          <w:szCs w:val="22"/>
          <w:lang w:val="sr-Latn-ME"/>
        </w:rPr>
        <w:t>ereno putem DXA</w:t>
      </w:r>
      <w:r w:rsidR="000019FF" w:rsidRPr="009F254D">
        <w:rPr>
          <w:sz w:val="22"/>
          <w:szCs w:val="22"/>
          <w:lang w:val="sr-Latn-ME"/>
        </w:rPr>
        <w:t>)</w:t>
      </w:r>
      <w:r w:rsidRPr="009F254D">
        <w:rPr>
          <w:sz w:val="22"/>
          <w:szCs w:val="22"/>
          <w:lang w:val="sr-Latn-ME"/>
        </w:rPr>
        <w:t>, a ne do smanjenja mase nemasnog tkiva ili gubitka tečnosti. U podstudiji u kojoj je primijenjeno snimanje magnetnom rezonancom terapija lijekom dapagliflozin od 10 mg u kombinaciji sa metforminom dovela je do smanjenja brojčane vrijednosti visceralnog adipoznog tkiva u poređenju sa terapijom placebom u kombinaciji sa metforminom.</w:t>
      </w:r>
    </w:p>
    <w:p w14:paraId="0C99683E" w14:textId="77777777" w:rsidR="00AC3E4D" w:rsidRPr="009F254D" w:rsidRDefault="00AC3E4D" w:rsidP="00FA635D">
      <w:pPr>
        <w:tabs>
          <w:tab w:val="left" w:pos="284"/>
        </w:tabs>
        <w:jc w:val="both"/>
        <w:rPr>
          <w:i/>
          <w:sz w:val="22"/>
          <w:szCs w:val="22"/>
          <w:u w:val="single"/>
          <w:lang w:val="sr-Latn-ME"/>
        </w:rPr>
      </w:pPr>
    </w:p>
    <w:p w14:paraId="7440C34D" w14:textId="77777777" w:rsidR="00AC3E4D" w:rsidRPr="009F254D" w:rsidRDefault="00AC3E4D" w:rsidP="00FA635D">
      <w:pPr>
        <w:keepNext/>
        <w:keepLines/>
        <w:tabs>
          <w:tab w:val="left" w:pos="284"/>
        </w:tabs>
        <w:jc w:val="both"/>
        <w:rPr>
          <w:i/>
          <w:sz w:val="22"/>
          <w:szCs w:val="22"/>
          <w:u w:val="single"/>
          <w:lang w:val="sr-Latn-ME"/>
        </w:rPr>
      </w:pPr>
      <w:r w:rsidRPr="009F254D">
        <w:rPr>
          <w:i/>
          <w:iCs/>
          <w:sz w:val="22"/>
          <w:szCs w:val="22"/>
          <w:u w:val="single"/>
          <w:lang w:val="sr-Latn-ME"/>
        </w:rPr>
        <w:t>Krvni pritisak</w:t>
      </w:r>
    </w:p>
    <w:p w14:paraId="73914453" w14:textId="3C9CA056" w:rsidR="00AC3E4D" w:rsidRPr="009F254D" w:rsidRDefault="00AC3E4D" w:rsidP="00FA635D">
      <w:pPr>
        <w:tabs>
          <w:tab w:val="left" w:pos="284"/>
        </w:tabs>
        <w:jc w:val="both"/>
        <w:rPr>
          <w:noProof/>
          <w:sz w:val="22"/>
          <w:szCs w:val="22"/>
          <w:lang w:val="sr-Latn-ME"/>
        </w:rPr>
      </w:pPr>
      <w:r w:rsidRPr="009F254D">
        <w:rPr>
          <w:noProof/>
          <w:sz w:val="22"/>
          <w:szCs w:val="22"/>
          <w:lang w:val="sr-Latn-ME"/>
        </w:rPr>
        <w:t>U unaprijed određenoj analizi objedinjenih podataka iz 13 placebo</w:t>
      </w:r>
      <w:r w:rsidR="000019FF" w:rsidRPr="009F254D">
        <w:rPr>
          <w:noProof/>
          <w:sz w:val="22"/>
          <w:szCs w:val="22"/>
          <w:lang w:val="sr-Latn-ME"/>
        </w:rPr>
        <w:t>-</w:t>
      </w:r>
      <w:r w:rsidRPr="009F254D">
        <w:rPr>
          <w:noProof/>
          <w:sz w:val="22"/>
          <w:szCs w:val="22"/>
          <w:lang w:val="sr-Latn-ME"/>
        </w:rPr>
        <w:t>kontrolisanih studija, terapija dapagliflozinom od 10 mg u 24. nedjelji je dovela do promjene sistolnog krvnog pritiska u odnosu na početnu vrijednost od -3,7 mmHg, a dijastolnog za -1,8 mmHg u poređenju sa -0,5 mmHg za sistolni i -0,5 mmHg za dijastolni krvni pritisak u grupi koja je primala placebo. Slična smanjenja zabilježena su do 104. nedjelje.</w:t>
      </w:r>
    </w:p>
    <w:p w14:paraId="26F71EF6" w14:textId="77777777" w:rsidR="00AC3E4D" w:rsidRPr="009F254D" w:rsidRDefault="00AC3E4D" w:rsidP="00FA635D">
      <w:pPr>
        <w:tabs>
          <w:tab w:val="left" w:pos="284"/>
        </w:tabs>
        <w:jc w:val="both"/>
        <w:rPr>
          <w:noProof/>
          <w:sz w:val="22"/>
          <w:szCs w:val="22"/>
          <w:lang w:val="sr-Latn-ME"/>
        </w:rPr>
      </w:pPr>
    </w:p>
    <w:p w14:paraId="716B921D" w14:textId="5B2D275B" w:rsidR="00AC3E4D" w:rsidRPr="009F254D" w:rsidRDefault="00AC3E4D" w:rsidP="00FA635D">
      <w:pPr>
        <w:tabs>
          <w:tab w:val="left" w:pos="284"/>
        </w:tabs>
        <w:jc w:val="both"/>
        <w:rPr>
          <w:noProof/>
          <w:sz w:val="22"/>
          <w:szCs w:val="22"/>
          <w:lang w:val="sr-Latn-ME"/>
        </w:rPr>
      </w:pPr>
      <w:r w:rsidRPr="009F254D">
        <w:rPr>
          <w:noProof/>
          <w:sz w:val="22"/>
          <w:szCs w:val="22"/>
          <w:lang w:val="sr-Latn-ME"/>
        </w:rPr>
        <w:t>Kombinovana terapija dapagliflozinom od 10 mg i eksenatidom sa produženim oslobađanjem dovela je do značajno većeg sniženja sistolnog krvnog pritiska u 28. nedjelji (</w:t>
      </w:r>
      <w:r w:rsidRPr="009F254D">
        <w:rPr>
          <w:noProof/>
          <w:sz w:val="22"/>
          <w:szCs w:val="22"/>
          <w:lang w:val="sr-Latn-ME"/>
        </w:rPr>
        <w:noBreakHyphen/>
        <w:t>4,3 mmHg), u poređenju sa sam</w:t>
      </w:r>
      <w:r w:rsidR="000019FF" w:rsidRPr="009F254D">
        <w:rPr>
          <w:noProof/>
          <w:sz w:val="22"/>
          <w:szCs w:val="22"/>
          <w:lang w:val="sr-Latn-ME"/>
        </w:rPr>
        <w:t>im</w:t>
      </w:r>
      <w:r w:rsidRPr="009F254D">
        <w:rPr>
          <w:noProof/>
          <w:sz w:val="22"/>
          <w:szCs w:val="22"/>
          <w:lang w:val="sr-Latn-ME"/>
        </w:rPr>
        <w:t xml:space="preserve"> dapagliflozinom (</w:t>
      </w:r>
      <w:r w:rsidRPr="009F254D">
        <w:rPr>
          <w:noProof/>
          <w:sz w:val="22"/>
          <w:szCs w:val="22"/>
          <w:lang w:val="sr-Latn-ME"/>
        </w:rPr>
        <w:noBreakHyphen/>
        <w:t>1,8 mmHg, p &lt; 0,05) i sam</w:t>
      </w:r>
      <w:r w:rsidR="000019FF" w:rsidRPr="009F254D">
        <w:rPr>
          <w:noProof/>
          <w:sz w:val="22"/>
          <w:szCs w:val="22"/>
          <w:lang w:val="sr-Latn-ME"/>
        </w:rPr>
        <w:t>im</w:t>
      </w:r>
      <w:r w:rsidRPr="009F254D">
        <w:rPr>
          <w:noProof/>
          <w:sz w:val="22"/>
          <w:szCs w:val="22"/>
          <w:lang w:val="sr-Latn-ME"/>
        </w:rPr>
        <w:t xml:space="preserve"> eksenatidom sa produženim oslobađanjem (</w:t>
      </w:r>
      <w:r w:rsidRPr="009F254D">
        <w:rPr>
          <w:noProof/>
          <w:sz w:val="22"/>
          <w:szCs w:val="22"/>
          <w:lang w:val="sr-Latn-ME"/>
        </w:rPr>
        <w:noBreakHyphen/>
        <w:t>1,2 mmHg, p &lt; 0,01).</w:t>
      </w:r>
    </w:p>
    <w:p w14:paraId="46D15F11" w14:textId="77777777" w:rsidR="00AC3E4D" w:rsidRPr="009F254D" w:rsidRDefault="00AC3E4D" w:rsidP="00FA635D">
      <w:pPr>
        <w:tabs>
          <w:tab w:val="left" w:pos="284"/>
        </w:tabs>
        <w:jc w:val="both"/>
        <w:rPr>
          <w:noProof/>
          <w:sz w:val="22"/>
          <w:szCs w:val="22"/>
          <w:lang w:val="sr-Latn-ME"/>
        </w:rPr>
      </w:pPr>
    </w:p>
    <w:p w14:paraId="6938E4D1" w14:textId="3F361E6D" w:rsidR="00AC3E4D" w:rsidRPr="009F254D" w:rsidRDefault="00AC3E4D" w:rsidP="00FA635D">
      <w:pPr>
        <w:tabs>
          <w:tab w:val="left" w:pos="284"/>
        </w:tabs>
        <w:jc w:val="both"/>
        <w:rPr>
          <w:sz w:val="22"/>
          <w:szCs w:val="22"/>
          <w:lang w:val="sr-Latn-ME"/>
        </w:rPr>
      </w:pPr>
      <w:r w:rsidRPr="009F254D">
        <w:rPr>
          <w:sz w:val="22"/>
          <w:szCs w:val="22"/>
          <w:lang w:val="sr-Latn-ME"/>
        </w:rPr>
        <w:t>U dvije 12-nedjeljne placebo</w:t>
      </w:r>
      <w:r w:rsidR="000019FF" w:rsidRPr="009F254D">
        <w:rPr>
          <w:sz w:val="22"/>
          <w:szCs w:val="22"/>
          <w:lang w:val="sr-Latn-ME"/>
        </w:rPr>
        <w:t>-</w:t>
      </w:r>
      <w:r w:rsidRPr="009F254D">
        <w:rPr>
          <w:sz w:val="22"/>
          <w:szCs w:val="22"/>
          <w:lang w:val="sr-Latn-ME"/>
        </w:rPr>
        <w:t>kontrolisane studije ukupno su 1062 pacijenta sa neadekvatno kontrolisanim dijabetes melitusom tipa 2 i hipertenzijom (uprkos prethodnoj stabilnoj terapiji ACE-I ili ARB u jednoj studiji, i ACE-I ili ARB uz jedan dodatni antihipertenziv u drugoj studiji) primala dapagliflozin od 10 mg ili placebo. U 12. nedjelji u oba ispitivanja dapagliflozin od 10 mg u kombinaciji sa uobičajenom terapijom protiv dijabetesa dove</w:t>
      </w:r>
      <w:r w:rsidR="000019FF" w:rsidRPr="009F254D">
        <w:rPr>
          <w:sz w:val="22"/>
          <w:szCs w:val="22"/>
          <w:lang w:val="sr-Latn-ME"/>
        </w:rPr>
        <w:t>o</w:t>
      </w:r>
      <w:r w:rsidRPr="009F254D">
        <w:rPr>
          <w:sz w:val="22"/>
          <w:szCs w:val="22"/>
          <w:lang w:val="sr-Latn-ME"/>
        </w:rPr>
        <w:t xml:space="preserve"> </w:t>
      </w:r>
      <w:r w:rsidR="000019FF" w:rsidRPr="009F254D">
        <w:rPr>
          <w:sz w:val="22"/>
          <w:szCs w:val="22"/>
          <w:lang w:val="sr-Latn-ME"/>
        </w:rPr>
        <w:t>je</w:t>
      </w:r>
      <w:r w:rsidRPr="009F254D">
        <w:rPr>
          <w:sz w:val="22"/>
          <w:szCs w:val="22"/>
          <w:lang w:val="sr-Latn-ME"/>
        </w:rPr>
        <w:t xml:space="preserve"> do poboljšanja HbA1c u prosjeku za 3,1 i snizi</w:t>
      </w:r>
      <w:r w:rsidR="000019FF" w:rsidRPr="009F254D">
        <w:rPr>
          <w:sz w:val="22"/>
          <w:szCs w:val="22"/>
          <w:lang w:val="sr-Latn-ME"/>
        </w:rPr>
        <w:t>o</w:t>
      </w:r>
      <w:r w:rsidRPr="009F254D">
        <w:rPr>
          <w:sz w:val="22"/>
          <w:szCs w:val="22"/>
          <w:lang w:val="sr-Latn-ME"/>
        </w:rPr>
        <w:t xml:space="preserve"> placebom korigovan sistolni krvni pritisak za prosječno 4,3 mmHg.</w:t>
      </w:r>
    </w:p>
    <w:p w14:paraId="46AF175E" w14:textId="77777777" w:rsidR="00AC3E4D" w:rsidRPr="009F254D" w:rsidRDefault="00AC3E4D" w:rsidP="00FA635D">
      <w:pPr>
        <w:tabs>
          <w:tab w:val="left" w:pos="284"/>
        </w:tabs>
        <w:jc w:val="both"/>
        <w:rPr>
          <w:noProof/>
          <w:sz w:val="22"/>
          <w:szCs w:val="22"/>
          <w:lang w:val="sr-Latn-ME"/>
        </w:rPr>
      </w:pPr>
    </w:p>
    <w:p w14:paraId="46204B23" w14:textId="1A3A0E2C" w:rsidR="00AC3E4D" w:rsidRPr="009F254D" w:rsidRDefault="00AC3E4D" w:rsidP="00FA635D">
      <w:pPr>
        <w:tabs>
          <w:tab w:val="left" w:pos="284"/>
        </w:tabs>
        <w:jc w:val="both"/>
        <w:rPr>
          <w:sz w:val="22"/>
          <w:szCs w:val="22"/>
          <w:lang w:val="sr-Latn-ME"/>
        </w:rPr>
      </w:pPr>
      <w:r w:rsidRPr="009F254D">
        <w:rPr>
          <w:sz w:val="22"/>
          <w:szCs w:val="22"/>
          <w:lang w:val="sr-Latn-ME"/>
        </w:rPr>
        <w:t>U posebnoj studiji pacijenata sa dijabetes melitusom koji su imali eGFR ≥ 45 do &lt; 60 ml/min/1,73 m</w:t>
      </w:r>
      <w:r w:rsidRPr="009F254D">
        <w:rPr>
          <w:sz w:val="22"/>
          <w:szCs w:val="22"/>
          <w:vertAlign w:val="superscript"/>
          <w:lang w:val="sr-Latn-ME"/>
        </w:rPr>
        <w:t>2</w:t>
      </w:r>
      <w:r w:rsidRPr="009F254D">
        <w:rPr>
          <w:sz w:val="22"/>
          <w:szCs w:val="22"/>
          <w:lang w:val="sr-Latn-ME"/>
        </w:rPr>
        <w:t>, terapija dapagliflozinom pokazala je sniženje sistolnog krvnog pritiska u sjedećem položaju u 24. nedjelji:</w:t>
      </w:r>
      <w:bookmarkStart w:id="2" w:name="_Hlk504405355"/>
      <w:r w:rsidRPr="009F254D">
        <w:rPr>
          <w:sz w:val="22"/>
          <w:szCs w:val="22"/>
          <w:lang w:val="sr-Latn-ME"/>
        </w:rPr>
        <w:t xml:space="preserve"> </w:t>
      </w:r>
      <w:r w:rsidRPr="009F254D">
        <w:rPr>
          <w:sz w:val="22"/>
          <w:szCs w:val="22"/>
          <w:lang w:val="sr-Latn-ME"/>
        </w:rPr>
        <w:noBreakHyphen/>
        <w:t xml:space="preserve">4,8 mmHg u poređenju sa </w:t>
      </w:r>
      <w:r w:rsidRPr="009F254D">
        <w:rPr>
          <w:sz w:val="22"/>
          <w:szCs w:val="22"/>
          <w:lang w:val="sr-Latn-ME"/>
        </w:rPr>
        <w:noBreakHyphen/>
        <w:t>1,7 mmHg za placebo (p</w:t>
      </w:r>
      <w:r w:rsidRPr="009F254D">
        <w:rPr>
          <w:b/>
          <w:bCs/>
          <w:sz w:val="22"/>
          <w:szCs w:val="22"/>
          <w:lang w:val="sr-Latn-ME"/>
        </w:rPr>
        <w:t> </w:t>
      </w:r>
      <w:r w:rsidRPr="009F254D">
        <w:rPr>
          <w:sz w:val="22"/>
          <w:szCs w:val="22"/>
          <w:lang w:val="sr-Latn-ME"/>
        </w:rPr>
        <w:t>&lt; 0,05).</w:t>
      </w:r>
      <w:bookmarkEnd w:id="2"/>
    </w:p>
    <w:p w14:paraId="5FEF5D52" w14:textId="77777777" w:rsidR="00AC3E4D" w:rsidRPr="009F254D" w:rsidRDefault="00AC3E4D" w:rsidP="00FA635D">
      <w:pPr>
        <w:tabs>
          <w:tab w:val="left" w:pos="284"/>
        </w:tabs>
        <w:autoSpaceDE w:val="0"/>
        <w:autoSpaceDN w:val="0"/>
        <w:adjustRightInd w:val="0"/>
        <w:jc w:val="both"/>
        <w:rPr>
          <w:noProof/>
          <w:sz w:val="22"/>
          <w:szCs w:val="22"/>
          <w:lang w:val="sr-Latn-ME"/>
        </w:rPr>
      </w:pPr>
    </w:p>
    <w:p w14:paraId="7CDC0A4C" w14:textId="77777777" w:rsidR="00AC3E4D" w:rsidRPr="009F254D" w:rsidRDefault="00AC3E4D" w:rsidP="00FA635D">
      <w:pPr>
        <w:keepNext/>
        <w:keepLines/>
        <w:tabs>
          <w:tab w:val="left" w:pos="284"/>
        </w:tabs>
        <w:jc w:val="both"/>
        <w:rPr>
          <w:i/>
          <w:sz w:val="22"/>
          <w:szCs w:val="22"/>
          <w:u w:val="single"/>
          <w:lang w:val="sr-Latn-ME"/>
        </w:rPr>
      </w:pPr>
      <w:r w:rsidRPr="009F254D">
        <w:rPr>
          <w:i/>
          <w:iCs/>
          <w:sz w:val="22"/>
          <w:szCs w:val="22"/>
          <w:u w:val="single"/>
          <w:lang w:val="sr-Latn-ME"/>
        </w:rPr>
        <w:t>Pacijenti sa početnim HbA1c ≥ 9%</w:t>
      </w:r>
    </w:p>
    <w:p w14:paraId="2083FAF3" w14:textId="77777777" w:rsidR="00AC3E4D" w:rsidRPr="009F254D" w:rsidRDefault="00AC3E4D" w:rsidP="00FA635D">
      <w:pPr>
        <w:tabs>
          <w:tab w:val="left" w:pos="284"/>
        </w:tabs>
        <w:autoSpaceDE w:val="0"/>
        <w:autoSpaceDN w:val="0"/>
        <w:adjustRightInd w:val="0"/>
        <w:jc w:val="both"/>
        <w:rPr>
          <w:sz w:val="22"/>
          <w:szCs w:val="22"/>
          <w:lang w:val="sr-Latn-ME"/>
        </w:rPr>
      </w:pPr>
      <w:r w:rsidRPr="009F254D">
        <w:rPr>
          <w:sz w:val="22"/>
          <w:szCs w:val="22"/>
          <w:lang w:val="sr-Latn-ME"/>
        </w:rPr>
        <w:t xml:space="preserve">U unaprijed određenoj analizi ispitanika sa početnim HbA1c ≥ 9,0%, terapija dapagliflozinom od 10 mg dovela je do statistički značajnih smanjenja HbA1c u 24. nedjelji kao dodatak metforminu (korigovana srednja vrijednost promjene u odnosu na početnu vrijednost: </w:t>
      </w:r>
      <w:r w:rsidRPr="009F254D">
        <w:rPr>
          <w:sz w:val="22"/>
          <w:szCs w:val="22"/>
          <w:lang w:val="sr-Latn-ME"/>
        </w:rPr>
        <w:noBreakHyphen/>
        <w:t xml:space="preserve">1,32% za dapagliflozin i </w:t>
      </w:r>
      <w:r w:rsidRPr="009F254D">
        <w:rPr>
          <w:sz w:val="22"/>
          <w:szCs w:val="22"/>
          <w:lang w:val="sr-Latn-ME"/>
        </w:rPr>
        <w:noBreakHyphen/>
        <w:t>0,53% za placebo).</w:t>
      </w:r>
    </w:p>
    <w:p w14:paraId="023F0124" w14:textId="77777777" w:rsidR="00AC3E4D" w:rsidRPr="009F254D" w:rsidRDefault="00AC3E4D" w:rsidP="00FA635D">
      <w:pPr>
        <w:tabs>
          <w:tab w:val="left" w:pos="284"/>
        </w:tabs>
        <w:autoSpaceDE w:val="0"/>
        <w:autoSpaceDN w:val="0"/>
        <w:adjustRightInd w:val="0"/>
        <w:jc w:val="both"/>
        <w:rPr>
          <w:sz w:val="22"/>
          <w:szCs w:val="22"/>
          <w:lang w:val="sr-Latn-ME"/>
        </w:rPr>
      </w:pPr>
    </w:p>
    <w:p w14:paraId="461B72C8" w14:textId="403E67E7" w:rsidR="00AC3E4D" w:rsidRPr="009F254D" w:rsidRDefault="00AC3E4D" w:rsidP="00FA635D">
      <w:pPr>
        <w:keepNext/>
        <w:keepLines/>
        <w:tabs>
          <w:tab w:val="left" w:pos="284"/>
        </w:tabs>
        <w:jc w:val="both"/>
        <w:rPr>
          <w:i/>
          <w:iCs/>
          <w:sz w:val="22"/>
          <w:szCs w:val="22"/>
          <w:u w:val="single"/>
          <w:lang w:val="sr-Latn-ME"/>
        </w:rPr>
      </w:pPr>
      <w:r w:rsidRPr="009F254D">
        <w:rPr>
          <w:i/>
          <w:iCs/>
          <w:sz w:val="22"/>
          <w:szCs w:val="22"/>
          <w:u w:val="single"/>
          <w:lang w:val="sr-Latn-ME"/>
        </w:rPr>
        <w:t xml:space="preserve">Kontrola glikemije kod pacijenata sa umjerenom insuficijencijom </w:t>
      </w:r>
      <w:r w:rsidR="000019FF" w:rsidRPr="009F254D">
        <w:rPr>
          <w:i/>
          <w:iCs/>
          <w:sz w:val="22"/>
          <w:szCs w:val="22"/>
          <w:u w:val="single"/>
          <w:lang w:val="sr-Latn-ME"/>
        </w:rPr>
        <w:t xml:space="preserve">bubrega </w:t>
      </w:r>
      <w:r w:rsidRPr="009F254D">
        <w:rPr>
          <w:i/>
          <w:iCs/>
          <w:sz w:val="22"/>
          <w:szCs w:val="22"/>
          <w:u w:val="single"/>
          <w:lang w:val="sr-Latn-ME"/>
        </w:rPr>
        <w:t>CKD 3A (eGFR ≥ 45 do &lt; 60 ml/min/1,73 m</w:t>
      </w:r>
      <w:r w:rsidRPr="009F254D">
        <w:rPr>
          <w:i/>
          <w:iCs/>
          <w:sz w:val="22"/>
          <w:szCs w:val="22"/>
          <w:u w:val="single"/>
          <w:vertAlign w:val="superscript"/>
          <w:lang w:val="sr-Latn-ME"/>
        </w:rPr>
        <w:t>2</w:t>
      </w:r>
      <w:r w:rsidRPr="009F254D">
        <w:rPr>
          <w:i/>
          <w:iCs/>
          <w:sz w:val="22"/>
          <w:szCs w:val="22"/>
          <w:u w:val="single"/>
          <w:lang w:val="sr-Latn-ME"/>
        </w:rPr>
        <w:t>)</w:t>
      </w:r>
    </w:p>
    <w:p w14:paraId="260F3F0C" w14:textId="3524F26B" w:rsidR="00AC3E4D" w:rsidRPr="009F254D" w:rsidRDefault="00AC3E4D" w:rsidP="00FA635D">
      <w:pPr>
        <w:tabs>
          <w:tab w:val="left" w:pos="284"/>
        </w:tabs>
        <w:jc w:val="both"/>
        <w:rPr>
          <w:sz w:val="22"/>
          <w:szCs w:val="22"/>
          <w:lang w:val="sr-Latn-ME"/>
        </w:rPr>
      </w:pPr>
      <w:r w:rsidRPr="009F254D">
        <w:rPr>
          <w:sz w:val="22"/>
          <w:szCs w:val="22"/>
          <w:lang w:val="sr-Latn-ME"/>
        </w:rPr>
        <w:t>Efikasnost dapagliflozina procjenjivana je u posebnoj studiji kod pacijenata sa dijabetesom sa eGFR ≥ 45 do &lt; 60 ml/min/1,73 m</w:t>
      </w:r>
      <w:r w:rsidRPr="009F254D">
        <w:rPr>
          <w:sz w:val="22"/>
          <w:szCs w:val="22"/>
          <w:vertAlign w:val="superscript"/>
          <w:lang w:val="sr-Latn-ME"/>
        </w:rPr>
        <w:t xml:space="preserve">2 </w:t>
      </w:r>
      <w:r w:rsidRPr="009F254D">
        <w:rPr>
          <w:sz w:val="22"/>
          <w:szCs w:val="22"/>
          <w:lang w:val="sr-Latn-ME"/>
        </w:rPr>
        <w:t>koji su imali neadekvatnu kontrolu glikemije u okviru uobičajene zdravstvene njege. Terapija dapagliflozinom dovela je do smanjenja HbA1c i tjelesne mase u poređenju sa placebom (</w:t>
      </w:r>
      <w:r w:rsidR="000019FF" w:rsidRPr="009F254D">
        <w:rPr>
          <w:sz w:val="22"/>
          <w:szCs w:val="22"/>
          <w:lang w:val="sr-Latn-ME"/>
        </w:rPr>
        <w:t>T</w:t>
      </w:r>
      <w:r w:rsidRPr="009F254D">
        <w:rPr>
          <w:sz w:val="22"/>
          <w:szCs w:val="22"/>
          <w:lang w:val="sr-Latn-ME"/>
        </w:rPr>
        <w:t>abela 9).</w:t>
      </w:r>
    </w:p>
    <w:p w14:paraId="2C6AA0A3" w14:textId="09C802CA" w:rsidR="00AC3E4D" w:rsidRPr="009F254D" w:rsidRDefault="00AC3E4D" w:rsidP="00FA635D">
      <w:pPr>
        <w:tabs>
          <w:tab w:val="left" w:pos="540"/>
          <w:tab w:val="left" w:pos="569"/>
        </w:tabs>
        <w:rPr>
          <w:b/>
          <w:bCs/>
          <w:sz w:val="22"/>
          <w:szCs w:val="22"/>
          <w:lang w:val="sr-Latn-ME"/>
        </w:rPr>
      </w:pPr>
    </w:p>
    <w:p w14:paraId="2FB31861" w14:textId="6574C31E" w:rsidR="00AC3E4D" w:rsidRPr="009F254D" w:rsidRDefault="00AC3E4D" w:rsidP="00E43FA0">
      <w:pPr>
        <w:tabs>
          <w:tab w:val="left" w:pos="284"/>
        </w:tabs>
        <w:jc w:val="both"/>
        <w:rPr>
          <w:b/>
          <w:sz w:val="22"/>
          <w:szCs w:val="22"/>
          <w:lang w:val="sr-Latn-ME"/>
        </w:rPr>
      </w:pPr>
      <w:r w:rsidRPr="009F254D">
        <w:rPr>
          <w:b/>
          <w:bCs/>
          <w:sz w:val="22"/>
          <w:szCs w:val="22"/>
          <w:lang w:val="sr-Latn-ME"/>
        </w:rPr>
        <w:t>Tabela 9. Rezultati u 24. nedjelji placebo</w:t>
      </w:r>
      <w:r w:rsidR="000019FF" w:rsidRPr="009F254D">
        <w:rPr>
          <w:b/>
          <w:bCs/>
          <w:sz w:val="22"/>
          <w:szCs w:val="22"/>
          <w:lang w:val="sr-Latn-ME"/>
        </w:rPr>
        <w:t>-</w:t>
      </w:r>
      <w:r w:rsidRPr="009F254D">
        <w:rPr>
          <w:b/>
          <w:bCs/>
          <w:sz w:val="22"/>
          <w:szCs w:val="22"/>
          <w:lang w:val="sr-Latn-ME"/>
        </w:rPr>
        <w:t>kontrolisane studije dapagliflozina kod pacijenata sa dijabetesom sa eGFR ≥ 45 do &lt; 60 ml/min/1,73 m</w:t>
      </w:r>
      <w:r w:rsidRPr="009F254D">
        <w:rPr>
          <w:b/>
          <w:bCs/>
          <w:sz w:val="22"/>
          <w:szCs w:val="22"/>
          <w:vertAlign w:val="superscript"/>
          <w:lang w:val="sr-Latn-ME"/>
        </w:rPr>
        <w:t>2</w:t>
      </w:r>
    </w:p>
    <w:tbl>
      <w:tblPr>
        <w:tblW w:w="4960" w:type="pct"/>
        <w:tblInd w:w="-34" w:type="dxa"/>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4015"/>
        <w:gridCol w:w="2632"/>
        <w:gridCol w:w="2353"/>
      </w:tblGrid>
      <w:tr w:rsidR="00AC3E4D" w:rsidRPr="009F254D" w14:paraId="24FD3AB0" w14:textId="77777777" w:rsidTr="005F1D3C">
        <w:tc>
          <w:tcPr>
            <w:tcW w:w="2231" w:type="pct"/>
            <w:tcBorders>
              <w:top w:val="single" w:sz="12" w:space="0" w:color="auto"/>
              <w:bottom w:val="single" w:sz="4" w:space="0" w:color="auto"/>
            </w:tcBorders>
            <w:vAlign w:val="bottom"/>
          </w:tcPr>
          <w:p w14:paraId="625262F8" w14:textId="77777777" w:rsidR="00AC3E4D" w:rsidRPr="009F254D" w:rsidRDefault="00AC3E4D" w:rsidP="00E43FA0">
            <w:pPr>
              <w:tabs>
                <w:tab w:val="left" w:pos="284"/>
              </w:tabs>
              <w:jc w:val="both"/>
              <w:rPr>
                <w:b/>
                <w:bCs/>
                <w:sz w:val="22"/>
                <w:szCs w:val="22"/>
                <w:lang w:val="sr-Latn-ME"/>
              </w:rPr>
            </w:pPr>
          </w:p>
        </w:tc>
        <w:tc>
          <w:tcPr>
            <w:tcW w:w="1462" w:type="pct"/>
            <w:tcBorders>
              <w:top w:val="single" w:sz="12" w:space="0" w:color="auto"/>
              <w:bottom w:val="single" w:sz="4" w:space="0" w:color="auto"/>
            </w:tcBorders>
          </w:tcPr>
          <w:p w14:paraId="0DAB9E76" w14:textId="77777777" w:rsidR="00AC3E4D" w:rsidRPr="009F254D" w:rsidRDefault="00AC3E4D" w:rsidP="00E43FA0">
            <w:pPr>
              <w:tabs>
                <w:tab w:val="left" w:pos="284"/>
              </w:tabs>
              <w:jc w:val="center"/>
              <w:rPr>
                <w:b/>
                <w:bCs/>
                <w:sz w:val="22"/>
                <w:szCs w:val="22"/>
                <w:lang w:val="sr-Latn-ME"/>
              </w:rPr>
            </w:pPr>
            <w:r w:rsidRPr="009F254D">
              <w:rPr>
                <w:b/>
                <w:bCs/>
                <w:sz w:val="22"/>
                <w:szCs w:val="22"/>
                <w:lang w:val="sr-Latn-ME"/>
              </w:rPr>
              <w:t>Dapagliflozin</w:t>
            </w:r>
            <w:r w:rsidRPr="009F254D">
              <w:rPr>
                <w:sz w:val="22"/>
                <w:szCs w:val="22"/>
                <w:vertAlign w:val="superscript"/>
                <w:lang w:val="sr-Latn-ME"/>
              </w:rPr>
              <w:t>a</w:t>
            </w:r>
          </w:p>
          <w:p w14:paraId="0BEACA98" w14:textId="77777777" w:rsidR="00AC3E4D" w:rsidRPr="009F254D" w:rsidRDefault="00AC3E4D" w:rsidP="00E43FA0">
            <w:pPr>
              <w:tabs>
                <w:tab w:val="left" w:pos="284"/>
              </w:tabs>
              <w:jc w:val="center"/>
              <w:rPr>
                <w:b/>
                <w:bCs/>
                <w:sz w:val="22"/>
                <w:szCs w:val="22"/>
                <w:lang w:val="sr-Latn-ME"/>
              </w:rPr>
            </w:pPr>
            <w:r w:rsidRPr="009F254D">
              <w:rPr>
                <w:b/>
                <w:bCs/>
                <w:sz w:val="22"/>
                <w:szCs w:val="22"/>
                <w:lang w:val="sr-Latn-ME"/>
              </w:rPr>
              <w:t>10 mg</w:t>
            </w:r>
          </w:p>
        </w:tc>
        <w:tc>
          <w:tcPr>
            <w:tcW w:w="1307" w:type="pct"/>
            <w:tcBorders>
              <w:top w:val="single" w:sz="12" w:space="0" w:color="auto"/>
              <w:bottom w:val="single" w:sz="4" w:space="0" w:color="auto"/>
            </w:tcBorders>
          </w:tcPr>
          <w:p w14:paraId="496AE5C3" w14:textId="77777777" w:rsidR="00AC3E4D" w:rsidRPr="009F254D" w:rsidRDefault="00AC3E4D" w:rsidP="00E43FA0">
            <w:pPr>
              <w:tabs>
                <w:tab w:val="left" w:pos="284"/>
              </w:tabs>
              <w:autoSpaceDE w:val="0"/>
              <w:autoSpaceDN w:val="0"/>
              <w:adjustRightInd w:val="0"/>
              <w:jc w:val="center"/>
              <w:rPr>
                <w:b/>
                <w:bCs/>
                <w:sz w:val="22"/>
                <w:szCs w:val="22"/>
                <w:lang w:val="sr-Latn-ME"/>
              </w:rPr>
            </w:pPr>
            <w:r w:rsidRPr="009F254D">
              <w:rPr>
                <w:b/>
                <w:bCs/>
                <w:sz w:val="22"/>
                <w:szCs w:val="22"/>
                <w:lang w:val="sr-Latn-ME"/>
              </w:rPr>
              <w:t>Placebo</w:t>
            </w:r>
            <w:r w:rsidRPr="009F254D">
              <w:rPr>
                <w:sz w:val="22"/>
                <w:szCs w:val="22"/>
                <w:vertAlign w:val="superscript"/>
                <w:lang w:val="sr-Latn-ME"/>
              </w:rPr>
              <w:t>a</w:t>
            </w:r>
          </w:p>
        </w:tc>
      </w:tr>
      <w:tr w:rsidR="00AC3E4D" w:rsidRPr="009F254D" w14:paraId="3AAE9D79" w14:textId="77777777" w:rsidTr="005F1D3C">
        <w:tc>
          <w:tcPr>
            <w:tcW w:w="2231" w:type="pct"/>
            <w:tcBorders>
              <w:top w:val="single" w:sz="4" w:space="0" w:color="auto"/>
              <w:bottom w:val="single" w:sz="4" w:space="0" w:color="auto"/>
            </w:tcBorders>
          </w:tcPr>
          <w:p w14:paraId="21C14B67" w14:textId="77777777" w:rsidR="00AC3E4D" w:rsidRPr="009F254D" w:rsidRDefault="00AC3E4D" w:rsidP="00E43FA0">
            <w:pPr>
              <w:tabs>
                <w:tab w:val="left" w:pos="284"/>
              </w:tabs>
              <w:autoSpaceDE w:val="0"/>
              <w:autoSpaceDN w:val="0"/>
              <w:adjustRightInd w:val="0"/>
              <w:ind w:left="142" w:hanging="142"/>
              <w:jc w:val="both"/>
              <w:rPr>
                <w:b/>
                <w:bCs/>
                <w:sz w:val="22"/>
                <w:szCs w:val="22"/>
                <w:lang w:val="sr-Latn-ME"/>
              </w:rPr>
            </w:pPr>
            <w:r w:rsidRPr="009F254D">
              <w:rPr>
                <w:b/>
                <w:bCs/>
                <w:sz w:val="22"/>
                <w:szCs w:val="22"/>
                <w:lang w:val="sr-Latn-ME"/>
              </w:rPr>
              <w:t>N</w:t>
            </w:r>
            <w:r w:rsidRPr="009F254D">
              <w:rPr>
                <w:b/>
                <w:bCs/>
                <w:sz w:val="22"/>
                <w:szCs w:val="22"/>
                <w:vertAlign w:val="superscript"/>
                <w:lang w:val="sr-Latn-ME"/>
              </w:rPr>
              <w:t>b</w:t>
            </w:r>
          </w:p>
        </w:tc>
        <w:tc>
          <w:tcPr>
            <w:tcW w:w="1462" w:type="pct"/>
            <w:tcBorders>
              <w:top w:val="single" w:sz="4" w:space="0" w:color="auto"/>
              <w:bottom w:val="single" w:sz="4" w:space="0" w:color="auto"/>
            </w:tcBorders>
          </w:tcPr>
          <w:p w14:paraId="0F76839D" w14:textId="77777777" w:rsidR="00AC3E4D" w:rsidRPr="009F254D" w:rsidRDefault="00AC3E4D" w:rsidP="00E43FA0">
            <w:pPr>
              <w:tabs>
                <w:tab w:val="left" w:pos="284"/>
              </w:tabs>
              <w:autoSpaceDE w:val="0"/>
              <w:autoSpaceDN w:val="0"/>
              <w:adjustRightInd w:val="0"/>
              <w:jc w:val="center"/>
              <w:rPr>
                <w:b/>
                <w:sz w:val="22"/>
                <w:szCs w:val="22"/>
                <w:lang w:val="sr-Latn-ME"/>
              </w:rPr>
            </w:pPr>
            <w:r w:rsidRPr="009F254D">
              <w:rPr>
                <w:b/>
                <w:bCs/>
                <w:sz w:val="22"/>
                <w:szCs w:val="22"/>
                <w:lang w:val="sr-Latn-ME"/>
              </w:rPr>
              <w:t>159</w:t>
            </w:r>
          </w:p>
        </w:tc>
        <w:tc>
          <w:tcPr>
            <w:tcW w:w="1307" w:type="pct"/>
            <w:tcBorders>
              <w:top w:val="single" w:sz="4" w:space="0" w:color="auto"/>
              <w:bottom w:val="single" w:sz="4" w:space="0" w:color="auto"/>
            </w:tcBorders>
          </w:tcPr>
          <w:p w14:paraId="50A3E5AA" w14:textId="77777777" w:rsidR="00AC3E4D" w:rsidRPr="009F254D" w:rsidRDefault="00AC3E4D" w:rsidP="00E43FA0">
            <w:pPr>
              <w:tabs>
                <w:tab w:val="left" w:pos="284"/>
              </w:tabs>
              <w:autoSpaceDE w:val="0"/>
              <w:autoSpaceDN w:val="0"/>
              <w:adjustRightInd w:val="0"/>
              <w:jc w:val="center"/>
              <w:rPr>
                <w:b/>
                <w:sz w:val="22"/>
                <w:szCs w:val="22"/>
                <w:lang w:val="sr-Latn-ME"/>
              </w:rPr>
            </w:pPr>
            <w:r w:rsidRPr="009F254D">
              <w:rPr>
                <w:b/>
                <w:bCs/>
                <w:sz w:val="22"/>
                <w:szCs w:val="22"/>
                <w:lang w:val="sr-Latn-ME"/>
              </w:rPr>
              <w:t>161</w:t>
            </w:r>
          </w:p>
        </w:tc>
      </w:tr>
      <w:tr w:rsidR="00AC3E4D" w:rsidRPr="009F254D" w14:paraId="105F6D1E" w14:textId="77777777" w:rsidTr="005F1D3C">
        <w:tc>
          <w:tcPr>
            <w:tcW w:w="2231" w:type="pct"/>
            <w:tcBorders>
              <w:top w:val="single" w:sz="4" w:space="0" w:color="auto"/>
              <w:bottom w:val="nil"/>
            </w:tcBorders>
          </w:tcPr>
          <w:p w14:paraId="57DC0851" w14:textId="77777777" w:rsidR="00AC3E4D" w:rsidRPr="009F254D" w:rsidRDefault="00AC3E4D" w:rsidP="00E43FA0">
            <w:pPr>
              <w:tabs>
                <w:tab w:val="left" w:pos="284"/>
              </w:tabs>
              <w:jc w:val="both"/>
              <w:rPr>
                <w:b/>
                <w:bCs/>
                <w:sz w:val="22"/>
                <w:szCs w:val="22"/>
                <w:lang w:val="sr-Latn-ME"/>
              </w:rPr>
            </w:pPr>
            <w:r w:rsidRPr="009F254D">
              <w:rPr>
                <w:b/>
                <w:bCs/>
                <w:sz w:val="22"/>
                <w:szCs w:val="22"/>
                <w:lang w:val="sr-Latn-ME"/>
              </w:rPr>
              <w:t>HbA1c (%)</w:t>
            </w:r>
          </w:p>
        </w:tc>
        <w:tc>
          <w:tcPr>
            <w:tcW w:w="1462" w:type="pct"/>
            <w:tcBorders>
              <w:top w:val="single" w:sz="4" w:space="0" w:color="auto"/>
              <w:bottom w:val="nil"/>
            </w:tcBorders>
          </w:tcPr>
          <w:p w14:paraId="2F37F1B4" w14:textId="77777777" w:rsidR="00AC3E4D" w:rsidRPr="009F254D" w:rsidRDefault="00AC3E4D" w:rsidP="00E43FA0">
            <w:pPr>
              <w:tabs>
                <w:tab w:val="left" w:pos="284"/>
              </w:tabs>
              <w:autoSpaceDE w:val="0"/>
              <w:autoSpaceDN w:val="0"/>
              <w:adjustRightInd w:val="0"/>
              <w:jc w:val="both"/>
              <w:rPr>
                <w:sz w:val="22"/>
                <w:szCs w:val="22"/>
                <w:lang w:val="sr-Latn-ME"/>
              </w:rPr>
            </w:pPr>
          </w:p>
        </w:tc>
        <w:tc>
          <w:tcPr>
            <w:tcW w:w="1307" w:type="pct"/>
            <w:tcBorders>
              <w:top w:val="single" w:sz="4" w:space="0" w:color="auto"/>
              <w:bottom w:val="nil"/>
            </w:tcBorders>
          </w:tcPr>
          <w:p w14:paraId="10405DE9" w14:textId="77777777" w:rsidR="00AC3E4D" w:rsidRPr="009F254D" w:rsidRDefault="00AC3E4D" w:rsidP="00E43FA0">
            <w:pPr>
              <w:tabs>
                <w:tab w:val="left" w:pos="284"/>
              </w:tabs>
              <w:autoSpaceDE w:val="0"/>
              <w:autoSpaceDN w:val="0"/>
              <w:adjustRightInd w:val="0"/>
              <w:jc w:val="both"/>
              <w:rPr>
                <w:sz w:val="22"/>
                <w:szCs w:val="22"/>
                <w:lang w:val="sr-Latn-ME"/>
              </w:rPr>
            </w:pPr>
          </w:p>
        </w:tc>
      </w:tr>
      <w:tr w:rsidR="00AC3E4D" w:rsidRPr="009F254D" w14:paraId="4E584587" w14:textId="77777777" w:rsidTr="005F1D3C">
        <w:tc>
          <w:tcPr>
            <w:tcW w:w="2231" w:type="pct"/>
            <w:tcBorders>
              <w:top w:val="nil"/>
              <w:bottom w:val="nil"/>
            </w:tcBorders>
          </w:tcPr>
          <w:p w14:paraId="37E9D797" w14:textId="77777777" w:rsidR="00AC3E4D" w:rsidRPr="009F254D" w:rsidRDefault="00AC3E4D" w:rsidP="00E43FA0">
            <w:pPr>
              <w:tabs>
                <w:tab w:val="left" w:pos="284"/>
              </w:tabs>
              <w:jc w:val="both"/>
              <w:rPr>
                <w:b/>
                <w:bCs/>
                <w:sz w:val="22"/>
                <w:szCs w:val="22"/>
                <w:lang w:val="sr-Latn-ME"/>
              </w:rPr>
            </w:pPr>
            <w:r w:rsidRPr="009F254D">
              <w:rPr>
                <w:sz w:val="22"/>
                <w:szCs w:val="22"/>
                <w:lang w:val="sr-Latn-ME"/>
              </w:rPr>
              <w:t>Početna vrijednost (srednja)</w:t>
            </w:r>
          </w:p>
        </w:tc>
        <w:tc>
          <w:tcPr>
            <w:tcW w:w="1462" w:type="pct"/>
            <w:tcBorders>
              <w:top w:val="nil"/>
              <w:bottom w:val="nil"/>
            </w:tcBorders>
          </w:tcPr>
          <w:p w14:paraId="21007E78" w14:textId="77777777" w:rsidR="00AC3E4D" w:rsidRPr="009F254D" w:rsidRDefault="00AC3E4D" w:rsidP="00E43FA0">
            <w:pPr>
              <w:tabs>
                <w:tab w:val="left" w:pos="284"/>
              </w:tabs>
              <w:autoSpaceDE w:val="0"/>
              <w:autoSpaceDN w:val="0"/>
              <w:adjustRightInd w:val="0"/>
              <w:ind w:firstLine="142"/>
              <w:jc w:val="center"/>
              <w:rPr>
                <w:sz w:val="22"/>
                <w:szCs w:val="22"/>
                <w:lang w:val="sr-Latn-ME"/>
              </w:rPr>
            </w:pPr>
            <w:r w:rsidRPr="009F254D">
              <w:rPr>
                <w:sz w:val="22"/>
                <w:szCs w:val="22"/>
                <w:lang w:val="sr-Latn-ME"/>
              </w:rPr>
              <w:t>8,35</w:t>
            </w:r>
          </w:p>
        </w:tc>
        <w:tc>
          <w:tcPr>
            <w:tcW w:w="1307" w:type="pct"/>
            <w:tcBorders>
              <w:top w:val="nil"/>
              <w:bottom w:val="nil"/>
            </w:tcBorders>
          </w:tcPr>
          <w:p w14:paraId="2B00876E" w14:textId="77777777" w:rsidR="00AC3E4D" w:rsidRPr="009F254D" w:rsidRDefault="00AC3E4D" w:rsidP="00E43FA0">
            <w:pPr>
              <w:tabs>
                <w:tab w:val="left" w:pos="284"/>
              </w:tabs>
              <w:autoSpaceDE w:val="0"/>
              <w:autoSpaceDN w:val="0"/>
              <w:adjustRightInd w:val="0"/>
              <w:jc w:val="center"/>
              <w:rPr>
                <w:sz w:val="22"/>
                <w:szCs w:val="22"/>
                <w:lang w:val="sr-Latn-ME"/>
              </w:rPr>
            </w:pPr>
            <w:r w:rsidRPr="009F254D">
              <w:rPr>
                <w:sz w:val="22"/>
                <w:szCs w:val="22"/>
                <w:lang w:val="sr-Latn-ME"/>
              </w:rPr>
              <w:t>8,03</w:t>
            </w:r>
          </w:p>
        </w:tc>
      </w:tr>
      <w:tr w:rsidR="00AC3E4D" w:rsidRPr="009F254D" w14:paraId="70DB96BE" w14:textId="77777777" w:rsidTr="005F1D3C">
        <w:tc>
          <w:tcPr>
            <w:tcW w:w="2231" w:type="pct"/>
            <w:tcBorders>
              <w:top w:val="nil"/>
              <w:bottom w:val="nil"/>
            </w:tcBorders>
          </w:tcPr>
          <w:p w14:paraId="2B701938" w14:textId="77777777" w:rsidR="00AC3E4D" w:rsidRPr="009F254D" w:rsidRDefault="00AC3E4D" w:rsidP="00E43FA0">
            <w:pPr>
              <w:tabs>
                <w:tab w:val="left" w:pos="284"/>
              </w:tabs>
              <w:jc w:val="both"/>
              <w:rPr>
                <w:b/>
                <w:bCs/>
                <w:sz w:val="22"/>
                <w:szCs w:val="22"/>
                <w:lang w:val="sr-Latn-ME"/>
              </w:rPr>
            </w:pPr>
            <w:r w:rsidRPr="009F254D">
              <w:rPr>
                <w:sz w:val="22"/>
                <w:szCs w:val="22"/>
                <w:lang w:val="sr-Latn-ME"/>
              </w:rPr>
              <w:t>Promjena u odnosu na početnu vrijednost</w:t>
            </w:r>
            <w:r w:rsidRPr="009F254D">
              <w:rPr>
                <w:sz w:val="22"/>
                <w:szCs w:val="22"/>
                <w:vertAlign w:val="superscript"/>
                <w:lang w:val="sr-Latn-ME"/>
              </w:rPr>
              <w:t>b</w:t>
            </w:r>
          </w:p>
        </w:tc>
        <w:tc>
          <w:tcPr>
            <w:tcW w:w="1462" w:type="pct"/>
            <w:tcBorders>
              <w:top w:val="nil"/>
              <w:bottom w:val="nil"/>
            </w:tcBorders>
          </w:tcPr>
          <w:p w14:paraId="068456A2" w14:textId="77777777" w:rsidR="00AC3E4D" w:rsidRPr="009F254D" w:rsidRDefault="00AC3E4D" w:rsidP="00E43FA0">
            <w:pPr>
              <w:tabs>
                <w:tab w:val="left" w:pos="284"/>
              </w:tabs>
              <w:autoSpaceDE w:val="0"/>
              <w:autoSpaceDN w:val="0"/>
              <w:adjustRightInd w:val="0"/>
              <w:jc w:val="center"/>
              <w:rPr>
                <w:sz w:val="22"/>
                <w:szCs w:val="22"/>
                <w:vertAlign w:val="superscript"/>
                <w:lang w:val="sr-Latn-ME"/>
              </w:rPr>
            </w:pPr>
            <w:r w:rsidRPr="009F254D">
              <w:rPr>
                <w:sz w:val="22"/>
                <w:szCs w:val="22"/>
                <w:lang w:val="sr-Latn-ME"/>
              </w:rPr>
              <w:noBreakHyphen/>
              <w:t>0,37</w:t>
            </w:r>
          </w:p>
        </w:tc>
        <w:tc>
          <w:tcPr>
            <w:tcW w:w="1307" w:type="pct"/>
            <w:tcBorders>
              <w:top w:val="nil"/>
              <w:bottom w:val="nil"/>
            </w:tcBorders>
          </w:tcPr>
          <w:p w14:paraId="1DFC3DCD" w14:textId="77777777" w:rsidR="00AC3E4D" w:rsidRPr="009F254D" w:rsidRDefault="00AC3E4D" w:rsidP="00E43FA0">
            <w:pPr>
              <w:tabs>
                <w:tab w:val="left" w:pos="284"/>
              </w:tabs>
              <w:autoSpaceDE w:val="0"/>
              <w:autoSpaceDN w:val="0"/>
              <w:adjustRightInd w:val="0"/>
              <w:jc w:val="center"/>
              <w:rPr>
                <w:sz w:val="22"/>
                <w:szCs w:val="22"/>
                <w:lang w:val="sr-Latn-ME"/>
              </w:rPr>
            </w:pPr>
            <w:r w:rsidRPr="009F254D">
              <w:rPr>
                <w:sz w:val="22"/>
                <w:szCs w:val="22"/>
                <w:lang w:val="sr-Latn-ME"/>
              </w:rPr>
              <w:noBreakHyphen/>
              <w:t>0,03</w:t>
            </w:r>
          </w:p>
        </w:tc>
      </w:tr>
      <w:tr w:rsidR="00AC3E4D" w:rsidRPr="009F254D" w14:paraId="37BCB66C" w14:textId="77777777" w:rsidTr="005F1D3C">
        <w:tc>
          <w:tcPr>
            <w:tcW w:w="2231" w:type="pct"/>
            <w:tcBorders>
              <w:top w:val="nil"/>
              <w:bottom w:val="single" w:sz="4" w:space="0" w:color="auto"/>
            </w:tcBorders>
          </w:tcPr>
          <w:p w14:paraId="3332FCD9" w14:textId="77777777" w:rsidR="00AC3E4D" w:rsidRPr="009F254D" w:rsidRDefault="00AC3E4D" w:rsidP="00E43FA0">
            <w:pPr>
              <w:tabs>
                <w:tab w:val="left" w:pos="284"/>
              </w:tabs>
              <w:ind w:left="34" w:hanging="34"/>
              <w:jc w:val="both"/>
              <w:rPr>
                <w:sz w:val="22"/>
                <w:szCs w:val="22"/>
                <w:lang w:val="sr-Latn-ME"/>
              </w:rPr>
            </w:pPr>
            <w:r w:rsidRPr="009F254D">
              <w:rPr>
                <w:sz w:val="22"/>
                <w:szCs w:val="22"/>
                <w:lang w:val="sr-Latn-ME"/>
              </w:rPr>
              <w:t>Razlika u odnosu na placebo</w:t>
            </w:r>
            <w:r w:rsidRPr="009F254D">
              <w:rPr>
                <w:sz w:val="22"/>
                <w:szCs w:val="22"/>
                <w:vertAlign w:val="superscript"/>
                <w:lang w:val="sr-Latn-ME"/>
              </w:rPr>
              <w:t>b</w:t>
            </w:r>
          </w:p>
          <w:p w14:paraId="461AD431" w14:textId="77777777" w:rsidR="00AC3E4D" w:rsidRPr="009F254D" w:rsidRDefault="00AC3E4D" w:rsidP="00E43FA0">
            <w:pPr>
              <w:tabs>
                <w:tab w:val="left" w:pos="284"/>
              </w:tabs>
              <w:jc w:val="both"/>
              <w:rPr>
                <w:b/>
                <w:bCs/>
                <w:sz w:val="22"/>
                <w:szCs w:val="22"/>
                <w:lang w:val="sr-Latn-ME"/>
              </w:rPr>
            </w:pPr>
            <w:r w:rsidRPr="009F254D">
              <w:rPr>
                <w:sz w:val="22"/>
                <w:szCs w:val="22"/>
                <w:lang w:val="sr-Latn-ME"/>
              </w:rPr>
              <w:t xml:space="preserve">    (95% CI)</w:t>
            </w:r>
          </w:p>
        </w:tc>
        <w:tc>
          <w:tcPr>
            <w:tcW w:w="1462" w:type="pct"/>
            <w:tcBorders>
              <w:top w:val="nil"/>
              <w:bottom w:val="single" w:sz="4" w:space="0" w:color="auto"/>
            </w:tcBorders>
          </w:tcPr>
          <w:p w14:paraId="0E4B40F5" w14:textId="77777777" w:rsidR="00AC3E4D" w:rsidRPr="009F254D" w:rsidRDefault="00AC3E4D" w:rsidP="00E43FA0">
            <w:pPr>
              <w:tabs>
                <w:tab w:val="left" w:pos="284"/>
              </w:tabs>
              <w:autoSpaceDE w:val="0"/>
              <w:autoSpaceDN w:val="0"/>
              <w:adjustRightInd w:val="0"/>
              <w:ind w:firstLine="142"/>
              <w:jc w:val="center"/>
              <w:rPr>
                <w:sz w:val="22"/>
                <w:szCs w:val="22"/>
                <w:lang w:val="sr-Latn-ME"/>
              </w:rPr>
            </w:pPr>
            <w:r w:rsidRPr="009F254D">
              <w:rPr>
                <w:sz w:val="22"/>
                <w:szCs w:val="22"/>
                <w:lang w:val="sr-Latn-ME"/>
              </w:rPr>
              <w:noBreakHyphen/>
              <w:t>0,34</w:t>
            </w:r>
            <w:r w:rsidRPr="009F254D">
              <w:rPr>
                <w:sz w:val="22"/>
                <w:szCs w:val="22"/>
                <w:vertAlign w:val="superscript"/>
                <w:lang w:val="sr-Latn-ME"/>
              </w:rPr>
              <w:t>*</w:t>
            </w:r>
          </w:p>
          <w:p w14:paraId="7807B2B8" w14:textId="77777777" w:rsidR="00AC3E4D" w:rsidRPr="009F254D" w:rsidRDefault="00AC3E4D" w:rsidP="00E43FA0">
            <w:pPr>
              <w:tabs>
                <w:tab w:val="left" w:pos="284"/>
              </w:tabs>
              <w:autoSpaceDE w:val="0"/>
              <w:autoSpaceDN w:val="0"/>
              <w:adjustRightInd w:val="0"/>
              <w:jc w:val="center"/>
              <w:rPr>
                <w:sz w:val="22"/>
                <w:szCs w:val="22"/>
                <w:lang w:val="sr-Latn-ME"/>
              </w:rPr>
            </w:pPr>
            <w:r w:rsidRPr="009F254D">
              <w:rPr>
                <w:sz w:val="22"/>
                <w:szCs w:val="22"/>
                <w:lang w:val="sr-Latn-ME"/>
              </w:rPr>
              <w:t>(</w:t>
            </w:r>
            <w:r w:rsidRPr="009F254D">
              <w:rPr>
                <w:sz w:val="22"/>
                <w:szCs w:val="22"/>
                <w:lang w:val="sr-Latn-ME"/>
              </w:rPr>
              <w:noBreakHyphen/>
              <w:t xml:space="preserve">0,53, </w:t>
            </w:r>
            <w:r w:rsidRPr="009F254D">
              <w:rPr>
                <w:sz w:val="22"/>
                <w:szCs w:val="22"/>
                <w:lang w:val="sr-Latn-ME"/>
              </w:rPr>
              <w:noBreakHyphen/>
              <w:t>0,15)</w:t>
            </w:r>
          </w:p>
        </w:tc>
        <w:tc>
          <w:tcPr>
            <w:tcW w:w="1307" w:type="pct"/>
            <w:tcBorders>
              <w:top w:val="nil"/>
              <w:bottom w:val="single" w:sz="4" w:space="0" w:color="auto"/>
            </w:tcBorders>
          </w:tcPr>
          <w:p w14:paraId="5A603421" w14:textId="77777777" w:rsidR="00AC3E4D" w:rsidRPr="009F254D" w:rsidRDefault="00AC3E4D" w:rsidP="00E43FA0">
            <w:pPr>
              <w:tabs>
                <w:tab w:val="left" w:pos="284"/>
              </w:tabs>
              <w:autoSpaceDE w:val="0"/>
              <w:autoSpaceDN w:val="0"/>
              <w:adjustRightInd w:val="0"/>
              <w:jc w:val="center"/>
              <w:rPr>
                <w:sz w:val="22"/>
                <w:szCs w:val="22"/>
                <w:lang w:val="sr-Latn-ME"/>
              </w:rPr>
            </w:pPr>
          </w:p>
        </w:tc>
      </w:tr>
      <w:tr w:rsidR="00AC3E4D" w:rsidRPr="009F254D" w14:paraId="17E82F40" w14:textId="77777777" w:rsidTr="005F1D3C">
        <w:tc>
          <w:tcPr>
            <w:tcW w:w="2231" w:type="pct"/>
            <w:tcBorders>
              <w:top w:val="single" w:sz="4" w:space="0" w:color="auto"/>
              <w:bottom w:val="nil"/>
              <w:right w:val="nil"/>
            </w:tcBorders>
          </w:tcPr>
          <w:p w14:paraId="5DAF1E4E" w14:textId="77777777" w:rsidR="00AC3E4D" w:rsidRPr="009F254D" w:rsidRDefault="00AC3E4D" w:rsidP="00E43FA0">
            <w:pPr>
              <w:tabs>
                <w:tab w:val="left" w:pos="284"/>
              </w:tabs>
              <w:autoSpaceDE w:val="0"/>
              <w:autoSpaceDN w:val="0"/>
              <w:adjustRightInd w:val="0"/>
              <w:ind w:left="142" w:hanging="142"/>
              <w:jc w:val="both"/>
              <w:rPr>
                <w:b/>
                <w:bCs/>
                <w:sz w:val="22"/>
                <w:szCs w:val="22"/>
                <w:lang w:val="sr-Latn-ME"/>
              </w:rPr>
            </w:pPr>
            <w:r w:rsidRPr="009F254D">
              <w:rPr>
                <w:b/>
                <w:bCs/>
                <w:sz w:val="22"/>
                <w:szCs w:val="22"/>
                <w:lang w:val="sr-Latn-ME"/>
              </w:rPr>
              <w:t>Tjelesna masa (kg)</w:t>
            </w:r>
          </w:p>
        </w:tc>
        <w:tc>
          <w:tcPr>
            <w:tcW w:w="1462" w:type="pct"/>
            <w:tcBorders>
              <w:top w:val="single" w:sz="4" w:space="0" w:color="auto"/>
              <w:left w:val="nil"/>
              <w:bottom w:val="nil"/>
              <w:right w:val="nil"/>
            </w:tcBorders>
          </w:tcPr>
          <w:p w14:paraId="222A84B5" w14:textId="77777777" w:rsidR="00AC3E4D" w:rsidRPr="009F254D" w:rsidRDefault="00AC3E4D" w:rsidP="00E43FA0">
            <w:pPr>
              <w:tabs>
                <w:tab w:val="left" w:pos="284"/>
              </w:tabs>
              <w:autoSpaceDE w:val="0"/>
              <w:autoSpaceDN w:val="0"/>
              <w:adjustRightInd w:val="0"/>
              <w:jc w:val="center"/>
              <w:rPr>
                <w:sz w:val="22"/>
                <w:szCs w:val="22"/>
                <w:lang w:val="sr-Latn-ME"/>
              </w:rPr>
            </w:pPr>
          </w:p>
        </w:tc>
        <w:tc>
          <w:tcPr>
            <w:tcW w:w="1307" w:type="pct"/>
            <w:tcBorders>
              <w:top w:val="single" w:sz="4" w:space="0" w:color="auto"/>
              <w:left w:val="nil"/>
              <w:bottom w:val="nil"/>
            </w:tcBorders>
          </w:tcPr>
          <w:p w14:paraId="5431DC95" w14:textId="77777777" w:rsidR="00AC3E4D" w:rsidRPr="009F254D" w:rsidRDefault="00AC3E4D" w:rsidP="00E43FA0">
            <w:pPr>
              <w:tabs>
                <w:tab w:val="left" w:pos="284"/>
              </w:tabs>
              <w:autoSpaceDE w:val="0"/>
              <w:autoSpaceDN w:val="0"/>
              <w:adjustRightInd w:val="0"/>
              <w:jc w:val="center"/>
              <w:rPr>
                <w:sz w:val="22"/>
                <w:szCs w:val="22"/>
                <w:lang w:val="sr-Latn-ME"/>
              </w:rPr>
            </w:pPr>
          </w:p>
        </w:tc>
      </w:tr>
      <w:tr w:rsidR="00AC3E4D" w:rsidRPr="009F254D" w14:paraId="5CB336F6" w14:textId="77777777" w:rsidTr="005F1D3C">
        <w:tc>
          <w:tcPr>
            <w:tcW w:w="2231" w:type="pct"/>
            <w:tcBorders>
              <w:top w:val="nil"/>
              <w:bottom w:val="nil"/>
              <w:right w:val="nil"/>
            </w:tcBorders>
          </w:tcPr>
          <w:p w14:paraId="41696C0A" w14:textId="77777777" w:rsidR="00AC3E4D" w:rsidRPr="009F254D" w:rsidRDefault="00AC3E4D" w:rsidP="00E43FA0">
            <w:pPr>
              <w:tabs>
                <w:tab w:val="left" w:pos="284"/>
              </w:tabs>
              <w:autoSpaceDE w:val="0"/>
              <w:autoSpaceDN w:val="0"/>
              <w:adjustRightInd w:val="0"/>
              <w:ind w:left="142" w:hanging="142"/>
              <w:jc w:val="both"/>
              <w:rPr>
                <w:b/>
                <w:sz w:val="22"/>
                <w:szCs w:val="22"/>
                <w:lang w:val="sr-Latn-ME"/>
              </w:rPr>
            </w:pPr>
            <w:r w:rsidRPr="009F254D">
              <w:rPr>
                <w:sz w:val="22"/>
                <w:szCs w:val="22"/>
                <w:lang w:val="sr-Latn-ME"/>
              </w:rPr>
              <w:t>Početna vrijednost (srednja)</w:t>
            </w:r>
          </w:p>
        </w:tc>
        <w:tc>
          <w:tcPr>
            <w:tcW w:w="1462" w:type="pct"/>
            <w:tcBorders>
              <w:top w:val="nil"/>
              <w:left w:val="nil"/>
              <w:bottom w:val="nil"/>
              <w:right w:val="nil"/>
            </w:tcBorders>
          </w:tcPr>
          <w:p w14:paraId="0462818B" w14:textId="77777777" w:rsidR="00AC3E4D" w:rsidRPr="009F254D" w:rsidRDefault="00AC3E4D" w:rsidP="00E43FA0">
            <w:pPr>
              <w:tabs>
                <w:tab w:val="left" w:pos="284"/>
              </w:tabs>
              <w:autoSpaceDE w:val="0"/>
              <w:autoSpaceDN w:val="0"/>
              <w:adjustRightInd w:val="0"/>
              <w:jc w:val="center"/>
              <w:rPr>
                <w:sz w:val="22"/>
                <w:szCs w:val="22"/>
                <w:lang w:val="sr-Latn-ME"/>
              </w:rPr>
            </w:pPr>
            <w:r w:rsidRPr="009F254D">
              <w:rPr>
                <w:sz w:val="22"/>
                <w:szCs w:val="22"/>
                <w:lang w:val="sr-Latn-ME"/>
              </w:rPr>
              <w:t>92,51</w:t>
            </w:r>
          </w:p>
        </w:tc>
        <w:tc>
          <w:tcPr>
            <w:tcW w:w="1307" w:type="pct"/>
            <w:tcBorders>
              <w:top w:val="nil"/>
              <w:left w:val="nil"/>
              <w:bottom w:val="nil"/>
            </w:tcBorders>
          </w:tcPr>
          <w:p w14:paraId="52107707" w14:textId="77777777" w:rsidR="00AC3E4D" w:rsidRPr="009F254D" w:rsidRDefault="00AC3E4D" w:rsidP="00E43FA0">
            <w:pPr>
              <w:tabs>
                <w:tab w:val="left" w:pos="284"/>
              </w:tabs>
              <w:autoSpaceDE w:val="0"/>
              <w:autoSpaceDN w:val="0"/>
              <w:adjustRightInd w:val="0"/>
              <w:jc w:val="center"/>
              <w:rPr>
                <w:sz w:val="22"/>
                <w:szCs w:val="22"/>
                <w:lang w:val="sr-Latn-ME"/>
              </w:rPr>
            </w:pPr>
            <w:r w:rsidRPr="009F254D">
              <w:rPr>
                <w:sz w:val="22"/>
                <w:szCs w:val="22"/>
                <w:lang w:val="sr-Latn-ME"/>
              </w:rPr>
              <w:t>88,30</w:t>
            </w:r>
          </w:p>
        </w:tc>
      </w:tr>
      <w:tr w:rsidR="00AC3E4D" w:rsidRPr="009F254D" w14:paraId="633347F9" w14:textId="77777777" w:rsidTr="005F1D3C">
        <w:tc>
          <w:tcPr>
            <w:tcW w:w="2231" w:type="pct"/>
            <w:tcBorders>
              <w:top w:val="nil"/>
              <w:bottom w:val="nil"/>
              <w:right w:val="nil"/>
            </w:tcBorders>
          </w:tcPr>
          <w:p w14:paraId="62505907" w14:textId="77777777" w:rsidR="00AC3E4D" w:rsidRPr="009F254D" w:rsidRDefault="00AC3E4D" w:rsidP="00E43FA0">
            <w:pPr>
              <w:tabs>
                <w:tab w:val="left" w:pos="284"/>
              </w:tabs>
              <w:autoSpaceDE w:val="0"/>
              <w:autoSpaceDN w:val="0"/>
              <w:adjustRightInd w:val="0"/>
              <w:jc w:val="both"/>
              <w:rPr>
                <w:sz w:val="22"/>
                <w:szCs w:val="22"/>
                <w:lang w:val="sr-Latn-ME"/>
              </w:rPr>
            </w:pPr>
            <w:r w:rsidRPr="009F254D">
              <w:rPr>
                <w:sz w:val="22"/>
                <w:szCs w:val="22"/>
                <w:lang w:val="sr-Latn-ME"/>
              </w:rPr>
              <w:lastRenderedPageBreak/>
              <w:t>Procentualna promjena u odnosu na početnu vrijednost</w:t>
            </w:r>
            <w:r w:rsidRPr="009F254D">
              <w:rPr>
                <w:sz w:val="22"/>
                <w:szCs w:val="22"/>
                <w:vertAlign w:val="superscript"/>
                <w:lang w:val="sr-Latn-ME"/>
              </w:rPr>
              <w:t>c</w:t>
            </w:r>
          </w:p>
        </w:tc>
        <w:tc>
          <w:tcPr>
            <w:tcW w:w="1462" w:type="pct"/>
            <w:tcBorders>
              <w:top w:val="nil"/>
              <w:left w:val="nil"/>
              <w:bottom w:val="nil"/>
              <w:right w:val="nil"/>
            </w:tcBorders>
          </w:tcPr>
          <w:p w14:paraId="1E260DFF" w14:textId="77777777" w:rsidR="003F448C" w:rsidRPr="009F254D" w:rsidRDefault="003F448C" w:rsidP="00E43FA0">
            <w:pPr>
              <w:tabs>
                <w:tab w:val="left" w:pos="284"/>
              </w:tabs>
              <w:autoSpaceDE w:val="0"/>
              <w:autoSpaceDN w:val="0"/>
              <w:adjustRightInd w:val="0"/>
              <w:jc w:val="center"/>
              <w:rPr>
                <w:sz w:val="22"/>
                <w:szCs w:val="22"/>
                <w:lang w:val="sr-Latn-ME"/>
              </w:rPr>
            </w:pPr>
          </w:p>
          <w:p w14:paraId="3F743D55" w14:textId="70CDB1AC" w:rsidR="00AC3E4D" w:rsidRPr="009F254D" w:rsidRDefault="00AC3E4D" w:rsidP="00E43FA0">
            <w:pPr>
              <w:tabs>
                <w:tab w:val="left" w:pos="284"/>
              </w:tabs>
              <w:autoSpaceDE w:val="0"/>
              <w:autoSpaceDN w:val="0"/>
              <w:adjustRightInd w:val="0"/>
              <w:jc w:val="center"/>
              <w:rPr>
                <w:sz w:val="22"/>
                <w:szCs w:val="22"/>
                <w:lang w:val="sr-Latn-ME"/>
              </w:rPr>
            </w:pPr>
            <w:r w:rsidRPr="009F254D">
              <w:rPr>
                <w:sz w:val="22"/>
                <w:szCs w:val="22"/>
                <w:lang w:val="sr-Latn-ME"/>
              </w:rPr>
              <w:t>-3,42</w:t>
            </w:r>
          </w:p>
        </w:tc>
        <w:tc>
          <w:tcPr>
            <w:tcW w:w="1307" w:type="pct"/>
            <w:tcBorders>
              <w:top w:val="nil"/>
              <w:left w:val="nil"/>
              <w:bottom w:val="nil"/>
            </w:tcBorders>
          </w:tcPr>
          <w:p w14:paraId="6A2974CF" w14:textId="77777777" w:rsidR="003F448C" w:rsidRPr="009F254D" w:rsidRDefault="003F448C" w:rsidP="00E43FA0">
            <w:pPr>
              <w:tabs>
                <w:tab w:val="left" w:pos="284"/>
              </w:tabs>
              <w:autoSpaceDE w:val="0"/>
              <w:autoSpaceDN w:val="0"/>
              <w:adjustRightInd w:val="0"/>
              <w:jc w:val="center"/>
              <w:rPr>
                <w:sz w:val="22"/>
                <w:szCs w:val="22"/>
                <w:lang w:val="sr-Latn-ME"/>
              </w:rPr>
            </w:pPr>
          </w:p>
          <w:p w14:paraId="6961ACE9" w14:textId="3535C092" w:rsidR="00AC3E4D" w:rsidRPr="009F254D" w:rsidRDefault="00AC3E4D" w:rsidP="00E43FA0">
            <w:pPr>
              <w:tabs>
                <w:tab w:val="left" w:pos="284"/>
              </w:tabs>
              <w:autoSpaceDE w:val="0"/>
              <w:autoSpaceDN w:val="0"/>
              <w:adjustRightInd w:val="0"/>
              <w:jc w:val="center"/>
              <w:rPr>
                <w:sz w:val="22"/>
                <w:szCs w:val="22"/>
                <w:lang w:val="sr-Latn-ME"/>
              </w:rPr>
            </w:pPr>
            <w:r w:rsidRPr="009F254D">
              <w:rPr>
                <w:sz w:val="22"/>
                <w:szCs w:val="22"/>
                <w:lang w:val="sr-Latn-ME"/>
              </w:rPr>
              <w:t>-2,02</w:t>
            </w:r>
          </w:p>
        </w:tc>
      </w:tr>
      <w:tr w:rsidR="00AC3E4D" w:rsidRPr="009F254D" w14:paraId="3A2A47F7" w14:textId="77777777" w:rsidTr="005F1D3C">
        <w:tc>
          <w:tcPr>
            <w:tcW w:w="2231" w:type="pct"/>
            <w:tcBorders>
              <w:top w:val="nil"/>
              <w:bottom w:val="single" w:sz="4" w:space="0" w:color="auto"/>
              <w:right w:val="nil"/>
            </w:tcBorders>
          </w:tcPr>
          <w:p w14:paraId="415D19C9" w14:textId="77777777" w:rsidR="00AC3E4D" w:rsidRPr="009F254D" w:rsidRDefault="00AC3E4D" w:rsidP="00E43FA0">
            <w:pPr>
              <w:tabs>
                <w:tab w:val="left" w:pos="284"/>
              </w:tabs>
              <w:ind w:left="34" w:hanging="34"/>
              <w:jc w:val="both"/>
              <w:rPr>
                <w:sz w:val="22"/>
                <w:szCs w:val="22"/>
                <w:lang w:val="sr-Latn-ME"/>
              </w:rPr>
            </w:pPr>
            <w:r w:rsidRPr="009F254D">
              <w:rPr>
                <w:sz w:val="22"/>
                <w:szCs w:val="22"/>
                <w:lang w:val="sr-Latn-ME"/>
              </w:rPr>
              <w:t>Razlika u procentualnoj promjeni u odnosu na placebo</w:t>
            </w:r>
            <w:r w:rsidRPr="009F254D">
              <w:rPr>
                <w:sz w:val="22"/>
                <w:szCs w:val="22"/>
                <w:vertAlign w:val="superscript"/>
                <w:lang w:val="sr-Latn-ME"/>
              </w:rPr>
              <w:t>c</w:t>
            </w:r>
          </w:p>
          <w:p w14:paraId="2BB3174D" w14:textId="77777777" w:rsidR="00AC3E4D" w:rsidRPr="009F254D" w:rsidRDefault="00AC3E4D" w:rsidP="00E43FA0">
            <w:pPr>
              <w:tabs>
                <w:tab w:val="left" w:pos="284"/>
              </w:tabs>
              <w:autoSpaceDE w:val="0"/>
              <w:autoSpaceDN w:val="0"/>
              <w:adjustRightInd w:val="0"/>
              <w:ind w:left="142" w:hanging="142"/>
              <w:jc w:val="both"/>
              <w:rPr>
                <w:sz w:val="22"/>
                <w:szCs w:val="22"/>
                <w:lang w:val="sr-Latn-ME"/>
              </w:rPr>
            </w:pPr>
            <w:r w:rsidRPr="009F254D">
              <w:rPr>
                <w:sz w:val="22"/>
                <w:szCs w:val="22"/>
                <w:lang w:val="sr-Latn-ME"/>
              </w:rPr>
              <w:t xml:space="preserve">    (95% CI)</w:t>
            </w:r>
          </w:p>
        </w:tc>
        <w:tc>
          <w:tcPr>
            <w:tcW w:w="1462" w:type="pct"/>
            <w:tcBorders>
              <w:top w:val="nil"/>
              <w:left w:val="nil"/>
              <w:bottom w:val="single" w:sz="4" w:space="0" w:color="auto"/>
              <w:right w:val="nil"/>
            </w:tcBorders>
          </w:tcPr>
          <w:p w14:paraId="26CA8BA3" w14:textId="77777777" w:rsidR="003F448C" w:rsidRPr="009F254D" w:rsidRDefault="003F448C" w:rsidP="00E43FA0">
            <w:pPr>
              <w:jc w:val="center"/>
              <w:rPr>
                <w:sz w:val="22"/>
                <w:szCs w:val="22"/>
                <w:lang w:val="sr-Latn-ME"/>
              </w:rPr>
            </w:pPr>
          </w:p>
          <w:p w14:paraId="1091B24D" w14:textId="1E4A6327" w:rsidR="00AC3E4D" w:rsidRPr="009F254D" w:rsidRDefault="00AC3E4D" w:rsidP="00E43FA0">
            <w:pPr>
              <w:jc w:val="center"/>
              <w:rPr>
                <w:sz w:val="22"/>
                <w:szCs w:val="22"/>
                <w:lang w:val="sr-Latn-ME"/>
              </w:rPr>
            </w:pPr>
            <w:r w:rsidRPr="009F254D">
              <w:rPr>
                <w:sz w:val="22"/>
                <w:szCs w:val="22"/>
                <w:lang w:val="sr-Latn-ME"/>
              </w:rPr>
              <w:t>-1,43</w:t>
            </w:r>
            <w:r w:rsidRPr="009F254D">
              <w:rPr>
                <w:sz w:val="22"/>
                <w:szCs w:val="22"/>
                <w:vertAlign w:val="superscript"/>
                <w:lang w:val="sr-Latn-ME"/>
              </w:rPr>
              <w:t>*</w:t>
            </w:r>
          </w:p>
          <w:p w14:paraId="6F63DA71" w14:textId="77777777" w:rsidR="00AC3E4D" w:rsidRPr="009F254D" w:rsidRDefault="00AC3E4D" w:rsidP="00E43FA0">
            <w:pPr>
              <w:tabs>
                <w:tab w:val="left" w:pos="284"/>
              </w:tabs>
              <w:autoSpaceDE w:val="0"/>
              <w:autoSpaceDN w:val="0"/>
              <w:adjustRightInd w:val="0"/>
              <w:jc w:val="center"/>
              <w:rPr>
                <w:sz w:val="22"/>
                <w:szCs w:val="22"/>
                <w:lang w:val="sr-Latn-ME"/>
              </w:rPr>
            </w:pPr>
            <w:r w:rsidRPr="009F254D">
              <w:rPr>
                <w:sz w:val="22"/>
                <w:szCs w:val="22"/>
                <w:lang w:val="sr-Latn-ME"/>
              </w:rPr>
              <w:t>(-2,15, -0,69)</w:t>
            </w:r>
          </w:p>
        </w:tc>
        <w:tc>
          <w:tcPr>
            <w:tcW w:w="1307" w:type="pct"/>
            <w:tcBorders>
              <w:top w:val="nil"/>
              <w:left w:val="nil"/>
              <w:bottom w:val="single" w:sz="4" w:space="0" w:color="auto"/>
            </w:tcBorders>
          </w:tcPr>
          <w:p w14:paraId="64C023CC" w14:textId="77777777" w:rsidR="00AC3E4D" w:rsidRPr="009F254D" w:rsidRDefault="00AC3E4D" w:rsidP="00E43FA0">
            <w:pPr>
              <w:tabs>
                <w:tab w:val="left" w:pos="284"/>
              </w:tabs>
              <w:autoSpaceDE w:val="0"/>
              <w:autoSpaceDN w:val="0"/>
              <w:adjustRightInd w:val="0"/>
              <w:jc w:val="center"/>
              <w:rPr>
                <w:sz w:val="22"/>
                <w:szCs w:val="22"/>
                <w:lang w:val="sr-Latn-ME"/>
              </w:rPr>
            </w:pPr>
          </w:p>
        </w:tc>
      </w:tr>
      <w:tr w:rsidR="00AC3E4D" w:rsidRPr="009F254D" w14:paraId="54FA580C" w14:textId="77777777" w:rsidTr="005F1D3C">
        <w:tc>
          <w:tcPr>
            <w:tcW w:w="5000" w:type="pct"/>
            <w:gridSpan w:val="3"/>
            <w:tcBorders>
              <w:top w:val="single" w:sz="4" w:space="0" w:color="auto"/>
              <w:bottom w:val="nil"/>
            </w:tcBorders>
          </w:tcPr>
          <w:p w14:paraId="03179611" w14:textId="77777777" w:rsidR="00AC3E4D" w:rsidRPr="00E43FA0" w:rsidRDefault="00AC3E4D" w:rsidP="00E43FA0">
            <w:pPr>
              <w:tabs>
                <w:tab w:val="left" w:pos="284"/>
              </w:tabs>
              <w:autoSpaceDE w:val="0"/>
              <w:autoSpaceDN w:val="0"/>
              <w:adjustRightInd w:val="0"/>
              <w:ind w:left="142" w:hanging="142"/>
              <w:jc w:val="both"/>
              <w:rPr>
                <w:sz w:val="20"/>
                <w:szCs w:val="22"/>
                <w:lang w:val="sr-Latn-ME"/>
              </w:rPr>
            </w:pPr>
            <w:r w:rsidRPr="00E43FA0">
              <w:rPr>
                <w:sz w:val="20"/>
                <w:szCs w:val="22"/>
                <w:vertAlign w:val="superscript"/>
                <w:lang w:val="sr-Latn-ME"/>
              </w:rPr>
              <w:t>a</w:t>
            </w:r>
            <w:r w:rsidRPr="00E43FA0">
              <w:rPr>
                <w:sz w:val="20"/>
                <w:szCs w:val="22"/>
                <w:lang w:val="sr-Latn-ME"/>
              </w:rPr>
              <w:t>Metformin ili metformin hidrohlorid bili su dio uobičajene zdravstvene njege kod 69,4% pacijenata u grupi koja je primala dapagliflozin i 64,0% pacijenata u grupi koja je primala placebo.</w:t>
            </w:r>
          </w:p>
          <w:p w14:paraId="3AE4BAA8" w14:textId="77777777" w:rsidR="00AC3E4D" w:rsidRPr="00E43FA0" w:rsidRDefault="00AC3E4D" w:rsidP="00E43FA0">
            <w:pPr>
              <w:tabs>
                <w:tab w:val="left" w:pos="284"/>
              </w:tabs>
              <w:jc w:val="both"/>
              <w:rPr>
                <w:sz w:val="20"/>
                <w:szCs w:val="22"/>
                <w:lang w:val="sr-Latn-ME"/>
              </w:rPr>
            </w:pPr>
            <w:r w:rsidRPr="00E43FA0">
              <w:rPr>
                <w:sz w:val="20"/>
                <w:szCs w:val="22"/>
                <w:vertAlign w:val="superscript"/>
                <w:lang w:val="sr-Latn-ME"/>
              </w:rPr>
              <w:t>b</w:t>
            </w:r>
            <w:r w:rsidRPr="00E43FA0">
              <w:rPr>
                <w:sz w:val="20"/>
                <w:szCs w:val="22"/>
                <w:lang w:val="sr-Latn-ME"/>
              </w:rPr>
              <w:t>Srednja vrijednost najmanjih kvadrata korigovana za početnu vrijednost</w:t>
            </w:r>
          </w:p>
          <w:p w14:paraId="73D98683" w14:textId="77777777" w:rsidR="00AC3E4D" w:rsidRPr="00E43FA0" w:rsidRDefault="00AC3E4D" w:rsidP="00E43FA0">
            <w:pPr>
              <w:tabs>
                <w:tab w:val="left" w:pos="284"/>
              </w:tabs>
              <w:jc w:val="both"/>
              <w:rPr>
                <w:sz w:val="20"/>
                <w:szCs w:val="22"/>
                <w:lang w:val="sr-Latn-ME"/>
              </w:rPr>
            </w:pPr>
            <w:r w:rsidRPr="00E43FA0">
              <w:rPr>
                <w:sz w:val="20"/>
                <w:szCs w:val="22"/>
                <w:vertAlign w:val="superscript"/>
                <w:lang w:val="sr-Latn-ME"/>
              </w:rPr>
              <w:t>c</w:t>
            </w:r>
            <w:r w:rsidRPr="00E43FA0">
              <w:rPr>
                <w:sz w:val="20"/>
                <w:szCs w:val="22"/>
                <w:lang w:val="sr-Latn-ME"/>
              </w:rPr>
              <w:t>Izvedeno iz srednje vrijednost najmanjih kvadrata korigovane za početnu vrijednost</w:t>
            </w:r>
          </w:p>
          <w:p w14:paraId="7B0A4B5E" w14:textId="77777777" w:rsidR="00AC3E4D" w:rsidRPr="00E43FA0" w:rsidRDefault="00AC3E4D" w:rsidP="00E43FA0">
            <w:pPr>
              <w:tabs>
                <w:tab w:val="left" w:pos="284"/>
              </w:tabs>
              <w:jc w:val="both"/>
              <w:rPr>
                <w:sz w:val="20"/>
                <w:szCs w:val="22"/>
                <w:lang w:val="sr-Latn-ME"/>
              </w:rPr>
            </w:pPr>
            <w:r w:rsidRPr="00E43FA0">
              <w:rPr>
                <w:sz w:val="20"/>
                <w:szCs w:val="22"/>
                <w:vertAlign w:val="superscript"/>
                <w:lang w:val="sr-Latn-ME"/>
              </w:rPr>
              <w:t>*</w:t>
            </w:r>
            <w:r w:rsidRPr="00E43FA0">
              <w:rPr>
                <w:sz w:val="20"/>
                <w:szCs w:val="22"/>
                <w:lang w:val="sr-Latn-ME"/>
              </w:rPr>
              <w:t>p &lt;0,001</w:t>
            </w:r>
          </w:p>
        </w:tc>
      </w:tr>
    </w:tbl>
    <w:p w14:paraId="591FB016" w14:textId="5031A96E" w:rsidR="00AC3E4D" w:rsidRPr="009F254D" w:rsidRDefault="00AC3E4D" w:rsidP="00E43FA0">
      <w:pPr>
        <w:tabs>
          <w:tab w:val="left" w:pos="540"/>
          <w:tab w:val="left" w:pos="569"/>
        </w:tabs>
        <w:rPr>
          <w:b/>
          <w:bCs/>
          <w:sz w:val="22"/>
          <w:szCs w:val="22"/>
          <w:lang w:val="sr-Latn-ME"/>
        </w:rPr>
      </w:pPr>
    </w:p>
    <w:p w14:paraId="170838FF" w14:textId="77777777" w:rsidR="00AC3E4D" w:rsidRPr="009F254D" w:rsidRDefault="00AC3E4D" w:rsidP="00E43FA0">
      <w:pPr>
        <w:tabs>
          <w:tab w:val="left" w:pos="284"/>
        </w:tabs>
        <w:jc w:val="both"/>
        <w:rPr>
          <w:i/>
          <w:sz w:val="22"/>
          <w:szCs w:val="22"/>
          <w:u w:val="single"/>
          <w:lang w:val="sr-Latn-ME"/>
        </w:rPr>
      </w:pPr>
      <w:r w:rsidRPr="009F254D">
        <w:rPr>
          <w:i/>
          <w:iCs/>
          <w:sz w:val="22"/>
          <w:szCs w:val="22"/>
          <w:u w:val="single"/>
          <w:lang w:val="sr-Latn-ME"/>
        </w:rPr>
        <w:t>Kardiovaskularni i bubrežni ishodi</w:t>
      </w:r>
    </w:p>
    <w:p w14:paraId="317F4316" w14:textId="4B6E4458" w:rsidR="00AC3E4D" w:rsidRPr="009F254D" w:rsidRDefault="00AC3E4D" w:rsidP="00E43FA0">
      <w:pPr>
        <w:tabs>
          <w:tab w:val="left" w:pos="284"/>
        </w:tabs>
        <w:jc w:val="both"/>
        <w:rPr>
          <w:sz w:val="22"/>
          <w:szCs w:val="22"/>
          <w:lang w:val="sr-Latn-ME"/>
        </w:rPr>
      </w:pPr>
      <w:r w:rsidRPr="009F254D">
        <w:rPr>
          <w:sz w:val="22"/>
          <w:szCs w:val="22"/>
          <w:lang w:val="sr-Latn-ME"/>
        </w:rPr>
        <w:t>Dejstvo dapagliflozina na kardiovaskularne događaje (DECLARE) bila je međunarodna, multicentrična, randomizovana, dvostruko slijepa, placebo</w:t>
      </w:r>
      <w:r w:rsidR="003F448C" w:rsidRPr="009F254D">
        <w:rPr>
          <w:sz w:val="22"/>
          <w:szCs w:val="22"/>
          <w:lang w:val="sr-Latn-ME"/>
        </w:rPr>
        <w:t>-</w:t>
      </w:r>
      <w:r w:rsidRPr="009F254D">
        <w:rPr>
          <w:sz w:val="22"/>
          <w:szCs w:val="22"/>
          <w:lang w:val="sr-Latn-ME"/>
        </w:rPr>
        <w:t>kontrolisana klinička studija sprovedena u cilju određivanja dejstva dapagliflozina u poređenju sa placebom na kardiovaskularne ishode kada se dodaje postojećoj osnovnoj terapiji. Svi pacijenti imali su dijabetes melitus tip</w:t>
      </w:r>
      <w:r w:rsidR="003F448C" w:rsidRPr="009F254D">
        <w:rPr>
          <w:sz w:val="22"/>
          <w:szCs w:val="22"/>
          <w:lang w:val="sr-Latn-ME"/>
        </w:rPr>
        <w:t>a</w:t>
      </w:r>
      <w:r w:rsidRPr="009F254D">
        <w:rPr>
          <w:sz w:val="22"/>
          <w:szCs w:val="22"/>
          <w:lang w:val="sr-Latn-ME"/>
        </w:rPr>
        <w:t xml:space="preserve"> 2 i najmanje dva dodatna kardiovaskularna faktora rizika (starost ≥ 55 kod muškaraca ili ≥ 60 godina kod žena i jedno ili više od sljedećeg: dislipidemija, hipertenzija ili aktivno pušenje) ili ustanovljeno kardiovaskularno oboljenje.</w:t>
      </w:r>
    </w:p>
    <w:p w14:paraId="7A3D8286" w14:textId="77777777" w:rsidR="00AC3E4D" w:rsidRPr="009F254D" w:rsidRDefault="00AC3E4D" w:rsidP="00E43FA0">
      <w:pPr>
        <w:tabs>
          <w:tab w:val="left" w:pos="284"/>
        </w:tabs>
        <w:jc w:val="both"/>
        <w:rPr>
          <w:sz w:val="22"/>
          <w:szCs w:val="22"/>
          <w:lang w:val="sr-Latn-ME"/>
        </w:rPr>
      </w:pPr>
    </w:p>
    <w:p w14:paraId="24C53F39" w14:textId="52BCD23F" w:rsidR="00AC3E4D" w:rsidRPr="009F254D" w:rsidRDefault="00AC3E4D" w:rsidP="00E43FA0">
      <w:pPr>
        <w:tabs>
          <w:tab w:val="left" w:pos="284"/>
        </w:tabs>
        <w:jc w:val="both"/>
        <w:rPr>
          <w:sz w:val="22"/>
          <w:szCs w:val="22"/>
          <w:lang w:val="sr-Latn-ME"/>
        </w:rPr>
      </w:pPr>
      <w:r w:rsidRPr="009F254D">
        <w:rPr>
          <w:sz w:val="22"/>
          <w:szCs w:val="22"/>
          <w:lang w:val="sr-Latn-ME"/>
        </w:rPr>
        <w:t>Od 17160 randomizovanih pacijenata, 6974 (40,6%) je imalo ustanovljeno kardiovaskularno oboljenje, a 10186 (59,4%) nije imalo ustanovljeno kardiovaskularno oboljenje. Ukupno 8582 pacijenta su bila randomizovana da primaju dapagliflozin od 10 mg, a 8578 da primaju placebo, i praćeni su u medijani od 4,2 godine.</w:t>
      </w:r>
    </w:p>
    <w:p w14:paraId="3E1740F4" w14:textId="77777777" w:rsidR="00AC3E4D" w:rsidRPr="009F254D" w:rsidRDefault="00AC3E4D" w:rsidP="00E43FA0">
      <w:pPr>
        <w:tabs>
          <w:tab w:val="left" w:pos="284"/>
        </w:tabs>
        <w:jc w:val="both"/>
        <w:rPr>
          <w:sz w:val="22"/>
          <w:szCs w:val="22"/>
          <w:lang w:val="sr-Latn-ME"/>
        </w:rPr>
      </w:pPr>
    </w:p>
    <w:p w14:paraId="1D23A2EA" w14:textId="77777777" w:rsidR="00AC3E4D" w:rsidRPr="009F254D" w:rsidRDefault="00AC3E4D" w:rsidP="00E43FA0">
      <w:pPr>
        <w:tabs>
          <w:tab w:val="left" w:pos="284"/>
        </w:tabs>
        <w:jc w:val="both"/>
        <w:rPr>
          <w:sz w:val="22"/>
          <w:szCs w:val="22"/>
          <w:lang w:val="sr-Latn-ME"/>
        </w:rPr>
      </w:pPr>
      <w:r w:rsidRPr="009F254D">
        <w:rPr>
          <w:sz w:val="22"/>
          <w:szCs w:val="22"/>
          <w:lang w:val="sr-Latn-ME"/>
        </w:rPr>
        <w:t>Prosječna starost studijske populacije bila je 63,9 godina, 37,4% bile su žene. Ukupno je 22,4% imalo dijabetes ≤ 5 godina, a srednje trajanje dijabetesa bilo je 11,9 godina. Srednja vrijednost HbA1c bila je 8,3%, a srednja vrijednost BMI 32,1 kg/m</w:t>
      </w:r>
      <w:r w:rsidRPr="009F254D">
        <w:rPr>
          <w:sz w:val="22"/>
          <w:szCs w:val="22"/>
          <w:vertAlign w:val="superscript"/>
          <w:lang w:val="sr-Latn-ME"/>
        </w:rPr>
        <w:t>2</w:t>
      </w:r>
      <w:r w:rsidRPr="009F254D">
        <w:rPr>
          <w:sz w:val="22"/>
          <w:szCs w:val="22"/>
          <w:lang w:val="sr-Latn-ME"/>
        </w:rPr>
        <w:t xml:space="preserve">. </w:t>
      </w:r>
    </w:p>
    <w:p w14:paraId="22AF6F7E" w14:textId="05B5A672" w:rsidR="00AC3E4D" w:rsidRPr="009F254D" w:rsidRDefault="00AC3E4D" w:rsidP="00E43FA0">
      <w:pPr>
        <w:tabs>
          <w:tab w:val="left" w:pos="284"/>
        </w:tabs>
        <w:jc w:val="both"/>
        <w:rPr>
          <w:sz w:val="22"/>
          <w:szCs w:val="22"/>
          <w:lang w:val="sr-Latn-ME"/>
        </w:rPr>
      </w:pPr>
      <w:r w:rsidRPr="009F254D">
        <w:rPr>
          <w:sz w:val="22"/>
          <w:szCs w:val="22"/>
          <w:lang w:val="sr-Latn-ME"/>
        </w:rPr>
        <w:t>Na početku je 10,0% pacijenata imalo srčanu insuficijenciju u anamnezi. Srednja vrijednost eGFR bila je 85,2 ml/min/1,73 m</w:t>
      </w:r>
      <w:r w:rsidRPr="009F254D">
        <w:rPr>
          <w:sz w:val="22"/>
          <w:szCs w:val="22"/>
          <w:vertAlign w:val="superscript"/>
          <w:lang w:val="sr-Latn-ME"/>
        </w:rPr>
        <w:t>2</w:t>
      </w:r>
      <w:r w:rsidRPr="009F254D">
        <w:rPr>
          <w:sz w:val="22"/>
          <w:szCs w:val="22"/>
          <w:lang w:val="sr-Latn-ME"/>
        </w:rPr>
        <w:t>, 7,4% pacijenata imalo je eGFR &lt; 60 ml/min/1,73 m</w:t>
      </w:r>
      <w:r w:rsidRPr="009F254D">
        <w:rPr>
          <w:sz w:val="22"/>
          <w:szCs w:val="22"/>
          <w:vertAlign w:val="superscript"/>
          <w:lang w:val="sr-Latn-ME"/>
        </w:rPr>
        <w:t>2</w:t>
      </w:r>
      <w:r w:rsidRPr="009F254D">
        <w:rPr>
          <w:sz w:val="22"/>
          <w:szCs w:val="22"/>
          <w:lang w:val="sr-Latn-ME"/>
        </w:rPr>
        <w:t>, a 30,3% pacijenata imalo je mikro ili makroalbuminuriju (odnos albumina i kreatinina u urinu [</w:t>
      </w:r>
      <w:r w:rsidR="00AE581E">
        <w:rPr>
          <w:sz w:val="22"/>
          <w:szCs w:val="22"/>
          <w:lang w:val="sr-Latn-ME"/>
        </w:rPr>
        <w:t xml:space="preserve">engl. </w:t>
      </w:r>
      <w:r w:rsidR="003F448C" w:rsidRPr="009F254D">
        <w:rPr>
          <w:i/>
          <w:sz w:val="22"/>
          <w:szCs w:val="22"/>
          <w:lang w:val="sr-Latn-ME"/>
        </w:rPr>
        <w:t>urine albumin to creatinine ratio</w:t>
      </w:r>
      <w:r w:rsidR="003F448C" w:rsidRPr="009F254D">
        <w:rPr>
          <w:sz w:val="22"/>
          <w:szCs w:val="22"/>
          <w:lang w:val="sr-Latn-ME"/>
        </w:rPr>
        <w:t xml:space="preserve"> – </w:t>
      </w:r>
      <w:r w:rsidRPr="009F254D">
        <w:rPr>
          <w:sz w:val="22"/>
          <w:szCs w:val="22"/>
          <w:lang w:val="sr-Latn-ME"/>
        </w:rPr>
        <w:t>UACR] ≥ 30 do ≤ 300 mg/g, odnosno &gt; 300 mg/g).</w:t>
      </w:r>
    </w:p>
    <w:p w14:paraId="3F550386" w14:textId="77777777" w:rsidR="00AC3E4D" w:rsidRPr="009F254D" w:rsidRDefault="00AC3E4D" w:rsidP="00FA635D">
      <w:pPr>
        <w:tabs>
          <w:tab w:val="left" w:pos="284"/>
        </w:tabs>
        <w:jc w:val="both"/>
        <w:rPr>
          <w:sz w:val="22"/>
          <w:szCs w:val="22"/>
          <w:lang w:val="sr-Latn-ME"/>
        </w:rPr>
      </w:pPr>
    </w:p>
    <w:p w14:paraId="3B7501D9" w14:textId="77777777" w:rsidR="00AC3E4D" w:rsidRPr="009F254D" w:rsidRDefault="00AC3E4D" w:rsidP="00FA635D">
      <w:pPr>
        <w:tabs>
          <w:tab w:val="left" w:pos="284"/>
        </w:tabs>
        <w:jc w:val="both"/>
        <w:rPr>
          <w:sz w:val="22"/>
          <w:szCs w:val="22"/>
          <w:lang w:val="sr-Latn-ME"/>
        </w:rPr>
      </w:pPr>
      <w:r w:rsidRPr="009F254D">
        <w:rPr>
          <w:sz w:val="22"/>
          <w:szCs w:val="22"/>
          <w:lang w:val="sr-Latn-ME"/>
        </w:rPr>
        <w:t>Većina pacijenata (98%) koristila je jedan ili više ljekova protiv dijabetesa na početku, uključujući i metformin (82%), insulin (41%) i sulfonilureu (43%).</w:t>
      </w:r>
    </w:p>
    <w:p w14:paraId="12D4B754" w14:textId="77777777" w:rsidR="00AC3E4D" w:rsidRPr="009F254D" w:rsidRDefault="00AC3E4D" w:rsidP="00FA635D">
      <w:pPr>
        <w:tabs>
          <w:tab w:val="left" w:pos="284"/>
        </w:tabs>
        <w:jc w:val="both"/>
        <w:rPr>
          <w:sz w:val="22"/>
          <w:szCs w:val="22"/>
          <w:lang w:val="sr-Latn-ME"/>
        </w:rPr>
      </w:pPr>
    </w:p>
    <w:p w14:paraId="0589CEA9" w14:textId="20BBC443" w:rsidR="00AC3E4D" w:rsidRPr="009F254D" w:rsidRDefault="00AC3E4D" w:rsidP="00FA635D">
      <w:pPr>
        <w:tabs>
          <w:tab w:val="left" w:pos="284"/>
        </w:tabs>
        <w:jc w:val="both"/>
        <w:rPr>
          <w:sz w:val="22"/>
          <w:szCs w:val="22"/>
          <w:lang w:val="sr-Latn-ME"/>
        </w:rPr>
      </w:pPr>
      <w:bookmarkStart w:id="3" w:name="_Hlk5615291"/>
      <w:r w:rsidRPr="009F254D">
        <w:rPr>
          <w:sz w:val="22"/>
          <w:szCs w:val="22"/>
          <w:lang w:val="sr-Latn-ME"/>
        </w:rPr>
        <w:t>Primarne krajnje tačke bile su vrijeme do prvog</w:t>
      </w:r>
      <w:r w:rsidR="008E2FC7" w:rsidRPr="009F254D">
        <w:rPr>
          <w:sz w:val="22"/>
          <w:szCs w:val="22"/>
          <w:lang w:val="sr-Latn-ME"/>
        </w:rPr>
        <w:t xml:space="preserve"> velikog neželjenog kardiovaskularnog događaja, odnosno</w:t>
      </w:r>
      <w:r w:rsidRPr="009F254D">
        <w:rPr>
          <w:sz w:val="22"/>
          <w:szCs w:val="22"/>
          <w:lang w:val="sr-Latn-ME"/>
        </w:rPr>
        <w:t xml:space="preserve"> objedinjenog događaja kardiovaskularne smrti, infarkta miokarda ili ishemijskog moždanog udara (</w:t>
      </w:r>
      <w:r w:rsidR="00AE581E">
        <w:rPr>
          <w:sz w:val="22"/>
          <w:szCs w:val="22"/>
          <w:lang w:val="sr-Latn-ME"/>
        </w:rPr>
        <w:t xml:space="preserve">engl. </w:t>
      </w:r>
      <w:r w:rsidR="003F448C" w:rsidRPr="009F254D">
        <w:rPr>
          <w:i/>
          <w:sz w:val="22"/>
          <w:szCs w:val="22"/>
          <w:lang w:val="sr-Latn-ME"/>
        </w:rPr>
        <w:t>major adverse cardiovascular event</w:t>
      </w:r>
      <w:r w:rsidR="003F448C" w:rsidRPr="009F254D">
        <w:rPr>
          <w:sz w:val="22"/>
          <w:szCs w:val="22"/>
          <w:lang w:val="sr-Latn-ME"/>
        </w:rPr>
        <w:t xml:space="preserve"> – </w:t>
      </w:r>
      <w:r w:rsidRPr="009F254D">
        <w:rPr>
          <w:sz w:val="22"/>
          <w:szCs w:val="22"/>
          <w:lang w:val="sr-Latn-ME"/>
        </w:rPr>
        <w:t xml:space="preserve">MACE) i do prvog događaja objedinjene hospitalizacije zbog srčane insuficijencije ili kardiovaskularne smrti. Sekundarne krajnje tačke bile su </w:t>
      </w:r>
      <w:r w:rsidR="00A0553A" w:rsidRPr="009F254D">
        <w:rPr>
          <w:sz w:val="22"/>
          <w:szCs w:val="22"/>
          <w:lang w:val="sr-Latn-ME"/>
        </w:rPr>
        <w:t xml:space="preserve">objedinjena mjera bubrežnih ishoda </w:t>
      </w:r>
      <w:r w:rsidRPr="009F254D">
        <w:rPr>
          <w:sz w:val="22"/>
          <w:szCs w:val="22"/>
          <w:lang w:val="sr-Latn-ME"/>
        </w:rPr>
        <w:t>i mortalitet usljed svih uzroka.</w:t>
      </w:r>
    </w:p>
    <w:bookmarkEnd w:id="3"/>
    <w:p w14:paraId="12C9E544" w14:textId="77777777" w:rsidR="00AC3E4D" w:rsidRPr="009F254D" w:rsidRDefault="00AC3E4D" w:rsidP="00FA635D">
      <w:pPr>
        <w:tabs>
          <w:tab w:val="left" w:pos="284"/>
        </w:tabs>
        <w:jc w:val="both"/>
        <w:rPr>
          <w:sz w:val="22"/>
          <w:szCs w:val="22"/>
          <w:lang w:val="sr-Latn-ME"/>
        </w:rPr>
      </w:pPr>
    </w:p>
    <w:p w14:paraId="666D1A32" w14:textId="6E7A697D" w:rsidR="00AC3E4D" w:rsidRPr="009F254D" w:rsidRDefault="00AC3E4D" w:rsidP="00FA635D">
      <w:pPr>
        <w:keepNext/>
        <w:keepLines/>
        <w:tabs>
          <w:tab w:val="left" w:pos="284"/>
        </w:tabs>
        <w:jc w:val="both"/>
        <w:rPr>
          <w:sz w:val="22"/>
          <w:szCs w:val="22"/>
          <w:lang w:val="sr-Latn-ME"/>
        </w:rPr>
      </w:pPr>
      <w:r w:rsidRPr="009F254D">
        <w:rPr>
          <w:i/>
          <w:iCs/>
          <w:sz w:val="22"/>
          <w:szCs w:val="22"/>
          <w:lang w:val="sr-Latn-ME"/>
        </w:rPr>
        <w:t>Veliki neželjeni kardiovaskularni događaji</w:t>
      </w:r>
      <w:r w:rsidR="003F448C" w:rsidRPr="009F254D">
        <w:rPr>
          <w:i/>
          <w:iCs/>
          <w:sz w:val="22"/>
          <w:szCs w:val="22"/>
          <w:lang w:val="sr-Latn-ME"/>
        </w:rPr>
        <w:t xml:space="preserve"> </w:t>
      </w:r>
      <w:r w:rsidR="003F448C" w:rsidRPr="009F254D">
        <w:rPr>
          <w:iCs/>
          <w:sz w:val="22"/>
          <w:szCs w:val="22"/>
          <w:lang w:val="sr-Latn-ME"/>
        </w:rPr>
        <w:t>(MACE)</w:t>
      </w:r>
    </w:p>
    <w:p w14:paraId="0292EEB9" w14:textId="77777777" w:rsidR="00AC3E4D" w:rsidRPr="009F254D" w:rsidRDefault="00AC3E4D" w:rsidP="00FA635D">
      <w:pPr>
        <w:tabs>
          <w:tab w:val="left" w:pos="284"/>
        </w:tabs>
        <w:jc w:val="both"/>
        <w:rPr>
          <w:sz w:val="22"/>
          <w:szCs w:val="22"/>
          <w:lang w:val="sr-Latn-ME"/>
        </w:rPr>
      </w:pPr>
      <w:r w:rsidRPr="009F254D">
        <w:rPr>
          <w:sz w:val="22"/>
          <w:szCs w:val="22"/>
          <w:lang w:val="sr-Latn-ME"/>
        </w:rPr>
        <w:t>Dapagliflozin od 10 mg pokazao je neinferiornost u odnosu na placebo kada je u pitanju objedinjeni događaj kardiovaskularne smrti, infarkta miokarda ili ishemijskog moždanog udara (jednostrano p &lt; 0,001).</w:t>
      </w:r>
    </w:p>
    <w:p w14:paraId="59DCDAAA" w14:textId="77777777" w:rsidR="00AC3E4D" w:rsidRPr="009F254D" w:rsidRDefault="00AC3E4D" w:rsidP="00FA635D">
      <w:pPr>
        <w:tabs>
          <w:tab w:val="left" w:pos="284"/>
        </w:tabs>
        <w:jc w:val="both"/>
        <w:rPr>
          <w:sz w:val="22"/>
          <w:szCs w:val="22"/>
          <w:lang w:val="sr-Latn-ME"/>
        </w:rPr>
      </w:pPr>
    </w:p>
    <w:p w14:paraId="08BD9317" w14:textId="77777777" w:rsidR="00AC3E4D" w:rsidRPr="009F254D" w:rsidRDefault="00AC3E4D" w:rsidP="00FA635D">
      <w:pPr>
        <w:keepNext/>
        <w:keepLines/>
        <w:tabs>
          <w:tab w:val="left" w:pos="284"/>
        </w:tabs>
        <w:jc w:val="both"/>
        <w:rPr>
          <w:i/>
          <w:sz w:val="22"/>
          <w:szCs w:val="22"/>
          <w:lang w:val="sr-Latn-ME"/>
        </w:rPr>
      </w:pPr>
      <w:r w:rsidRPr="009F254D">
        <w:rPr>
          <w:i/>
          <w:iCs/>
          <w:sz w:val="22"/>
          <w:szCs w:val="22"/>
          <w:lang w:val="sr-Latn-ME"/>
        </w:rPr>
        <w:t>Srčana insuficijencija ili kardiovaskularna smrt</w:t>
      </w:r>
    </w:p>
    <w:p w14:paraId="6BC08FFA" w14:textId="7266EAC9" w:rsidR="00AC3E4D" w:rsidRPr="009F254D" w:rsidRDefault="00AC3E4D" w:rsidP="00FA635D">
      <w:pPr>
        <w:tabs>
          <w:tab w:val="left" w:pos="284"/>
        </w:tabs>
        <w:jc w:val="both"/>
        <w:rPr>
          <w:sz w:val="22"/>
          <w:szCs w:val="22"/>
          <w:lang w:val="sr-Latn-ME"/>
        </w:rPr>
      </w:pPr>
      <w:r w:rsidRPr="009F254D">
        <w:rPr>
          <w:sz w:val="22"/>
          <w:szCs w:val="22"/>
          <w:lang w:val="sr-Latn-ME"/>
        </w:rPr>
        <w:t>Dapagliflozin od 10 mg pokazao je superiornost u odnosu na placebo u sprečavanju objedinjene hospitalizacije usl</w:t>
      </w:r>
      <w:r w:rsidR="008E2FC7" w:rsidRPr="009F254D">
        <w:rPr>
          <w:sz w:val="22"/>
          <w:szCs w:val="22"/>
          <w:lang w:val="sr-Latn-ME"/>
        </w:rPr>
        <w:t>j</w:t>
      </w:r>
      <w:r w:rsidRPr="009F254D">
        <w:rPr>
          <w:sz w:val="22"/>
          <w:szCs w:val="22"/>
          <w:lang w:val="sr-Latn-ME"/>
        </w:rPr>
        <w:t>ed srčane insuficijencije ili kardiovaskularne smrti (</w:t>
      </w:r>
      <w:r w:rsidR="008E2FC7" w:rsidRPr="009F254D">
        <w:rPr>
          <w:sz w:val="22"/>
          <w:szCs w:val="22"/>
          <w:lang w:val="sr-Latn-ME"/>
        </w:rPr>
        <w:t>S</w:t>
      </w:r>
      <w:r w:rsidRPr="009F254D">
        <w:rPr>
          <w:sz w:val="22"/>
          <w:szCs w:val="22"/>
          <w:lang w:val="sr-Latn-ME"/>
        </w:rPr>
        <w:t>lika 1). Razlika u terapijskom dejstvu rezultat je hospitalizacije usljed srčane insuficijencije, a nije bilo razlike u pogledu kardiovaskularne smrti (</w:t>
      </w:r>
      <w:r w:rsidR="008E2FC7" w:rsidRPr="009F254D">
        <w:rPr>
          <w:sz w:val="22"/>
          <w:szCs w:val="22"/>
          <w:lang w:val="sr-Latn-ME"/>
        </w:rPr>
        <w:t>S</w:t>
      </w:r>
      <w:r w:rsidRPr="009F254D">
        <w:rPr>
          <w:sz w:val="22"/>
          <w:szCs w:val="22"/>
          <w:lang w:val="sr-Latn-ME"/>
        </w:rPr>
        <w:t>lika 2).</w:t>
      </w:r>
    </w:p>
    <w:p w14:paraId="5560539E" w14:textId="77777777" w:rsidR="00AC3E4D" w:rsidRPr="009F254D" w:rsidRDefault="00AC3E4D" w:rsidP="00FA635D">
      <w:pPr>
        <w:tabs>
          <w:tab w:val="left" w:pos="284"/>
        </w:tabs>
        <w:jc w:val="both"/>
        <w:rPr>
          <w:sz w:val="22"/>
          <w:szCs w:val="22"/>
          <w:lang w:val="sr-Latn-ME"/>
        </w:rPr>
      </w:pPr>
    </w:p>
    <w:p w14:paraId="6B74C085" w14:textId="714A08A5" w:rsidR="00AC3E4D" w:rsidRPr="009F254D" w:rsidRDefault="00AC3E4D" w:rsidP="00FA635D">
      <w:pPr>
        <w:tabs>
          <w:tab w:val="left" w:pos="284"/>
        </w:tabs>
        <w:jc w:val="both"/>
        <w:rPr>
          <w:sz w:val="22"/>
          <w:szCs w:val="22"/>
          <w:lang w:val="sr-Latn-ME"/>
        </w:rPr>
      </w:pPr>
      <w:r w:rsidRPr="009F254D">
        <w:rPr>
          <w:sz w:val="22"/>
          <w:szCs w:val="22"/>
          <w:lang w:val="sr-Latn-ME"/>
        </w:rPr>
        <w:t>Terapijska prednost dapagliflozina u odnosu na placebo zabilježena je i kod pacijenata sa ustanovljenim kardiovaskularnim oboljenjem i bez njega, sa srčanom insuficijencijom na početku i bez nje, i bila je konzistentna u svim ključnim podgrupama, uključujući i one prema starosti, polu, funkciji bubrega (eGFR) i regi</w:t>
      </w:r>
      <w:r w:rsidR="008E2FC7" w:rsidRPr="009F254D">
        <w:rPr>
          <w:sz w:val="22"/>
          <w:szCs w:val="22"/>
          <w:lang w:val="sr-Latn-ME"/>
        </w:rPr>
        <w:t>ji</w:t>
      </w:r>
      <w:r w:rsidRPr="009F254D">
        <w:rPr>
          <w:sz w:val="22"/>
          <w:szCs w:val="22"/>
          <w:lang w:val="sr-Latn-ME"/>
        </w:rPr>
        <w:t>.</w:t>
      </w:r>
    </w:p>
    <w:p w14:paraId="790A8C46" w14:textId="77777777" w:rsidR="00AC3E4D" w:rsidRPr="009F254D" w:rsidRDefault="00AC3E4D" w:rsidP="00FA635D">
      <w:pPr>
        <w:tabs>
          <w:tab w:val="left" w:pos="284"/>
        </w:tabs>
        <w:jc w:val="both"/>
        <w:rPr>
          <w:sz w:val="22"/>
          <w:szCs w:val="22"/>
          <w:lang w:val="sr-Latn-ME"/>
        </w:rPr>
      </w:pPr>
    </w:p>
    <w:p w14:paraId="25E96750" w14:textId="7274E255" w:rsidR="00AC3E4D" w:rsidRPr="009F254D" w:rsidRDefault="00AC3E4D" w:rsidP="00FA635D">
      <w:pPr>
        <w:keepNext/>
        <w:keepLines/>
        <w:tabs>
          <w:tab w:val="left" w:pos="284"/>
        </w:tabs>
        <w:jc w:val="both"/>
        <w:rPr>
          <w:b/>
          <w:bCs/>
          <w:sz w:val="22"/>
          <w:szCs w:val="22"/>
          <w:lang w:val="sr-Latn-ME"/>
        </w:rPr>
      </w:pPr>
      <w:r w:rsidRPr="009F254D">
        <w:rPr>
          <w:b/>
          <w:bCs/>
          <w:sz w:val="22"/>
          <w:szCs w:val="22"/>
          <w:lang w:val="sr-Latn-ME"/>
        </w:rPr>
        <w:lastRenderedPageBreak/>
        <w:t>Slika 1: Vrijeme do prve pojave hospitalizacije zbog srčane insuficijencije ili kardiovaskularne smrti</w:t>
      </w:r>
    </w:p>
    <w:p w14:paraId="174E6C3E" w14:textId="3ED8E9FA" w:rsidR="00B65CC1" w:rsidRPr="009F254D" w:rsidRDefault="00B65CC1" w:rsidP="00FA635D">
      <w:pPr>
        <w:keepNext/>
        <w:keepLines/>
        <w:tabs>
          <w:tab w:val="left" w:pos="284"/>
        </w:tabs>
        <w:jc w:val="both"/>
        <w:rPr>
          <w:b/>
          <w:i/>
          <w:sz w:val="22"/>
          <w:szCs w:val="22"/>
          <w:lang w:val="sr-Latn-ME"/>
        </w:rPr>
      </w:pPr>
      <w:r w:rsidRPr="009F254D">
        <w:rPr>
          <w:noProof/>
          <w:sz w:val="22"/>
          <w:szCs w:val="22"/>
        </w:rPr>
        <w:drawing>
          <wp:inline distT="0" distB="0" distL="0" distR="0" wp14:anchorId="6B6AE848" wp14:editId="27B87836">
            <wp:extent cx="5761355" cy="3756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1355" cy="3756660"/>
                    </a:xfrm>
                    <a:prstGeom prst="rect">
                      <a:avLst/>
                    </a:prstGeom>
                    <a:noFill/>
                    <a:ln>
                      <a:noFill/>
                    </a:ln>
                  </pic:spPr>
                </pic:pic>
              </a:graphicData>
            </a:graphic>
          </wp:inline>
        </w:drawing>
      </w:r>
    </w:p>
    <w:p w14:paraId="1C3DD2A1" w14:textId="18538477" w:rsidR="00AC3E4D" w:rsidRPr="009F254D" w:rsidRDefault="00AC3E4D" w:rsidP="00FA635D">
      <w:pPr>
        <w:tabs>
          <w:tab w:val="left" w:pos="540"/>
          <w:tab w:val="left" w:pos="569"/>
        </w:tabs>
        <w:rPr>
          <w:b/>
          <w:bCs/>
          <w:sz w:val="22"/>
          <w:szCs w:val="22"/>
          <w:lang w:val="sr-Latn-ME"/>
        </w:rPr>
      </w:pPr>
    </w:p>
    <w:p w14:paraId="06677BDA" w14:textId="0056264D" w:rsidR="00AC3E4D" w:rsidRPr="0014766F" w:rsidRDefault="00AC3E4D" w:rsidP="00FA635D">
      <w:pPr>
        <w:tabs>
          <w:tab w:val="left" w:pos="284"/>
        </w:tabs>
        <w:jc w:val="both"/>
        <w:rPr>
          <w:sz w:val="20"/>
          <w:szCs w:val="20"/>
          <w:lang w:val="sr-Latn-ME"/>
        </w:rPr>
      </w:pPr>
      <w:r w:rsidRPr="0014766F">
        <w:rPr>
          <w:sz w:val="20"/>
          <w:szCs w:val="20"/>
          <w:lang w:val="sr-Latn-ME"/>
        </w:rPr>
        <w:t xml:space="preserve">Pacijenti </w:t>
      </w:r>
      <w:r w:rsidR="008E2FC7" w:rsidRPr="0014766F">
        <w:rPr>
          <w:sz w:val="20"/>
          <w:szCs w:val="20"/>
          <w:lang w:val="sr-Latn-ME"/>
        </w:rPr>
        <w:t xml:space="preserve">pod </w:t>
      </w:r>
      <w:r w:rsidRPr="0014766F">
        <w:rPr>
          <w:sz w:val="20"/>
          <w:szCs w:val="20"/>
          <w:lang w:val="sr-Latn-ME"/>
        </w:rPr>
        <w:t>rizik</w:t>
      </w:r>
      <w:r w:rsidR="008E2FC7" w:rsidRPr="0014766F">
        <w:rPr>
          <w:sz w:val="20"/>
          <w:szCs w:val="20"/>
          <w:lang w:val="sr-Latn-ME"/>
        </w:rPr>
        <w:t>om</w:t>
      </w:r>
      <w:r w:rsidRPr="0014766F">
        <w:rPr>
          <w:sz w:val="20"/>
          <w:szCs w:val="20"/>
          <w:lang w:val="sr-Latn-ME"/>
        </w:rPr>
        <w:t xml:space="preserve"> predstavljaju broj pacijenata </w:t>
      </w:r>
      <w:r w:rsidR="008E2FC7" w:rsidRPr="0014766F">
        <w:rPr>
          <w:sz w:val="20"/>
          <w:szCs w:val="20"/>
          <w:lang w:val="sr-Latn-ME"/>
        </w:rPr>
        <w:t>pod</w:t>
      </w:r>
      <w:r w:rsidRPr="0014766F">
        <w:rPr>
          <w:sz w:val="20"/>
          <w:szCs w:val="20"/>
          <w:lang w:val="sr-Latn-ME"/>
        </w:rPr>
        <w:t xml:space="preserve"> rizik</w:t>
      </w:r>
      <w:r w:rsidR="008E2FC7" w:rsidRPr="0014766F">
        <w:rPr>
          <w:sz w:val="20"/>
          <w:szCs w:val="20"/>
          <w:lang w:val="sr-Latn-ME"/>
        </w:rPr>
        <w:t>om</w:t>
      </w:r>
      <w:r w:rsidRPr="0014766F">
        <w:rPr>
          <w:sz w:val="20"/>
          <w:szCs w:val="20"/>
          <w:lang w:val="sr-Latn-ME"/>
        </w:rPr>
        <w:t xml:space="preserve"> na početku perioda. </w:t>
      </w:r>
    </w:p>
    <w:p w14:paraId="4B0703EE" w14:textId="77777777" w:rsidR="00AC3E4D" w:rsidRPr="0014766F" w:rsidRDefault="00AC3E4D" w:rsidP="00FA635D">
      <w:pPr>
        <w:tabs>
          <w:tab w:val="left" w:pos="284"/>
        </w:tabs>
        <w:jc w:val="both"/>
        <w:rPr>
          <w:sz w:val="20"/>
          <w:szCs w:val="20"/>
          <w:lang w:val="sr-Latn-ME"/>
        </w:rPr>
      </w:pPr>
      <w:r w:rsidRPr="0014766F">
        <w:rPr>
          <w:sz w:val="20"/>
          <w:szCs w:val="20"/>
          <w:lang w:val="sr-Latn-ME"/>
        </w:rPr>
        <w:t xml:space="preserve">HR = stopa rizika, CI = interval pouzdanosti. </w:t>
      </w:r>
    </w:p>
    <w:p w14:paraId="672EA1F7" w14:textId="77777777" w:rsidR="00AC3E4D" w:rsidRPr="009F254D" w:rsidRDefault="00AC3E4D" w:rsidP="00FA635D">
      <w:pPr>
        <w:tabs>
          <w:tab w:val="left" w:pos="284"/>
        </w:tabs>
        <w:jc w:val="both"/>
        <w:rPr>
          <w:sz w:val="22"/>
          <w:szCs w:val="22"/>
          <w:lang w:val="sr-Latn-ME"/>
        </w:rPr>
      </w:pPr>
    </w:p>
    <w:p w14:paraId="03087F23" w14:textId="1E2F7565" w:rsidR="00AC3E4D" w:rsidRPr="009F254D" w:rsidRDefault="00AC3E4D" w:rsidP="00FA635D">
      <w:pPr>
        <w:tabs>
          <w:tab w:val="left" w:pos="284"/>
        </w:tabs>
        <w:jc w:val="both"/>
        <w:rPr>
          <w:sz w:val="22"/>
          <w:szCs w:val="22"/>
          <w:lang w:val="sr-Latn-ME"/>
        </w:rPr>
      </w:pPr>
      <w:r w:rsidRPr="009F254D">
        <w:rPr>
          <w:sz w:val="22"/>
          <w:szCs w:val="22"/>
          <w:lang w:val="sr-Latn-ME"/>
        </w:rPr>
        <w:t xml:space="preserve">Rezultati primarne i sekundarne krajnje tačke prikazani su na </w:t>
      </w:r>
      <w:r w:rsidR="008E2FC7" w:rsidRPr="009F254D">
        <w:rPr>
          <w:sz w:val="22"/>
          <w:szCs w:val="22"/>
          <w:lang w:val="sr-Latn-ME"/>
        </w:rPr>
        <w:t>S</w:t>
      </w:r>
      <w:r w:rsidRPr="009F254D">
        <w:rPr>
          <w:sz w:val="22"/>
          <w:szCs w:val="22"/>
          <w:lang w:val="sr-Latn-ME"/>
        </w:rPr>
        <w:t xml:space="preserve">lici 2. Superiornost dapagliflozina nad placebom nije pokazana za MACE (p = 0,172). </w:t>
      </w:r>
      <w:r w:rsidR="00A0553A" w:rsidRPr="009F254D">
        <w:rPr>
          <w:sz w:val="22"/>
          <w:szCs w:val="22"/>
          <w:lang w:val="sr-Latn-ME"/>
        </w:rPr>
        <w:t>O</w:t>
      </w:r>
      <w:r w:rsidRPr="009F254D">
        <w:rPr>
          <w:sz w:val="22"/>
          <w:szCs w:val="22"/>
          <w:lang w:val="sr-Latn-ME"/>
        </w:rPr>
        <w:t xml:space="preserve">bjedinjena </w:t>
      </w:r>
      <w:r w:rsidR="00A0553A" w:rsidRPr="009F254D">
        <w:rPr>
          <w:sz w:val="22"/>
          <w:szCs w:val="22"/>
          <w:lang w:val="sr-Latn-ME"/>
        </w:rPr>
        <w:t xml:space="preserve">mjera bubrežnih ishoda </w:t>
      </w:r>
      <w:r w:rsidRPr="009F254D">
        <w:rPr>
          <w:sz w:val="22"/>
          <w:szCs w:val="22"/>
          <w:lang w:val="sr-Latn-ME"/>
        </w:rPr>
        <w:t xml:space="preserve">i mortalitet usljed svih </w:t>
      </w:r>
      <w:r w:rsidR="008E2FC7" w:rsidRPr="009F254D">
        <w:rPr>
          <w:sz w:val="22"/>
          <w:szCs w:val="22"/>
          <w:lang w:val="sr-Latn-ME"/>
        </w:rPr>
        <w:t xml:space="preserve">uzroka </w:t>
      </w:r>
      <w:r w:rsidRPr="009F254D">
        <w:rPr>
          <w:sz w:val="22"/>
          <w:szCs w:val="22"/>
          <w:lang w:val="sr-Latn-ME"/>
        </w:rPr>
        <w:t>stoga ni</w:t>
      </w:r>
      <w:r w:rsidR="008E2FC7" w:rsidRPr="009F254D">
        <w:rPr>
          <w:sz w:val="22"/>
          <w:szCs w:val="22"/>
          <w:lang w:val="sr-Latn-ME"/>
        </w:rPr>
        <w:t>je</w:t>
      </w:r>
      <w:r w:rsidRPr="009F254D">
        <w:rPr>
          <w:sz w:val="22"/>
          <w:szCs w:val="22"/>
          <w:lang w:val="sr-Latn-ME"/>
        </w:rPr>
        <w:t>su testirani kao dio potvrdnog postupka ispitivanja.</w:t>
      </w:r>
    </w:p>
    <w:p w14:paraId="358F60C4" w14:textId="6C083736" w:rsidR="00DC171F" w:rsidRPr="009F254D" w:rsidRDefault="00DC171F" w:rsidP="00FA635D">
      <w:pPr>
        <w:tabs>
          <w:tab w:val="left" w:pos="540"/>
          <w:tab w:val="left" w:pos="569"/>
        </w:tabs>
        <w:rPr>
          <w:b/>
          <w:bCs/>
          <w:sz w:val="22"/>
          <w:szCs w:val="22"/>
          <w:lang w:val="sr-Latn-ME"/>
        </w:rPr>
      </w:pPr>
    </w:p>
    <w:p w14:paraId="7C0679CC" w14:textId="099AE299" w:rsidR="00AC3E4D" w:rsidRPr="009F254D" w:rsidRDefault="00AC3E4D" w:rsidP="00FA635D">
      <w:pPr>
        <w:keepNext/>
        <w:keepLines/>
        <w:tabs>
          <w:tab w:val="left" w:pos="284"/>
        </w:tabs>
        <w:jc w:val="both"/>
        <w:rPr>
          <w:b/>
          <w:bCs/>
          <w:sz w:val="22"/>
          <w:szCs w:val="22"/>
          <w:lang w:val="sr-Latn-ME"/>
        </w:rPr>
      </w:pPr>
      <w:r w:rsidRPr="009F254D">
        <w:rPr>
          <w:b/>
          <w:bCs/>
          <w:sz w:val="22"/>
          <w:szCs w:val="22"/>
          <w:lang w:val="sr-Latn-ME"/>
        </w:rPr>
        <w:t>Slika 2: Dejstva terapije za primarne objedinjene krajnje tačke i njihove komponente i sekundarne krajnje tačke i komponente</w:t>
      </w:r>
    </w:p>
    <w:p w14:paraId="2582F433" w14:textId="19751808" w:rsidR="00405E91" w:rsidRPr="009F254D" w:rsidRDefault="00405E91" w:rsidP="00FA635D">
      <w:pPr>
        <w:keepNext/>
        <w:keepLines/>
        <w:tabs>
          <w:tab w:val="left" w:pos="284"/>
        </w:tabs>
        <w:jc w:val="both"/>
        <w:rPr>
          <w:b/>
          <w:bCs/>
          <w:sz w:val="22"/>
          <w:szCs w:val="22"/>
          <w:lang w:val="sr-Latn-ME"/>
        </w:rPr>
      </w:pPr>
      <w:r w:rsidRPr="009F254D">
        <w:rPr>
          <w:noProof/>
          <w:sz w:val="22"/>
          <w:szCs w:val="22"/>
        </w:rPr>
        <w:drawing>
          <wp:inline distT="0" distB="0" distL="0" distR="0" wp14:anchorId="10EE8AF2" wp14:editId="1B482142">
            <wp:extent cx="5761355" cy="3128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3128645"/>
                    </a:xfrm>
                    <a:prstGeom prst="rect">
                      <a:avLst/>
                    </a:prstGeom>
                    <a:noFill/>
                    <a:ln>
                      <a:noFill/>
                    </a:ln>
                  </pic:spPr>
                </pic:pic>
              </a:graphicData>
            </a:graphic>
          </wp:inline>
        </w:drawing>
      </w:r>
    </w:p>
    <w:p w14:paraId="123AFCF2" w14:textId="222EB64C" w:rsidR="00AC3E4D" w:rsidRPr="009F254D" w:rsidRDefault="00AC3E4D" w:rsidP="00FA635D">
      <w:pPr>
        <w:tabs>
          <w:tab w:val="left" w:pos="540"/>
          <w:tab w:val="left" w:pos="569"/>
        </w:tabs>
        <w:rPr>
          <w:b/>
          <w:bCs/>
          <w:sz w:val="22"/>
          <w:szCs w:val="22"/>
          <w:lang w:val="sr-Latn-ME"/>
        </w:rPr>
      </w:pPr>
    </w:p>
    <w:p w14:paraId="24E8A747" w14:textId="167630C0" w:rsidR="00AC3E4D" w:rsidRPr="0014766F" w:rsidRDefault="00A0553A" w:rsidP="00FA635D">
      <w:pPr>
        <w:tabs>
          <w:tab w:val="left" w:pos="284"/>
        </w:tabs>
        <w:jc w:val="both"/>
        <w:rPr>
          <w:sz w:val="20"/>
          <w:szCs w:val="20"/>
          <w:lang w:val="sr-Latn-ME"/>
        </w:rPr>
      </w:pPr>
      <w:r w:rsidRPr="0014766F">
        <w:rPr>
          <w:sz w:val="20"/>
          <w:szCs w:val="20"/>
          <w:lang w:val="sr-Latn-ME"/>
        </w:rPr>
        <w:lastRenderedPageBreak/>
        <w:t>O</w:t>
      </w:r>
      <w:r w:rsidR="00AC3E4D" w:rsidRPr="0014766F">
        <w:rPr>
          <w:sz w:val="20"/>
          <w:szCs w:val="20"/>
          <w:lang w:val="sr-Latn-ME"/>
        </w:rPr>
        <w:t xml:space="preserve">bjedinjena </w:t>
      </w:r>
      <w:r w:rsidRPr="0014766F">
        <w:rPr>
          <w:sz w:val="20"/>
          <w:szCs w:val="20"/>
          <w:lang w:val="sr-Latn-ME"/>
        </w:rPr>
        <w:t>mjera bubrežnih ishoda</w:t>
      </w:r>
      <w:r w:rsidR="00AC3E4D" w:rsidRPr="0014766F">
        <w:rPr>
          <w:sz w:val="20"/>
          <w:szCs w:val="20"/>
          <w:lang w:val="sr-Latn-ME"/>
        </w:rPr>
        <w:t xml:space="preserve"> definisana kao: neprekidno potvrđeno smanjenje ≥ 40% eGFR na eGFR &lt; 60 ml/min/1,73 m</w:t>
      </w:r>
      <w:r w:rsidR="00AC3E4D" w:rsidRPr="0014766F">
        <w:rPr>
          <w:sz w:val="20"/>
          <w:szCs w:val="20"/>
          <w:vertAlign w:val="superscript"/>
          <w:lang w:val="sr-Latn-ME"/>
        </w:rPr>
        <w:t>2</w:t>
      </w:r>
      <w:r w:rsidR="008E2FC7" w:rsidRPr="0014766F">
        <w:rPr>
          <w:sz w:val="20"/>
          <w:szCs w:val="20"/>
          <w:lang w:val="sr-Latn-ME"/>
        </w:rPr>
        <w:t xml:space="preserve"> i/ili</w:t>
      </w:r>
      <w:r w:rsidR="00AC3E4D" w:rsidRPr="0014766F">
        <w:rPr>
          <w:sz w:val="20"/>
          <w:szCs w:val="20"/>
          <w:lang w:val="sr-Latn-ME"/>
        </w:rPr>
        <w:t xml:space="preserve"> bubrežna bolest u krajnjem stadijumu (dijaliza ≥ 90 dana ili transplantacija bubrega, neprekidna potvrđena </w:t>
      </w:r>
      <w:r w:rsidR="008E2FC7" w:rsidRPr="0014766F">
        <w:rPr>
          <w:sz w:val="20"/>
          <w:szCs w:val="20"/>
          <w:lang w:val="sr-Latn-ME"/>
        </w:rPr>
        <w:t xml:space="preserve">vrijednost </w:t>
      </w:r>
      <w:r w:rsidR="00AC3E4D" w:rsidRPr="0014766F">
        <w:rPr>
          <w:sz w:val="20"/>
          <w:szCs w:val="20"/>
          <w:lang w:val="sr-Latn-ME"/>
        </w:rPr>
        <w:t>eGFR &lt; 15 ml/min/1,73 m</w:t>
      </w:r>
      <w:r w:rsidR="00AC3E4D" w:rsidRPr="0014766F">
        <w:rPr>
          <w:sz w:val="20"/>
          <w:szCs w:val="20"/>
          <w:vertAlign w:val="superscript"/>
          <w:lang w:val="sr-Latn-ME"/>
        </w:rPr>
        <w:t>2</w:t>
      </w:r>
      <w:r w:rsidR="00AC3E4D" w:rsidRPr="0014766F">
        <w:rPr>
          <w:sz w:val="20"/>
          <w:szCs w:val="20"/>
          <w:lang w:val="sr-Latn-ME"/>
        </w:rPr>
        <w:t>)</w:t>
      </w:r>
      <w:r w:rsidR="008E2FC7" w:rsidRPr="0014766F">
        <w:rPr>
          <w:sz w:val="20"/>
          <w:szCs w:val="20"/>
          <w:lang w:val="sr-Latn-ME"/>
        </w:rPr>
        <w:t xml:space="preserve"> i/ili</w:t>
      </w:r>
      <w:r w:rsidR="00AC3E4D" w:rsidRPr="0014766F">
        <w:rPr>
          <w:sz w:val="20"/>
          <w:szCs w:val="20"/>
          <w:lang w:val="sr-Latn-ME"/>
        </w:rPr>
        <w:t xml:space="preserve"> bubrežna ili kardiovaskularna smrt.</w:t>
      </w:r>
    </w:p>
    <w:p w14:paraId="698C29AE" w14:textId="08707B85" w:rsidR="00AE581E" w:rsidRDefault="00AC3E4D" w:rsidP="00FA635D">
      <w:pPr>
        <w:tabs>
          <w:tab w:val="left" w:pos="284"/>
        </w:tabs>
        <w:jc w:val="both"/>
        <w:rPr>
          <w:sz w:val="20"/>
          <w:szCs w:val="20"/>
          <w:lang w:val="sr-Latn-ME"/>
        </w:rPr>
      </w:pPr>
      <w:bookmarkStart w:id="4" w:name="_Hlk5615577"/>
      <w:r w:rsidRPr="0014766F">
        <w:rPr>
          <w:sz w:val="20"/>
          <w:szCs w:val="20"/>
          <w:lang w:val="sr-Latn-ME"/>
        </w:rPr>
        <w:t xml:space="preserve">p-vrijednosti su dvostrane </w:t>
      </w:r>
    </w:p>
    <w:p w14:paraId="545060EA" w14:textId="77777777" w:rsidR="00AE581E" w:rsidRDefault="00AC3E4D" w:rsidP="00FA635D">
      <w:pPr>
        <w:tabs>
          <w:tab w:val="left" w:pos="284"/>
        </w:tabs>
        <w:jc w:val="both"/>
        <w:rPr>
          <w:sz w:val="20"/>
          <w:szCs w:val="20"/>
          <w:lang w:val="sr-Latn-ME"/>
        </w:rPr>
      </w:pPr>
      <w:r w:rsidRPr="0014766F">
        <w:rPr>
          <w:sz w:val="20"/>
          <w:szCs w:val="20"/>
          <w:lang w:val="sr-Latn-ME"/>
        </w:rPr>
        <w:t>p-vrijednosti za sekundarne krajnje tačke i za pojedinačne komponente su nominalne</w:t>
      </w:r>
    </w:p>
    <w:bookmarkEnd w:id="4"/>
    <w:p w14:paraId="0C6602DF" w14:textId="5E3F59A2" w:rsidR="00AC3E4D" w:rsidRPr="0014766F" w:rsidRDefault="00AC3E4D" w:rsidP="00FA635D">
      <w:pPr>
        <w:tabs>
          <w:tab w:val="left" w:pos="284"/>
        </w:tabs>
        <w:jc w:val="both"/>
        <w:rPr>
          <w:sz w:val="20"/>
          <w:szCs w:val="20"/>
          <w:lang w:val="sr-Latn-ME"/>
        </w:rPr>
      </w:pPr>
      <w:r w:rsidRPr="0014766F">
        <w:rPr>
          <w:sz w:val="20"/>
          <w:szCs w:val="20"/>
          <w:lang w:val="sr-Latn-ME"/>
        </w:rPr>
        <w:t>Vrijeme do prvog događaja analizirano je u Koksovom modelu proporcionalnih rizika. Broj prvih događaja za pojedinačne komponente predstavlja stvaran broj prvih događaja za svaku komponentu i ne dodaje se broju događaja u objedinjenoj krajnjoj tački.</w:t>
      </w:r>
    </w:p>
    <w:p w14:paraId="4088E1B4" w14:textId="77777777" w:rsidR="00AC3E4D" w:rsidRPr="0014766F" w:rsidRDefault="00AC3E4D" w:rsidP="00FA635D">
      <w:pPr>
        <w:tabs>
          <w:tab w:val="left" w:pos="284"/>
        </w:tabs>
        <w:jc w:val="both"/>
        <w:rPr>
          <w:sz w:val="20"/>
          <w:szCs w:val="20"/>
          <w:lang w:val="sr-Latn-ME"/>
        </w:rPr>
      </w:pPr>
      <w:r w:rsidRPr="0014766F">
        <w:rPr>
          <w:sz w:val="20"/>
          <w:szCs w:val="20"/>
          <w:lang w:val="sr-Latn-ME"/>
        </w:rPr>
        <w:t>CI = interval pouzdanosti.</w:t>
      </w:r>
    </w:p>
    <w:p w14:paraId="5E47952C" w14:textId="77777777" w:rsidR="00AC3E4D" w:rsidRPr="009F254D" w:rsidRDefault="00AC3E4D" w:rsidP="00FA635D">
      <w:pPr>
        <w:tabs>
          <w:tab w:val="left" w:pos="284"/>
        </w:tabs>
        <w:jc w:val="both"/>
        <w:rPr>
          <w:sz w:val="22"/>
          <w:szCs w:val="22"/>
          <w:lang w:val="sr-Latn-ME"/>
        </w:rPr>
      </w:pPr>
    </w:p>
    <w:p w14:paraId="7B32B091" w14:textId="77777777" w:rsidR="00AC3E4D" w:rsidRPr="009F254D" w:rsidRDefault="00AC3E4D" w:rsidP="00FA635D">
      <w:pPr>
        <w:keepNext/>
        <w:keepLines/>
        <w:tabs>
          <w:tab w:val="left" w:pos="284"/>
        </w:tabs>
        <w:jc w:val="both"/>
        <w:rPr>
          <w:i/>
          <w:sz w:val="22"/>
          <w:szCs w:val="22"/>
          <w:lang w:val="sr-Latn-ME"/>
        </w:rPr>
      </w:pPr>
      <w:r w:rsidRPr="009F254D">
        <w:rPr>
          <w:i/>
          <w:iCs/>
          <w:sz w:val="22"/>
          <w:szCs w:val="22"/>
          <w:lang w:val="sr-Latn-ME"/>
        </w:rPr>
        <w:t>Nefropatija</w:t>
      </w:r>
    </w:p>
    <w:p w14:paraId="62ACA6FB" w14:textId="4F3902A0" w:rsidR="00AC3E4D" w:rsidRPr="009F254D" w:rsidRDefault="00AC3E4D" w:rsidP="00FA635D">
      <w:pPr>
        <w:tabs>
          <w:tab w:val="left" w:pos="284"/>
        </w:tabs>
        <w:jc w:val="both"/>
        <w:rPr>
          <w:sz w:val="22"/>
          <w:szCs w:val="22"/>
          <w:lang w:val="sr-Latn-ME"/>
        </w:rPr>
      </w:pPr>
      <w:r w:rsidRPr="009F254D">
        <w:rPr>
          <w:sz w:val="22"/>
          <w:szCs w:val="22"/>
          <w:lang w:val="sr-Latn-ME"/>
        </w:rPr>
        <w:t>Dapagliflozin je smanjio incidencu događaja objedinjene vrijednosti potvrđenog neprekidnog smanjenja eGFR, krajnjeg stadijuma bubrežne bolesti, bubrežne ili kardiovaskularne smrti. Razlika između grupa rezultat je smanjenog broja događaja bubrežnih komponenti: neprekidnog smanjenja eGFR, krajnjeg stadijuma bubrežne bolesti i bubrežne smrti (</w:t>
      </w:r>
      <w:r w:rsidR="00D576FF" w:rsidRPr="009F254D">
        <w:rPr>
          <w:sz w:val="22"/>
          <w:szCs w:val="22"/>
          <w:lang w:val="sr-Latn-ME"/>
        </w:rPr>
        <w:t>S</w:t>
      </w:r>
      <w:r w:rsidRPr="009F254D">
        <w:rPr>
          <w:sz w:val="22"/>
          <w:szCs w:val="22"/>
          <w:lang w:val="sr-Latn-ME"/>
        </w:rPr>
        <w:t>lika 2).</w:t>
      </w:r>
    </w:p>
    <w:p w14:paraId="148ED237" w14:textId="77777777" w:rsidR="00AC3E4D" w:rsidRPr="009F254D" w:rsidRDefault="00AC3E4D" w:rsidP="00FA635D">
      <w:pPr>
        <w:tabs>
          <w:tab w:val="left" w:pos="284"/>
        </w:tabs>
        <w:jc w:val="both"/>
        <w:rPr>
          <w:sz w:val="22"/>
          <w:szCs w:val="22"/>
          <w:lang w:val="sr-Latn-ME"/>
        </w:rPr>
      </w:pPr>
    </w:p>
    <w:p w14:paraId="46233217" w14:textId="59269BE6" w:rsidR="00AC3E4D" w:rsidRPr="009F254D" w:rsidRDefault="00A0553A" w:rsidP="00FA635D">
      <w:pPr>
        <w:tabs>
          <w:tab w:val="left" w:pos="284"/>
        </w:tabs>
        <w:jc w:val="both"/>
        <w:rPr>
          <w:sz w:val="22"/>
          <w:szCs w:val="22"/>
          <w:lang w:val="sr-Latn-ME"/>
        </w:rPr>
      </w:pPr>
      <w:r w:rsidRPr="009F254D">
        <w:rPr>
          <w:sz w:val="22"/>
          <w:szCs w:val="22"/>
          <w:lang w:val="sr-Latn-ME"/>
        </w:rPr>
        <w:t xml:space="preserve">Odnos </w:t>
      </w:r>
      <w:r w:rsidR="00AC3E4D" w:rsidRPr="009F254D">
        <w:rPr>
          <w:sz w:val="22"/>
          <w:szCs w:val="22"/>
          <w:lang w:val="sr-Latn-ME"/>
        </w:rPr>
        <w:t>rizika za vrijeme do nefropatije (neprekidno smanjenje eGFR, krajnji stadijum bubrežne bolesti i bubrežna smrt) bila je 0,53 (95% CI 0,43, 0,66) za dapagliflozin u poređenju sa placebom.</w:t>
      </w:r>
    </w:p>
    <w:p w14:paraId="4F457957" w14:textId="77777777" w:rsidR="00AC3E4D" w:rsidRPr="009F254D" w:rsidRDefault="00AC3E4D" w:rsidP="00FA635D">
      <w:pPr>
        <w:tabs>
          <w:tab w:val="left" w:pos="284"/>
        </w:tabs>
        <w:jc w:val="both"/>
        <w:rPr>
          <w:sz w:val="22"/>
          <w:szCs w:val="22"/>
          <w:lang w:val="sr-Latn-ME"/>
        </w:rPr>
      </w:pPr>
    </w:p>
    <w:p w14:paraId="374CE868" w14:textId="77777777" w:rsidR="00AC3E4D" w:rsidRPr="009F254D" w:rsidRDefault="00AC3E4D" w:rsidP="00FA635D">
      <w:pPr>
        <w:tabs>
          <w:tab w:val="left" w:pos="284"/>
        </w:tabs>
        <w:jc w:val="both"/>
        <w:rPr>
          <w:sz w:val="22"/>
          <w:szCs w:val="22"/>
          <w:lang w:val="sr-Latn-ME"/>
        </w:rPr>
      </w:pPr>
      <w:r w:rsidRPr="009F254D">
        <w:rPr>
          <w:sz w:val="22"/>
          <w:szCs w:val="22"/>
          <w:lang w:val="sr-Latn-ME"/>
        </w:rPr>
        <w:t>Osim toga, dapagliflozin je smanjio novu pojavu neprekidne albuminurije (stopa rizika 0,79 [95% CI 0,72, 0,87]) i doveo do veće regresije makroalbuminurije (stopa rizika 1,82 [95% CI 1,51, 2,20]) u poređenju sa placebom.</w:t>
      </w:r>
    </w:p>
    <w:p w14:paraId="47ABDC25" w14:textId="77777777" w:rsidR="00BE1219" w:rsidRPr="009F254D" w:rsidRDefault="00BE1219" w:rsidP="00FA635D">
      <w:pPr>
        <w:tabs>
          <w:tab w:val="left" w:pos="284"/>
        </w:tabs>
        <w:jc w:val="both"/>
        <w:rPr>
          <w:sz w:val="22"/>
          <w:szCs w:val="22"/>
          <w:lang w:val="sr-Latn-ME"/>
        </w:rPr>
      </w:pPr>
    </w:p>
    <w:p w14:paraId="749AC317" w14:textId="77777777" w:rsidR="00AC3E4D" w:rsidRPr="009F254D" w:rsidRDefault="00AC3E4D" w:rsidP="00FA635D">
      <w:pPr>
        <w:keepNext/>
        <w:keepLines/>
        <w:tabs>
          <w:tab w:val="left" w:pos="284"/>
        </w:tabs>
        <w:jc w:val="both"/>
        <w:rPr>
          <w:i/>
          <w:sz w:val="22"/>
          <w:szCs w:val="22"/>
          <w:u w:val="single"/>
          <w:lang w:val="sr-Latn-ME"/>
        </w:rPr>
      </w:pPr>
      <w:r w:rsidRPr="009F254D">
        <w:rPr>
          <w:i/>
          <w:iCs/>
          <w:sz w:val="22"/>
          <w:szCs w:val="22"/>
          <w:u w:val="single"/>
          <w:lang w:val="sr-Latn-ME"/>
        </w:rPr>
        <w:t>Metformin</w:t>
      </w:r>
    </w:p>
    <w:p w14:paraId="703B4103" w14:textId="295B4E79" w:rsidR="00AC3E4D" w:rsidRPr="009F254D" w:rsidRDefault="00AC3E4D" w:rsidP="00FA635D">
      <w:pPr>
        <w:tabs>
          <w:tab w:val="left" w:pos="284"/>
        </w:tabs>
        <w:autoSpaceDE w:val="0"/>
        <w:autoSpaceDN w:val="0"/>
        <w:adjustRightInd w:val="0"/>
        <w:jc w:val="both"/>
        <w:rPr>
          <w:sz w:val="22"/>
          <w:szCs w:val="22"/>
          <w:lang w:val="sr-Latn-ME"/>
        </w:rPr>
      </w:pPr>
      <w:r w:rsidRPr="009F254D">
        <w:rPr>
          <w:sz w:val="22"/>
          <w:szCs w:val="22"/>
          <w:lang w:val="sr-Latn-ME"/>
        </w:rPr>
        <w:t xml:space="preserve">U prospektivnoj randomizovanoj studiji (UKPDS) utvrđene su dugoročne koristi intenzivne regulacije glikemije kod pacijenata sa dijabetesom tipa 2. Analiza rezultata kod pacijenata sa prekomjernom tjelesnom masom liječenih metforminom nakon neuspjele </w:t>
      </w:r>
      <w:r w:rsidR="00D576FF" w:rsidRPr="009F254D">
        <w:rPr>
          <w:sz w:val="22"/>
          <w:szCs w:val="22"/>
          <w:lang w:val="sr-Latn-ME"/>
        </w:rPr>
        <w:t>kontrole pravilnom ishranom</w:t>
      </w:r>
      <w:r w:rsidRPr="009F254D">
        <w:rPr>
          <w:sz w:val="22"/>
          <w:szCs w:val="22"/>
          <w:lang w:val="sr-Latn-ME"/>
        </w:rPr>
        <w:t xml:space="preserve"> zasebno pokazala je sljedeće:</w:t>
      </w:r>
    </w:p>
    <w:p w14:paraId="2C3A1371" w14:textId="77777777" w:rsidR="00AC3E4D" w:rsidRPr="009F254D" w:rsidRDefault="00AC3E4D" w:rsidP="00E43FA0">
      <w:pPr>
        <w:tabs>
          <w:tab w:val="left" w:pos="284"/>
        </w:tabs>
        <w:autoSpaceDE w:val="0"/>
        <w:autoSpaceDN w:val="0"/>
        <w:adjustRightInd w:val="0"/>
        <w:ind w:left="284" w:hanging="284"/>
        <w:jc w:val="both"/>
        <w:rPr>
          <w:sz w:val="22"/>
          <w:szCs w:val="22"/>
          <w:lang w:val="sr-Latn-ME"/>
        </w:rPr>
      </w:pPr>
      <w:r w:rsidRPr="009F254D">
        <w:rPr>
          <w:sz w:val="22"/>
          <w:szCs w:val="22"/>
          <w:lang w:val="sr-Latn-ME"/>
        </w:rPr>
        <w:t xml:space="preserve">- </w:t>
      </w:r>
      <w:r w:rsidRPr="009F254D">
        <w:rPr>
          <w:sz w:val="22"/>
          <w:szCs w:val="22"/>
          <w:lang w:val="sr-Latn-ME"/>
        </w:rPr>
        <w:tab/>
        <w:t>značajno smanjenje apsolutnog rizika od bilo koje komplikacije povezane sa dijabetesom u grupi liječenoj metforminom (29,8 događaja na 1000 pacijent-godina) u odnosu na grupu pacijenata kod kojih je glikemija regulisana samo pravilnom ishranom (43,3 događaja na 1000 pacijent-godina), p=0,0023, i u odnosu na grupe koje su uzimale samo sulfonilureu ili primale samo insulin (40,1 događaja na 1000 pacijent-godina), p=0,0034;</w:t>
      </w:r>
    </w:p>
    <w:p w14:paraId="4B089990" w14:textId="77777777" w:rsidR="00AC3E4D" w:rsidRPr="009F254D" w:rsidRDefault="00AC3E4D" w:rsidP="00E43FA0">
      <w:pPr>
        <w:tabs>
          <w:tab w:val="left" w:pos="284"/>
        </w:tabs>
        <w:autoSpaceDE w:val="0"/>
        <w:autoSpaceDN w:val="0"/>
        <w:adjustRightInd w:val="0"/>
        <w:ind w:left="284" w:hanging="284"/>
        <w:jc w:val="both"/>
        <w:rPr>
          <w:sz w:val="22"/>
          <w:szCs w:val="22"/>
          <w:lang w:val="sr-Latn-ME"/>
        </w:rPr>
      </w:pPr>
      <w:r w:rsidRPr="009F254D">
        <w:rPr>
          <w:sz w:val="22"/>
          <w:szCs w:val="22"/>
          <w:lang w:val="sr-Latn-ME"/>
        </w:rPr>
        <w:t xml:space="preserve">- </w:t>
      </w:r>
      <w:r w:rsidRPr="009F254D">
        <w:rPr>
          <w:sz w:val="22"/>
          <w:szCs w:val="22"/>
          <w:lang w:val="sr-Latn-ME"/>
        </w:rPr>
        <w:tab/>
        <w:t>značajno smanjenje apsolutnog rizika od bilo koje smrtnosti povezane sa dijabetesom: metformin – 7,5 događaja na 1000 pacijent-godina; grupa pacijenata kod kojih je glikemija regulisana samo pravilnom ishranom – 12,7 događaja na 1000 pacijent-godina, p=0,017;</w:t>
      </w:r>
    </w:p>
    <w:p w14:paraId="23F7F60B" w14:textId="2EDE3F24" w:rsidR="00AC3E4D" w:rsidRPr="009F254D" w:rsidRDefault="00AC3E4D" w:rsidP="00E43FA0">
      <w:pPr>
        <w:tabs>
          <w:tab w:val="left" w:pos="284"/>
        </w:tabs>
        <w:autoSpaceDE w:val="0"/>
        <w:autoSpaceDN w:val="0"/>
        <w:adjustRightInd w:val="0"/>
        <w:ind w:left="284" w:hanging="284"/>
        <w:jc w:val="both"/>
        <w:rPr>
          <w:sz w:val="22"/>
          <w:szCs w:val="22"/>
          <w:lang w:val="sr-Latn-ME"/>
        </w:rPr>
      </w:pPr>
      <w:r w:rsidRPr="009F254D">
        <w:rPr>
          <w:sz w:val="22"/>
          <w:szCs w:val="22"/>
          <w:lang w:val="sr-Latn-ME"/>
        </w:rPr>
        <w:t xml:space="preserve">- </w:t>
      </w:r>
      <w:r w:rsidRPr="009F254D">
        <w:rPr>
          <w:sz w:val="22"/>
          <w:szCs w:val="22"/>
          <w:lang w:val="sr-Latn-ME"/>
        </w:rPr>
        <w:tab/>
        <w:t xml:space="preserve">značajno smanjenje apsolutnog rizika od ukupne smrtnosti: 13,5 događaja na 1000 pacijent-godina kod </w:t>
      </w:r>
      <w:r w:rsidR="00D576FF" w:rsidRPr="009F254D">
        <w:rPr>
          <w:sz w:val="22"/>
          <w:szCs w:val="22"/>
          <w:lang w:val="sr-Latn-ME"/>
        </w:rPr>
        <w:t xml:space="preserve">pacijenata </w:t>
      </w:r>
      <w:r w:rsidRPr="009F254D">
        <w:rPr>
          <w:sz w:val="22"/>
          <w:szCs w:val="22"/>
          <w:lang w:val="sr-Latn-ME"/>
        </w:rPr>
        <w:t>koji su primali metformin u odnosu na 20,6 događaja na 1000 pacijent-godina u grupi pacijenata kod kojih je glikemija regulisana samo pravilnom ishranom (p=0,011) i u odnosu na 18,9 događaja na 1000 pacijent-godina za grupe koje su uzimale samo sulfonilureu ili primale samo insulin (p=0,021);</w:t>
      </w:r>
    </w:p>
    <w:p w14:paraId="7AA6B778" w14:textId="77777777" w:rsidR="00AC3E4D" w:rsidRPr="009F254D" w:rsidRDefault="00AC3E4D" w:rsidP="00E43FA0">
      <w:pPr>
        <w:tabs>
          <w:tab w:val="left" w:pos="284"/>
        </w:tabs>
        <w:autoSpaceDE w:val="0"/>
        <w:autoSpaceDN w:val="0"/>
        <w:adjustRightInd w:val="0"/>
        <w:ind w:left="284" w:hanging="284"/>
        <w:jc w:val="both"/>
        <w:rPr>
          <w:sz w:val="22"/>
          <w:szCs w:val="22"/>
          <w:lang w:val="sr-Latn-ME"/>
        </w:rPr>
      </w:pPr>
      <w:r w:rsidRPr="009F254D">
        <w:rPr>
          <w:sz w:val="22"/>
          <w:szCs w:val="22"/>
          <w:lang w:val="sr-Latn-ME"/>
        </w:rPr>
        <w:t xml:space="preserve">- </w:t>
      </w:r>
      <w:r w:rsidRPr="009F254D">
        <w:rPr>
          <w:sz w:val="22"/>
          <w:szCs w:val="22"/>
          <w:lang w:val="sr-Latn-ME"/>
        </w:rPr>
        <w:tab/>
        <w:t>značajno smanjenje apsolutnog rizika od infarkta miokarda: metformin – 11 događaja na 1000 pacijent-godina; grupa pacijenata kod kojih je glikemija regulisana samo pravilnom ishranom – 18 događaja na 1000 pacijent-godina (p=0,01).</w:t>
      </w:r>
    </w:p>
    <w:p w14:paraId="68D96EA0" w14:textId="77777777" w:rsidR="00AC3E4D" w:rsidRPr="009F254D" w:rsidRDefault="00AC3E4D" w:rsidP="00E43FA0">
      <w:pPr>
        <w:tabs>
          <w:tab w:val="left" w:pos="284"/>
        </w:tabs>
        <w:autoSpaceDE w:val="0"/>
        <w:autoSpaceDN w:val="0"/>
        <w:adjustRightInd w:val="0"/>
        <w:jc w:val="both"/>
        <w:rPr>
          <w:sz w:val="22"/>
          <w:szCs w:val="22"/>
          <w:lang w:val="sr-Latn-ME"/>
        </w:rPr>
      </w:pPr>
    </w:p>
    <w:p w14:paraId="7875F006" w14:textId="77777777" w:rsidR="00AC3E4D" w:rsidRPr="009F254D" w:rsidRDefault="00AC3E4D" w:rsidP="00E43FA0">
      <w:pPr>
        <w:tabs>
          <w:tab w:val="left" w:pos="284"/>
        </w:tabs>
        <w:jc w:val="both"/>
        <w:rPr>
          <w:i/>
          <w:sz w:val="22"/>
          <w:szCs w:val="22"/>
          <w:u w:val="single"/>
          <w:lang w:val="sr-Latn-ME"/>
        </w:rPr>
      </w:pPr>
      <w:r w:rsidRPr="009F254D">
        <w:rPr>
          <w:i/>
          <w:iCs/>
          <w:sz w:val="22"/>
          <w:szCs w:val="22"/>
          <w:u w:val="single"/>
          <w:lang w:val="sr-Latn-ME"/>
        </w:rPr>
        <w:t>Pedijatrijska populacija</w:t>
      </w:r>
    </w:p>
    <w:p w14:paraId="5F8618B4" w14:textId="36563219" w:rsidR="00AC3E4D" w:rsidRPr="009F254D" w:rsidRDefault="00AC3E4D" w:rsidP="00E43FA0">
      <w:pPr>
        <w:tabs>
          <w:tab w:val="left" w:pos="284"/>
        </w:tabs>
        <w:autoSpaceDE w:val="0"/>
        <w:autoSpaceDN w:val="0"/>
        <w:adjustRightInd w:val="0"/>
        <w:jc w:val="both"/>
        <w:rPr>
          <w:bCs/>
          <w:iCs/>
          <w:sz w:val="22"/>
          <w:szCs w:val="22"/>
          <w:lang w:val="sr-Latn-ME"/>
        </w:rPr>
      </w:pPr>
      <w:r w:rsidRPr="009F254D">
        <w:rPr>
          <w:sz w:val="22"/>
          <w:szCs w:val="22"/>
          <w:lang w:val="sr-Latn-ME"/>
        </w:rPr>
        <w:t xml:space="preserve">Evropska agencija za ljekove oslobodila je proizvođača obaveze da dostavi rezultate ispitivanja sa </w:t>
      </w:r>
      <w:r w:rsidR="00D576FF" w:rsidRPr="009F254D">
        <w:rPr>
          <w:sz w:val="22"/>
          <w:szCs w:val="22"/>
          <w:lang w:val="sr-Latn-ME"/>
        </w:rPr>
        <w:t>lijekom Xigduo u svim podgrupama</w:t>
      </w:r>
      <w:r w:rsidRPr="009F254D">
        <w:rPr>
          <w:sz w:val="22"/>
          <w:szCs w:val="22"/>
          <w:lang w:val="sr-Latn-ME"/>
        </w:rPr>
        <w:t xml:space="preserve"> pedijatrijske populacije u l</w:t>
      </w:r>
      <w:r w:rsidR="00D576FF" w:rsidRPr="009F254D">
        <w:rPr>
          <w:sz w:val="22"/>
          <w:szCs w:val="22"/>
          <w:lang w:val="sr-Latn-ME"/>
        </w:rPr>
        <w:t>ij</w:t>
      </w:r>
      <w:r w:rsidRPr="009F254D">
        <w:rPr>
          <w:sz w:val="22"/>
          <w:szCs w:val="22"/>
          <w:lang w:val="sr-Latn-ME"/>
        </w:rPr>
        <w:t>ečenju dijabetesa tip</w:t>
      </w:r>
      <w:r w:rsidR="00D576FF" w:rsidRPr="009F254D">
        <w:rPr>
          <w:sz w:val="22"/>
          <w:szCs w:val="22"/>
          <w:lang w:val="sr-Latn-ME"/>
        </w:rPr>
        <w:t>a</w:t>
      </w:r>
      <w:r w:rsidRPr="009F254D">
        <w:rPr>
          <w:sz w:val="22"/>
          <w:szCs w:val="22"/>
          <w:lang w:val="sr-Latn-ME"/>
        </w:rPr>
        <w:t xml:space="preserve"> 2 (pogledati </w:t>
      </w:r>
      <w:r w:rsidR="00D576FF" w:rsidRPr="009F254D">
        <w:rPr>
          <w:sz w:val="22"/>
          <w:szCs w:val="22"/>
          <w:lang w:val="sr-Latn-ME"/>
        </w:rPr>
        <w:t xml:space="preserve">dio </w:t>
      </w:r>
      <w:r w:rsidRPr="009F254D">
        <w:rPr>
          <w:sz w:val="22"/>
          <w:szCs w:val="22"/>
          <w:lang w:val="sr-Latn-ME"/>
        </w:rPr>
        <w:t>4.2. za informacije o pedijatrijskoj primjeni).</w:t>
      </w:r>
    </w:p>
    <w:p w14:paraId="4752835D" w14:textId="77777777" w:rsidR="00AC3E4D" w:rsidRPr="009F254D" w:rsidRDefault="00AC3E4D" w:rsidP="00E43FA0">
      <w:pPr>
        <w:tabs>
          <w:tab w:val="left" w:pos="540"/>
          <w:tab w:val="left" w:pos="569"/>
        </w:tabs>
        <w:rPr>
          <w:b/>
          <w:bCs/>
          <w:sz w:val="22"/>
          <w:szCs w:val="22"/>
          <w:lang w:val="sr-Latn-ME"/>
        </w:rPr>
      </w:pPr>
    </w:p>
    <w:p w14:paraId="5BA4F3EF" w14:textId="7E7DAB7C" w:rsidR="0072020E" w:rsidRPr="009F254D" w:rsidRDefault="0072020E" w:rsidP="00E43FA0">
      <w:pPr>
        <w:tabs>
          <w:tab w:val="left" w:pos="540"/>
          <w:tab w:val="left" w:pos="569"/>
        </w:tabs>
        <w:rPr>
          <w:b/>
          <w:bCs/>
          <w:sz w:val="22"/>
          <w:szCs w:val="22"/>
          <w:lang w:val="sr-Latn-ME"/>
        </w:rPr>
      </w:pPr>
      <w:r w:rsidRPr="009F254D">
        <w:rPr>
          <w:b/>
          <w:bCs/>
          <w:sz w:val="22"/>
          <w:szCs w:val="22"/>
          <w:lang w:val="sr-Latn-ME"/>
        </w:rPr>
        <w:t xml:space="preserve">5.2. </w:t>
      </w:r>
      <w:r w:rsidR="00480FB1" w:rsidRPr="009F254D">
        <w:rPr>
          <w:b/>
          <w:bCs/>
          <w:sz w:val="22"/>
          <w:szCs w:val="22"/>
          <w:lang w:val="sr-Latn-ME"/>
        </w:rPr>
        <w:tab/>
      </w:r>
      <w:r w:rsidRPr="009F254D">
        <w:rPr>
          <w:b/>
          <w:bCs/>
          <w:sz w:val="22"/>
          <w:szCs w:val="22"/>
          <w:lang w:val="sr-Latn-ME"/>
        </w:rPr>
        <w:t>Farmakokinetički podaci</w:t>
      </w:r>
      <w:r w:rsidR="003A7059" w:rsidRPr="009F254D">
        <w:rPr>
          <w:b/>
          <w:bCs/>
          <w:sz w:val="22"/>
          <w:szCs w:val="22"/>
          <w:lang w:val="sr-Latn-ME"/>
        </w:rPr>
        <w:t xml:space="preserve"> </w:t>
      </w:r>
    </w:p>
    <w:p w14:paraId="033C3042" w14:textId="77777777" w:rsidR="001F21A3" w:rsidRPr="009F254D" w:rsidRDefault="001F21A3" w:rsidP="00E43FA0">
      <w:pPr>
        <w:numPr>
          <w:ilvl w:val="12"/>
          <w:numId w:val="0"/>
        </w:numPr>
        <w:tabs>
          <w:tab w:val="left" w:pos="284"/>
        </w:tabs>
        <w:autoSpaceDE w:val="0"/>
        <w:autoSpaceDN w:val="0"/>
        <w:adjustRightInd w:val="0"/>
        <w:jc w:val="both"/>
        <w:rPr>
          <w:noProof/>
          <w:sz w:val="22"/>
          <w:szCs w:val="22"/>
          <w:lang w:val="sr-Latn-ME"/>
        </w:rPr>
      </w:pPr>
    </w:p>
    <w:p w14:paraId="5372432B" w14:textId="40FE9F90" w:rsidR="001F21A3" w:rsidRPr="009F254D" w:rsidRDefault="001F21A3" w:rsidP="00E43FA0">
      <w:pPr>
        <w:numPr>
          <w:ilvl w:val="12"/>
          <w:numId w:val="0"/>
        </w:numPr>
        <w:tabs>
          <w:tab w:val="left" w:pos="284"/>
        </w:tabs>
        <w:autoSpaceDE w:val="0"/>
        <w:autoSpaceDN w:val="0"/>
        <w:adjustRightInd w:val="0"/>
        <w:jc w:val="both"/>
        <w:rPr>
          <w:iCs/>
          <w:noProof/>
          <w:sz w:val="22"/>
          <w:szCs w:val="22"/>
          <w:lang w:val="sr-Latn-ME"/>
        </w:rPr>
      </w:pPr>
      <w:r w:rsidRPr="009F254D">
        <w:rPr>
          <w:noProof/>
          <w:sz w:val="22"/>
          <w:szCs w:val="22"/>
          <w:lang w:val="sr-Latn-ME"/>
        </w:rPr>
        <w:t>Xigduo kombinovane tablete smatraju se bioekvivalentnima istovremenoj primjeni odgovarajućih doza dapagliflozina i metformin hlorida primijenjenih zajedno u zasebnim tabletama.</w:t>
      </w:r>
    </w:p>
    <w:p w14:paraId="6187A2AF" w14:textId="77777777" w:rsidR="001F21A3" w:rsidRPr="009F254D" w:rsidRDefault="001F21A3" w:rsidP="00E43FA0">
      <w:pPr>
        <w:numPr>
          <w:ilvl w:val="12"/>
          <w:numId w:val="0"/>
        </w:numPr>
        <w:tabs>
          <w:tab w:val="left" w:pos="284"/>
        </w:tabs>
        <w:ind w:right="-2"/>
        <w:jc w:val="both"/>
        <w:rPr>
          <w:iCs/>
          <w:noProof/>
          <w:sz w:val="22"/>
          <w:szCs w:val="22"/>
          <w:lang w:val="sr-Latn-ME"/>
        </w:rPr>
      </w:pPr>
    </w:p>
    <w:p w14:paraId="3628B9F2" w14:textId="6B58AA9A" w:rsidR="001F21A3" w:rsidRPr="009F254D" w:rsidRDefault="001F21A3" w:rsidP="00E43FA0">
      <w:pPr>
        <w:numPr>
          <w:ilvl w:val="12"/>
          <w:numId w:val="0"/>
        </w:numPr>
        <w:tabs>
          <w:tab w:val="left" w:pos="284"/>
        </w:tabs>
        <w:ind w:right="-2"/>
        <w:jc w:val="both"/>
        <w:rPr>
          <w:sz w:val="22"/>
          <w:szCs w:val="22"/>
          <w:lang w:val="sr-Latn-ME"/>
        </w:rPr>
      </w:pPr>
      <w:r w:rsidRPr="009F254D">
        <w:rPr>
          <w:sz w:val="22"/>
          <w:szCs w:val="22"/>
          <w:lang w:val="sr-Latn-ME"/>
        </w:rPr>
        <w:t xml:space="preserve">Farmakokinetika dapagliflozina u dozi od 5 mg dvaput dnevno i dapagliflozina u dozi od 10 mg jednom dnevno upoređena je kod zdravih ispitanika. </w:t>
      </w:r>
      <w:r w:rsidR="00D576FF" w:rsidRPr="009F254D">
        <w:rPr>
          <w:sz w:val="22"/>
          <w:szCs w:val="22"/>
          <w:lang w:val="sr-Latn-ME"/>
        </w:rPr>
        <w:t>Kod p</w:t>
      </w:r>
      <w:r w:rsidRPr="009F254D">
        <w:rPr>
          <w:sz w:val="22"/>
          <w:szCs w:val="22"/>
          <w:lang w:val="sr-Latn-ME"/>
        </w:rPr>
        <w:t>rimjen</w:t>
      </w:r>
      <w:r w:rsidR="00D576FF" w:rsidRPr="009F254D">
        <w:rPr>
          <w:sz w:val="22"/>
          <w:szCs w:val="22"/>
          <w:lang w:val="sr-Latn-ME"/>
        </w:rPr>
        <w:t>e</w:t>
      </w:r>
      <w:r w:rsidRPr="009F254D">
        <w:rPr>
          <w:sz w:val="22"/>
          <w:szCs w:val="22"/>
          <w:lang w:val="sr-Latn-ME"/>
        </w:rPr>
        <w:t xml:space="preserve"> dapagliflozina u dozi od 5 mg dvaput dnevno </w:t>
      </w:r>
      <w:r w:rsidR="00D576FF" w:rsidRPr="009F254D">
        <w:rPr>
          <w:sz w:val="22"/>
          <w:szCs w:val="22"/>
          <w:lang w:val="sr-Latn-ME"/>
        </w:rPr>
        <w:t xml:space="preserve"> ukupna izloženost lijeku (AUC</w:t>
      </w:r>
      <w:r w:rsidR="00D576FF" w:rsidRPr="009F254D">
        <w:rPr>
          <w:sz w:val="22"/>
          <w:szCs w:val="22"/>
          <w:vertAlign w:val="subscript"/>
          <w:lang w:val="sr-Latn-ME"/>
        </w:rPr>
        <w:t>ss</w:t>
      </w:r>
      <w:r w:rsidR="00D576FF" w:rsidRPr="009F254D">
        <w:rPr>
          <w:sz w:val="22"/>
          <w:szCs w:val="22"/>
          <w:lang w:val="sr-Latn-ME"/>
        </w:rPr>
        <w:t>) tokom 24 sata bila je</w:t>
      </w:r>
      <w:r w:rsidRPr="009F254D">
        <w:rPr>
          <w:sz w:val="22"/>
          <w:szCs w:val="22"/>
          <w:lang w:val="sr-Latn-ME"/>
        </w:rPr>
        <w:t xml:space="preserve"> sličn</w:t>
      </w:r>
      <w:r w:rsidR="00D576FF" w:rsidRPr="009F254D">
        <w:rPr>
          <w:sz w:val="22"/>
          <w:szCs w:val="22"/>
          <w:lang w:val="sr-Latn-ME"/>
        </w:rPr>
        <w:t>a</w:t>
      </w:r>
      <w:r w:rsidRPr="009F254D">
        <w:rPr>
          <w:sz w:val="22"/>
          <w:szCs w:val="22"/>
          <w:lang w:val="sr-Latn-ME"/>
        </w:rPr>
        <w:t xml:space="preserve"> kao kod primjene dapagliflo</w:t>
      </w:r>
      <w:r w:rsidR="0022766E" w:rsidRPr="009F254D">
        <w:rPr>
          <w:sz w:val="22"/>
          <w:szCs w:val="22"/>
          <w:lang w:val="sr-Latn-ME"/>
        </w:rPr>
        <w:t>zin</w:t>
      </w:r>
      <w:r w:rsidRPr="009F254D">
        <w:rPr>
          <w:sz w:val="22"/>
          <w:szCs w:val="22"/>
          <w:lang w:val="sr-Latn-ME"/>
        </w:rPr>
        <w:t xml:space="preserve">a u dozi od </w:t>
      </w:r>
      <w:r w:rsidRPr="009F254D">
        <w:rPr>
          <w:sz w:val="22"/>
          <w:szCs w:val="22"/>
          <w:lang w:val="sr-Latn-ME"/>
        </w:rPr>
        <w:lastRenderedPageBreak/>
        <w:t xml:space="preserve">10 mg jednom dnevno. Kao što je i očekivano, kod primjene dapagliflozina u dozi od 5 mg dvaput dnevno u poređenju sa dozom od 10 mg jedanput dnevno primijećeno je smanjenje </w:t>
      </w:r>
      <w:r w:rsidR="0022766E" w:rsidRPr="009F254D">
        <w:rPr>
          <w:sz w:val="22"/>
          <w:szCs w:val="22"/>
          <w:lang w:val="sr-Latn-ME"/>
        </w:rPr>
        <w:t xml:space="preserve">maksimalnih </w:t>
      </w:r>
      <w:r w:rsidRPr="009F254D">
        <w:rPr>
          <w:sz w:val="22"/>
          <w:szCs w:val="22"/>
          <w:lang w:val="sr-Latn-ME"/>
        </w:rPr>
        <w:t>koncentracija dapagliflozina u plazmi (C</w:t>
      </w:r>
      <w:r w:rsidRPr="009F254D">
        <w:rPr>
          <w:sz w:val="22"/>
          <w:szCs w:val="22"/>
          <w:vertAlign w:val="subscript"/>
          <w:lang w:val="sr-Latn-ME"/>
        </w:rPr>
        <w:t>max</w:t>
      </w:r>
      <w:r w:rsidRPr="009F254D">
        <w:rPr>
          <w:sz w:val="22"/>
          <w:szCs w:val="22"/>
          <w:lang w:val="sr-Latn-ME"/>
        </w:rPr>
        <w:t>), kao i povećanje najnižih koncentracija dapagliflozina u plazmi (C</w:t>
      </w:r>
      <w:r w:rsidRPr="009F254D">
        <w:rPr>
          <w:sz w:val="22"/>
          <w:szCs w:val="22"/>
          <w:vertAlign w:val="subscript"/>
          <w:lang w:val="sr-Latn-ME"/>
        </w:rPr>
        <w:t>min</w:t>
      </w:r>
      <w:r w:rsidRPr="009F254D">
        <w:rPr>
          <w:sz w:val="22"/>
          <w:szCs w:val="22"/>
          <w:lang w:val="sr-Latn-ME"/>
        </w:rPr>
        <w:t>).</w:t>
      </w:r>
    </w:p>
    <w:p w14:paraId="72384730" w14:textId="740FE901" w:rsidR="001F21A3" w:rsidRPr="009F254D" w:rsidRDefault="001F21A3" w:rsidP="00E43FA0">
      <w:pPr>
        <w:numPr>
          <w:ilvl w:val="12"/>
          <w:numId w:val="0"/>
        </w:numPr>
        <w:tabs>
          <w:tab w:val="left" w:pos="284"/>
        </w:tabs>
        <w:ind w:right="-2"/>
        <w:jc w:val="both"/>
        <w:rPr>
          <w:sz w:val="22"/>
          <w:szCs w:val="22"/>
          <w:lang w:val="sr-Latn-ME"/>
        </w:rPr>
      </w:pPr>
    </w:p>
    <w:p w14:paraId="1A357E3C" w14:textId="77777777" w:rsidR="001F21A3" w:rsidRPr="009F254D" w:rsidRDefault="001F21A3" w:rsidP="00E43FA0">
      <w:pPr>
        <w:numPr>
          <w:ilvl w:val="12"/>
          <w:numId w:val="0"/>
        </w:numPr>
        <w:tabs>
          <w:tab w:val="left" w:pos="284"/>
        </w:tabs>
        <w:jc w:val="both"/>
        <w:rPr>
          <w:sz w:val="22"/>
          <w:szCs w:val="22"/>
          <w:lang w:val="sr-Latn-ME"/>
        </w:rPr>
      </w:pPr>
      <w:r w:rsidRPr="009F254D">
        <w:rPr>
          <w:sz w:val="22"/>
          <w:szCs w:val="22"/>
          <w:u w:val="single"/>
          <w:lang w:val="sr-Latn-ME"/>
        </w:rPr>
        <w:t>Interakcija sa hranom</w:t>
      </w:r>
    </w:p>
    <w:p w14:paraId="11387F71" w14:textId="4395B5EE" w:rsidR="001F21A3" w:rsidRPr="009F254D" w:rsidRDefault="001F21A3" w:rsidP="00E43FA0">
      <w:pPr>
        <w:numPr>
          <w:ilvl w:val="12"/>
          <w:numId w:val="0"/>
        </w:numPr>
        <w:tabs>
          <w:tab w:val="left" w:pos="0"/>
          <w:tab w:val="left" w:pos="284"/>
        </w:tabs>
        <w:autoSpaceDE w:val="0"/>
        <w:autoSpaceDN w:val="0"/>
        <w:adjustRightInd w:val="0"/>
        <w:jc w:val="both"/>
        <w:rPr>
          <w:sz w:val="22"/>
          <w:szCs w:val="22"/>
          <w:lang w:val="sr-Latn-ME"/>
        </w:rPr>
      </w:pPr>
      <w:r w:rsidRPr="009F254D">
        <w:rPr>
          <w:sz w:val="22"/>
          <w:szCs w:val="22"/>
          <w:lang w:val="sr-Latn-ME"/>
        </w:rPr>
        <w:t>Prim</w:t>
      </w:r>
      <w:r w:rsidR="0022766E" w:rsidRPr="009F254D">
        <w:rPr>
          <w:sz w:val="22"/>
          <w:szCs w:val="22"/>
          <w:lang w:val="sr-Latn-ME"/>
        </w:rPr>
        <w:t>j</w:t>
      </w:r>
      <w:r w:rsidRPr="009F254D">
        <w:rPr>
          <w:sz w:val="22"/>
          <w:szCs w:val="22"/>
          <w:lang w:val="sr-Latn-ME"/>
        </w:rPr>
        <w:t>ena ovog lijeka nakon punomasnog obroka u poređenju sa prim</w:t>
      </w:r>
      <w:r w:rsidR="0022766E" w:rsidRPr="009F254D">
        <w:rPr>
          <w:sz w:val="22"/>
          <w:szCs w:val="22"/>
          <w:lang w:val="sr-Latn-ME"/>
        </w:rPr>
        <w:t>j</w:t>
      </w:r>
      <w:r w:rsidRPr="009F254D">
        <w:rPr>
          <w:sz w:val="22"/>
          <w:szCs w:val="22"/>
          <w:lang w:val="sr-Latn-ME"/>
        </w:rPr>
        <w:t xml:space="preserve">enom lijeka natašte kod zdravih dobrovoljaca dovela je do jednakog nivoa izloženosti i dapagliflozinu i metforminu. Obrok je odgodio postizanje </w:t>
      </w:r>
      <w:r w:rsidR="0022766E" w:rsidRPr="009F254D">
        <w:rPr>
          <w:sz w:val="22"/>
          <w:szCs w:val="22"/>
          <w:lang w:val="sr-Latn-ME"/>
        </w:rPr>
        <w:t xml:space="preserve">maksimalnih </w:t>
      </w:r>
      <w:r w:rsidRPr="009F254D">
        <w:rPr>
          <w:sz w:val="22"/>
          <w:szCs w:val="22"/>
          <w:lang w:val="sr-Latn-ME"/>
        </w:rPr>
        <w:t>koncentracija za 1 do 2 sata i smanjio maksimalne koncentracije dapagliflozina u plazmi za 29%, a metformina za 17%. Ove promjene se ne smatraju klinički značajnim.</w:t>
      </w:r>
    </w:p>
    <w:p w14:paraId="3F7DDC01" w14:textId="77777777" w:rsidR="001F21A3" w:rsidRPr="009F254D" w:rsidRDefault="001F21A3" w:rsidP="00E43FA0">
      <w:pPr>
        <w:numPr>
          <w:ilvl w:val="12"/>
          <w:numId w:val="0"/>
        </w:numPr>
        <w:tabs>
          <w:tab w:val="left" w:pos="284"/>
        </w:tabs>
        <w:ind w:right="-2"/>
        <w:jc w:val="both"/>
        <w:rPr>
          <w:sz w:val="22"/>
          <w:szCs w:val="22"/>
          <w:lang w:val="sr-Latn-ME"/>
        </w:rPr>
      </w:pPr>
    </w:p>
    <w:p w14:paraId="5A6DF6EA" w14:textId="77777777" w:rsidR="001F21A3" w:rsidRPr="009F254D" w:rsidRDefault="001F21A3" w:rsidP="00E43FA0">
      <w:pPr>
        <w:numPr>
          <w:ilvl w:val="12"/>
          <w:numId w:val="0"/>
        </w:numPr>
        <w:tabs>
          <w:tab w:val="left" w:pos="284"/>
        </w:tabs>
        <w:jc w:val="both"/>
        <w:rPr>
          <w:sz w:val="22"/>
          <w:szCs w:val="22"/>
          <w:lang w:val="sr-Latn-ME"/>
        </w:rPr>
      </w:pPr>
      <w:r w:rsidRPr="009F254D">
        <w:rPr>
          <w:noProof/>
          <w:sz w:val="22"/>
          <w:szCs w:val="22"/>
          <w:u w:val="single"/>
          <w:lang w:val="sr-Latn-ME"/>
        </w:rPr>
        <w:t>Pedijatrijska populacija</w:t>
      </w:r>
      <w:r w:rsidRPr="009F254D">
        <w:rPr>
          <w:sz w:val="22"/>
          <w:szCs w:val="22"/>
          <w:lang w:val="sr-Latn-ME"/>
        </w:rPr>
        <w:t xml:space="preserve"> </w:t>
      </w:r>
    </w:p>
    <w:p w14:paraId="47A66612" w14:textId="77777777" w:rsidR="001F21A3" w:rsidRPr="009F254D" w:rsidRDefault="001F21A3" w:rsidP="00E43FA0">
      <w:pPr>
        <w:numPr>
          <w:ilvl w:val="12"/>
          <w:numId w:val="0"/>
        </w:numPr>
        <w:tabs>
          <w:tab w:val="left" w:pos="284"/>
        </w:tabs>
        <w:autoSpaceDE w:val="0"/>
        <w:autoSpaceDN w:val="0"/>
        <w:adjustRightInd w:val="0"/>
        <w:jc w:val="both"/>
        <w:rPr>
          <w:sz w:val="22"/>
          <w:szCs w:val="22"/>
          <w:lang w:val="sr-Latn-ME"/>
        </w:rPr>
      </w:pPr>
      <w:r w:rsidRPr="009F254D">
        <w:rPr>
          <w:sz w:val="22"/>
          <w:szCs w:val="22"/>
          <w:lang w:val="sr-Latn-ME"/>
        </w:rPr>
        <w:t>U pedijatrijskoj populaciji nije proučavana farmakokinetika.</w:t>
      </w:r>
    </w:p>
    <w:p w14:paraId="55A68C11" w14:textId="77777777" w:rsidR="001F21A3" w:rsidRPr="009F254D" w:rsidRDefault="001F21A3" w:rsidP="00E43FA0">
      <w:pPr>
        <w:numPr>
          <w:ilvl w:val="12"/>
          <w:numId w:val="0"/>
        </w:numPr>
        <w:tabs>
          <w:tab w:val="left" w:pos="284"/>
        </w:tabs>
        <w:ind w:right="-2"/>
        <w:jc w:val="both"/>
        <w:rPr>
          <w:iCs/>
          <w:noProof/>
          <w:sz w:val="22"/>
          <w:szCs w:val="22"/>
          <w:lang w:val="sr-Latn-ME"/>
        </w:rPr>
      </w:pPr>
    </w:p>
    <w:p w14:paraId="7158459C" w14:textId="77777777" w:rsidR="001F21A3" w:rsidRPr="009F254D" w:rsidRDefault="001F21A3" w:rsidP="00E43FA0">
      <w:pPr>
        <w:numPr>
          <w:ilvl w:val="12"/>
          <w:numId w:val="0"/>
        </w:numPr>
        <w:tabs>
          <w:tab w:val="left" w:pos="284"/>
        </w:tabs>
        <w:ind w:right="-2"/>
        <w:jc w:val="both"/>
        <w:rPr>
          <w:iCs/>
          <w:noProof/>
          <w:sz w:val="22"/>
          <w:szCs w:val="22"/>
          <w:lang w:val="sr-Latn-ME"/>
        </w:rPr>
      </w:pPr>
      <w:r w:rsidRPr="009F254D">
        <w:rPr>
          <w:noProof/>
          <w:sz w:val="22"/>
          <w:szCs w:val="22"/>
          <w:lang w:val="sr-Latn-ME"/>
        </w:rPr>
        <w:t>Sljedeće tvrdnje odražavaju farmakokinetička svojstva pojedinačnih aktivnih supstanci ovog lijeka.</w:t>
      </w:r>
    </w:p>
    <w:p w14:paraId="62735EEA" w14:textId="77777777" w:rsidR="001F21A3" w:rsidRPr="009F254D" w:rsidRDefault="001F21A3" w:rsidP="00E43FA0">
      <w:pPr>
        <w:numPr>
          <w:ilvl w:val="12"/>
          <w:numId w:val="0"/>
        </w:numPr>
        <w:tabs>
          <w:tab w:val="left" w:pos="284"/>
        </w:tabs>
        <w:ind w:right="-2"/>
        <w:jc w:val="both"/>
        <w:rPr>
          <w:iCs/>
          <w:noProof/>
          <w:sz w:val="22"/>
          <w:szCs w:val="22"/>
          <w:lang w:val="sr-Latn-ME"/>
        </w:rPr>
      </w:pPr>
    </w:p>
    <w:p w14:paraId="7F0D30EA" w14:textId="77777777" w:rsidR="001F21A3" w:rsidRPr="009F254D" w:rsidRDefault="001F21A3" w:rsidP="00E43FA0">
      <w:pPr>
        <w:tabs>
          <w:tab w:val="left" w:pos="284"/>
        </w:tabs>
        <w:jc w:val="both"/>
        <w:rPr>
          <w:bCs/>
          <w:noProof/>
          <w:sz w:val="22"/>
          <w:szCs w:val="22"/>
          <w:u w:val="single"/>
          <w:lang w:val="sr-Latn-ME"/>
        </w:rPr>
      </w:pPr>
      <w:r w:rsidRPr="009F254D">
        <w:rPr>
          <w:sz w:val="22"/>
          <w:szCs w:val="22"/>
          <w:u w:val="single"/>
          <w:lang w:val="sr-Latn-ME"/>
        </w:rPr>
        <w:t>Dapagliflozin</w:t>
      </w:r>
    </w:p>
    <w:p w14:paraId="381A6F27" w14:textId="77777777" w:rsidR="001F21A3" w:rsidRPr="009F254D" w:rsidRDefault="001F21A3" w:rsidP="00E43FA0">
      <w:pPr>
        <w:tabs>
          <w:tab w:val="left" w:pos="284"/>
        </w:tabs>
        <w:jc w:val="both"/>
        <w:rPr>
          <w:bCs/>
          <w:i/>
          <w:iCs/>
          <w:noProof/>
          <w:sz w:val="22"/>
          <w:szCs w:val="22"/>
          <w:u w:val="single"/>
          <w:lang w:val="sr-Latn-ME"/>
        </w:rPr>
      </w:pPr>
      <w:r w:rsidRPr="009F254D">
        <w:rPr>
          <w:i/>
          <w:iCs/>
          <w:noProof/>
          <w:sz w:val="22"/>
          <w:szCs w:val="22"/>
          <w:u w:val="single"/>
          <w:lang w:val="sr-Latn-ME"/>
        </w:rPr>
        <w:t>Resorpcija</w:t>
      </w:r>
    </w:p>
    <w:p w14:paraId="6927059B" w14:textId="77777777" w:rsidR="001F21A3" w:rsidRPr="009F254D" w:rsidRDefault="001F21A3" w:rsidP="00E43FA0">
      <w:pPr>
        <w:tabs>
          <w:tab w:val="left" w:pos="284"/>
        </w:tabs>
        <w:autoSpaceDE w:val="0"/>
        <w:autoSpaceDN w:val="0"/>
        <w:adjustRightInd w:val="0"/>
        <w:jc w:val="both"/>
        <w:rPr>
          <w:bCs/>
          <w:noProof/>
          <w:sz w:val="22"/>
          <w:szCs w:val="22"/>
          <w:lang w:val="sr-Latn-ME"/>
        </w:rPr>
      </w:pPr>
      <w:r w:rsidRPr="009F254D">
        <w:rPr>
          <w:noProof/>
          <w:sz w:val="22"/>
          <w:szCs w:val="22"/>
          <w:lang w:val="sr-Latn-ME"/>
        </w:rPr>
        <w:t>Dapagliflozin se brzo i dobro resorbuje nakon oralne primjene. Maksimalne koncentracije dapagliflozina u plazmi (C</w:t>
      </w:r>
      <w:r w:rsidRPr="009F254D">
        <w:rPr>
          <w:noProof/>
          <w:sz w:val="22"/>
          <w:szCs w:val="22"/>
          <w:vertAlign w:val="subscript"/>
          <w:lang w:val="sr-Latn-ME"/>
        </w:rPr>
        <w:t>max</w:t>
      </w:r>
      <w:r w:rsidRPr="009F254D">
        <w:rPr>
          <w:noProof/>
          <w:sz w:val="22"/>
          <w:szCs w:val="22"/>
          <w:lang w:val="sr-Latn-ME"/>
        </w:rPr>
        <w:t>) obično su dostizane u roku od 2 sata nakon primjene natašte. Geometrijske srednje vrijednosti C</w:t>
      </w:r>
      <w:r w:rsidRPr="009F254D">
        <w:rPr>
          <w:noProof/>
          <w:sz w:val="22"/>
          <w:szCs w:val="22"/>
          <w:vertAlign w:val="subscript"/>
          <w:lang w:val="sr-Latn-ME"/>
        </w:rPr>
        <w:t>max</w:t>
      </w:r>
      <w:r w:rsidRPr="009F254D">
        <w:rPr>
          <w:noProof/>
          <w:sz w:val="22"/>
          <w:szCs w:val="22"/>
          <w:lang w:val="sr-Latn-ME"/>
        </w:rPr>
        <w:t xml:space="preserve"> i AUC</w:t>
      </w:r>
      <w:r w:rsidRPr="009F254D">
        <w:rPr>
          <w:noProof/>
          <w:sz w:val="22"/>
          <w:szCs w:val="22"/>
          <w:vertAlign w:val="subscript"/>
          <w:lang w:val="sr-Latn-ME"/>
        </w:rPr>
        <w:t>τ</w:t>
      </w:r>
      <w:r w:rsidRPr="009F254D">
        <w:rPr>
          <w:noProof/>
          <w:sz w:val="22"/>
          <w:szCs w:val="22"/>
          <w:lang w:val="sr-Latn-ME"/>
        </w:rPr>
        <w:t xml:space="preserve"> dapagliflozina u stabilnom stanju nakon primjene doza dapagliflozina od 10 mg jednom dnevno iznosile su 158 ng/ml, odnosno 628 ng/ml. Apsolutna oralna bioraspoloživost dapagliflozina nakon primjene doze od 10 mg iznosi 78%.</w:t>
      </w:r>
    </w:p>
    <w:p w14:paraId="190EEE5E" w14:textId="77777777" w:rsidR="001F21A3" w:rsidRPr="009F254D" w:rsidRDefault="001F21A3" w:rsidP="00FA635D">
      <w:pPr>
        <w:tabs>
          <w:tab w:val="left" w:pos="284"/>
        </w:tabs>
        <w:jc w:val="both"/>
        <w:rPr>
          <w:bCs/>
          <w:noProof/>
          <w:sz w:val="22"/>
          <w:szCs w:val="22"/>
          <w:lang w:val="sr-Latn-ME"/>
        </w:rPr>
      </w:pPr>
    </w:p>
    <w:p w14:paraId="6CDB4491" w14:textId="77777777" w:rsidR="001F21A3" w:rsidRPr="009F254D" w:rsidRDefault="001F21A3" w:rsidP="00FA635D">
      <w:pPr>
        <w:keepNext/>
        <w:keepLines/>
        <w:tabs>
          <w:tab w:val="left" w:pos="284"/>
        </w:tabs>
        <w:jc w:val="both"/>
        <w:rPr>
          <w:bCs/>
          <w:i/>
          <w:iCs/>
          <w:noProof/>
          <w:sz w:val="22"/>
          <w:szCs w:val="22"/>
          <w:u w:val="single"/>
          <w:lang w:val="sr-Latn-ME"/>
        </w:rPr>
      </w:pPr>
      <w:r w:rsidRPr="009F254D">
        <w:rPr>
          <w:i/>
          <w:iCs/>
          <w:noProof/>
          <w:sz w:val="22"/>
          <w:szCs w:val="22"/>
          <w:u w:val="single"/>
          <w:lang w:val="sr-Latn-ME"/>
        </w:rPr>
        <w:t>Distribucija</w:t>
      </w:r>
    </w:p>
    <w:p w14:paraId="32E26643" w14:textId="77777777" w:rsidR="001F21A3" w:rsidRPr="009F254D" w:rsidRDefault="001F21A3" w:rsidP="00FA635D">
      <w:pPr>
        <w:tabs>
          <w:tab w:val="left" w:pos="284"/>
        </w:tabs>
        <w:autoSpaceDE w:val="0"/>
        <w:autoSpaceDN w:val="0"/>
        <w:adjustRightInd w:val="0"/>
        <w:jc w:val="both"/>
        <w:rPr>
          <w:bCs/>
          <w:noProof/>
          <w:sz w:val="22"/>
          <w:szCs w:val="22"/>
          <w:lang w:val="sr-Latn-ME"/>
        </w:rPr>
      </w:pPr>
      <w:r w:rsidRPr="009F254D">
        <w:rPr>
          <w:noProof/>
          <w:sz w:val="22"/>
          <w:szCs w:val="22"/>
          <w:lang w:val="sr-Latn-ME"/>
        </w:rPr>
        <w:t>Otprilike 91% dapagliflozina se vezuje za proteine. Vezivanje za proteine nije se izmijenilo kod različitih bolesti (npr. insuficijencije jetre ili bubrega). Prosječni volumen distribucije dapagliflozina u stabilnom stanju iznosio je 118 litara.</w:t>
      </w:r>
    </w:p>
    <w:p w14:paraId="3279EE49" w14:textId="77777777" w:rsidR="001F21A3" w:rsidRPr="009F254D" w:rsidRDefault="001F21A3" w:rsidP="00FA635D">
      <w:pPr>
        <w:tabs>
          <w:tab w:val="left" w:pos="284"/>
        </w:tabs>
        <w:jc w:val="both"/>
        <w:rPr>
          <w:bCs/>
          <w:noProof/>
          <w:sz w:val="22"/>
          <w:szCs w:val="22"/>
          <w:lang w:val="sr-Latn-ME"/>
        </w:rPr>
      </w:pPr>
    </w:p>
    <w:p w14:paraId="0AB7271C" w14:textId="77777777" w:rsidR="001F21A3" w:rsidRPr="009F254D" w:rsidRDefault="001F21A3" w:rsidP="00FA635D">
      <w:pPr>
        <w:keepNext/>
        <w:keepLines/>
        <w:tabs>
          <w:tab w:val="left" w:pos="284"/>
        </w:tabs>
        <w:jc w:val="both"/>
        <w:rPr>
          <w:bCs/>
          <w:i/>
          <w:iCs/>
          <w:noProof/>
          <w:sz w:val="22"/>
          <w:szCs w:val="22"/>
          <w:u w:val="single"/>
          <w:lang w:val="sr-Latn-ME"/>
        </w:rPr>
      </w:pPr>
      <w:r w:rsidRPr="009F254D">
        <w:rPr>
          <w:i/>
          <w:iCs/>
          <w:noProof/>
          <w:sz w:val="22"/>
          <w:szCs w:val="22"/>
          <w:u w:val="single"/>
          <w:lang w:val="sr-Latn-ME"/>
        </w:rPr>
        <w:t>Biotransformacija</w:t>
      </w:r>
    </w:p>
    <w:p w14:paraId="2F6426AE" w14:textId="77777777" w:rsidR="001F21A3" w:rsidRPr="009F254D" w:rsidRDefault="001F21A3" w:rsidP="00FA635D">
      <w:pPr>
        <w:tabs>
          <w:tab w:val="left" w:pos="284"/>
        </w:tabs>
        <w:autoSpaceDE w:val="0"/>
        <w:autoSpaceDN w:val="0"/>
        <w:adjustRightInd w:val="0"/>
        <w:jc w:val="both"/>
        <w:rPr>
          <w:bCs/>
          <w:noProof/>
          <w:sz w:val="22"/>
          <w:szCs w:val="22"/>
          <w:lang w:val="sr-Latn-ME"/>
        </w:rPr>
      </w:pPr>
      <w:r w:rsidRPr="009F254D">
        <w:rPr>
          <w:noProof/>
          <w:sz w:val="22"/>
          <w:szCs w:val="22"/>
          <w:lang w:val="sr-Latn-ME"/>
        </w:rPr>
        <w:t>Dapagliflozin se u velikoj mjeri metaboliše, pri čemu se prvenstveno stvara dapagliflozin 3-O-glukuronid koji je neaktivan metabolit. Ni dapagliflozin 3-O-glukuronid ni drugi metaboliti ne doprinose smanjenju nivoa glukoze. U stvaranju dapagliflozin 3-O-glukuronida posreduje UGT1A9, enzim prisutan u jetri i bubrezima, dok je CYP posredovan metabolizam predstavljao manji put klirensa kod ljudi.</w:t>
      </w:r>
    </w:p>
    <w:p w14:paraId="302C9BF5" w14:textId="77777777" w:rsidR="001F21A3" w:rsidRPr="009F254D" w:rsidRDefault="001F21A3" w:rsidP="00FA635D">
      <w:pPr>
        <w:tabs>
          <w:tab w:val="left" w:pos="284"/>
        </w:tabs>
        <w:jc w:val="both"/>
        <w:rPr>
          <w:bCs/>
          <w:noProof/>
          <w:sz w:val="22"/>
          <w:szCs w:val="22"/>
          <w:lang w:val="sr-Latn-ME"/>
        </w:rPr>
      </w:pPr>
    </w:p>
    <w:p w14:paraId="3A67C911" w14:textId="77777777" w:rsidR="001F21A3" w:rsidRPr="009F254D" w:rsidRDefault="001F21A3" w:rsidP="00FA635D">
      <w:pPr>
        <w:keepNext/>
        <w:keepLines/>
        <w:tabs>
          <w:tab w:val="left" w:pos="284"/>
        </w:tabs>
        <w:jc w:val="both"/>
        <w:rPr>
          <w:bCs/>
          <w:i/>
          <w:iCs/>
          <w:noProof/>
          <w:sz w:val="22"/>
          <w:szCs w:val="22"/>
          <w:u w:val="single"/>
          <w:lang w:val="sr-Latn-ME"/>
        </w:rPr>
      </w:pPr>
      <w:r w:rsidRPr="009F254D">
        <w:rPr>
          <w:i/>
          <w:iCs/>
          <w:noProof/>
          <w:sz w:val="22"/>
          <w:szCs w:val="22"/>
          <w:u w:val="single"/>
          <w:lang w:val="sr-Latn-ME"/>
        </w:rPr>
        <w:t>Eliminacija</w:t>
      </w:r>
    </w:p>
    <w:p w14:paraId="3A995A75" w14:textId="098A3E0D" w:rsidR="001F21A3" w:rsidRPr="009F254D" w:rsidRDefault="001F21A3" w:rsidP="00FA635D">
      <w:pPr>
        <w:tabs>
          <w:tab w:val="left" w:pos="284"/>
        </w:tabs>
        <w:autoSpaceDE w:val="0"/>
        <w:autoSpaceDN w:val="0"/>
        <w:adjustRightInd w:val="0"/>
        <w:jc w:val="both"/>
        <w:rPr>
          <w:bCs/>
          <w:noProof/>
          <w:sz w:val="22"/>
          <w:szCs w:val="22"/>
          <w:lang w:val="sr-Latn-ME"/>
        </w:rPr>
      </w:pPr>
      <w:r w:rsidRPr="009F254D">
        <w:rPr>
          <w:sz w:val="22"/>
          <w:szCs w:val="22"/>
          <w:lang w:val="sr-Latn-ME"/>
        </w:rPr>
        <w:t xml:space="preserve">Nakon jedne oralne doze dapagliflozina od 10 mg kod zdravih ispitanika </w:t>
      </w:r>
      <w:r w:rsidR="0022766E" w:rsidRPr="009F254D">
        <w:rPr>
          <w:sz w:val="22"/>
          <w:szCs w:val="22"/>
          <w:lang w:val="sr-Latn-ME"/>
        </w:rPr>
        <w:t xml:space="preserve">srednje </w:t>
      </w:r>
      <w:r w:rsidRPr="009F254D">
        <w:rPr>
          <w:sz w:val="22"/>
          <w:szCs w:val="22"/>
          <w:lang w:val="sr-Latn-ME"/>
        </w:rPr>
        <w:t>terminalno poluvrijeme eliminacije (t</w:t>
      </w:r>
      <w:r w:rsidRPr="009F254D">
        <w:rPr>
          <w:sz w:val="22"/>
          <w:szCs w:val="22"/>
          <w:vertAlign w:val="subscript"/>
          <w:lang w:val="sr-Latn-ME"/>
        </w:rPr>
        <w:t>1/2</w:t>
      </w:r>
      <w:r w:rsidRPr="009F254D">
        <w:rPr>
          <w:sz w:val="22"/>
          <w:szCs w:val="22"/>
          <w:lang w:val="sr-Latn-ME"/>
        </w:rPr>
        <w:t xml:space="preserve">) </w:t>
      </w:r>
      <w:r w:rsidRPr="009F254D">
        <w:rPr>
          <w:noProof/>
          <w:sz w:val="22"/>
          <w:szCs w:val="22"/>
          <w:lang w:val="sr-Latn-ME"/>
        </w:rPr>
        <w:t>dapagliflozina</w:t>
      </w:r>
      <w:r w:rsidRPr="009F254D">
        <w:rPr>
          <w:sz w:val="22"/>
          <w:szCs w:val="22"/>
          <w:lang w:val="sr-Latn-ME"/>
        </w:rPr>
        <w:t xml:space="preserve"> iz plazme iznosilo je 12,9 sati. Srednji ukupni sistemski klirens dapagliflozina nakon intravenske primjene iznosio je 207 ml/min. </w:t>
      </w:r>
      <w:r w:rsidRPr="009F254D">
        <w:rPr>
          <w:noProof/>
          <w:sz w:val="22"/>
          <w:szCs w:val="22"/>
          <w:lang w:val="sr-Latn-ME"/>
        </w:rPr>
        <w:t>Dapagliflozin i srodni metaboliti prvenstveno se eliminišu putem urina, od čega manje od 2% kao dapagliflozin u neizmijenjenom obliku. Nakon primjene [</w:t>
      </w:r>
      <w:r w:rsidRPr="009F254D">
        <w:rPr>
          <w:noProof/>
          <w:sz w:val="22"/>
          <w:szCs w:val="22"/>
          <w:vertAlign w:val="superscript"/>
          <w:lang w:val="sr-Latn-ME"/>
        </w:rPr>
        <w:t>14</w:t>
      </w:r>
      <w:r w:rsidRPr="009F254D">
        <w:rPr>
          <w:noProof/>
          <w:sz w:val="22"/>
          <w:szCs w:val="22"/>
          <w:lang w:val="sr-Latn-ME"/>
        </w:rPr>
        <w:t>C]-dapagliflozina u dozi od 50 mg utvrđeno je prisustvo 96% lijeka, 75% u urinu i 21% u fecesu. U fecesu je otprilike 15% doze izlučeno u obliku primarnog (originalnog) lijeka.</w:t>
      </w:r>
    </w:p>
    <w:p w14:paraId="283006B5" w14:textId="77777777" w:rsidR="001F21A3" w:rsidRPr="009F254D" w:rsidRDefault="001F21A3" w:rsidP="00FA635D">
      <w:pPr>
        <w:tabs>
          <w:tab w:val="left" w:pos="284"/>
        </w:tabs>
        <w:jc w:val="both"/>
        <w:rPr>
          <w:bCs/>
          <w:noProof/>
          <w:sz w:val="22"/>
          <w:szCs w:val="22"/>
          <w:lang w:val="sr-Latn-ME"/>
        </w:rPr>
      </w:pPr>
    </w:p>
    <w:p w14:paraId="557E1D2D" w14:textId="77777777" w:rsidR="001F21A3" w:rsidRPr="009F254D" w:rsidRDefault="001F21A3" w:rsidP="00FA635D">
      <w:pPr>
        <w:keepNext/>
        <w:keepLines/>
        <w:tabs>
          <w:tab w:val="left" w:pos="284"/>
        </w:tabs>
        <w:jc w:val="both"/>
        <w:rPr>
          <w:bCs/>
          <w:noProof/>
          <w:sz w:val="22"/>
          <w:szCs w:val="22"/>
          <w:lang w:val="sr-Latn-ME"/>
        </w:rPr>
      </w:pPr>
      <w:r w:rsidRPr="009F254D">
        <w:rPr>
          <w:i/>
          <w:iCs/>
          <w:noProof/>
          <w:sz w:val="22"/>
          <w:szCs w:val="22"/>
          <w:u w:val="single"/>
          <w:lang w:val="sr-Latn-ME"/>
        </w:rPr>
        <w:t>Linearnost</w:t>
      </w:r>
    </w:p>
    <w:p w14:paraId="623235DD" w14:textId="77777777" w:rsidR="001F21A3" w:rsidRPr="009F254D" w:rsidRDefault="001F21A3" w:rsidP="00FA635D">
      <w:pPr>
        <w:tabs>
          <w:tab w:val="left" w:pos="284"/>
        </w:tabs>
        <w:autoSpaceDE w:val="0"/>
        <w:autoSpaceDN w:val="0"/>
        <w:adjustRightInd w:val="0"/>
        <w:jc w:val="both"/>
        <w:rPr>
          <w:bCs/>
          <w:noProof/>
          <w:sz w:val="22"/>
          <w:szCs w:val="22"/>
          <w:lang w:val="sr-Latn-ME"/>
        </w:rPr>
      </w:pPr>
      <w:r w:rsidRPr="009F254D">
        <w:rPr>
          <w:noProof/>
          <w:sz w:val="22"/>
          <w:szCs w:val="22"/>
          <w:lang w:val="sr-Latn-ME"/>
        </w:rPr>
        <w:t>Izloženost dapagliflozinu povećavala se proporcionalno povećanju doze dapagliflozina u rasponu doza od 0,1 mg do 500 mg, a njegova farmakokinetika se nije mijenjala s vremenom nakon ponovljenih dnevnih doza primijenjivanih tokom najduže 24 nedjelje.</w:t>
      </w:r>
    </w:p>
    <w:p w14:paraId="3B495C6A" w14:textId="77777777" w:rsidR="001F21A3" w:rsidRPr="009F254D" w:rsidRDefault="001F21A3" w:rsidP="00FA635D">
      <w:pPr>
        <w:tabs>
          <w:tab w:val="left" w:pos="284"/>
        </w:tabs>
        <w:jc w:val="both"/>
        <w:rPr>
          <w:bCs/>
          <w:noProof/>
          <w:sz w:val="22"/>
          <w:szCs w:val="22"/>
          <w:lang w:val="sr-Latn-ME"/>
        </w:rPr>
      </w:pPr>
    </w:p>
    <w:p w14:paraId="086B3563" w14:textId="208A36F9" w:rsidR="001F21A3" w:rsidRPr="009F254D" w:rsidRDefault="00AE11C4" w:rsidP="00FA635D">
      <w:pPr>
        <w:keepNext/>
        <w:keepLines/>
        <w:tabs>
          <w:tab w:val="left" w:pos="284"/>
        </w:tabs>
        <w:jc w:val="both"/>
        <w:rPr>
          <w:bCs/>
          <w:i/>
          <w:iCs/>
          <w:noProof/>
          <w:sz w:val="22"/>
          <w:szCs w:val="22"/>
          <w:u w:val="single"/>
          <w:lang w:val="sr-Latn-ME"/>
        </w:rPr>
      </w:pPr>
      <w:r>
        <w:rPr>
          <w:i/>
          <w:iCs/>
          <w:noProof/>
          <w:sz w:val="22"/>
          <w:szCs w:val="22"/>
          <w:u w:val="single"/>
          <w:lang w:val="sr-Latn-ME"/>
        </w:rPr>
        <w:t>Posebne</w:t>
      </w:r>
      <w:r w:rsidRPr="009F254D">
        <w:rPr>
          <w:i/>
          <w:iCs/>
          <w:noProof/>
          <w:sz w:val="22"/>
          <w:szCs w:val="22"/>
          <w:u w:val="single"/>
          <w:lang w:val="sr-Latn-ME"/>
        </w:rPr>
        <w:t xml:space="preserve"> </w:t>
      </w:r>
      <w:r w:rsidR="001F21A3" w:rsidRPr="009F254D">
        <w:rPr>
          <w:i/>
          <w:iCs/>
          <w:noProof/>
          <w:sz w:val="22"/>
          <w:szCs w:val="22"/>
          <w:u w:val="single"/>
          <w:lang w:val="sr-Latn-ME"/>
        </w:rPr>
        <w:t>populacije</w:t>
      </w:r>
    </w:p>
    <w:p w14:paraId="13EBD981" w14:textId="77777777" w:rsidR="001F21A3" w:rsidRPr="009F254D" w:rsidRDefault="001F21A3" w:rsidP="00FA635D">
      <w:pPr>
        <w:keepNext/>
        <w:keepLines/>
        <w:tabs>
          <w:tab w:val="left" w:pos="284"/>
        </w:tabs>
        <w:jc w:val="both"/>
        <w:rPr>
          <w:i/>
          <w:iCs/>
          <w:noProof/>
          <w:sz w:val="22"/>
          <w:szCs w:val="22"/>
          <w:lang w:val="sr-Latn-ME"/>
        </w:rPr>
      </w:pPr>
      <w:r w:rsidRPr="009F254D">
        <w:rPr>
          <w:i/>
          <w:iCs/>
          <w:noProof/>
          <w:sz w:val="22"/>
          <w:szCs w:val="22"/>
          <w:lang w:val="sr-Latn-ME"/>
        </w:rPr>
        <w:t>Insuficijencija bubrega</w:t>
      </w:r>
    </w:p>
    <w:p w14:paraId="5A03E8BA" w14:textId="170793C9" w:rsidR="001F21A3" w:rsidRPr="009F254D" w:rsidRDefault="001F21A3" w:rsidP="00FA635D">
      <w:pPr>
        <w:tabs>
          <w:tab w:val="left" w:pos="284"/>
        </w:tabs>
        <w:autoSpaceDE w:val="0"/>
        <w:autoSpaceDN w:val="0"/>
        <w:adjustRightInd w:val="0"/>
        <w:jc w:val="both"/>
        <w:rPr>
          <w:bCs/>
          <w:noProof/>
          <w:sz w:val="22"/>
          <w:szCs w:val="22"/>
          <w:lang w:val="sr-Latn-ME"/>
        </w:rPr>
      </w:pPr>
      <w:r w:rsidRPr="009F254D">
        <w:rPr>
          <w:noProof/>
          <w:sz w:val="22"/>
          <w:szCs w:val="22"/>
          <w:lang w:val="sr-Latn-ME"/>
        </w:rPr>
        <w:t xml:space="preserve">U stabilnom stanju (20 mg dapagliflozina jednom dnevno tokom 7 dana) kod ispitanika sa dijabetes melitusom tipa 2 i blagom, umjerenom ili teškom insuficijencijom </w:t>
      </w:r>
      <w:r w:rsidR="0022766E" w:rsidRPr="009F254D">
        <w:rPr>
          <w:noProof/>
          <w:sz w:val="22"/>
          <w:szCs w:val="22"/>
          <w:lang w:val="sr-Latn-ME"/>
        </w:rPr>
        <w:t xml:space="preserve">bubrega </w:t>
      </w:r>
      <w:r w:rsidRPr="009F254D">
        <w:rPr>
          <w:noProof/>
          <w:sz w:val="22"/>
          <w:szCs w:val="22"/>
          <w:lang w:val="sr-Latn-ME"/>
        </w:rPr>
        <w:t>(određeno klirensom ioheksola iz plazme) srednja vrijednost sistemske izloženosti dapagliflozinu bila je 32%, 60%, odnosno 87% viša</w:t>
      </w:r>
      <w:r w:rsidR="0022766E" w:rsidRPr="009F254D">
        <w:rPr>
          <w:noProof/>
          <w:sz w:val="22"/>
          <w:szCs w:val="22"/>
          <w:lang w:val="sr-Latn-ME"/>
        </w:rPr>
        <w:t xml:space="preserve"> (tim redom)</w:t>
      </w:r>
      <w:r w:rsidRPr="009F254D">
        <w:rPr>
          <w:noProof/>
          <w:sz w:val="22"/>
          <w:szCs w:val="22"/>
          <w:lang w:val="sr-Latn-ME"/>
        </w:rPr>
        <w:t xml:space="preserve"> nego kod ispitanika sa dijabetes melitusom tipa 2 i normalnom bubrežnom funkcijom. Izlučivanje glukoze putem urina u stabilnom stanju tokom 24 časa veoma je zavisilo od funkcije bubrega i ispitanici sa dijabetes melitusom tipa 2 i normalnom bubrežnom funkcijom ili </w:t>
      </w:r>
      <w:r w:rsidRPr="009F254D">
        <w:rPr>
          <w:noProof/>
          <w:sz w:val="22"/>
          <w:szCs w:val="22"/>
          <w:lang w:val="sr-Latn-ME"/>
        </w:rPr>
        <w:lastRenderedPageBreak/>
        <w:t>blagom, umjerenom ili teškom insuficijencijom bubrega lučili su 85, 52, 18, odnosno 11 g glukoze na dan</w:t>
      </w:r>
      <w:r w:rsidR="0022766E" w:rsidRPr="009F254D">
        <w:rPr>
          <w:noProof/>
          <w:sz w:val="22"/>
          <w:szCs w:val="22"/>
          <w:lang w:val="sr-Latn-ME"/>
        </w:rPr>
        <w:t xml:space="preserve"> (tim redom)</w:t>
      </w:r>
      <w:r w:rsidRPr="009F254D">
        <w:rPr>
          <w:noProof/>
          <w:sz w:val="22"/>
          <w:szCs w:val="22"/>
          <w:lang w:val="sr-Latn-ME"/>
        </w:rPr>
        <w:t>. Uticaj hemodijalize na izloženost dapagliflozinu nije poznat.</w:t>
      </w:r>
    </w:p>
    <w:p w14:paraId="6304109E" w14:textId="77777777" w:rsidR="001F21A3" w:rsidRPr="009F254D" w:rsidRDefault="001F21A3" w:rsidP="00FA635D">
      <w:pPr>
        <w:tabs>
          <w:tab w:val="left" w:pos="284"/>
        </w:tabs>
        <w:jc w:val="both"/>
        <w:rPr>
          <w:bCs/>
          <w:noProof/>
          <w:sz w:val="22"/>
          <w:szCs w:val="22"/>
          <w:lang w:val="sr-Latn-ME"/>
        </w:rPr>
      </w:pPr>
    </w:p>
    <w:p w14:paraId="2DFE7091" w14:textId="77777777" w:rsidR="001F21A3" w:rsidRPr="009F254D" w:rsidRDefault="001F21A3" w:rsidP="00FA635D">
      <w:pPr>
        <w:keepNext/>
        <w:keepLines/>
        <w:tabs>
          <w:tab w:val="left" w:pos="284"/>
        </w:tabs>
        <w:jc w:val="both"/>
        <w:rPr>
          <w:i/>
          <w:iCs/>
          <w:noProof/>
          <w:sz w:val="22"/>
          <w:szCs w:val="22"/>
          <w:lang w:val="sr-Latn-ME"/>
        </w:rPr>
      </w:pPr>
      <w:r w:rsidRPr="009F254D">
        <w:rPr>
          <w:i/>
          <w:iCs/>
          <w:noProof/>
          <w:sz w:val="22"/>
          <w:szCs w:val="22"/>
          <w:lang w:val="sr-Latn-ME"/>
        </w:rPr>
        <w:t>Insuficijencija jetre</w:t>
      </w:r>
    </w:p>
    <w:p w14:paraId="1531251F" w14:textId="3210C3BF" w:rsidR="001F21A3" w:rsidRPr="009F254D" w:rsidRDefault="001F21A3" w:rsidP="00FA635D">
      <w:pPr>
        <w:tabs>
          <w:tab w:val="left" w:pos="284"/>
        </w:tabs>
        <w:autoSpaceDE w:val="0"/>
        <w:autoSpaceDN w:val="0"/>
        <w:adjustRightInd w:val="0"/>
        <w:jc w:val="both"/>
        <w:rPr>
          <w:bCs/>
          <w:noProof/>
          <w:sz w:val="22"/>
          <w:szCs w:val="22"/>
          <w:lang w:val="sr-Latn-ME"/>
        </w:rPr>
      </w:pPr>
      <w:r w:rsidRPr="009F254D">
        <w:rPr>
          <w:sz w:val="22"/>
          <w:szCs w:val="22"/>
          <w:lang w:val="sr-Latn-ME"/>
        </w:rPr>
        <w:t>Kod ispitanika sa blagom ili umjerenom insuficijencijom jetre (</w:t>
      </w:r>
      <w:r w:rsidR="00A0553A" w:rsidRPr="009F254D">
        <w:rPr>
          <w:sz w:val="22"/>
          <w:szCs w:val="22"/>
          <w:lang w:val="sr-Latn-ME"/>
        </w:rPr>
        <w:t>Child-Pugh</w:t>
      </w:r>
      <w:r w:rsidRPr="009F254D">
        <w:rPr>
          <w:sz w:val="22"/>
          <w:szCs w:val="22"/>
          <w:lang w:val="sr-Latn-ME"/>
        </w:rPr>
        <w:t xml:space="preserve"> klase A i B) srednja vrijednost C</w:t>
      </w:r>
      <w:r w:rsidRPr="009F254D">
        <w:rPr>
          <w:sz w:val="22"/>
          <w:szCs w:val="22"/>
          <w:vertAlign w:val="subscript"/>
          <w:lang w:val="sr-Latn-ME"/>
        </w:rPr>
        <w:t xml:space="preserve">max </w:t>
      </w:r>
      <w:r w:rsidRPr="009F254D">
        <w:rPr>
          <w:sz w:val="22"/>
          <w:szCs w:val="22"/>
          <w:lang w:val="sr-Latn-ME"/>
        </w:rPr>
        <w:t>dapagliflozina bila je do 12% viša, a AUC do 36% viša nego kod odgovarajućih zdravih kontrolnih ispitanika. Ove razlike ni</w:t>
      </w:r>
      <w:r w:rsidR="0013159C" w:rsidRPr="009F254D">
        <w:rPr>
          <w:sz w:val="22"/>
          <w:szCs w:val="22"/>
          <w:lang w:val="sr-Latn-ME"/>
        </w:rPr>
        <w:t>je</w:t>
      </w:r>
      <w:r w:rsidRPr="009F254D">
        <w:rPr>
          <w:sz w:val="22"/>
          <w:szCs w:val="22"/>
          <w:lang w:val="sr-Latn-ME"/>
        </w:rPr>
        <w:t>su smatrane klinički značajnim. Kod ispitanika sa teškom insuficijencijom jetre (</w:t>
      </w:r>
      <w:r w:rsidR="00A0553A" w:rsidRPr="009F254D">
        <w:rPr>
          <w:sz w:val="22"/>
          <w:szCs w:val="22"/>
          <w:lang w:val="sr-Latn-ME"/>
        </w:rPr>
        <w:t>Child-Pugh</w:t>
      </w:r>
      <w:r w:rsidRPr="009F254D">
        <w:rPr>
          <w:sz w:val="22"/>
          <w:szCs w:val="22"/>
          <w:lang w:val="sr-Latn-ME"/>
        </w:rPr>
        <w:t xml:space="preserve"> klasa C) srednja vrijednost C</w:t>
      </w:r>
      <w:r w:rsidRPr="009F254D">
        <w:rPr>
          <w:sz w:val="22"/>
          <w:szCs w:val="22"/>
          <w:vertAlign w:val="subscript"/>
          <w:lang w:val="sr-Latn-ME"/>
        </w:rPr>
        <w:t>max</w:t>
      </w:r>
      <w:r w:rsidRPr="009F254D">
        <w:rPr>
          <w:sz w:val="22"/>
          <w:szCs w:val="22"/>
          <w:lang w:val="sr-Latn-ME"/>
        </w:rPr>
        <w:t xml:space="preserve"> dapagliflozina bila je 40% viša, a AUC 67% viša nego kod odgovarajućih zdravih kontrolnih ispitanika.</w:t>
      </w:r>
    </w:p>
    <w:p w14:paraId="1969E3D1" w14:textId="77777777" w:rsidR="001F21A3" w:rsidRPr="009F254D" w:rsidRDefault="001F21A3" w:rsidP="00FA635D">
      <w:pPr>
        <w:tabs>
          <w:tab w:val="left" w:pos="284"/>
        </w:tabs>
        <w:jc w:val="both"/>
        <w:rPr>
          <w:bCs/>
          <w:noProof/>
          <w:sz w:val="22"/>
          <w:szCs w:val="22"/>
          <w:lang w:val="sr-Latn-ME"/>
        </w:rPr>
      </w:pPr>
    </w:p>
    <w:p w14:paraId="0E557C54" w14:textId="77777777" w:rsidR="001F21A3" w:rsidRPr="009F254D" w:rsidRDefault="001F21A3" w:rsidP="00FA635D">
      <w:pPr>
        <w:keepNext/>
        <w:keepLines/>
        <w:tabs>
          <w:tab w:val="left" w:pos="284"/>
        </w:tabs>
        <w:jc w:val="both"/>
        <w:rPr>
          <w:i/>
          <w:iCs/>
          <w:noProof/>
          <w:sz w:val="22"/>
          <w:szCs w:val="22"/>
          <w:lang w:val="sr-Latn-ME"/>
        </w:rPr>
      </w:pPr>
      <w:r w:rsidRPr="009F254D">
        <w:rPr>
          <w:i/>
          <w:iCs/>
          <w:noProof/>
          <w:sz w:val="22"/>
          <w:szCs w:val="22"/>
          <w:lang w:val="sr-Latn-ME"/>
        </w:rPr>
        <w:t>Starije osobe (≥ 65 godina)</w:t>
      </w:r>
    </w:p>
    <w:p w14:paraId="008F6D39" w14:textId="48BBE69A" w:rsidR="001F21A3" w:rsidRPr="009F254D" w:rsidRDefault="001F21A3" w:rsidP="00FA635D">
      <w:pPr>
        <w:tabs>
          <w:tab w:val="left" w:pos="284"/>
        </w:tabs>
        <w:autoSpaceDE w:val="0"/>
        <w:autoSpaceDN w:val="0"/>
        <w:adjustRightInd w:val="0"/>
        <w:jc w:val="both"/>
        <w:rPr>
          <w:noProof/>
          <w:sz w:val="22"/>
          <w:szCs w:val="22"/>
          <w:lang w:val="sr-Latn-ME"/>
        </w:rPr>
      </w:pPr>
      <w:r w:rsidRPr="009F254D">
        <w:rPr>
          <w:noProof/>
          <w:sz w:val="22"/>
          <w:szCs w:val="22"/>
          <w:lang w:val="sr-Latn-ME"/>
        </w:rPr>
        <w:t>Nema klinički značajnog povećanja izloženosti isključivo na osnovu starosti kod ispitanika starih do 70 godina. Međutim, može se očekivati povećana izloženost zbog smanjene bubrežne funkcije usljed starije dob</w:t>
      </w:r>
      <w:r w:rsidR="0013159C" w:rsidRPr="009F254D">
        <w:rPr>
          <w:noProof/>
          <w:sz w:val="22"/>
          <w:szCs w:val="22"/>
          <w:lang w:val="sr-Latn-ME"/>
        </w:rPr>
        <w:t>i</w:t>
      </w:r>
      <w:r w:rsidRPr="009F254D">
        <w:rPr>
          <w:noProof/>
          <w:sz w:val="22"/>
          <w:szCs w:val="22"/>
          <w:lang w:val="sr-Latn-ME"/>
        </w:rPr>
        <w:t>. Nema dovoljno podataka da bi se donijeli zaključci o izloženosti pacijenata starijih od 70 godina.</w:t>
      </w:r>
    </w:p>
    <w:p w14:paraId="195DDADB" w14:textId="77777777" w:rsidR="001F21A3" w:rsidRPr="009F254D" w:rsidRDefault="001F21A3" w:rsidP="00FA635D">
      <w:pPr>
        <w:tabs>
          <w:tab w:val="left" w:pos="284"/>
        </w:tabs>
        <w:jc w:val="both"/>
        <w:rPr>
          <w:noProof/>
          <w:sz w:val="22"/>
          <w:szCs w:val="22"/>
          <w:lang w:val="sr-Latn-ME"/>
        </w:rPr>
      </w:pPr>
    </w:p>
    <w:p w14:paraId="40A1D169" w14:textId="77777777" w:rsidR="001F21A3" w:rsidRPr="009F254D" w:rsidRDefault="001F21A3" w:rsidP="00FA635D">
      <w:pPr>
        <w:keepNext/>
        <w:keepLines/>
        <w:tabs>
          <w:tab w:val="left" w:pos="284"/>
        </w:tabs>
        <w:jc w:val="both"/>
        <w:rPr>
          <w:i/>
          <w:sz w:val="22"/>
          <w:szCs w:val="22"/>
          <w:lang w:val="sr-Latn-ME"/>
        </w:rPr>
      </w:pPr>
      <w:r w:rsidRPr="009F254D">
        <w:rPr>
          <w:i/>
          <w:iCs/>
          <w:sz w:val="22"/>
          <w:szCs w:val="22"/>
          <w:lang w:val="sr-Latn-ME"/>
        </w:rPr>
        <w:t>Pol</w:t>
      </w:r>
    </w:p>
    <w:p w14:paraId="1AEB83EC" w14:textId="77777777" w:rsidR="001F21A3" w:rsidRPr="009F254D" w:rsidRDefault="001F21A3" w:rsidP="00FA635D">
      <w:pPr>
        <w:tabs>
          <w:tab w:val="left" w:pos="284"/>
        </w:tabs>
        <w:autoSpaceDE w:val="0"/>
        <w:autoSpaceDN w:val="0"/>
        <w:adjustRightInd w:val="0"/>
        <w:jc w:val="both"/>
        <w:rPr>
          <w:bCs/>
          <w:strike/>
          <w:noProof/>
          <w:sz w:val="22"/>
          <w:szCs w:val="22"/>
          <w:lang w:val="sr-Latn-ME"/>
        </w:rPr>
      </w:pPr>
      <w:r w:rsidRPr="009F254D">
        <w:rPr>
          <w:noProof/>
          <w:sz w:val="22"/>
          <w:szCs w:val="22"/>
          <w:lang w:val="sr-Latn-ME"/>
        </w:rPr>
        <w:t>Procijenjeno je da je srednja vrijednost AUC</w:t>
      </w:r>
      <w:r w:rsidRPr="009F254D">
        <w:rPr>
          <w:noProof/>
          <w:sz w:val="22"/>
          <w:szCs w:val="22"/>
          <w:vertAlign w:val="subscript"/>
          <w:lang w:val="sr-Latn-ME"/>
        </w:rPr>
        <w:t>ss</w:t>
      </w:r>
      <w:r w:rsidRPr="009F254D">
        <w:rPr>
          <w:noProof/>
          <w:sz w:val="22"/>
          <w:szCs w:val="22"/>
          <w:lang w:val="sr-Latn-ME"/>
        </w:rPr>
        <w:t xml:space="preserve"> dapagliflozina kod žena oko 22% veća nego kod muškaraca.</w:t>
      </w:r>
    </w:p>
    <w:p w14:paraId="5830BD90" w14:textId="77777777" w:rsidR="001F21A3" w:rsidRPr="009F254D" w:rsidRDefault="001F21A3" w:rsidP="00FA635D">
      <w:pPr>
        <w:tabs>
          <w:tab w:val="left" w:pos="284"/>
        </w:tabs>
        <w:jc w:val="both"/>
        <w:rPr>
          <w:bCs/>
          <w:noProof/>
          <w:sz w:val="22"/>
          <w:szCs w:val="22"/>
          <w:lang w:val="sr-Latn-ME"/>
        </w:rPr>
      </w:pPr>
    </w:p>
    <w:p w14:paraId="60E52C6E" w14:textId="77777777" w:rsidR="001F21A3" w:rsidRPr="009F254D" w:rsidRDefault="001F21A3" w:rsidP="00FA635D">
      <w:pPr>
        <w:keepNext/>
        <w:keepLines/>
        <w:tabs>
          <w:tab w:val="left" w:pos="284"/>
        </w:tabs>
        <w:jc w:val="both"/>
        <w:rPr>
          <w:i/>
          <w:sz w:val="22"/>
          <w:szCs w:val="22"/>
          <w:lang w:val="sr-Latn-ME"/>
        </w:rPr>
      </w:pPr>
      <w:r w:rsidRPr="009F254D">
        <w:rPr>
          <w:i/>
          <w:iCs/>
          <w:sz w:val="22"/>
          <w:szCs w:val="22"/>
          <w:lang w:val="sr-Latn-ME"/>
        </w:rPr>
        <w:t>Rasa</w:t>
      </w:r>
    </w:p>
    <w:p w14:paraId="52E6601C" w14:textId="3B1A7B6D" w:rsidR="001F21A3" w:rsidRPr="009F254D" w:rsidRDefault="001F21A3" w:rsidP="00FA635D">
      <w:pPr>
        <w:tabs>
          <w:tab w:val="left" w:pos="284"/>
        </w:tabs>
        <w:autoSpaceDE w:val="0"/>
        <w:autoSpaceDN w:val="0"/>
        <w:adjustRightInd w:val="0"/>
        <w:jc w:val="both"/>
        <w:rPr>
          <w:bCs/>
          <w:strike/>
          <w:noProof/>
          <w:sz w:val="22"/>
          <w:szCs w:val="22"/>
          <w:lang w:val="sr-Latn-ME"/>
        </w:rPr>
      </w:pPr>
      <w:r w:rsidRPr="009F254D">
        <w:rPr>
          <w:noProof/>
          <w:sz w:val="22"/>
          <w:szCs w:val="22"/>
          <w:lang w:val="sr-Latn-ME"/>
        </w:rPr>
        <w:t>Nije bilo klinički relevantnih razlika u sistemsko</w:t>
      </w:r>
      <w:r w:rsidR="0013159C" w:rsidRPr="009F254D">
        <w:rPr>
          <w:noProof/>
          <w:sz w:val="22"/>
          <w:szCs w:val="22"/>
          <w:lang w:val="sr-Latn-ME"/>
        </w:rPr>
        <w:t>j</w:t>
      </w:r>
      <w:r w:rsidRPr="009F254D">
        <w:rPr>
          <w:noProof/>
          <w:sz w:val="22"/>
          <w:szCs w:val="22"/>
          <w:lang w:val="sr-Latn-ME"/>
        </w:rPr>
        <w:t xml:space="preserve"> izl</w:t>
      </w:r>
      <w:r w:rsidR="0013159C" w:rsidRPr="009F254D">
        <w:rPr>
          <w:noProof/>
          <w:sz w:val="22"/>
          <w:szCs w:val="22"/>
          <w:lang w:val="sr-Latn-ME"/>
        </w:rPr>
        <w:t>oženosti</w:t>
      </w:r>
      <w:r w:rsidRPr="009F254D">
        <w:rPr>
          <w:noProof/>
          <w:sz w:val="22"/>
          <w:szCs w:val="22"/>
          <w:lang w:val="sr-Latn-ME"/>
        </w:rPr>
        <w:t xml:space="preserve"> između crne, bijele ili žute rase.</w:t>
      </w:r>
    </w:p>
    <w:p w14:paraId="468B20F3" w14:textId="77777777" w:rsidR="001F21A3" w:rsidRPr="009F254D" w:rsidRDefault="001F21A3" w:rsidP="00FA635D">
      <w:pPr>
        <w:keepNext/>
        <w:keepLines/>
        <w:tabs>
          <w:tab w:val="left" w:pos="284"/>
        </w:tabs>
        <w:jc w:val="both"/>
        <w:rPr>
          <w:i/>
          <w:sz w:val="22"/>
          <w:szCs w:val="22"/>
          <w:lang w:val="sr-Latn-ME"/>
        </w:rPr>
      </w:pPr>
      <w:r w:rsidRPr="009F254D">
        <w:rPr>
          <w:i/>
          <w:iCs/>
          <w:sz w:val="22"/>
          <w:szCs w:val="22"/>
          <w:lang w:val="sr-Latn-ME"/>
        </w:rPr>
        <w:t>Tjelesna masa</w:t>
      </w:r>
    </w:p>
    <w:p w14:paraId="627BD355" w14:textId="7CA272E1" w:rsidR="001F21A3" w:rsidRPr="009F254D" w:rsidRDefault="001F21A3" w:rsidP="00FA635D">
      <w:pPr>
        <w:tabs>
          <w:tab w:val="left" w:pos="284"/>
        </w:tabs>
        <w:jc w:val="both"/>
        <w:rPr>
          <w:noProof/>
          <w:sz w:val="22"/>
          <w:szCs w:val="22"/>
          <w:lang w:val="sr-Latn-ME"/>
        </w:rPr>
      </w:pPr>
      <w:r w:rsidRPr="009F254D">
        <w:rPr>
          <w:noProof/>
          <w:sz w:val="22"/>
          <w:szCs w:val="22"/>
          <w:lang w:val="sr-Latn-ME"/>
        </w:rPr>
        <w:t>Otkriveno je da se izloženost dapagliflozinu smanjuje sa povećanjem mase. Shodno tome, pacijenti sa manjom tjelesnom masom mogu biti nešto izloženiji, a pacijenti sa većom tjelesnom masom mogu biti nešto manje izloženi. Ipak, razlike u izloženosti ni</w:t>
      </w:r>
      <w:r w:rsidR="0013159C" w:rsidRPr="009F254D">
        <w:rPr>
          <w:noProof/>
          <w:sz w:val="22"/>
          <w:szCs w:val="22"/>
          <w:lang w:val="sr-Latn-ME"/>
        </w:rPr>
        <w:t>je</w:t>
      </w:r>
      <w:r w:rsidRPr="009F254D">
        <w:rPr>
          <w:noProof/>
          <w:sz w:val="22"/>
          <w:szCs w:val="22"/>
          <w:lang w:val="sr-Latn-ME"/>
        </w:rPr>
        <w:t>su smatrane klinički značajnim.</w:t>
      </w:r>
    </w:p>
    <w:p w14:paraId="4367418A" w14:textId="77777777" w:rsidR="001F21A3" w:rsidRPr="009F254D" w:rsidRDefault="001F21A3" w:rsidP="00FA635D">
      <w:pPr>
        <w:tabs>
          <w:tab w:val="left" w:pos="284"/>
        </w:tabs>
        <w:jc w:val="both"/>
        <w:rPr>
          <w:noProof/>
          <w:sz w:val="22"/>
          <w:szCs w:val="22"/>
          <w:lang w:val="sr-Latn-ME"/>
        </w:rPr>
      </w:pPr>
    </w:p>
    <w:p w14:paraId="6B4A26EB" w14:textId="77777777" w:rsidR="001F21A3" w:rsidRPr="009F254D" w:rsidRDefault="001F21A3" w:rsidP="00FA635D">
      <w:pPr>
        <w:keepNext/>
        <w:keepLines/>
        <w:tabs>
          <w:tab w:val="left" w:pos="284"/>
        </w:tabs>
        <w:jc w:val="both"/>
        <w:rPr>
          <w:i/>
          <w:iCs/>
          <w:noProof/>
          <w:sz w:val="22"/>
          <w:szCs w:val="22"/>
          <w:lang w:val="sr-Latn-ME"/>
        </w:rPr>
      </w:pPr>
      <w:r w:rsidRPr="009F254D">
        <w:rPr>
          <w:i/>
          <w:iCs/>
          <w:noProof/>
          <w:sz w:val="22"/>
          <w:szCs w:val="22"/>
          <w:lang w:val="sr-Latn-ME"/>
        </w:rPr>
        <w:t>Pedijatrijska populacija</w:t>
      </w:r>
    </w:p>
    <w:p w14:paraId="015325A6" w14:textId="6425B56C" w:rsidR="006D662C" w:rsidRDefault="006D662C" w:rsidP="0014766F">
      <w:pPr>
        <w:keepNext/>
        <w:keepLines/>
        <w:tabs>
          <w:tab w:val="left" w:pos="284"/>
        </w:tabs>
        <w:jc w:val="both"/>
        <w:rPr>
          <w:noProof/>
          <w:sz w:val="22"/>
          <w:szCs w:val="22"/>
          <w:lang w:val="sr-Latn-ME"/>
        </w:rPr>
      </w:pPr>
      <w:r w:rsidRPr="006D662C">
        <w:rPr>
          <w:noProof/>
          <w:sz w:val="22"/>
          <w:szCs w:val="22"/>
          <w:lang w:val="sr-Latn-ME"/>
        </w:rPr>
        <w:t xml:space="preserve">Farmakokinetika i farmakodinamika (glikozurija) </w:t>
      </w:r>
      <w:r>
        <w:rPr>
          <w:noProof/>
          <w:sz w:val="22"/>
          <w:szCs w:val="22"/>
          <w:lang w:val="sr-Latn-ME"/>
        </w:rPr>
        <w:t>kod</w:t>
      </w:r>
      <w:r w:rsidRPr="006D662C">
        <w:rPr>
          <w:noProof/>
          <w:sz w:val="22"/>
          <w:szCs w:val="22"/>
          <w:lang w:val="sr-Latn-ME"/>
        </w:rPr>
        <w:t xml:space="preserve"> djece sa </w:t>
      </w:r>
      <w:r>
        <w:rPr>
          <w:noProof/>
          <w:sz w:val="22"/>
          <w:szCs w:val="22"/>
          <w:lang w:val="sr-Latn-ME"/>
        </w:rPr>
        <w:t>dijabetesom</w:t>
      </w:r>
      <w:r w:rsidRPr="006D662C">
        <w:rPr>
          <w:noProof/>
          <w:sz w:val="22"/>
          <w:szCs w:val="22"/>
          <w:lang w:val="sr-Latn-ME"/>
        </w:rPr>
        <w:t xml:space="preserve"> tipa 2</w:t>
      </w:r>
      <w:r>
        <w:rPr>
          <w:noProof/>
          <w:sz w:val="22"/>
          <w:szCs w:val="22"/>
          <w:lang w:val="sr-Latn-ME"/>
        </w:rPr>
        <w:t>,</w:t>
      </w:r>
      <w:r w:rsidRPr="006D662C">
        <w:rPr>
          <w:noProof/>
          <w:sz w:val="22"/>
          <w:szCs w:val="22"/>
          <w:lang w:val="sr-Latn-ME"/>
        </w:rPr>
        <w:t xml:space="preserve"> </w:t>
      </w:r>
      <w:r>
        <w:rPr>
          <w:noProof/>
          <w:sz w:val="22"/>
          <w:szCs w:val="22"/>
          <w:lang w:val="sr-Latn-ME"/>
        </w:rPr>
        <w:t xml:space="preserve">uzrasta </w:t>
      </w:r>
      <w:r w:rsidRPr="006D662C">
        <w:rPr>
          <w:noProof/>
          <w:sz w:val="22"/>
          <w:szCs w:val="22"/>
          <w:lang w:val="sr-Latn-ME"/>
        </w:rPr>
        <w:t>od 10 do 17 godina</w:t>
      </w:r>
      <w:r>
        <w:rPr>
          <w:noProof/>
          <w:sz w:val="22"/>
          <w:szCs w:val="22"/>
          <w:lang w:val="sr-Latn-ME"/>
        </w:rPr>
        <w:t>,</w:t>
      </w:r>
      <w:r w:rsidRPr="006D662C">
        <w:rPr>
          <w:noProof/>
          <w:sz w:val="22"/>
          <w:szCs w:val="22"/>
          <w:lang w:val="sr-Latn-ME"/>
        </w:rPr>
        <w:t xml:space="preserve"> bile su slične onima </w:t>
      </w:r>
      <w:r>
        <w:rPr>
          <w:noProof/>
          <w:sz w:val="22"/>
          <w:szCs w:val="22"/>
          <w:lang w:val="sr-Latn-ME"/>
        </w:rPr>
        <w:t>zapaženim</w:t>
      </w:r>
      <w:r w:rsidRPr="006D662C">
        <w:rPr>
          <w:noProof/>
          <w:sz w:val="22"/>
          <w:szCs w:val="22"/>
          <w:lang w:val="sr-Latn-ME"/>
        </w:rPr>
        <w:t xml:space="preserve"> </w:t>
      </w:r>
      <w:r>
        <w:rPr>
          <w:noProof/>
          <w:sz w:val="22"/>
          <w:szCs w:val="22"/>
          <w:lang w:val="sr-Latn-ME"/>
        </w:rPr>
        <w:t xml:space="preserve">kod </w:t>
      </w:r>
      <w:r w:rsidRPr="006D662C">
        <w:rPr>
          <w:noProof/>
          <w:sz w:val="22"/>
          <w:szCs w:val="22"/>
          <w:lang w:val="sr-Latn-ME"/>
        </w:rPr>
        <w:t xml:space="preserve">odraslih sa </w:t>
      </w:r>
      <w:r>
        <w:rPr>
          <w:noProof/>
          <w:sz w:val="22"/>
          <w:szCs w:val="22"/>
          <w:lang w:val="sr-Latn-ME"/>
        </w:rPr>
        <w:t xml:space="preserve">dijabetesom tipa 2. </w:t>
      </w:r>
    </w:p>
    <w:p w14:paraId="76452A88" w14:textId="77777777" w:rsidR="001F21A3" w:rsidRPr="009F254D" w:rsidRDefault="001F21A3" w:rsidP="00FA635D">
      <w:pPr>
        <w:numPr>
          <w:ilvl w:val="12"/>
          <w:numId w:val="0"/>
        </w:numPr>
        <w:tabs>
          <w:tab w:val="left" w:pos="284"/>
        </w:tabs>
        <w:ind w:right="-2"/>
        <w:jc w:val="both"/>
        <w:rPr>
          <w:iCs/>
          <w:noProof/>
          <w:sz w:val="22"/>
          <w:szCs w:val="22"/>
          <w:lang w:val="sr-Latn-ME"/>
        </w:rPr>
      </w:pPr>
    </w:p>
    <w:p w14:paraId="567DA1BC" w14:textId="77777777" w:rsidR="001F21A3" w:rsidRPr="009F254D" w:rsidRDefault="001F21A3" w:rsidP="00E43FA0">
      <w:pPr>
        <w:numPr>
          <w:ilvl w:val="12"/>
          <w:numId w:val="0"/>
        </w:numPr>
        <w:tabs>
          <w:tab w:val="left" w:pos="284"/>
        </w:tabs>
        <w:jc w:val="both"/>
        <w:rPr>
          <w:noProof/>
          <w:sz w:val="22"/>
          <w:szCs w:val="22"/>
          <w:lang w:val="sr-Latn-ME"/>
        </w:rPr>
      </w:pPr>
      <w:r w:rsidRPr="009F254D">
        <w:rPr>
          <w:sz w:val="22"/>
          <w:szCs w:val="22"/>
          <w:u w:val="single"/>
          <w:lang w:val="sr-Latn-ME"/>
        </w:rPr>
        <w:t>Metformin</w:t>
      </w:r>
    </w:p>
    <w:p w14:paraId="2CB28CBA" w14:textId="77777777" w:rsidR="001F21A3" w:rsidRPr="009F254D" w:rsidRDefault="001F21A3" w:rsidP="00E43FA0">
      <w:pPr>
        <w:numPr>
          <w:ilvl w:val="12"/>
          <w:numId w:val="0"/>
        </w:numPr>
        <w:tabs>
          <w:tab w:val="left" w:pos="284"/>
        </w:tabs>
        <w:jc w:val="both"/>
        <w:rPr>
          <w:i/>
          <w:noProof/>
          <w:sz w:val="22"/>
          <w:szCs w:val="22"/>
          <w:u w:val="single"/>
          <w:lang w:val="sr-Latn-ME"/>
        </w:rPr>
      </w:pPr>
      <w:r w:rsidRPr="009F254D">
        <w:rPr>
          <w:i/>
          <w:iCs/>
          <w:noProof/>
          <w:sz w:val="22"/>
          <w:szCs w:val="22"/>
          <w:u w:val="single"/>
          <w:lang w:val="sr-Latn-ME"/>
        </w:rPr>
        <w:t>Resorpcija</w:t>
      </w:r>
    </w:p>
    <w:p w14:paraId="58CD96D5" w14:textId="77777777" w:rsidR="001F21A3" w:rsidRPr="009F254D" w:rsidRDefault="001F21A3" w:rsidP="00E43FA0">
      <w:pPr>
        <w:numPr>
          <w:ilvl w:val="12"/>
          <w:numId w:val="0"/>
        </w:numPr>
        <w:tabs>
          <w:tab w:val="left" w:pos="284"/>
        </w:tabs>
        <w:jc w:val="both"/>
        <w:rPr>
          <w:iCs/>
          <w:noProof/>
          <w:sz w:val="22"/>
          <w:szCs w:val="22"/>
          <w:lang w:val="sr-Latn-ME"/>
        </w:rPr>
      </w:pPr>
      <w:r w:rsidRPr="009F254D">
        <w:rPr>
          <w:noProof/>
          <w:sz w:val="22"/>
          <w:szCs w:val="22"/>
          <w:lang w:val="sr-Latn-ME"/>
        </w:rPr>
        <w:t>Nakon primjene oralne doze metformina, t</w:t>
      </w:r>
      <w:r w:rsidRPr="009F254D">
        <w:rPr>
          <w:noProof/>
          <w:sz w:val="22"/>
          <w:szCs w:val="22"/>
          <w:vertAlign w:val="subscript"/>
          <w:lang w:val="sr-Latn-ME"/>
        </w:rPr>
        <w:t xml:space="preserve">max </w:t>
      </w:r>
      <w:r w:rsidRPr="009F254D">
        <w:rPr>
          <w:noProof/>
          <w:sz w:val="22"/>
          <w:szCs w:val="22"/>
          <w:lang w:val="sr-Latn-ME"/>
        </w:rPr>
        <w:t>se postiže za 2,5 sata. Kod zdravih ispitanika, apsolutna bioraspoloživost tablete metformina od 500 mg ili 850 mg iznosi približno 50–60%. Nakon primjene oralne doze neresorbovani dio koji je pronađen u fecesu iznosio je 20–30%.</w:t>
      </w:r>
    </w:p>
    <w:p w14:paraId="62204C5B" w14:textId="77777777" w:rsidR="001F21A3" w:rsidRPr="009F254D" w:rsidRDefault="001F21A3" w:rsidP="00E43FA0">
      <w:pPr>
        <w:numPr>
          <w:ilvl w:val="12"/>
          <w:numId w:val="0"/>
        </w:numPr>
        <w:tabs>
          <w:tab w:val="left" w:pos="284"/>
        </w:tabs>
        <w:ind w:right="-2"/>
        <w:jc w:val="both"/>
        <w:rPr>
          <w:iCs/>
          <w:noProof/>
          <w:sz w:val="22"/>
          <w:szCs w:val="22"/>
          <w:lang w:val="sr-Latn-ME"/>
        </w:rPr>
      </w:pPr>
    </w:p>
    <w:p w14:paraId="0C1E3D3E" w14:textId="01FDC929" w:rsidR="001F21A3" w:rsidRPr="009F254D" w:rsidRDefault="001F21A3" w:rsidP="00E43FA0">
      <w:pPr>
        <w:numPr>
          <w:ilvl w:val="12"/>
          <w:numId w:val="0"/>
        </w:numPr>
        <w:tabs>
          <w:tab w:val="left" w:pos="284"/>
        </w:tabs>
        <w:ind w:right="-2"/>
        <w:jc w:val="both"/>
        <w:rPr>
          <w:iCs/>
          <w:noProof/>
          <w:sz w:val="22"/>
          <w:szCs w:val="22"/>
          <w:lang w:val="sr-Latn-ME"/>
        </w:rPr>
      </w:pPr>
      <w:r w:rsidRPr="009F254D">
        <w:rPr>
          <w:noProof/>
          <w:sz w:val="22"/>
          <w:szCs w:val="22"/>
          <w:lang w:val="sr-Latn-ME"/>
        </w:rPr>
        <w:t xml:space="preserve">Nakon oralne primjene, resorpcija metformina je nepotpuna jer dolazi do zasićenja. Pretpostavlja se da farmakokinetika resorpcije metformina nije linearna. Pri uobičajenim dozama i režimima primjene metformina, koncentracije u stanju dinamičke ravnoteže u plazmi postižu se tokom 24–48 sati i obično su niže od 1 μg/ml. U kontrolisanim kliničkim ispitivanjima, </w:t>
      </w:r>
      <w:r w:rsidR="0013159C" w:rsidRPr="009F254D">
        <w:rPr>
          <w:noProof/>
          <w:sz w:val="22"/>
          <w:szCs w:val="22"/>
          <w:lang w:val="sr-Latn-ME"/>
        </w:rPr>
        <w:t xml:space="preserve">maksimalne </w:t>
      </w:r>
      <w:r w:rsidRPr="009F254D">
        <w:rPr>
          <w:noProof/>
          <w:sz w:val="22"/>
          <w:szCs w:val="22"/>
          <w:lang w:val="sr-Latn-ME"/>
        </w:rPr>
        <w:t>vrijednosti metformina u plazmi (C</w:t>
      </w:r>
      <w:r w:rsidRPr="009F254D">
        <w:rPr>
          <w:noProof/>
          <w:sz w:val="22"/>
          <w:szCs w:val="22"/>
          <w:vertAlign w:val="subscript"/>
          <w:lang w:val="sr-Latn-ME"/>
        </w:rPr>
        <w:t>max</w:t>
      </w:r>
      <w:r w:rsidRPr="009F254D">
        <w:rPr>
          <w:noProof/>
          <w:sz w:val="22"/>
          <w:szCs w:val="22"/>
          <w:lang w:val="sr-Latn-ME"/>
        </w:rPr>
        <w:t>) ni</w:t>
      </w:r>
      <w:r w:rsidR="0013159C" w:rsidRPr="009F254D">
        <w:rPr>
          <w:noProof/>
          <w:sz w:val="22"/>
          <w:szCs w:val="22"/>
          <w:lang w:val="sr-Latn-ME"/>
        </w:rPr>
        <w:t>je</w:t>
      </w:r>
      <w:r w:rsidRPr="009F254D">
        <w:rPr>
          <w:noProof/>
          <w:sz w:val="22"/>
          <w:szCs w:val="22"/>
          <w:lang w:val="sr-Latn-ME"/>
        </w:rPr>
        <w:t>su prelazile vrijednost od 5 μg/ml čak ni pri najvišim dozama.</w:t>
      </w:r>
    </w:p>
    <w:p w14:paraId="7F202280" w14:textId="77777777" w:rsidR="001F21A3" w:rsidRPr="009F254D" w:rsidRDefault="001F21A3" w:rsidP="00E43FA0">
      <w:pPr>
        <w:numPr>
          <w:ilvl w:val="12"/>
          <w:numId w:val="0"/>
        </w:numPr>
        <w:tabs>
          <w:tab w:val="left" w:pos="284"/>
        </w:tabs>
        <w:ind w:right="-2"/>
        <w:jc w:val="both"/>
        <w:rPr>
          <w:iCs/>
          <w:noProof/>
          <w:sz w:val="22"/>
          <w:szCs w:val="22"/>
          <w:lang w:val="sr-Latn-ME"/>
        </w:rPr>
      </w:pPr>
    </w:p>
    <w:p w14:paraId="0ED8846F" w14:textId="77777777" w:rsidR="001F21A3" w:rsidRPr="009F254D" w:rsidRDefault="001F21A3" w:rsidP="00E43FA0">
      <w:pPr>
        <w:numPr>
          <w:ilvl w:val="12"/>
          <w:numId w:val="0"/>
        </w:numPr>
        <w:tabs>
          <w:tab w:val="left" w:pos="284"/>
        </w:tabs>
        <w:jc w:val="both"/>
        <w:rPr>
          <w:i/>
          <w:noProof/>
          <w:sz w:val="22"/>
          <w:szCs w:val="22"/>
          <w:u w:val="single"/>
          <w:lang w:val="sr-Latn-ME"/>
        </w:rPr>
      </w:pPr>
      <w:r w:rsidRPr="009F254D">
        <w:rPr>
          <w:i/>
          <w:iCs/>
          <w:noProof/>
          <w:sz w:val="22"/>
          <w:szCs w:val="22"/>
          <w:u w:val="single"/>
          <w:lang w:val="sr-Latn-ME"/>
        </w:rPr>
        <w:t>Distribucija</w:t>
      </w:r>
    </w:p>
    <w:p w14:paraId="235D5A96" w14:textId="22D369DE" w:rsidR="001F21A3" w:rsidRPr="009F254D" w:rsidRDefault="001F21A3" w:rsidP="00E43FA0">
      <w:pPr>
        <w:numPr>
          <w:ilvl w:val="12"/>
          <w:numId w:val="0"/>
        </w:numPr>
        <w:tabs>
          <w:tab w:val="left" w:pos="284"/>
        </w:tabs>
        <w:jc w:val="both"/>
        <w:rPr>
          <w:iCs/>
          <w:noProof/>
          <w:sz w:val="22"/>
          <w:szCs w:val="22"/>
          <w:lang w:val="sr-Latn-ME"/>
        </w:rPr>
      </w:pPr>
      <w:r w:rsidRPr="009F254D">
        <w:rPr>
          <w:noProof/>
          <w:sz w:val="22"/>
          <w:szCs w:val="22"/>
          <w:lang w:val="sr-Latn-ME"/>
        </w:rPr>
        <w:t xml:space="preserve">Vezivanje za proteine u plazmi je zanemarljivo. Metformin se </w:t>
      </w:r>
      <w:r w:rsidR="0013159C" w:rsidRPr="009F254D">
        <w:rPr>
          <w:noProof/>
          <w:sz w:val="22"/>
          <w:szCs w:val="22"/>
          <w:lang w:val="sr-Latn-ME"/>
        </w:rPr>
        <w:t xml:space="preserve">raspodjeljuje </w:t>
      </w:r>
      <w:r w:rsidRPr="009F254D">
        <w:rPr>
          <w:noProof/>
          <w:sz w:val="22"/>
          <w:szCs w:val="22"/>
          <w:lang w:val="sr-Latn-ME"/>
        </w:rPr>
        <w:t xml:space="preserve">na eritrocite. </w:t>
      </w:r>
      <w:r w:rsidR="0013159C" w:rsidRPr="009F254D">
        <w:rPr>
          <w:noProof/>
          <w:sz w:val="22"/>
          <w:szCs w:val="22"/>
          <w:lang w:val="sr-Latn-ME"/>
        </w:rPr>
        <w:t xml:space="preserve">Maksimalna </w:t>
      </w:r>
      <w:r w:rsidRPr="009F254D">
        <w:rPr>
          <w:noProof/>
          <w:sz w:val="22"/>
          <w:szCs w:val="22"/>
          <w:lang w:val="sr-Latn-ME"/>
        </w:rPr>
        <w:t>koncentracija u krvi niža je nego u plazmi, a postiže se gotovo istovremeno. Eritrociti su vrlo vjerovatno sekundarni prostor raspod</w:t>
      </w:r>
      <w:r w:rsidR="0013159C" w:rsidRPr="009F254D">
        <w:rPr>
          <w:noProof/>
          <w:sz w:val="22"/>
          <w:szCs w:val="22"/>
          <w:lang w:val="sr-Latn-ME"/>
        </w:rPr>
        <w:t>j</w:t>
      </w:r>
      <w:r w:rsidRPr="009F254D">
        <w:rPr>
          <w:noProof/>
          <w:sz w:val="22"/>
          <w:szCs w:val="22"/>
          <w:lang w:val="sr-Latn-ME"/>
        </w:rPr>
        <w:t>ele. Srednji volumen distribucije (V</w:t>
      </w:r>
      <w:r w:rsidRPr="009F254D">
        <w:rPr>
          <w:noProof/>
          <w:sz w:val="22"/>
          <w:szCs w:val="22"/>
          <w:vertAlign w:val="subscript"/>
          <w:lang w:val="sr-Latn-ME"/>
        </w:rPr>
        <w:t>d</w:t>
      </w:r>
      <w:r w:rsidRPr="009F254D">
        <w:rPr>
          <w:noProof/>
          <w:sz w:val="22"/>
          <w:szCs w:val="22"/>
          <w:lang w:val="sr-Latn-ME"/>
        </w:rPr>
        <w:t>) kretao se između 63 l i 276 l.</w:t>
      </w:r>
    </w:p>
    <w:p w14:paraId="4F68F22D" w14:textId="77777777" w:rsidR="001F21A3" w:rsidRPr="009F254D" w:rsidRDefault="001F21A3" w:rsidP="00E43FA0">
      <w:pPr>
        <w:numPr>
          <w:ilvl w:val="12"/>
          <w:numId w:val="0"/>
        </w:numPr>
        <w:tabs>
          <w:tab w:val="left" w:pos="284"/>
        </w:tabs>
        <w:ind w:right="-2"/>
        <w:jc w:val="both"/>
        <w:rPr>
          <w:iCs/>
          <w:noProof/>
          <w:sz w:val="22"/>
          <w:szCs w:val="22"/>
          <w:lang w:val="sr-Latn-ME"/>
        </w:rPr>
      </w:pPr>
    </w:p>
    <w:p w14:paraId="081F7F58" w14:textId="77777777" w:rsidR="001F21A3" w:rsidRPr="009F254D" w:rsidRDefault="001F21A3" w:rsidP="00E43FA0">
      <w:pPr>
        <w:numPr>
          <w:ilvl w:val="12"/>
          <w:numId w:val="0"/>
        </w:numPr>
        <w:tabs>
          <w:tab w:val="left" w:pos="284"/>
        </w:tabs>
        <w:jc w:val="both"/>
        <w:rPr>
          <w:i/>
          <w:noProof/>
          <w:sz w:val="22"/>
          <w:szCs w:val="22"/>
          <w:u w:val="single"/>
          <w:lang w:val="sr-Latn-ME"/>
        </w:rPr>
      </w:pPr>
      <w:r w:rsidRPr="009F254D">
        <w:rPr>
          <w:i/>
          <w:iCs/>
          <w:noProof/>
          <w:sz w:val="22"/>
          <w:szCs w:val="22"/>
          <w:u w:val="single"/>
          <w:lang w:val="sr-Latn-ME"/>
        </w:rPr>
        <w:t>Biotransformacija</w:t>
      </w:r>
    </w:p>
    <w:p w14:paraId="3B650206" w14:textId="5E88A0C3" w:rsidR="001F21A3" w:rsidRPr="009F254D" w:rsidRDefault="001F21A3" w:rsidP="00E43FA0">
      <w:pPr>
        <w:numPr>
          <w:ilvl w:val="12"/>
          <w:numId w:val="0"/>
        </w:numPr>
        <w:tabs>
          <w:tab w:val="left" w:pos="284"/>
        </w:tabs>
        <w:jc w:val="both"/>
        <w:rPr>
          <w:iCs/>
          <w:noProof/>
          <w:sz w:val="22"/>
          <w:szCs w:val="22"/>
          <w:lang w:val="sr-Latn-ME"/>
        </w:rPr>
      </w:pPr>
      <w:r w:rsidRPr="009F254D">
        <w:rPr>
          <w:noProof/>
          <w:sz w:val="22"/>
          <w:szCs w:val="22"/>
          <w:lang w:val="sr-Latn-ME"/>
        </w:rPr>
        <w:t>Metformin se izlučuje u urin u neizmijenjenom obliku. Kod ljudi ni</w:t>
      </w:r>
      <w:r w:rsidR="0013159C" w:rsidRPr="009F254D">
        <w:rPr>
          <w:noProof/>
          <w:sz w:val="22"/>
          <w:szCs w:val="22"/>
          <w:lang w:val="sr-Latn-ME"/>
        </w:rPr>
        <w:t>je</w:t>
      </w:r>
      <w:r w:rsidRPr="009F254D">
        <w:rPr>
          <w:noProof/>
          <w:sz w:val="22"/>
          <w:szCs w:val="22"/>
          <w:lang w:val="sr-Latn-ME"/>
        </w:rPr>
        <w:t>su pronađeni njegovi metaboliti.</w:t>
      </w:r>
    </w:p>
    <w:p w14:paraId="2D0B7CB8" w14:textId="77777777" w:rsidR="001F21A3" w:rsidRPr="009F254D" w:rsidRDefault="001F21A3" w:rsidP="00E43FA0">
      <w:pPr>
        <w:numPr>
          <w:ilvl w:val="12"/>
          <w:numId w:val="0"/>
        </w:numPr>
        <w:tabs>
          <w:tab w:val="left" w:pos="284"/>
        </w:tabs>
        <w:ind w:right="-2"/>
        <w:jc w:val="both"/>
        <w:rPr>
          <w:iCs/>
          <w:noProof/>
          <w:sz w:val="22"/>
          <w:szCs w:val="22"/>
          <w:lang w:val="sr-Latn-ME"/>
        </w:rPr>
      </w:pPr>
    </w:p>
    <w:p w14:paraId="2CBC5ED6" w14:textId="77777777" w:rsidR="001F21A3" w:rsidRPr="009F254D" w:rsidRDefault="001F21A3" w:rsidP="00E43FA0">
      <w:pPr>
        <w:numPr>
          <w:ilvl w:val="12"/>
          <w:numId w:val="0"/>
        </w:numPr>
        <w:tabs>
          <w:tab w:val="left" w:pos="284"/>
        </w:tabs>
        <w:jc w:val="both"/>
        <w:rPr>
          <w:i/>
          <w:noProof/>
          <w:sz w:val="22"/>
          <w:szCs w:val="22"/>
          <w:u w:val="single"/>
          <w:lang w:val="sr-Latn-ME"/>
        </w:rPr>
      </w:pPr>
      <w:r w:rsidRPr="009F254D">
        <w:rPr>
          <w:i/>
          <w:iCs/>
          <w:noProof/>
          <w:sz w:val="22"/>
          <w:szCs w:val="22"/>
          <w:u w:val="single"/>
          <w:lang w:val="sr-Latn-ME"/>
        </w:rPr>
        <w:t>Eliminacija</w:t>
      </w:r>
    </w:p>
    <w:p w14:paraId="518EEFDD" w14:textId="77777777" w:rsidR="001F21A3" w:rsidRPr="009F254D" w:rsidRDefault="001F21A3" w:rsidP="00E43FA0">
      <w:pPr>
        <w:numPr>
          <w:ilvl w:val="12"/>
          <w:numId w:val="0"/>
        </w:numPr>
        <w:tabs>
          <w:tab w:val="left" w:pos="284"/>
        </w:tabs>
        <w:jc w:val="both"/>
        <w:rPr>
          <w:iCs/>
          <w:noProof/>
          <w:sz w:val="22"/>
          <w:szCs w:val="22"/>
          <w:lang w:val="sr-Latn-ME"/>
        </w:rPr>
      </w:pPr>
      <w:r w:rsidRPr="009F254D">
        <w:rPr>
          <w:noProof/>
          <w:sz w:val="22"/>
          <w:szCs w:val="22"/>
          <w:lang w:val="sr-Latn-ME"/>
        </w:rPr>
        <w:t>Bubrežni klirens metformina iznosi &gt; 400 ml/min, što ukazuje na to da se metformin eliminiše glomerularnom filtracijom i tubularnom sekrecijom. Nakon oralne doze, prividno terminalno poluvrijeme eliminacije iznosi približno 6,5 sati.</w:t>
      </w:r>
    </w:p>
    <w:p w14:paraId="7394CCFF" w14:textId="77777777" w:rsidR="001F21A3" w:rsidRPr="009F254D" w:rsidRDefault="001F21A3" w:rsidP="00E43FA0">
      <w:pPr>
        <w:numPr>
          <w:ilvl w:val="12"/>
          <w:numId w:val="0"/>
        </w:numPr>
        <w:tabs>
          <w:tab w:val="left" w:pos="284"/>
        </w:tabs>
        <w:jc w:val="both"/>
        <w:rPr>
          <w:iCs/>
          <w:noProof/>
          <w:sz w:val="22"/>
          <w:szCs w:val="22"/>
          <w:lang w:val="sr-Latn-ME"/>
        </w:rPr>
      </w:pPr>
    </w:p>
    <w:p w14:paraId="2E893911" w14:textId="77777777" w:rsidR="001F21A3" w:rsidRPr="009F254D" w:rsidRDefault="001F21A3" w:rsidP="00E43FA0">
      <w:pPr>
        <w:tabs>
          <w:tab w:val="left" w:pos="284"/>
        </w:tabs>
        <w:jc w:val="both"/>
        <w:rPr>
          <w:bCs/>
          <w:noProof/>
          <w:sz w:val="22"/>
          <w:szCs w:val="22"/>
          <w:lang w:val="sr-Latn-ME"/>
        </w:rPr>
      </w:pPr>
      <w:r w:rsidRPr="009F254D">
        <w:rPr>
          <w:i/>
          <w:iCs/>
          <w:noProof/>
          <w:sz w:val="22"/>
          <w:szCs w:val="22"/>
          <w:u w:val="single"/>
          <w:lang w:val="sr-Latn-ME"/>
        </w:rPr>
        <w:t>Specijalne populacije</w:t>
      </w:r>
    </w:p>
    <w:p w14:paraId="615F0057" w14:textId="77777777" w:rsidR="001F21A3" w:rsidRPr="009F254D" w:rsidRDefault="001F21A3" w:rsidP="00E43FA0">
      <w:pPr>
        <w:numPr>
          <w:ilvl w:val="12"/>
          <w:numId w:val="0"/>
        </w:numPr>
        <w:tabs>
          <w:tab w:val="left" w:pos="284"/>
        </w:tabs>
        <w:jc w:val="both"/>
        <w:rPr>
          <w:i/>
          <w:iCs/>
          <w:noProof/>
          <w:sz w:val="22"/>
          <w:szCs w:val="22"/>
          <w:lang w:val="sr-Latn-ME"/>
        </w:rPr>
      </w:pPr>
      <w:r w:rsidRPr="009F254D">
        <w:rPr>
          <w:i/>
          <w:iCs/>
          <w:noProof/>
          <w:sz w:val="22"/>
          <w:szCs w:val="22"/>
          <w:lang w:val="sr-Latn-ME"/>
        </w:rPr>
        <w:t>Insuficijencija bubrega</w:t>
      </w:r>
    </w:p>
    <w:p w14:paraId="149CE82B" w14:textId="23913134" w:rsidR="001F21A3" w:rsidRPr="009F254D" w:rsidRDefault="001F21A3" w:rsidP="00E43FA0">
      <w:pPr>
        <w:numPr>
          <w:ilvl w:val="12"/>
          <w:numId w:val="0"/>
        </w:numPr>
        <w:tabs>
          <w:tab w:val="left" w:pos="284"/>
        </w:tabs>
        <w:jc w:val="both"/>
        <w:rPr>
          <w:noProof/>
          <w:sz w:val="22"/>
          <w:szCs w:val="22"/>
          <w:lang w:val="sr-Latn-ME"/>
        </w:rPr>
      </w:pPr>
      <w:r w:rsidRPr="009F254D">
        <w:rPr>
          <w:noProof/>
          <w:sz w:val="22"/>
          <w:szCs w:val="22"/>
          <w:lang w:val="sr-Latn-ME"/>
        </w:rPr>
        <w:lastRenderedPageBreak/>
        <w:t>Kod bolesnika sa oštećenom funkcijom bubrega (određ</w:t>
      </w:r>
      <w:r w:rsidR="0013159C" w:rsidRPr="009F254D">
        <w:rPr>
          <w:noProof/>
          <w:sz w:val="22"/>
          <w:szCs w:val="22"/>
          <w:lang w:val="sr-Latn-ME"/>
        </w:rPr>
        <w:t>eno</w:t>
      </w:r>
      <w:r w:rsidRPr="009F254D">
        <w:rPr>
          <w:noProof/>
          <w:sz w:val="22"/>
          <w:szCs w:val="22"/>
          <w:lang w:val="sr-Latn-ME"/>
        </w:rPr>
        <w:t xml:space="preserve"> na osnovu izmjerenog klirensa kreatinina), poluvrijeme eliminacije metformina u plazmi </w:t>
      </w:r>
      <w:r w:rsidR="0013159C" w:rsidRPr="009F254D">
        <w:rPr>
          <w:noProof/>
          <w:sz w:val="22"/>
          <w:szCs w:val="22"/>
          <w:lang w:val="sr-Latn-ME"/>
        </w:rPr>
        <w:t xml:space="preserve">i krvi </w:t>
      </w:r>
      <w:r w:rsidRPr="009F254D">
        <w:rPr>
          <w:noProof/>
          <w:sz w:val="22"/>
          <w:szCs w:val="22"/>
          <w:lang w:val="sr-Latn-ME"/>
        </w:rPr>
        <w:t>je produženo, a bubrežni klirens smanjen u skladu sa smanjenim klirensom kreatinina, što dovodi do povišenih nivoa metformina u plazmi.</w:t>
      </w:r>
    </w:p>
    <w:p w14:paraId="216AD336" w14:textId="77777777" w:rsidR="001F21A3" w:rsidRPr="009F254D" w:rsidRDefault="001F21A3" w:rsidP="00E43FA0">
      <w:pPr>
        <w:numPr>
          <w:ilvl w:val="12"/>
          <w:numId w:val="0"/>
        </w:numPr>
        <w:tabs>
          <w:tab w:val="left" w:pos="284"/>
        </w:tabs>
        <w:ind w:right="-2"/>
        <w:jc w:val="both"/>
        <w:rPr>
          <w:sz w:val="22"/>
          <w:szCs w:val="22"/>
          <w:lang w:val="sr-Latn-ME"/>
        </w:rPr>
      </w:pPr>
    </w:p>
    <w:p w14:paraId="3F166BA0" w14:textId="2A62C35A" w:rsidR="0072020E" w:rsidRPr="009F254D" w:rsidRDefault="0072020E" w:rsidP="00E43FA0">
      <w:pPr>
        <w:tabs>
          <w:tab w:val="left" w:pos="540"/>
          <w:tab w:val="left" w:pos="569"/>
        </w:tabs>
        <w:rPr>
          <w:b/>
          <w:bCs/>
          <w:sz w:val="22"/>
          <w:szCs w:val="22"/>
          <w:lang w:val="sr-Latn-ME"/>
        </w:rPr>
      </w:pPr>
      <w:r w:rsidRPr="009F254D">
        <w:rPr>
          <w:b/>
          <w:bCs/>
          <w:sz w:val="22"/>
          <w:szCs w:val="22"/>
          <w:lang w:val="sr-Latn-ME"/>
        </w:rPr>
        <w:t xml:space="preserve">5.3. </w:t>
      </w:r>
      <w:r w:rsidR="00480FB1" w:rsidRPr="009F254D">
        <w:rPr>
          <w:b/>
          <w:bCs/>
          <w:sz w:val="22"/>
          <w:szCs w:val="22"/>
          <w:lang w:val="sr-Latn-ME"/>
        </w:rPr>
        <w:tab/>
      </w:r>
      <w:r w:rsidRPr="009F254D">
        <w:rPr>
          <w:b/>
          <w:bCs/>
          <w:sz w:val="22"/>
          <w:szCs w:val="22"/>
          <w:lang w:val="sr-Latn-ME"/>
        </w:rPr>
        <w:t xml:space="preserve">Pretklinički podaci o bezbjednosti </w:t>
      </w:r>
    </w:p>
    <w:p w14:paraId="29ED19E8" w14:textId="77777777" w:rsidR="005A712B" w:rsidRPr="009F254D" w:rsidRDefault="005A712B" w:rsidP="00E43FA0">
      <w:pPr>
        <w:tabs>
          <w:tab w:val="left" w:pos="540"/>
          <w:tab w:val="left" w:pos="569"/>
        </w:tabs>
        <w:rPr>
          <w:b/>
          <w:bCs/>
          <w:sz w:val="22"/>
          <w:szCs w:val="22"/>
          <w:lang w:val="sr-Latn-ME"/>
        </w:rPr>
      </w:pPr>
    </w:p>
    <w:p w14:paraId="28812DD2" w14:textId="77777777" w:rsidR="001F21A3" w:rsidRPr="009F254D" w:rsidRDefault="001F21A3" w:rsidP="00FA635D">
      <w:pPr>
        <w:keepNext/>
        <w:keepLines/>
        <w:tabs>
          <w:tab w:val="left" w:pos="284"/>
        </w:tabs>
        <w:jc w:val="both"/>
        <w:rPr>
          <w:noProof/>
          <w:sz w:val="22"/>
          <w:szCs w:val="22"/>
          <w:lang w:val="sr-Latn-ME"/>
        </w:rPr>
      </w:pPr>
      <w:r w:rsidRPr="009F254D">
        <w:rPr>
          <w:noProof/>
          <w:sz w:val="22"/>
          <w:szCs w:val="22"/>
          <w:u w:val="single"/>
          <w:lang w:val="sr-Latn-ME"/>
        </w:rPr>
        <w:t>Istovremena primjena dapagliflozina i metformina</w:t>
      </w:r>
    </w:p>
    <w:p w14:paraId="7EC7AC8C" w14:textId="14194D05" w:rsidR="001F21A3" w:rsidRPr="009F254D" w:rsidRDefault="0013159C" w:rsidP="00FA635D">
      <w:pPr>
        <w:tabs>
          <w:tab w:val="left" w:pos="284"/>
        </w:tabs>
        <w:jc w:val="both"/>
        <w:rPr>
          <w:bCs/>
          <w:noProof/>
          <w:sz w:val="22"/>
          <w:szCs w:val="22"/>
          <w:lang w:val="sr-Latn-ME"/>
        </w:rPr>
      </w:pPr>
      <w:r w:rsidRPr="009F254D">
        <w:rPr>
          <w:noProof/>
          <w:sz w:val="22"/>
          <w:szCs w:val="22"/>
          <w:lang w:val="sr-Latn-ME"/>
        </w:rPr>
        <w:t>Pret</w:t>
      </w:r>
      <w:r w:rsidR="001F21A3" w:rsidRPr="009F254D">
        <w:rPr>
          <w:noProof/>
          <w:sz w:val="22"/>
          <w:szCs w:val="22"/>
          <w:lang w:val="sr-Latn-ME"/>
        </w:rPr>
        <w:t>klinički podaci ne ukazuju na poseban rizik za ljude na osnovu konvencionalnih studija toksičnosti ponovljenih doza.</w:t>
      </w:r>
    </w:p>
    <w:p w14:paraId="4D338034" w14:textId="77777777" w:rsidR="001F21A3" w:rsidRPr="009F254D" w:rsidRDefault="001F21A3" w:rsidP="00FA635D">
      <w:pPr>
        <w:tabs>
          <w:tab w:val="left" w:pos="284"/>
        </w:tabs>
        <w:jc w:val="both"/>
        <w:rPr>
          <w:bCs/>
          <w:noProof/>
          <w:sz w:val="22"/>
          <w:szCs w:val="22"/>
          <w:lang w:val="sr-Latn-ME"/>
        </w:rPr>
      </w:pPr>
    </w:p>
    <w:p w14:paraId="4BCA22C8" w14:textId="29AC63FA" w:rsidR="001F21A3" w:rsidRPr="009F254D" w:rsidRDefault="001F21A3" w:rsidP="00FA635D">
      <w:pPr>
        <w:tabs>
          <w:tab w:val="left" w:pos="284"/>
        </w:tabs>
        <w:jc w:val="both"/>
        <w:rPr>
          <w:bCs/>
          <w:noProof/>
          <w:sz w:val="22"/>
          <w:szCs w:val="22"/>
          <w:lang w:val="sr-Latn-ME"/>
        </w:rPr>
      </w:pPr>
      <w:r w:rsidRPr="009F254D">
        <w:rPr>
          <w:noProof/>
          <w:sz w:val="22"/>
          <w:szCs w:val="22"/>
          <w:lang w:val="sr-Latn-ME"/>
        </w:rPr>
        <w:t xml:space="preserve">Sljedeće tvrdnje odražavaju </w:t>
      </w:r>
      <w:r w:rsidR="0013159C" w:rsidRPr="009F254D">
        <w:rPr>
          <w:noProof/>
          <w:sz w:val="22"/>
          <w:szCs w:val="22"/>
          <w:lang w:val="sr-Latn-ME"/>
        </w:rPr>
        <w:t>pret</w:t>
      </w:r>
      <w:r w:rsidRPr="009F254D">
        <w:rPr>
          <w:noProof/>
          <w:sz w:val="22"/>
          <w:szCs w:val="22"/>
          <w:lang w:val="sr-Latn-ME"/>
        </w:rPr>
        <w:t>kliničke podatke o bezbjednosti primjene pojedinačnih aktivnih supstanci lijeka Xigduo.</w:t>
      </w:r>
    </w:p>
    <w:p w14:paraId="24A52EF8" w14:textId="77777777" w:rsidR="001F21A3" w:rsidRPr="009F254D" w:rsidRDefault="001F21A3" w:rsidP="00FA635D">
      <w:pPr>
        <w:tabs>
          <w:tab w:val="left" w:pos="284"/>
        </w:tabs>
        <w:jc w:val="both"/>
        <w:rPr>
          <w:bCs/>
          <w:noProof/>
          <w:sz w:val="22"/>
          <w:szCs w:val="22"/>
          <w:lang w:val="sr-Latn-ME"/>
        </w:rPr>
      </w:pPr>
    </w:p>
    <w:p w14:paraId="7007B18A" w14:textId="77777777" w:rsidR="001F21A3" w:rsidRPr="009F254D" w:rsidRDefault="001F21A3" w:rsidP="00FA635D">
      <w:pPr>
        <w:keepNext/>
        <w:keepLines/>
        <w:tabs>
          <w:tab w:val="left" w:pos="284"/>
        </w:tabs>
        <w:jc w:val="both"/>
        <w:rPr>
          <w:bCs/>
          <w:noProof/>
          <w:sz w:val="22"/>
          <w:szCs w:val="22"/>
          <w:lang w:val="sr-Latn-ME"/>
        </w:rPr>
      </w:pPr>
      <w:r w:rsidRPr="009F254D">
        <w:rPr>
          <w:noProof/>
          <w:sz w:val="22"/>
          <w:szCs w:val="22"/>
          <w:u w:val="single"/>
          <w:lang w:val="sr-Latn-ME"/>
        </w:rPr>
        <w:t>Dapagliflozin</w:t>
      </w:r>
    </w:p>
    <w:p w14:paraId="7232E5FA" w14:textId="4C9608E6" w:rsidR="001F21A3" w:rsidRPr="009F254D" w:rsidRDefault="0013159C" w:rsidP="00FA635D">
      <w:pPr>
        <w:tabs>
          <w:tab w:val="left" w:pos="284"/>
        </w:tabs>
        <w:jc w:val="both"/>
        <w:rPr>
          <w:bCs/>
          <w:noProof/>
          <w:sz w:val="22"/>
          <w:szCs w:val="22"/>
          <w:lang w:val="sr-Latn-ME"/>
        </w:rPr>
      </w:pPr>
      <w:r w:rsidRPr="009F254D">
        <w:rPr>
          <w:noProof/>
          <w:sz w:val="22"/>
          <w:szCs w:val="22"/>
          <w:lang w:val="sr-Latn-ME"/>
        </w:rPr>
        <w:t>Pret</w:t>
      </w:r>
      <w:r w:rsidR="001F21A3" w:rsidRPr="009F254D">
        <w:rPr>
          <w:noProof/>
          <w:sz w:val="22"/>
          <w:szCs w:val="22"/>
          <w:lang w:val="sr-Latn-ME"/>
        </w:rPr>
        <w:t xml:space="preserve">klinički podaci ne ukazuju na poseban rizik za ljude na osnovu konvencionalnih studija farmakologije bezbednosti, toksičnosti ponovljenih doza, genotoksičnosti, kancerogenog potencijala i </w:t>
      </w:r>
      <w:r w:rsidRPr="009F254D">
        <w:rPr>
          <w:noProof/>
          <w:sz w:val="22"/>
          <w:szCs w:val="22"/>
          <w:lang w:val="sr-Latn-ME"/>
        </w:rPr>
        <w:t>plodnosti</w:t>
      </w:r>
      <w:r w:rsidR="001F21A3" w:rsidRPr="009F254D">
        <w:rPr>
          <w:noProof/>
          <w:sz w:val="22"/>
          <w:szCs w:val="22"/>
          <w:lang w:val="sr-Latn-ME"/>
        </w:rPr>
        <w:t>. U dvogodišnjim studijama kancerogenosti dapagliflozin ni u jednoj dozi nije indukovao tumore ni kod miševa ni kod pacova.</w:t>
      </w:r>
    </w:p>
    <w:p w14:paraId="25ADA8EC" w14:textId="77777777" w:rsidR="001F21A3" w:rsidRPr="009F254D" w:rsidRDefault="001F21A3" w:rsidP="00FA635D">
      <w:pPr>
        <w:tabs>
          <w:tab w:val="left" w:pos="284"/>
        </w:tabs>
        <w:jc w:val="both"/>
        <w:rPr>
          <w:bCs/>
          <w:noProof/>
          <w:sz w:val="22"/>
          <w:szCs w:val="22"/>
          <w:lang w:val="sr-Latn-ME"/>
        </w:rPr>
      </w:pPr>
    </w:p>
    <w:p w14:paraId="12363E61" w14:textId="77777777" w:rsidR="001F21A3" w:rsidRPr="009F254D" w:rsidRDefault="001F21A3" w:rsidP="00FA635D">
      <w:pPr>
        <w:keepNext/>
        <w:keepLines/>
        <w:tabs>
          <w:tab w:val="left" w:pos="284"/>
        </w:tabs>
        <w:jc w:val="both"/>
        <w:rPr>
          <w:bCs/>
          <w:i/>
          <w:iCs/>
          <w:noProof/>
          <w:sz w:val="22"/>
          <w:szCs w:val="22"/>
          <w:u w:val="single"/>
          <w:lang w:val="sr-Latn-ME"/>
        </w:rPr>
      </w:pPr>
      <w:r w:rsidRPr="009F254D">
        <w:rPr>
          <w:i/>
          <w:iCs/>
          <w:noProof/>
          <w:sz w:val="22"/>
          <w:szCs w:val="22"/>
          <w:u w:val="single"/>
          <w:lang w:val="sr-Latn-ME"/>
        </w:rPr>
        <w:t>Reproduktivna i razvojna toksičnost</w:t>
      </w:r>
    </w:p>
    <w:p w14:paraId="4603BE25" w14:textId="7E9E3A6C" w:rsidR="001F21A3" w:rsidRPr="009F254D" w:rsidRDefault="001F21A3" w:rsidP="00FA635D">
      <w:pPr>
        <w:tabs>
          <w:tab w:val="left" w:pos="284"/>
        </w:tabs>
        <w:jc w:val="both"/>
        <w:rPr>
          <w:bCs/>
          <w:noProof/>
          <w:sz w:val="22"/>
          <w:szCs w:val="22"/>
          <w:lang w:val="sr-Latn-ME"/>
        </w:rPr>
      </w:pPr>
      <w:r w:rsidRPr="009F254D">
        <w:rPr>
          <w:noProof/>
          <w:sz w:val="22"/>
          <w:szCs w:val="22"/>
          <w:lang w:val="sr-Latn-ME"/>
        </w:rPr>
        <w:t xml:space="preserve">Direktna primjena dapagliflozina kod mladih </w:t>
      </w:r>
      <w:r w:rsidR="00A0553A" w:rsidRPr="009F254D">
        <w:rPr>
          <w:noProof/>
          <w:sz w:val="22"/>
          <w:szCs w:val="22"/>
          <w:lang w:val="sr-Latn-ME"/>
        </w:rPr>
        <w:t xml:space="preserve">pacova </w:t>
      </w:r>
      <w:r w:rsidRPr="009F254D">
        <w:rPr>
          <w:noProof/>
          <w:sz w:val="22"/>
          <w:szCs w:val="22"/>
          <w:lang w:val="sr-Latn-ME"/>
        </w:rPr>
        <w:t>koji su nedavno prestali da sisaju i indirektna izloženost tokom kasnog stadijuma graviditeta (vremenski periodi koji odgovaraju drugom i trećem trimestru trudnoće što se tiče sazrijevanja bubrega kod ljudi) i tokom laktacije povezuju se sa povećanom incidencom</w:t>
      </w:r>
      <w:r w:rsidR="00F42FCC" w:rsidRPr="009F254D">
        <w:rPr>
          <w:noProof/>
          <w:sz w:val="22"/>
          <w:szCs w:val="22"/>
          <w:lang w:val="sr-Latn-ME"/>
        </w:rPr>
        <w:t xml:space="preserve"> i/ili</w:t>
      </w:r>
      <w:r w:rsidRPr="009F254D">
        <w:rPr>
          <w:noProof/>
          <w:sz w:val="22"/>
          <w:szCs w:val="22"/>
          <w:lang w:val="sr-Latn-ME"/>
        </w:rPr>
        <w:t xml:space="preserve"> </w:t>
      </w:r>
      <w:r w:rsidR="00F42FCC" w:rsidRPr="009F254D">
        <w:rPr>
          <w:noProof/>
          <w:sz w:val="22"/>
          <w:szCs w:val="22"/>
          <w:lang w:val="sr-Latn-ME"/>
        </w:rPr>
        <w:t xml:space="preserve">težinom </w:t>
      </w:r>
      <w:r w:rsidRPr="009F254D">
        <w:rPr>
          <w:noProof/>
          <w:sz w:val="22"/>
          <w:szCs w:val="22"/>
          <w:lang w:val="sr-Latn-ME"/>
        </w:rPr>
        <w:t>proširenja bubrežne karlice i tubula kod mladunaca.</w:t>
      </w:r>
    </w:p>
    <w:p w14:paraId="18A2600B" w14:textId="77777777" w:rsidR="001F21A3" w:rsidRPr="009F254D" w:rsidRDefault="001F21A3" w:rsidP="00FA635D">
      <w:pPr>
        <w:tabs>
          <w:tab w:val="left" w:pos="284"/>
        </w:tabs>
        <w:jc w:val="both"/>
        <w:rPr>
          <w:bCs/>
          <w:noProof/>
          <w:sz w:val="22"/>
          <w:szCs w:val="22"/>
          <w:lang w:val="sr-Latn-ME"/>
        </w:rPr>
      </w:pPr>
    </w:p>
    <w:p w14:paraId="284B4E3B" w14:textId="3446F67A" w:rsidR="001F21A3" w:rsidRPr="009F254D" w:rsidRDefault="001F21A3" w:rsidP="00FA635D">
      <w:pPr>
        <w:tabs>
          <w:tab w:val="left" w:pos="284"/>
        </w:tabs>
        <w:jc w:val="both"/>
        <w:rPr>
          <w:bCs/>
          <w:noProof/>
          <w:sz w:val="22"/>
          <w:szCs w:val="22"/>
          <w:lang w:val="sr-Latn-ME"/>
        </w:rPr>
      </w:pPr>
      <w:r w:rsidRPr="009F254D">
        <w:rPr>
          <w:noProof/>
          <w:sz w:val="22"/>
          <w:szCs w:val="22"/>
          <w:lang w:val="sr-Latn-ME"/>
        </w:rPr>
        <w:t xml:space="preserve">U studiji juvenilne toksičnosti kada su doze dapagliflozina davane direktno mladim pacovima od 21. postnatalnog dana do 90. postnatalnog dana, proširenja bubrežne karlice i tubula zabilježena su u slučaju svih doza; izloženosti mladunaca u najmanjim testiranim dozama bile su ≥ 15 puta </w:t>
      </w:r>
      <w:r w:rsidR="00F42FCC" w:rsidRPr="009F254D">
        <w:rPr>
          <w:noProof/>
          <w:sz w:val="22"/>
          <w:szCs w:val="22"/>
          <w:lang w:val="sr-Latn-ME"/>
        </w:rPr>
        <w:t xml:space="preserve">veće </w:t>
      </w:r>
      <w:r w:rsidRPr="009F254D">
        <w:rPr>
          <w:noProof/>
          <w:sz w:val="22"/>
          <w:szCs w:val="22"/>
          <w:lang w:val="sr-Latn-ME"/>
        </w:rPr>
        <w:t>od maksimalne preporučene doze za ljude. Ti nalazi se povezuju sa porastom mase bubrega i makroskopskim povećanjem bubrega koji se povezuje sa dozom, a zabilježeni su kod svih doza. Proširenja bubrežne karlice i tubula kod mladunaca ni</w:t>
      </w:r>
      <w:r w:rsidR="00F42FCC" w:rsidRPr="009F254D">
        <w:rPr>
          <w:noProof/>
          <w:sz w:val="22"/>
          <w:szCs w:val="22"/>
          <w:lang w:val="sr-Latn-ME"/>
        </w:rPr>
        <w:t>je</w:t>
      </w:r>
      <w:r w:rsidRPr="009F254D">
        <w:rPr>
          <w:noProof/>
          <w:sz w:val="22"/>
          <w:szCs w:val="22"/>
          <w:lang w:val="sr-Latn-ME"/>
        </w:rPr>
        <w:t>su se u potpunosti povukla u periodu oporavka u trajanju od otprilike mjesec dana.</w:t>
      </w:r>
    </w:p>
    <w:p w14:paraId="6C04E4CE" w14:textId="77777777" w:rsidR="001F21A3" w:rsidRPr="009F254D" w:rsidRDefault="001F21A3" w:rsidP="00FA635D">
      <w:pPr>
        <w:tabs>
          <w:tab w:val="left" w:pos="284"/>
        </w:tabs>
        <w:jc w:val="both"/>
        <w:rPr>
          <w:bCs/>
          <w:noProof/>
          <w:sz w:val="22"/>
          <w:szCs w:val="22"/>
          <w:lang w:val="sr-Latn-ME"/>
        </w:rPr>
      </w:pPr>
    </w:p>
    <w:p w14:paraId="12CA9598" w14:textId="780BA940" w:rsidR="001F21A3" w:rsidRPr="009F254D" w:rsidRDefault="001F21A3" w:rsidP="00FA635D">
      <w:pPr>
        <w:tabs>
          <w:tab w:val="left" w:pos="284"/>
        </w:tabs>
        <w:jc w:val="both"/>
        <w:rPr>
          <w:bCs/>
          <w:noProof/>
          <w:sz w:val="22"/>
          <w:szCs w:val="22"/>
          <w:lang w:val="sr-Latn-ME"/>
        </w:rPr>
      </w:pPr>
      <w:r w:rsidRPr="009F254D">
        <w:rPr>
          <w:noProof/>
          <w:sz w:val="22"/>
          <w:szCs w:val="22"/>
          <w:lang w:val="sr-Latn-ME"/>
        </w:rPr>
        <w:t xml:space="preserve">U posebnoj studiji prenatalnog i postnatalnog razvoja majke pacovi su primale lijek od 6. dana gestacije do 21. postnatalnog dana, dok su mladunci bili indirektno izloženi </w:t>
      </w:r>
      <w:r w:rsidRPr="009F254D">
        <w:rPr>
          <w:i/>
          <w:iCs/>
          <w:noProof/>
          <w:sz w:val="22"/>
          <w:szCs w:val="22"/>
          <w:lang w:val="sr-Latn-ME"/>
        </w:rPr>
        <w:t xml:space="preserve">in utero </w:t>
      </w:r>
      <w:r w:rsidRPr="009F254D">
        <w:rPr>
          <w:noProof/>
          <w:sz w:val="22"/>
          <w:szCs w:val="22"/>
          <w:lang w:val="sr-Latn-ME"/>
        </w:rPr>
        <w:t xml:space="preserve">i tokom laktacije. (Da bi se procijenila izloženost dapagliflozinu u mlijeku i kod mladunaca, sprovedena je satelitska studija.) Povećana incidenca ili </w:t>
      </w:r>
      <w:r w:rsidR="00F42FCC" w:rsidRPr="009F254D">
        <w:rPr>
          <w:noProof/>
          <w:sz w:val="22"/>
          <w:szCs w:val="22"/>
          <w:lang w:val="sr-Latn-ME"/>
        </w:rPr>
        <w:t xml:space="preserve">težina </w:t>
      </w:r>
      <w:r w:rsidRPr="009F254D">
        <w:rPr>
          <w:noProof/>
          <w:sz w:val="22"/>
          <w:szCs w:val="22"/>
          <w:lang w:val="sr-Latn-ME"/>
        </w:rPr>
        <w:t>proširenja bubrežne karlice zabilježena je kod odraslog potomstva liječenih ženki, ali samo kod najviše ispitivane doze (povezana izloženost dapagliflozinu kod majki bila je 1415 puta viša, a kod mladunaca 137 puta viša od izloženosti ljudi kod prim</w:t>
      </w:r>
      <w:r w:rsidR="00F42FCC" w:rsidRPr="009F254D">
        <w:rPr>
          <w:noProof/>
          <w:sz w:val="22"/>
          <w:szCs w:val="22"/>
          <w:lang w:val="sr-Latn-ME"/>
        </w:rPr>
        <w:t>j</w:t>
      </w:r>
      <w:r w:rsidRPr="009F254D">
        <w:rPr>
          <w:noProof/>
          <w:sz w:val="22"/>
          <w:szCs w:val="22"/>
          <w:lang w:val="sr-Latn-ME"/>
        </w:rPr>
        <w:t>ene maksimalne preporučene doze za ljude). Dodatna razvojna toksičnost bila je ograničena na smanjenje tjelesne mase mladunaca povezano sa dozom, a zab</w:t>
      </w:r>
      <w:r w:rsidR="00F42FCC" w:rsidRPr="009F254D">
        <w:rPr>
          <w:noProof/>
          <w:sz w:val="22"/>
          <w:szCs w:val="22"/>
          <w:lang w:val="sr-Latn-ME"/>
        </w:rPr>
        <w:t>i</w:t>
      </w:r>
      <w:r w:rsidRPr="009F254D">
        <w:rPr>
          <w:noProof/>
          <w:sz w:val="22"/>
          <w:szCs w:val="22"/>
          <w:lang w:val="sr-Latn-ME"/>
        </w:rPr>
        <w:t>l</w:t>
      </w:r>
      <w:r w:rsidR="00F42FCC" w:rsidRPr="009F254D">
        <w:rPr>
          <w:noProof/>
          <w:sz w:val="22"/>
          <w:szCs w:val="22"/>
          <w:lang w:val="sr-Latn-ME"/>
        </w:rPr>
        <w:t>j</w:t>
      </w:r>
      <w:r w:rsidRPr="009F254D">
        <w:rPr>
          <w:noProof/>
          <w:sz w:val="22"/>
          <w:szCs w:val="22"/>
          <w:lang w:val="sr-Latn-ME"/>
        </w:rPr>
        <w:t>ežena je samo kod doza ≥ 15 mg/kg/dan (što je povezano sa izloženošću mladunaca ≥ 29 puta većom od izloženosti ljudi kod prim</w:t>
      </w:r>
      <w:r w:rsidR="00F42FCC" w:rsidRPr="009F254D">
        <w:rPr>
          <w:noProof/>
          <w:sz w:val="22"/>
          <w:szCs w:val="22"/>
          <w:lang w:val="sr-Latn-ME"/>
        </w:rPr>
        <w:t>j</w:t>
      </w:r>
      <w:r w:rsidRPr="009F254D">
        <w:rPr>
          <w:noProof/>
          <w:sz w:val="22"/>
          <w:szCs w:val="22"/>
          <w:lang w:val="sr-Latn-ME"/>
        </w:rPr>
        <w:t>ene maksimalne preporučene doze za ljude). Toksičnost za majke zabilježena je samo kod najviše ispitivane doze, a bila je ograničena na prolazna smanjenja tjelesne mase i unosa hrane pri toj dozi. Nivo na kom ni</w:t>
      </w:r>
      <w:r w:rsidR="00F42FCC" w:rsidRPr="009F254D">
        <w:rPr>
          <w:noProof/>
          <w:sz w:val="22"/>
          <w:szCs w:val="22"/>
          <w:lang w:val="sr-Latn-ME"/>
        </w:rPr>
        <w:t>je</w:t>
      </w:r>
      <w:r w:rsidRPr="009F254D">
        <w:rPr>
          <w:noProof/>
          <w:sz w:val="22"/>
          <w:szCs w:val="22"/>
          <w:lang w:val="sr-Latn-ME"/>
        </w:rPr>
        <w:t>su zabilježena neželjena dejstva (NOAEL) za razvojnu toksičnost, najniža ispitivana doza, povezan je sa sistemskom izloženošću majke koja je približno 19 puta veća od izloženosti ljudi kod primjene maksimalne preporučene doze za ljude.</w:t>
      </w:r>
    </w:p>
    <w:p w14:paraId="00D9AB49" w14:textId="77777777" w:rsidR="001F21A3" w:rsidRPr="009F254D" w:rsidRDefault="001F21A3" w:rsidP="00FA635D">
      <w:pPr>
        <w:tabs>
          <w:tab w:val="left" w:pos="284"/>
        </w:tabs>
        <w:jc w:val="both"/>
        <w:rPr>
          <w:bCs/>
          <w:noProof/>
          <w:sz w:val="22"/>
          <w:szCs w:val="22"/>
          <w:lang w:val="sr-Latn-ME"/>
        </w:rPr>
      </w:pPr>
    </w:p>
    <w:p w14:paraId="398CB270" w14:textId="3A154353" w:rsidR="001F21A3" w:rsidRPr="009F254D" w:rsidRDefault="001F21A3" w:rsidP="00FA635D">
      <w:pPr>
        <w:tabs>
          <w:tab w:val="left" w:pos="284"/>
        </w:tabs>
        <w:jc w:val="both"/>
        <w:rPr>
          <w:bCs/>
          <w:noProof/>
          <w:sz w:val="22"/>
          <w:szCs w:val="22"/>
          <w:lang w:val="sr-Latn-ME"/>
        </w:rPr>
      </w:pPr>
      <w:r w:rsidRPr="009F254D">
        <w:rPr>
          <w:noProof/>
          <w:sz w:val="22"/>
          <w:szCs w:val="22"/>
          <w:lang w:val="sr-Latn-ME"/>
        </w:rPr>
        <w:t xml:space="preserve">U dodatnim studijama embriofetalnog razvoja kod pacova i </w:t>
      </w:r>
      <w:r w:rsidR="00A0553A" w:rsidRPr="009F254D">
        <w:rPr>
          <w:noProof/>
          <w:sz w:val="22"/>
          <w:szCs w:val="22"/>
          <w:lang w:val="sr-Latn-ME"/>
        </w:rPr>
        <w:t>kunića</w:t>
      </w:r>
      <w:r w:rsidRPr="009F254D">
        <w:rPr>
          <w:noProof/>
          <w:sz w:val="22"/>
          <w:szCs w:val="22"/>
          <w:lang w:val="sr-Latn-ME"/>
        </w:rPr>
        <w:t xml:space="preserve">, dapagliflozin je primjenjivan u intervalima koji odgovaraju glavnim periodima organogeneze svake vrste. Ni kod jedne ispitivane doze kod </w:t>
      </w:r>
      <w:r w:rsidR="00A0553A" w:rsidRPr="009F254D">
        <w:rPr>
          <w:noProof/>
          <w:sz w:val="22"/>
          <w:szCs w:val="22"/>
          <w:lang w:val="sr-Latn-ME"/>
        </w:rPr>
        <w:t xml:space="preserve">kunića </w:t>
      </w:r>
      <w:r w:rsidRPr="009F254D">
        <w:rPr>
          <w:noProof/>
          <w:sz w:val="22"/>
          <w:szCs w:val="22"/>
          <w:lang w:val="sr-Latn-ME"/>
        </w:rPr>
        <w:t>ni</w:t>
      </w:r>
      <w:r w:rsidR="00F42FCC" w:rsidRPr="009F254D">
        <w:rPr>
          <w:noProof/>
          <w:sz w:val="22"/>
          <w:szCs w:val="22"/>
          <w:lang w:val="sr-Latn-ME"/>
        </w:rPr>
        <w:t>je</w:t>
      </w:r>
      <w:r w:rsidRPr="009F254D">
        <w:rPr>
          <w:noProof/>
          <w:sz w:val="22"/>
          <w:szCs w:val="22"/>
          <w:lang w:val="sr-Latn-ME"/>
        </w:rPr>
        <w:t xml:space="preserve">su zabilježene ni toksičnost za majku ni razvojna toksičnost; najviša ispitivana doza povezana je sa sistemskom izloženošću otprilike 1.191 put većom od </w:t>
      </w:r>
      <w:r w:rsidR="00F42FCC" w:rsidRPr="009F254D">
        <w:rPr>
          <w:noProof/>
          <w:sz w:val="22"/>
          <w:szCs w:val="22"/>
          <w:lang w:val="sr-Latn-ME"/>
        </w:rPr>
        <w:t xml:space="preserve">one kod </w:t>
      </w:r>
      <w:r w:rsidRPr="009F254D">
        <w:rPr>
          <w:noProof/>
          <w:sz w:val="22"/>
          <w:szCs w:val="22"/>
          <w:lang w:val="sr-Latn-ME"/>
        </w:rPr>
        <w:t>maksimalne preporučene doze za ljude. Kod pacova dapagliflozin nije bio ni embrioletalan ni teratogen pri izloženosti do 1441 put većoj od</w:t>
      </w:r>
      <w:r w:rsidR="00F42FCC" w:rsidRPr="009F254D">
        <w:rPr>
          <w:noProof/>
          <w:sz w:val="22"/>
          <w:szCs w:val="22"/>
          <w:lang w:val="sr-Latn-ME"/>
        </w:rPr>
        <w:t xml:space="preserve"> one kod </w:t>
      </w:r>
      <w:r w:rsidRPr="009F254D">
        <w:rPr>
          <w:noProof/>
          <w:sz w:val="22"/>
          <w:szCs w:val="22"/>
          <w:lang w:val="sr-Latn-ME"/>
        </w:rPr>
        <w:t xml:space="preserve"> maksimalne preporučene doze za ljude.</w:t>
      </w:r>
    </w:p>
    <w:p w14:paraId="65A63EE4" w14:textId="77777777" w:rsidR="001F21A3" w:rsidRPr="009F254D" w:rsidRDefault="001F21A3" w:rsidP="00FA635D">
      <w:pPr>
        <w:tabs>
          <w:tab w:val="left" w:pos="284"/>
        </w:tabs>
        <w:jc w:val="both"/>
        <w:rPr>
          <w:noProof/>
          <w:sz w:val="22"/>
          <w:szCs w:val="22"/>
          <w:u w:val="single"/>
          <w:lang w:val="sr-Latn-ME"/>
        </w:rPr>
      </w:pPr>
    </w:p>
    <w:p w14:paraId="35C78BB8" w14:textId="77777777" w:rsidR="001F21A3" w:rsidRPr="009F254D" w:rsidRDefault="001F21A3" w:rsidP="00FA635D">
      <w:pPr>
        <w:keepNext/>
        <w:keepLines/>
        <w:tabs>
          <w:tab w:val="left" w:pos="284"/>
        </w:tabs>
        <w:jc w:val="both"/>
        <w:rPr>
          <w:noProof/>
          <w:sz w:val="22"/>
          <w:szCs w:val="22"/>
          <w:lang w:val="sr-Latn-ME"/>
        </w:rPr>
      </w:pPr>
      <w:r w:rsidRPr="009F254D">
        <w:rPr>
          <w:noProof/>
          <w:sz w:val="22"/>
          <w:szCs w:val="22"/>
          <w:u w:val="single"/>
          <w:lang w:val="sr-Latn-ME"/>
        </w:rPr>
        <w:lastRenderedPageBreak/>
        <w:t>Metformin</w:t>
      </w:r>
    </w:p>
    <w:p w14:paraId="4347D1FC" w14:textId="5CC491EE" w:rsidR="001F21A3" w:rsidRPr="009F254D" w:rsidRDefault="00F42FCC" w:rsidP="00FA635D">
      <w:pPr>
        <w:tabs>
          <w:tab w:val="left" w:pos="284"/>
        </w:tabs>
        <w:jc w:val="both"/>
        <w:rPr>
          <w:noProof/>
          <w:sz w:val="22"/>
          <w:szCs w:val="22"/>
          <w:lang w:val="sr-Latn-ME"/>
        </w:rPr>
      </w:pPr>
      <w:r w:rsidRPr="009F254D">
        <w:rPr>
          <w:noProof/>
          <w:sz w:val="22"/>
          <w:szCs w:val="22"/>
          <w:lang w:val="sr-Latn-ME"/>
        </w:rPr>
        <w:t>Pret</w:t>
      </w:r>
      <w:r w:rsidR="001F21A3" w:rsidRPr="009F254D">
        <w:rPr>
          <w:noProof/>
          <w:sz w:val="22"/>
          <w:szCs w:val="22"/>
          <w:lang w:val="sr-Latn-ME"/>
        </w:rPr>
        <w:t>klinički podaci ne ukazuju na poseban rizik za ljude na osnovu konvencionalnih studija farmakologije bezbjednosti, toksičnosti ponovljenih doza, genotoksičnosti, kancerogenosti i reproduktivne i razvojne toksičnosti.</w:t>
      </w:r>
    </w:p>
    <w:p w14:paraId="5B85C7FE" w14:textId="652CC7E0" w:rsidR="00396DFD" w:rsidRDefault="00396DFD" w:rsidP="00FA635D">
      <w:pPr>
        <w:tabs>
          <w:tab w:val="left" w:pos="540"/>
          <w:tab w:val="left" w:pos="569"/>
        </w:tabs>
        <w:rPr>
          <w:b/>
          <w:bCs/>
          <w:sz w:val="22"/>
          <w:szCs w:val="22"/>
          <w:lang w:val="sr-Latn-ME"/>
        </w:rPr>
      </w:pPr>
    </w:p>
    <w:p w14:paraId="01FCBD90" w14:textId="77777777" w:rsidR="00BE1219" w:rsidRPr="009F254D" w:rsidRDefault="00BE1219" w:rsidP="00FA635D">
      <w:pPr>
        <w:tabs>
          <w:tab w:val="left" w:pos="540"/>
          <w:tab w:val="left" w:pos="569"/>
        </w:tabs>
        <w:rPr>
          <w:b/>
          <w:bCs/>
          <w:sz w:val="22"/>
          <w:szCs w:val="22"/>
          <w:lang w:val="sr-Latn-ME"/>
        </w:rPr>
      </w:pPr>
    </w:p>
    <w:p w14:paraId="36564A05" w14:textId="77777777" w:rsidR="0072020E" w:rsidRPr="009F254D" w:rsidRDefault="0072020E" w:rsidP="00FA635D">
      <w:pPr>
        <w:tabs>
          <w:tab w:val="left" w:pos="540"/>
          <w:tab w:val="left" w:pos="569"/>
        </w:tabs>
        <w:rPr>
          <w:b/>
          <w:bCs/>
          <w:sz w:val="22"/>
          <w:szCs w:val="22"/>
          <w:lang w:val="sr-Latn-ME"/>
        </w:rPr>
      </w:pPr>
      <w:r w:rsidRPr="009F254D">
        <w:rPr>
          <w:b/>
          <w:bCs/>
          <w:sz w:val="22"/>
          <w:szCs w:val="22"/>
          <w:lang w:val="sr-Latn-ME"/>
        </w:rPr>
        <w:t xml:space="preserve">6. </w:t>
      </w:r>
      <w:r w:rsidR="00480FB1" w:rsidRPr="009F254D">
        <w:rPr>
          <w:b/>
          <w:bCs/>
          <w:sz w:val="22"/>
          <w:szCs w:val="22"/>
          <w:lang w:val="sr-Latn-ME"/>
        </w:rPr>
        <w:tab/>
      </w:r>
      <w:r w:rsidRPr="009F254D">
        <w:rPr>
          <w:b/>
          <w:bCs/>
          <w:sz w:val="22"/>
          <w:szCs w:val="22"/>
          <w:lang w:val="sr-Latn-ME"/>
        </w:rPr>
        <w:t>FARMACEUTSKI PODACI</w:t>
      </w:r>
    </w:p>
    <w:p w14:paraId="27626720" w14:textId="77777777" w:rsidR="00836B35" w:rsidRPr="009F254D" w:rsidRDefault="00836B35" w:rsidP="00FA635D">
      <w:pPr>
        <w:tabs>
          <w:tab w:val="left" w:pos="540"/>
          <w:tab w:val="left" w:pos="569"/>
        </w:tabs>
        <w:rPr>
          <w:bCs/>
          <w:sz w:val="22"/>
          <w:szCs w:val="22"/>
          <w:lang w:val="sr-Latn-ME"/>
        </w:rPr>
      </w:pPr>
    </w:p>
    <w:p w14:paraId="051B1124" w14:textId="5D2E6DEA" w:rsidR="0072020E" w:rsidRPr="009F254D" w:rsidRDefault="0072020E" w:rsidP="00FA635D">
      <w:pPr>
        <w:tabs>
          <w:tab w:val="left" w:pos="540"/>
          <w:tab w:val="left" w:pos="569"/>
        </w:tabs>
        <w:rPr>
          <w:b/>
          <w:bCs/>
          <w:sz w:val="22"/>
          <w:szCs w:val="22"/>
          <w:lang w:val="sr-Latn-ME"/>
        </w:rPr>
      </w:pPr>
      <w:r w:rsidRPr="009F254D">
        <w:rPr>
          <w:b/>
          <w:bCs/>
          <w:sz w:val="22"/>
          <w:szCs w:val="22"/>
          <w:lang w:val="sr-Latn-ME"/>
        </w:rPr>
        <w:t xml:space="preserve">6.1. </w:t>
      </w:r>
      <w:r w:rsidR="00480FB1" w:rsidRPr="009F254D">
        <w:rPr>
          <w:b/>
          <w:bCs/>
          <w:sz w:val="22"/>
          <w:szCs w:val="22"/>
          <w:lang w:val="sr-Latn-ME"/>
        </w:rPr>
        <w:tab/>
      </w:r>
      <w:r w:rsidRPr="009F254D">
        <w:rPr>
          <w:b/>
          <w:bCs/>
          <w:sz w:val="22"/>
          <w:szCs w:val="22"/>
          <w:lang w:val="sr-Latn-ME"/>
        </w:rPr>
        <w:t>Lista pomoćnih supstanci</w:t>
      </w:r>
      <w:r w:rsidR="002E0135" w:rsidRPr="009F254D">
        <w:rPr>
          <w:b/>
          <w:bCs/>
          <w:sz w:val="22"/>
          <w:szCs w:val="22"/>
          <w:lang w:val="sr-Latn-ME"/>
        </w:rPr>
        <w:t xml:space="preserve"> (ekscipijenasa)</w:t>
      </w:r>
    </w:p>
    <w:p w14:paraId="593B9767" w14:textId="77777777" w:rsidR="00CA2551" w:rsidRPr="009F254D" w:rsidRDefault="00CA2551" w:rsidP="00FA635D">
      <w:pPr>
        <w:tabs>
          <w:tab w:val="left" w:pos="540"/>
          <w:tab w:val="left" w:pos="569"/>
        </w:tabs>
        <w:rPr>
          <w:b/>
          <w:bCs/>
          <w:sz w:val="22"/>
          <w:szCs w:val="22"/>
          <w:lang w:val="sr-Latn-ME"/>
        </w:rPr>
      </w:pPr>
    </w:p>
    <w:p w14:paraId="32F19E16" w14:textId="6A31AD7D" w:rsidR="001F21A3" w:rsidRPr="009F254D" w:rsidRDefault="001F21A3" w:rsidP="00FA635D">
      <w:pPr>
        <w:keepNext/>
        <w:keepLines/>
        <w:tabs>
          <w:tab w:val="left" w:pos="284"/>
        </w:tabs>
        <w:jc w:val="both"/>
        <w:rPr>
          <w:noProof/>
          <w:sz w:val="22"/>
          <w:szCs w:val="22"/>
          <w:u w:val="single"/>
          <w:lang w:val="sr-Latn-ME"/>
        </w:rPr>
      </w:pPr>
      <w:r w:rsidRPr="009F254D">
        <w:rPr>
          <w:noProof/>
          <w:sz w:val="22"/>
          <w:szCs w:val="22"/>
          <w:u w:val="single"/>
          <w:lang w:val="sr-Latn-ME"/>
        </w:rPr>
        <w:t>Jezgro tablete</w:t>
      </w:r>
    </w:p>
    <w:p w14:paraId="7A4A9199" w14:textId="4F48F22D" w:rsidR="001F21A3" w:rsidRPr="009F254D" w:rsidRDefault="00481E9D" w:rsidP="00FA635D">
      <w:pPr>
        <w:tabs>
          <w:tab w:val="left" w:pos="284"/>
        </w:tabs>
        <w:jc w:val="both"/>
        <w:rPr>
          <w:noProof/>
          <w:sz w:val="22"/>
          <w:szCs w:val="22"/>
          <w:lang w:val="sr-Latn-ME"/>
        </w:rPr>
      </w:pPr>
      <w:r>
        <w:rPr>
          <w:noProof/>
          <w:sz w:val="22"/>
          <w:szCs w:val="22"/>
          <w:lang w:val="sr-Latn-ME"/>
        </w:rPr>
        <w:t>- h</w:t>
      </w:r>
      <w:r w:rsidR="001F21A3" w:rsidRPr="009F254D">
        <w:rPr>
          <w:noProof/>
          <w:sz w:val="22"/>
          <w:szCs w:val="22"/>
          <w:lang w:val="sr-Latn-ME"/>
        </w:rPr>
        <w:t>idroksipropil</w:t>
      </w:r>
      <w:r w:rsidR="00191A92" w:rsidRPr="009F254D">
        <w:rPr>
          <w:noProof/>
          <w:sz w:val="22"/>
          <w:szCs w:val="22"/>
          <w:lang w:val="sr-Latn-ME"/>
        </w:rPr>
        <w:t xml:space="preserve"> </w:t>
      </w:r>
      <w:r w:rsidR="001F21A3" w:rsidRPr="009F254D">
        <w:rPr>
          <w:noProof/>
          <w:sz w:val="22"/>
          <w:szCs w:val="22"/>
          <w:lang w:val="sr-Latn-ME"/>
        </w:rPr>
        <w:t>celuloza</w:t>
      </w:r>
      <w:r>
        <w:rPr>
          <w:noProof/>
          <w:sz w:val="22"/>
          <w:szCs w:val="22"/>
          <w:lang w:val="sr-Latn-ME"/>
        </w:rPr>
        <w:t>;</w:t>
      </w:r>
    </w:p>
    <w:p w14:paraId="19C09218" w14:textId="3C7F90E0" w:rsidR="001F21A3" w:rsidRPr="009F254D" w:rsidRDefault="00481E9D" w:rsidP="00FA635D">
      <w:pPr>
        <w:tabs>
          <w:tab w:val="left" w:pos="284"/>
        </w:tabs>
        <w:jc w:val="both"/>
        <w:rPr>
          <w:noProof/>
          <w:sz w:val="22"/>
          <w:szCs w:val="22"/>
          <w:lang w:val="sr-Latn-ME"/>
        </w:rPr>
      </w:pPr>
      <w:r>
        <w:rPr>
          <w:noProof/>
          <w:sz w:val="22"/>
          <w:szCs w:val="22"/>
          <w:lang w:val="sr-Latn-ME"/>
        </w:rPr>
        <w:t>- c</w:t>
      </w:r>
      <w:r w:rsidR="001F21A3" w:rsidRPr="009F254D">
        <w:rPr>
          <w:noProof/>
          <w:sz w:val="22"/>
          <w:szCs w:val="22"/>
          <w:lang w:val="sr-Latn-ME"/>
        </w:rPr>
        <w:t>eluloza</w:t>
      </w:r>
      <w:r w:rsidR="00191A92" w:rsidRPr="009F254D">
        <w:rPr>
          <w:noProof/>
          <w:sz w:val="22"/>
          <w:szCs w:val="22"/>
          <w:lang w:val="sr-Latn-ME"/>
        </w:rPr>
        <w:t>,</w:t>
      </w:r>
      <w:r w:rsidR="001F21A3" w:rsidRPr="009F254D">
        <w:rPr>
          <w:noProof/>
          <w:sz w:val="22"/>
          <w:szCs w:val="22"/>
          <w:lang w:val="sr-Latn-ME"/>
        </w:rPr>
        <w:t xml:space="preserve"> </w:t>
      </w:r>
      <w:r w:rsidR="00191A92" w:rsidRPr="009F254D">
        <w:rPr>
          <w:noProof/>
          <w:sz w:val="22"/>
          <w:szCs w:val="22"/>
          <w:lang w:val="sr-Latn-ME"/>
        </w:rPr>
        <w:t>mikrokristalna</w:t>
      </w:r>
      <w:r>
        <w:rPr>
          <w:noProof/>
          <w:sz w:val="22"/>
          <w:szCs w:val="22"/>
          <w:lang w:val="sr-Latn-ME"/>
        </w:rPr>
        <w:t>;</w:t>
      </w:r>
    </w:p>
    <w:p w14:paraId="78DBAEAD" w14:textId="04E5A3C4" w:rsidR="00A63D1E" w:rsidRPr="009F254D" w:rsidRDefault="00481E9D" w:rsidP="00FA635D">
      <w:pPr>
        <w:tabs>
          <w:tab w:val="left" w:pos="284"/>
        </w:tabs>
        <w:jc w:val="both"/>
        <w:rPr>
          <w:noProof/>
          <w:sz w:val="22"/>
          <w:szCs w:val="22"/>
          <w:lang w:val="sr-Latn-ME"/>
        </w:rPr>
      </w:pPr>
      <w:r>
        <w:rPr>
          <w:noProof/>
          <w:sz w:val="22"/>
          <w:szCs w:val="22"/>
          <w:lang w:val="sr-Latn-ME"/>
        </w:rPr>
        <w:t>- n</w:t>
      </w:r>
      <w:r w:rsidR="00A63D1E" w:rsidRPr="009F254D">
        <w:rPr>
          <w:noProof/>
          <w:sz w:val="22"/>
          <w:szCs w:val="22"/>
          <w:lang w:val="sr-Latn-ME"/>
        </w:rPr>
        <w:t>atrijum</w:t>
      </w:r>
      <w:r w:rsidR="00191A92" w:rsidRPr="009F254D">
        <w:rPr>
          <w:noProof/>
          <w:sz w:val="22"/>
          <w:szCs w:val="22"/>
          <w:lang w:val="sr-Latn-ME"/>
        </w:rPr>
        <w:t xml:space="preserve"> </w:t>
      </w:r>
      <w:r w:rsidR="00A63D1E" w:rsidRPr="009F254D">
        <w:rPr>
          <w:noProof/>
          <w:sz w:val="22"/>
          <w:szCs w:val="22"/>
          <w:lang w:val="sr-Latn-ME"/>
        </w:rPr>
        <w:t>skrob</w:t>
      </w:r>
      <w:r w:rsidR="00191A92" w:rsidRPr="009F254D">
        <w:rPr>
          <w:noProof/>
          <w:sz w:val="22"/>
          <w:szCs w:val="22"/>
          <w:lang w:val="sr-Latn-ME"/>
        </w:rPr>
        <w:t xml:space="preserve"> </w:t>
      </w:r>
      <w:r w:rsidR="00A63D1E" w:rsidRPr="009F254D">
        <w:rPr>
          <w:noProof/>
          <w:sz w:val="22"/>
          <w:szCs w:val="22"/>
          <w:lang w:val="sr-Latn-ME"/>
        </w:rPr>
        <w:t>glikolat, tip A</w:t>
      </w:r>
      <w:r>
        <w:rPr>
          <w:noProof/>
          <w:sz w:val="22"/>
          <w:szCs w:val="22"/>
          <w:lang w:val="sr-Latn-ME"/>
        </w:rPr>
        <w:t>;</w:t>
      </w:r>
      <w:r w:rsidR="00A63D1E" w:rsidRPr="009F254D">
        <w:rPr>
          <w:noProof/>
          <w:sz w:val="22"/>
          <w:szCs w:val="22"/>
          <w:lang w:val="sr-Latn-ME"/>
        </w:rPr>
        <w:t xml:space="preserve"> </w:t>
      </w:r>
    </w:p>
    <w:p w14:paraId="0BB171C6" w14:textId="78C84721" w:rsidR="001F21A3" w:rsidRPr="009F254D" w:rsidRDefault="00481E9D" w:rsidP="00FA635D">
      <w:pPr>
        <w:tabs>
          <w:tab w:val="left" w:pos="284"/>
        </w:tabs>
        <w:jc w:val="both"/>
        <w:rPr>
          <w:noProof/>
          <w:sz w:val="22"/>
          <w:szCs w:val="22"/>
          <w:lang w:val="sr-Latn-ME"/>
        </w:rPr>
      </w:pPr>
      <w:r>
        <w:rPr>
          <w:noProof/>
          <w:sz w:val="22"/>
          <w:szCs w:val="22"/>
          <w:lang w:val="sr-Latn-ME"/>
        </w:rPr>
        <w:t>- m</w:t>
      </w:r>
      <w:r w:rsidR="001F21A3" w:rsidRPr="009F254D">
        <w:rPr>
          <w:noProof/>
          <w:sz w:val="22"/>
          <w:szCs w:val="22"/>
          <w:lang w:val="sr-Latn-ME"/>
        </w:rPr>
        <w:t>agnezijum stearat</w:t>
      </w:r>
      <w:r>
        <w:rPr>
          <w:noProof/>
          <w:sz w:val="22"/>
          <w:szCs w:val="22"/>
          <w:lang w:val="sr-Latn-ME"/>
        </w:rPr>
        <w:t>.</w:t>
      </w:r>
      <w:r w:rsidR="001F21A3" w:rsidRPr="009F254D">
        <w:rPr>
          <w:noProof/>
          <w:sz w:val="22"/>
          <w:szCs w:val="22"/>
          <w:lang w:val="sr-Latn-ME"/>
        </w:rPr>
        <w:t xml:space="preserve"> </w:t>
      </w:r>
    </w:p>
    <w:p w14:paraId="3F3A5BE5" w14:textId="77777777" w:rsidR="001F21A3" w:rsidRPr="009F254D" w:rsidRDefault="001F21A3" w:rsidP="00FA635D">
      <w:pPr>
        <w:tabs>
          <w:tab w:val="left" w:pos="284"/>
        </w:tabs>
        <w:jc w:val="both"/>
        <w:rPr>
          <w:noProof/>
          <w:sz w:val="22"/>
          <w:szCs w:val="22"/>
          <w:lang w:val="sr-Latn-ME"/>
        </w:rPr>
      </w:pPr>
    </w:p>
    <w:p w14:paraId="3CE44532" w14:textId="3418D6E6" w:rsidR="001F21A3" w:rsidRPr="009F254D" w:rsidRDefault="001F21A3" w:rsidP="00FA635D">
      <w:pPr>
        <w:keepNext/>
        <w:keepLines/>
        <w:tabs>
          <w:tab w:val="left" w:pos="284"/>
        </w:tabs>
        <w:jc w:val="both"/>
        <w:rPr>
          <w:noProof/>
          <w:sz w:val="22"/>
          <w:szCs w:val="22"/>
          <w:u w:val="single"/>
          <w:lang w:val="sr-Latn-ME"/>
        </w:rPr>
      </w:pPr>
      <w:r w:rsidRPr="009F254D">
        <w:rPr>
          <w:noProof/>
          <w:sz w:val="22"/>
          <w:szCs w:val="22"/>
          <w:u w:val="single"/>
          <w:lang w:val="sr-Latn-ME"/>
        </w:rPr>
        <w:t xml:space="preserve">Film </w:t>
      </w:r>
      <w:r w:rsidR="0093070B" w:rsidRPr="009F254D">
        <w:rPr>
          <w:noProof/>
          <w:sz w:val="22"/>
          <w:szCs w:val="22"/>
          <w:u w:val="single"/>
          <w:lang w:val="sr-Latn-ME"/>
        </w:rPr>
        <w:t>obloga</w:t>
      </w:r>
    </w:p>
    <w:p w14:paraId="46D1A6DD" w14:textId="66804201" w:rsidR="001F21A3" w:rsidRPr="009F254D" w:rsidRDefault="001F21A3" w:rsidP="00FA635D">
      <w:pPr>
        <w:keepNext/>
        <w:keepLines/>
        <w:tabs>
          <w:tab w:val="left" w:pos="284"/>
        </w:tabs>
        <w:jc w:val="both"/>
        <w:rPr>
          <w:i/>
          <w:noProof/>
          <w:sz w:val="22"/>
          <w:szCs w:val="22"/>
          <w:u w:val="single"/>
          <w:lang w:val="sr-Latn-ME"/>
        </w:rPr>
      </w:pPr>
      <w:bookmarkStart w:id="5" w:name="_Hlk63249176"/>
      <w:r w:rsidRPr="009F254D">
        <w:rPr>
          <w:i/>
          <w:iCs/>
          <w:noProof/>
          <w:sz w:val="22"/>
          <w:szCs w:val="22"/>
          <w:u w:val="single"/>
          <w:lang w:val="sr-Latn-ME"/>
        </w:rPr>
        <w:t>Xigduo</w:t>
      </w:r>
      <w:r w:rsidR="0093070B" w:rsidRPr="009F254D">
        <w:rPr>
          <w:i/>
          <w:iCs/>
          <w:noProof/>
          <w:sz w:val="22"/>
          <w:szCs w:val="22"/>
          <w:u w:val="single"/>
          <w:lang w:val="sr-Latn-ME"/>
        </w:rPr>
        <w:t>,</w:t>
      </w:r>
      <w:r w:rsidRPr="009F254D">
        <w:rPr>
          <w:i/>
          <w:iCs/>
          <w:noProof/>
          <w:sz w:val="22"/>
          <w:szCs w:val="22"/>
          <w:u w:val="single"/>
          <w:lang w:val="sr-Latn-ME"/>
        </w:rPr>
        <w:t xml:space="preserve"> 5 mg</w:t>
      </w:r>
      <w:r w:rsidR="0093070B" w:rsidRPr="009F254D">
        <w:rPr>
          <w:i/>
          <w:iCs/>
          <w:noProof/>
          <w:sz w:val="22"/>
          <w:szCs w:val="22"/>
          <w:u w:val="single"/>
          <w:lang w:val="sr-Latn-ME"/>
        </w:rPr>
        <w:t xml:space="preserve"> + </w:t>
      </w:r>
      <w:r w:rsidRPr="009F254D">
        <w:rPr>
          <w:i/>
          <w:iCs/>
          <w:noProof/>
          <w:sz w:val="22"/>
          <w:szCs w:val="22"/>
          <w:u w:val="single"/>
          <w:lang w:val="sr-Latn-ME"/>
        </w:rPr>
        <w:t>850 mg</w:t>
      </w:r>
      <w:r w:rsidR="0093070B" w:rsidRPr="009F254D">
        <w:rPr>
          <w:i/>
          <w:iCs/>
          <w:noProof/>
          <w:sz w:val="22"/>
          <w:szCs w:val="22"/>
          <w:u w:val="single"/>
          <w:lang w:val="sr-Latn-ME"/>
        </w:rPr>
        <w:t>,</w:t>
      </w:r>
      <w:r w:rsidRPr="009F254D">
        <w:rPr>
          <w:i/>
          <w:iCs/>
          <w:noProof/>
          <w:sz w:val="22"/>
          <w:szCs w:val="22"/>
          <w:u w:val="single"/>
          <w:lang w:val="sr-Latn-ME"/>
        </w:rPr>
        <w:t xml:space="preserve"> film </w:t>
      </w:r>
      <w:r w:rsidR="0093070B" w:rsidRPr="009F254D">
        <w:rPr>
          <w:i/>
          <w:iCs/>
          <w:noProof/>
          <w:sz w:val="22"/>
          <w:szCs w:val="22"/>
          <w:u w:val="single"/>
          <w:lang w:val="sr-Latn-ME"/>
        </w:rPr>
        <w:t>tableta</w:t>
      </w:r>
    </w:p>
    <w:p w14:paraId="73D64132" w14:textId="327B5AD1" w:rsidR="001F21A3" w:rsidRPr="009F254D" w:rsidRDefault="00481E9D" w:rsidP="00481E9D">
      <w:pPr>
        <w:tabs>
          <w:tab w:val="left" w:pos="284"/>
        </w:tabs>
        <w:jc w:val="both"/>
        <w:rPr>
          <w:noProof/>
          <w:sz w:val="22"/>
          <w:szCs w:val="22"/>
          <w:lang w:val="sr-Latn-ME"/>
        </w:rPr>
      </w:pPr>
      <w:bookmarkStart w:id="6" w:name="_Hlk63249124"/>
      <w:r w:rsidRPr="00481E9D">
        <w:rPr>
          <w:sz w:val="22"/>
          <w:szCs w:val="22"/>
          <w:lang w:val="sr-Latn-ME" w:eastAsia="sr-Latn-ME"/>
        </w:rPr>
        <w:t>-</w:t>
      </w:r>
      <w:r w:rsidRPr="00481E9D">
        <w:rPr>
          <w:sz w:val="22"/>
          <w:szCs w:val="22"/>
          <w:lang w:val="sr-Latn-ME" w:eastAsia="sr-Latn-ME"/>
        </w:rPr>
        <w:tab/>
        <w:t>OPADRY II braon boja,  85F265003 koja sadrži: polivinil alkohol; makrogol/polietilen glikol 3350; talk; titan dioksid; gvožđe (III) oksid, žuti (E172); gvožđe (III) oksid, crveni (E172);</w:t>
      </w:r>
      <w:bookmarkEnd w:id="5"/>
      <w:bookmarkEnd w:id="6"/>
    </w:p>
    <w:p w14:paraId="7D901E6F" w14:textId="2131625C" w:rsidR="001F21A3" w:rsidRPr="009F254D" w:rsidRDefault="001F21A3" w:rsidP="00FA635D">
      <w:pPr>
        <w:keepNext/>
        <w:keepLines/>
        <w:tabs>
          <w:tab w:val="left" w:pos="284"/>
        </w:tabs>
        <w:jc w:val="both"/>
        <w:rPr>
          <w:i/>
          <w:noProof/>
          <w:sz w:val="22"/>
          <w:szCs w:val="22"/>
          <w:u w:val="single"/>
          <w:lang w:val="sr-Latn-ME"/>
        </w:rPr>
      </w:pPr>
      <w:bookmarkStart w:id="7" w:name="_Hlk63249193"/>
      <w:r w:rsidRPr="009F254D">
        <w:rPr>
          <w:i/>
          <w:iCs/>
          <w:noProof/>
          <w:sz w:val="22"/>
          <w:szCs w:val="22"/>
          <w:u w:val="single"/>
          <w:lang w:val="sr-Latn-ME"/>
        </w:rPr>
        <w:t>Xigduo</w:t>
      </w:r>
      <w:r w:rsidR="00622B61" w:rsidRPr="009F254D">
        <w:rPr>
          <w:i/>
          <w:iCs/>
          <w:noProof/>
          <w:sz w:val="22"/>
          <w:szCs w:val="22"/>
          <w:u w:val="single"/>
          <w:lang w:val="sr-Latn-ME"/>
        </w:rPr>
        <w:t>,</w:t>
      </w:r>
      <w:r w:rsidRPr="009F254D">
        <w:rPr>
          <w:i/>
          <w:iCs/>
          <w:noProof/>
          <w:sz w:val="22"/>
          <w:szCs w:val="22"/>
          <w:u w:val="single"/>
          <w:lang w:val="sr-Latn-ME"/>
        </w:rPr>
        <w:t xml:space="preserve"> 5 mg</w:t>
      </w:r>
      <w:r w:rsidR="00622B61" w:rsidRPr="009F254D">
        <w:rPr>
          <w:i/>
          <w:iCs/>
          <w:noProof/>
          <w:sz w:val="22"/>
          <w:szCs w:val="22"/>
          <w:u w:val="single"/>
          <w:lang w:val="sr-Latn-ME"/>
        </w:rPr>
        <w:t xml:space="preserve"> + </w:t>
      </w:r>
      <w:r w:rsidRPr="009F254D">
        <w:rPr>
          <w:i/>
          <w:iCs/>
          <w:noProof/>
          <w:sz w:val="22"/>
          <w:szCs w:val="22"/>
          <w:u w:val="single"/>
          <w:lang w:val="sr-Latn-ME"/>
        </w:rPr>
        <w:t>1000 mg</w:t>
      </w:r>
      <w:r w:rsidR="00622B61" w:rsidRPr="009F254D">
        <w:rPr>
          <w:i/>
          <w:iCs/>
          <w:noProof/>
          <w:sz w:val="22"/>
          <w:szCs w:val="22"/>
          <w:u w:val="single"/>
          <w:lang w:val="sr-Latn-ME"/>
        </w:rPr>
        <w:t>,</w:t>
      </w:r>
      <w:r w:rsidRPr="009F254D">
        <w:rPr>
          <w:i/>
          <w:iCs/>
          <w:noProof/>
          <w:sz w:val="22"/>
          <w:szCs w:val="22"/>
          <w:u w:val="single"/>
          <w:lang w:val="sr-Latn-ME"/>
        </w:rPr>
        <w:t xml:space="preserve"> film </w:t>
      </w:r>
      <w:r w:rsidR="00622B61" w:rsidRPr="009F254D">
        <w:rPr>
          <w:i/>
          <w:iCs/>
          <w:noProof/>
          <w:sz w:val="22"/>
          <w:szCs w:val="22"/>
          <w:u w:val="single"/>
          <w:lang w:val="sr-Latn-ME"/>
        </w:rPr>
        <w:t>tableta</w:t>
      </w:r>
    </w:p>
    <w:p w14:paraId="10558BE4" w14:textId="77777777" w:rsidR="00481E9D" w:rsidRDefault="00481E9D" w:rsidP="00FA635D">
      <w:pPr>
        <w:tabs>
          <w:tab w:val="left" w:pos="284"/>
        </w:tabs>
        <w:jc w:val="both"/>
        <w:rPr>
          <w:sz w:val="22"/>
          <w:szCs w:val="22"/>
          <w:lang w:val="sr-Latn-ME" w:eastAsia="sr-Latn-ME"/>
        </w:rPr>
      </w:pPr>
      <w:r w:rsidRPr="00481E9D">
        <w:rPr>
          <w:sz w:val="22"/>
          <w:szCs w:val="22"/>
          <w:lang w:val="sr-Latn-ME" w:eastAsia="sr-Latn-ME"/>
        </w:rPr>
        <w:t>-</w:t>
      </w:r>
      <w:r w:rsidRPr="00481E9D">
        <w:rPr>
          <w:sz w:val="22"/>
          <w:szCs w:val="22"/>
          <w:lang w:val="sr-Latn-ME" w:eastAsia="sr-Latn-ME"/>
        </w:rPr>
        <w:tab/>
        <w:t>OPADRY II žuta boja, 85F2250008 koja sadrži: polivinil alkohol; makrogol/polietilen glikol 3350; talk; titan dioksid; gvožđe (III) oksid, žuti (E172).</w:t>
      </w:r>
    </w:p>
    <w:bookmarkEnd w:id="7"/>
    <w:p w14:paraId="5B7A444E" w14:textId="77777777" w:rsidR="001F21A3" w:rsidRPr="009F254D" w:rsidRDefault="001F21A3" w:rsidP="00FA635D">
      <w:pPr>
        <w:tabs>
          <w:tab w:val="left" w:pos="284"/>
        </w:tabs>
        <w:jc w:val="both"/>
        <w:rPr>
          <w:noProof/>
          <w:sz w:val="22"/>
          <w:szCs w:val="22"/>
          <w:lang w:val="sr-Latn-ME"/>
        </w:rPr>
      </w:pPr>
    </w:p>
    <w:p w14:paraId="4F7F0E53" w14:textId="6E7E6A0C" w:rsidR="0072020E" w:rsidRPr="009F254D" w:rsidRDefault="0072020E" w:rsidP="00FA635D">
      <w:pPr>
        <w:tabs>
          <w:tab w:val="left" w:pos="540"/>
          <w:tab w:val="left" w:pos="569"/>
        </w:tabs>
        <w:rPr>
          <w:b/>
          <w:bCs/>
          <w:sz w:val="22"/>
          <w:szCs w:val="22"/>
          <w:lang w:val="sr-Latn-ME"/>
        </w:rPr>
      </w:pPr>
      <w:r w:rsidRPr="009F254D">
        <w:rPr>
          <w:b/>
          <w:bCs/>
          <w:sz w:val="22"/>
          <w:szCs w:val="22"/>
          <w:lang w:val="sr-Latn-ME"/>
        </w:rPr>
        <w:t xml:space="preserve">6.2. </w:t>
      </w:r>
      <w:r w:rsidR="00480FB1" w:rsidRPr="009F254D">
        <w:rPr>
          <w:b/>
          <w:bCs/>
          <w:sz w:val="22"/>
          <w:szCs w:val="22"/>
          <w:lang w:val="sr-Latn-ME"/>
        </w:rPr>
        <w:tab/>
      </w:r>
      <w:r w:rsidRPr="009F254D">
        <w:rPr>
          <w:b/>
          <w:bCs/>
          <w:sz w:val="22"/>
          <w:szCs w:val="22"/>
          <w:lang w:val="sr-Latn-ME"/>
        </w:rPr>
        <w:t>Inkompatibilnost</w:t>
      </w:r>
      <w:r w:rsidR="002846DB" w:rsidRPr="009F254D">
        <w:rPr>
          <w:b/>
          <w:bCs/>
          <w:sz w:val="22"/>
          <w:szCs w:val="22"/>
          <w:lang w:val="sr-Latn-ME"/>
        </w:rPr>
        <w:t>i</w:t>
      </w:r>
    </w:p>
    <w:p w14:paraId="06267AD7" w14:textId="77777777" w:rsidR="001F21A3" w:rsidRPr="009F254D" w:rsidRDefault="001F21A3" w:rsidP="00FA635D">
      <w:pPr>
        <w:tabs>
          <w:tab w:val="left" w:pos="284"/>
        </w:tabs>
        <w:jc w:val="both"/>
        <w:rPr>
          <w:noProof/>
          <w:sz w:val="22"/>
          <w:szCs w:val="22"/>
          <w:lang w:val="sr-Latn-ME"/>
        </w:rPr>
      </w:pPr>
    </w:p>
    <w:p w14:paraId="4A3FDF3C" w14:textId="0E9F08EF" w:rsidR="001F21A3" w:rsidRPr="009F254D" w:rsidRDefault="001F21A3" w:rsidP="00FA635D">
      <w:pPr>
        <w:tabs>
          <w:tab w:val="left" w:pos="284"/>
        </w:tabs>
        <w:jc w:val="both"/>
        <w:rPr>
          <w:noProof/>
          <w:sz w:val="22"/>
          <w:szCs w:val="22"/>
          <w:lang w:val="sr-Latn-ME"/>
        </w:rPr>
      </w:pPr>
      <w:r w:rsidRPr="009F254D">
        <w:rPr>
          <w:noProof/>
          <w:sz w:val="22"/>
          <w:szCs w:val="22"/>
          <w:lang w:val="sr-Latn-ME"/>
        </w:rPr>
        <w:t>Nije primjenljivo.</w:t>
      </w:r>
    </w:p>
    <w:p w14:paraId="02B73A2F" w14:textId="77777777" w:rsidR="001F21A3" w:rsidRPr="009F254D" w:rsidRDefault="001F21A3" w:rsidP="00FA635D">
      <w:pPr>
        <w:tabs>
          <w:tab w:val="left" w:pos="540"/>
          <w:tab w:val="left" w:pos="569"/>
        </w:tabs>
        <w:rPr>
          <w:b/>
          <w:bCs/>
          <w:sz w:val="22"/>
          <w:szCs w:val="22"/>
          <w:lang w:val="sr-Latn-ME"/>
        </w:rPr>
      </w:pPr>
    </w:p>
    <w:p w14:paraId="5D19F2E9" w14:textId="67C3AD1E" w:rsidR="0072020E" w:rsidRPr="009F254D" w:rsidRDefault="0072020E" w:rsidP="00FA635D">
      <w:pPr>
        <w:tabs>
          <w:tab w:val="left" w:pos="540"/>
          <w:tab w:val="left" w:pos="569"/>
        </w:tabs>
        <w:rPr>
          <w:b/>
          <w:bCs/>
          <w:sz w:val="22"/>
          <w:szCs w:val="22"/>
          <w:lang w:val="sr-Latn-ME"/>
        </w:rPr>
      </w:pPr>
      <w:r w:rsidRPr="009F254D">
        <w:rPr>
          <w:b/>
          <w:bCs/>
          <w:sz w:val="22"/>
          <w:szCs w:val="22"/>
          <w:lang w:val="sr-Latn-ME"/>
        </w:rPr>
        <w:t>6.3.</w:t>
      </w:r>
      <w:r w:rsidR="00C05DF8" w:rsidRPr="009F254D">
        <w:rPr>
          <w:b/>
          <w:bCs/>
          <w:sz w:val="22"/>
          <w:szCs w:val="22"/>
          <w:lang w:val="sr-Latn-ME"/>
        </w:rPr>
        <w:t xml:space="preserve"> </w:t>
      </w:r>
      <w:r w:rsidR="00480FB1" w:rsidRPr="009F254D">
        <w:rPr>
          <w:b/>
          <w:bCs/>
          <w:sz w:val="22"/>
          <w:szCs w:val="22"/>
          <w:lang w:val="sr-Latn-ME"/>
        </w:rPr>
        <w:tab/>
      </w:r>
      <w:r w:rsidRPr="009F254D">
        <w:rPr>
          <w:b/>
          <w:bCs/>
          <w:sz w:val="22"/>
          <w:szCs w:val="22"/>
          <w:lang w:val="sr-Latn-ME"/>
        </w:rPr>
        <w:t>Rok upotrebe</w:t>
      </w:r>
    </w:p>
    <w:p w14:paraId="627B39BF" w14:textId="77777777" w:rsidR="001F21A3" w:rsidRPr="009F254D" w:rsidRDefault="001F21A3" w:rsidP="00FA635D">
      <w:pPr>
        <w:tabs>
          <w:tab w:val="left" w:pos="284"/>
        </w:tabs>
        <w:jc w:val="both"/>
        <w:rPr>
          <w:b/>
          <w:bCs/>
          <w:sz w:val="22"/>
          <w:szCs w:val="22"/>
          <w:lang w:val="sr-Latn-ME"/>
        </w:rPr>
      </w:pPr>
    </w:p>
    <w:p w14:paraId="634CC9BA" w14:textId="238939CD" w:rsidR="001F21A3" w:rsidRPr="009F254D" w:rsidRDefault="001F21A3" w:rsidP="00FA635D">
      <w:pPr>
        <w:tabs>
          <w:tab w:val="left" w:pos="284"/>
        </w:tabs>
        <w:jc w:val="both"/>
        <w:rPr>
          <w:bCs/>
          <w:sz w:val="22"/>
          <w:szCs w:val="22"/>
          <w:lang w:val="sr-Latn-ME"/>
        </w:rPr>
      </w:pPr>
      <w:r w:rsidRPr="009F254D">
        <w:rPr>
          <w:bCs/>
          <w:sz w:val="22"/>
          <w:szCs w:val="22"/>
          <w:lang w:val="sr-Latn-ME"/>
        </w:rPr>
        <w:t>3 godine.</w:t>
      </w:r>
    </w:p>
    <w:p w14:paraId="4788C51D" w14:textId="77777777" w:rsidR="0072020E" w:rsidRPr="009F254D" w:rsidRDefault="0072020E" w:rsidP="00FA635D">
      <w:pPr>
        <w:tabs>
          <w:tab w:val="left" w:pos="540"/>
          <w:tab w:val="left" w:pos="569"/>
        </w:tabs>
        <w:rPr>
          <w:bCs/>
          <w:sz w:val="22"/>
          <w:szCs w:val="22"/>
          <w:lang w:val="sr-Latn-ME"/>
        </w:rPr>
      </w:pPr>
    </w:p>
    <w:p w14:paraId="64FEB5A9" w14:textId="792CBC79" w:rsidR="0072020E" w:rsidRPr="009F254D" w:rsidRDefault="0072020E" w:rsidP="00FA635D">
      <w:pPr>
        <w:tabs>
          <w:tab w:val="left" w:pos="540"/>
          <w:tab w:val="left" w:pos="569"/>
        </w:tabs>
        <w:rPr>
          <w:b/>
          <w:bCs/>
          <w:sz w:val="22"/>
          <w:szCs w:val="22"/>
          <w:lang w:val="sr-Latn-ME"/>
        </w:rPr>
      </w:pPr>
      <w:r w:rsidRPr="009F254D">
        <w:rPr>
          <w:b/>
          <w:bCs/>
          <w:sz w:val="22"/>
          <w:szCs w:val="22"/>
          <w:lang w:val="sr-Latn-ME"/>
        </w:rPr>
        <w:t xml:space="preserve">6.4. </w:t>
      </w:r>
      <w:r w:rsidR="00480FB1" w:rsidRPr="009F254D">
        <w:rPr>
          <w:b/>
          <w:bCs/>
          <w:sz w:val="22"/>
          <w:szCs w:val="22"/>
          <w:lang w:val="sr-Latn-ME"/>
        </w:rPr>
        <w:tab/>
      </w:r>
      <w:r w:rsidRPr="009F254D">
        <w:rPr>
          <w:b/>
          <w:bCs/>
          <w:sz w:val="22"/>
          <w:szCs w:val="22"/>
          <w:lang w:val="sr-Latn-ME"/>
        </w:rPr>
        <w:t>Posebne mjere upozorenja pri čuvanju</w:t>
      </w:r>
      <w:r w:rsidR="00F8570A" w:rsidRPr="009F254D">
        <w:rPr>
          <w:b/>
          <w:bCs/>
          <w:sz w:val="22"/>
          <w:szCs w:val="22"/>
          <w:lang w:val="sr-Latn-ME"/>
        </w:rPr>
        <w:t xml:space="preserve"> lijeka</w:t>
      </w:r>
    </w:p>
    <w:p w14:paraId="1D5E1C54" w14:textId="77777777" w:rsidR="001F21A3" w:rsidRPr="009F254D" w:rsidRDefault="001F21A3" w:rsidP="00FA635D">
      <w:pPr>
        <w:tabs>
          <w:tab w:val="left" w:pos="284"/>
        </w:tabs>
        <w:jc w:val="both"/>
        <w:rPr>
          <w:noProof/>
          <w:sz w:val="22"/>
          <w:szCs w:val="22"/>
          <w:lang w:val="sr-Latn-ME"/>
        </w:rPr>
      </w:pPr>
    </w:p>
    <w:p w14:paraId="02F2714D" w14:textId="3D8C593D" w:rsidR="001F21A3" w:rsidRPr="009F254D" w:rsidRDefault="001F21A3" w:rsidP="00FA635D">
      <w:pPr>
        <w:tabs>
          <w:tab w:val="left" w:pos="284"/>
        </w:tabs>
        <w:jc w:val="both"/>
        <w:rPr>
          <w:noProof/>
          <w:sz w:val="22"/>
          <w:szCs w:val="22"/>
          <w:lang w:val="sr-Latn-ME"/>
        </w:rPr>
      </w:pPr>
      <w:r w:rsidRPr="009F254D">
        <w:rPr>
          <w:noProof/>
          <w:sz w:val="22"/>
          <w:szCs w:val="22"/>
          <w:lang w:val="sr-Latn-ME"/>
        </w:rPr>
        <w:t>Ovaj lijek ne zahtijeva posebne uslove čuvanja.</w:t>
      </w:r>
    </w:p>
    <w:p w14:paraId="1A8C0337" w14:textId="77777777" w:rsidR="00EC2532" w:rsidRPr="009F254D" w:rsidRDefault="00EC2532" w:rsidP="00FA635D">
      <w:pPr>
        <w:tabs>
          <w:tab w:val="left" w:pos="540"/>
          <w:tab w:val="left" w:pos="569"/>
        </w:tabs>
        <w:rPr>
          <w:bCs/>
          <w:sz w:val="22"/>
          <w:szCs w:val="22"/>
          <w:lang w:val="sr-Latn-ME"/>
        </w:rPr>
      </w:pPr>
    </w:p>
    <w:p w14:paraId="08642143" w14:textId="0E7D2B63" w:rsidR="0072020E" w:rsidRPr="009F254D" w:rsidRDefault="0072020E" w:rsidP="00FA635D">
      <w:pPr>
        <w:tabs>
          <w:tab w:val="left" w:pos="540"/>
          <w:tab w:val="left" w:pos="569"/>
        </w:tabs>
        <w:rPr>
          <w:b/>
          <w:bCs/>
          <w:sz w:val="22"/>
          <w:szCs w:val="22"/>
          <w:lang w:val="sr-Latn-ME"/>
        </w:rPr>
      </w:pPr>
      <w:r w:rsidRPr="009F254D">
        <w:rPr>
          <w:b/>
          <w:bCs/>
          <w:sz w:val="22"/>
          <w:szCs w:val="22"/>
          <w:lang w:val="sr-Latn-ME"/>
        </w:rPr>
        <w:t xml:space="preserve">6.5. </w:t>
      </w:r>
      <w:r w:rsidR="00480FB1" w:rsidRPr="009F254D">
        <w:rPr>
          <w:b/>
          <w:bCs/>
          <w:sz w:val="22"/>
          <w:szCs w:val="22"/>
          <w:lang w:val="sr-Latn-ME"/>
        </w:rPr>
        <w:tab/>
      </w:r>
      <w:r w:rsidR="002846DB" w:rsidRPr="009F254D">
        <w:rPr>
          <w:b/>
          <w:bCs/>
          <w:sz w:val="22"/>
          <w:szCs w:val="22"/>
          <w:lang w:val="sr-Latn-ME"/>
        </w:rPr>
        <w:t xml:space="preserve">Vrsta i sadržaj </w:t>
      </w:r>
      <w:r w:rsidR="00F8570A" w:rsidRPr="009F254D">
        <w:rPr>
          <w:b/>
          <w:bCs/>
          <w:sz w:val="22"/>
          <w:szCs w:val="22"/>
          <w:lang w:val="sr-Latn-ME"/>
        </w:rPr>
        <w:t>pakovanja</w:t>
      </w:r>
      <w:r w:rsidR="00C06864" w:rsidRPr="009F254D">
        <w:rPr>
          <w:b/>
          <w:bCs/>
          <w:sz w:val="22"/>
          <w:szCs w:val="22"/>
          <w:lang w:val="sr-Latn-ME"/>
        </w:rPr>
        <w:t xml:space="preserve"> </w:t>
      </w:r>
    </w:p>
    <w:p w14:paraId="72F621D8" w14:textId="677D541A" w:rsidR="001F21A3" w:rsidRPr="009F254D" w:rsidRDefault="001F21A3" w:rsidP="00FA635D">
      <w:pPr>
        <w:tabs>
          <w:tab w:val="left" w:pos="540"/>
          <w:tab w:val="left" w:pos="569"/>
        </w:tabs>
        <w:rPr>
          <w:b/>
          <w:bCs/>
          <w:sz w:val="22"/>
          <w:szCs w:val="22"/>
          <w:lang w:val="sr-Latn-ME"/>
        </w:rPr>
      </w:pPr>
    </w:p>
    <w:p w14:paraId="63817BB4" w14:textId="77777777" w:rsidR="001F21A3" w:rsidRPr="009F254D" w:rsidRDefault="001F21A3" w:rsidP="00FA635D">
      <w:pPr>
        <w:tabs>
          <w:tab w:val="left" w:pos="284"/>
        </w:tabs>
        <w:jc w:val="both"/>
        <w:rPr>
          <w:noProof/>
          <w:sz w:val="22"/>
          <w:szCs w:val="22"/>
          <w:lang w:val="sr-Latn-ME"/>
        </w:rPr>
      </w:pPr>
      <w:r w:rsidRPr="009F254D">
        <w:rPr>
          <w:noProof/>
          <w:sz w:val="22"/>
          <w:szCs w:val="22"/>
          <w:lang w:val="sr-Latn-ME"/>
        </w:rPr>
        <w:t>PVC/PCTFE/Alu blister.</w:t>
      </w:r>
    </w:p>
    <w:p w14:paraId="79739542" w14:textId="77777777" w:rsidR="001F21A3" w:rsidRPr="009F254D" w:rsidRDefault="001F21A3" w:rsidP="00FA635D">
      <w:pPr>
        <w:tabs>
          <w:tab w:val="left" w:pos="284"/>
        </w:tabs>
        <w:jc w:val="both"/>
        <w:rPr>
          <w:bCs/>
          <w:noProof/>
          <w:sz w:val="22"/>
          <w:szCs w:val="22"/>
          <w:lang w:val="sr-Latn-ME"/>
        </w:rPr>
      </w:pPr>
    </w:p>
    <w:p w14:paraId="338D6C6D" w14:textId="17C77E75" w:rsidR="001F21A3" w:rsidRPr="009F254D" w:rsidRDefault="001F21A3" w:rsidP="00FA635D">
      <w:pPr>
        <w:tabs>
          <w:tab w:val="left" w:pos="284"/>
        </w:tabs>
        <w:jc w:val="both"/>
        <w:rPr>
          <w:noProof/>
          <w:sz w:val="22"/>
          <w:szCs w:val="22"/>
          <w:lang w:val="sr-Latn-ME"/>
        </w:rPr>
      </w:pPr>
      <w:r w:rsidRPr="009F254D">
        <w:rPr>
          <w:noProof/>
          <w:sz w:val="22"/>
          <w:szCs w:val="22"/>
          <w:lang w:val="sr-Latn-ME"/>
        </w:rPr>
        <w:t>Veličine pakovanja od 56 i 60 film tableta u neperforiranim blisterima.</w:t>
      </w:r>
    </w:p>
    <w:p w14:paraId="7CEA49B7" w14:textId="21AFE839" w:rsidR="0006499A" w:rsidRPr="009F254D" w:rsidRDefault="0006499A" w:rsidP="00FA635D">
      <w:pPr>
        <w:tabs>
          <w:tab w:val="left" w:pos="284"/>
        </w:tabs>
        <w:jc w:val="both"/>
        <w:rPr>
          <w:noProof/>
          <w:sz w:val="22"/>
          <w:szCs w:val="22"/>
          <w:lang w:val="sr-Latn-ME"/>
        </w:rPr>
      </w:pPr>
      <w:bookmarkStart w:id="8" w:name="_Hlk63248979"/>
      <w:r w:rsidRPr="009F254D">
        <w:rPr>
          <w:noProof/>
          <w:sz w:val="22"/>
          <w:szCs w:val="22"/>
          <w:lang w:val="sr-Latn-ME"/>
        </w:rPr>
        <w:t xml:space="preserve">Pakovanje od 56 film tableta sadrži 4 </w:t>
      </w:r>
      <w:r w:rsidR="00AC2050" w:rsidRPr="009F254D">
        <w:rPr>
          <w:noProof/>
          <w:sz w:val="22"/>
          <w:szCs w:val="22"/>
          <w:lang w:val="sr-Latn-ME"/>
        </w:rPr>
        <w:t xml:space="preserve">PVC/PCTFE/Alu </w:t>
      </w:r>
      <w:r w:rsidRPr="009F254D">
        <w:rPr>
          <w:noProof/>
          <w:sz w:val="22"/>
          <w:szCs w:val="22"/>
          <w:lang w:val="sr-Latn-ME"/>
        </w:rPr>
        <w:t xml:space="preserve">blistera </w:t>
      </w:r>
      <w:r w:rsidR="00B25CFA" w:rsidRPr="009F254D">
        <w:rPr>
          <w:noProof/>
          <w:sz w:val="22"/>
          <w:szCs w:val="22"/>
          <w:lang w:val="sr-Latn-ME"/>
        </w:rPr>
        <w:t xml:space="preserve">sa </w:t>
      </w:r>
      <w:r w:rsidRPr="009F254D">
        <w:rPr>
          <w:noProof/>
          <w:sz w:val="22"/>
          <w:szCs w:val="22"/>
          <w:lang w:val="sr-Latn-ME"/>
        </w:rPr>
        <w:t>po 14 film tableta.</w:t>
      </w:r>
    </w:p>
    <w:p w14:paraId="2326A2D1" w14:textId="6A8413C4" w:rsidR="00C44B0F" w:rsidRPr="009F254D" w:rsidRDefault="00C44B0F" w:rsidP="00FA635D">
      <w:pPr>
        <w:tabs>
          <w:tab w:val="left" w:pos="284"/>
        </w:tabs>
        <w:jc w:val="both"/>
        <w:rPr>
          <w:noProof/>
          <w:sz w:val="22"/>
          <w:szCs w:val="22"/>
          <w:lang w:val="sr-Latn-ME"/>
        </w:rPr>
      </w:pPr>
      <w:r w:rsidRPr="009F254D">
        <w:rPr>
          <w:noProof/>
          <w:sz w:val="22"/>
          <w:szCs w:val="22"/>
          <w:lang w:val="sr-Latn-ME"/>
        </w:rPr>
        <w:t>Pakovanje od 60 tableta</w:t>
      </w:r>
      <w:r w:rsidR="0006499A" w:rsidRPr="009F254D">
        <w:rPr>
          <w:noProof/>
          <w:sz w:val="22"/>
          <w:szCs w:val="22"/>
          <w:lang w:val="sr-Latn-ME"/>
        </w:rPr>
        <w:t xml:space="preserve"> </w:t>
      </w:r>
      <w:r w:rsidRPr="009F254D">
        <w:rPr>
          <w:noProof/>
          <w:sz w:val="22"/>
          <w:szCs w:val="22"/>
          <w:lang w:val="sr-Latn-ME"/>
        </w:rPr>
        <w:t xml:space="preserve">sadrži 6 </w:t>
      </w:r>
      <w:r w:rsidR="00AC2050" w:rsidRPr="009F254D">
        <w:rPr>
          <w:noProof/>
          <w:sz w:val="22"/>
          <w:szCs w:val="22"/>
          <w:lang w:val="sr-Latn-ME"/>
        </w:rPr>
        <w:t xml:space="preserve">PVC/PCTFE/Alu </w:t>
      </w:r>
      <w:r w:rsidRPr="009F254D">
        <w:rPr>
          <w:noProof/>
          <w:sz w:val="22"/>
          <w:szCs w:val="22"/>
          <w:lang w:val="sr-Latn-ME"/>
        </w:rPr>
        <w:t xml:space="preserve">blistera </w:t>
      </w:r>
      <w:r w:rsidR="00B25CFA" w:rsidRPr="009F254D">
        <w:rPr>
          <w:noProof/>
          <w:sz w:val="22"/>
          <w:szCs w:val="22"/>
          <w:lang w:val="sr-Latn-ME"/>
        </w:rPr>
        <w:t xml:space="preserve">sa </w:t>
      </w:r>
      <w:r w:rsidRPr="009F254D">
        <w:rPr>
          <w:noProof/>
          <w:sz w:val="22"/>
          <w:szCs w:val="22"/>
          <w:lang w:val="sr-Latn-ME"/>
        </w:rPr>
        <w:t>po 10 film tableta.</w:t>
      </w:r>
    </w:p>
    <w:bookmarkEnd w:id="8"/>
    <w:p w14:paraId="045CB75F" w14:textId="77777777" w:rsidR="0072020E" w:rsidRPr="009F254D" w:rsidRDefault="0072020E" w:rsidP="00FA635D">
      <w:pPr>
        <w:tabs>
          <w:tab w:val="left" w:pos="540"/>
          <w:tab w:val="left" w:pos="569"/>
        </w:tabs>
        <w:rPr>
          <w:bCs/>
          <w:sz w:val="22"/>
          <w:szCs w:val="22"/>
          <w:lang w:val="sr-Latn-ME"/>
        </w:rPr>
      </w:pPr>
    </w:p>
    <w:p w14:paraId="73F37B8B" w14:textId="25ACF14B" w:rsidR="002846DB" w:rsidRPr="009F254D" w:rsidRDefault="0072020E" w:rsidP="00FA635D">
      <w:pPr>
        <w:tabs>
          <w:tab w:val="left" w:pos="540"/>
          <w:tab w:val="left" w:pos="569"/>
        </w:tabs>
        <w:rPr>
          <w:b/>
          <w:bCs/>
          <w:sz w:val="22"/>
          <w:szCs w:val="22"/>
          <w:lang w:val="sr-Latn-ME"/>
        </w:rPr>
      </w:pPr>
      <w:r w:rsidRPr="009F254D">
        <w:rPr>
          <w:b/>
          <w:bCs/>
          <w:sz w:val="22"/>
          <w:szCs w:val="22"/>
          <w:lang w:val="sr-Latn-ME"/>
        </w:rPr>
        <w:t xml:space="preserve">6.6. </w:t>
      </w:r>
      <w:r w:rsidR="00480FB1" w:rsidRPr="009F254D">
        <w:rPr>
          <w:b/>
          <w:bCs/>
          <w:sz w:val="22"/>
          <w:szCs w:val="22"/>
          <w:lang w:val="sr-Latn-ME"/>
        </w:rPr>
        <w:tab/>
      </w:r>
      <w:r w:rsidRPr="009F254D">
        <w:rPr>
          <w:b/>
          <w:bCs/>
          <w:color w:val="000000"/>
          <w:sz w:val="22"/>
          <w:szCs w:val="22"/>
          <w:lang w:val="sr-Latn-ME"/>
        </w:rPr>
        <w:t>Posebne mjere opreza pri odlaganju materijala koji treba odbaciti nakon primjene lijeka</w:t>
      </w:r>
      <w:r w:rsidRPr="009F254D">
        <w:rPr>
          <w:b/>
          <w:bCs/>
          <w:sz w:val="22"/>
          <w:szCs w:val="22"/>
          <w:lang w:val="sr-Latn-ME"/>
        </w:rPr>
        <w:t xml:space="preserve"> </w:t>
      </w:r>
      <w:r w:rsidR="00310F03" w:rsidRPr="009F254D">
        <w:rPr>
          <w:b/>
          <w:bCs/>
          <w:sz w:val="22"/>
          <w:szCs w:val="22"/>
          <w:lang w:val="sr-Latn-ME"/>
        </w:rPr>
        <w:t>(i druga uputs</w:t>
      </w:r>
      <w:r w:rsidR="004109FA" w:rsidRPr="009F254D">
        <w:rPr>
          <w:b/>
          <w:bCs/>
          <w:sz w:val="22"/>
          <w:szCs w:val="22"/>
          <w:lang w:val="sr-Latn-ME"/>
        </w:rPr>
        <w:t>t</w:t>
      </w:r>
      <w:r w:rsidR="00310F03" w:rsidRPr="009F254D">
        <w:rPr>
          <w:b/>
          <w:bCs/>
          <w:sz w:val="22"/>
          <w:szCs w:val="22"/>
          <w:lang w:val="sr-Latn-ME"/>
        </w:rPr>
        <w:t xml:space="preserve">va za rukovanje lijekom) </w:t>
      </w:r>
    </w:p>
    <w:p w14:paraId="76B1A08F" w14:textId="77777777" w:rsidR="001F21A3" w:rsidRPr="009F254D" w:rsidRDefault="001F21A3" w:rsidP="00FA635D">
      <w:pPr>
        <w:tabs>
          <w:tab w:val="left" w:pos="540"/>
          <w:tab w:val="left" w:pos="569"/>
        </w:tabs>
        <w:rPr>
          <w:b/>
          <w:bCs/>
          <w:sz w:val="22"/>
          <w:szCs w:val="22"/>
          <w:lang w:val="sr-Latn-ME"/>
        </w:rPr>
      </w:pPr>
    </w:p>
    <w:p w14:paraId="64C3434A" w14:textId="0CD20B74" w:rsidR="001F21A3" w:rsidRPr="009F254D" w:rsidRDefault="001F21A3" w:rsidP="00FA635D">
      <w:pPr>
        <w:tabs>
          <w:tab w:val="left" w:pos="284"/>
        </w:tabs>
        <w:jc w:val="both"/>
        <w:rPr>
          <w:noProof/>
          <w:sz w:val="22"/>
          <w:szCs w:val="22"/>
          <w:lang w:val="sr-Latn-ME"/>
        </w:rPr>
      </w:pPr>
      <w:r w:rsidRPr="009F254D">
        <w:rPr>
          <w:noProof/>
          <w:sz w:val="22"/>
          <w:szCs w:val="22"/>
          <w:lang w:val="sr-Latn-ME"/>
        </w:rPr>
        <w:t>Neupotr</w:t>
      </w:r>
      <w:r w:rsidR="00B25CFA" w:rsidRPr="009F254D">
        <w:rPr>
          <w:noProof/>
          <w:sz w:val="22"/>
          <w:szCs w:val="22"/>
          <w:lang w:val="sr-Latn-ME"/>
        </w:rPr>
        <w:t>ij</w:t>
      </w:r>
      <w:r w:rsidRPr="009F254D">
        <w:rPr>
          <w:noProof/>
          <w:sz w:val="22"/>
          <w:szCs w:val="22"/>
          <w:lang w:val="sr-Latn-ME"/>
        </w:rPr>
        <w:t>ebljen</w:t>
      </w:r>
      <w:r w:rsidR="00B25CFA" w:rsidRPr="009F254D">
        <w:rPr>
          <w:noProof/>
          <w:sz w:val="22"/>
          <w:szCs w:val="22"/>
          <w:lang w:val="sr-Latn-ME"/>
        </w:rPr>
        <w:t>i</w:t>
      </w:r>
      <w:r w:rsidRPr="009F254D">
        <w:rPr>
          <w:noProof/>
          <w:sz w:val="22"/>
          <w:szCs w:val="22"/>
          <w:lang w:val="sr-Latn-ME"/>
        </w:rPr>
        <w:t xml:space="preserve"> lijek ili otpadni materijal odlažu se u skladu sa lokalnim propisima.</w:t>
      </w:r>
    </w:p>
    <w:p w14:paraId="0C7CC06F" w14:textId="65C6E03D" w:rsidR="0072020E" w:rsidRDefault="0072020E" w:rsidP="00FA635D">
      <w:pPr>
        <w:tabs>
          <w:tab w:val="left" w:pos="540"/>
          <w:tab w:val="left" w:pos="569"/>
        </w:tabs>
        <w:rPr>
          <w:bCs/>
          <w:sz w:val="22"/>
          <w:szCs w:val="22"/>
          <w:lang w:val="sr-Latn-ME"/>
        </w:rPr>
      </w:pPr>
    </w:p>
    <w:p w14:paraId="1995826B" w14:textId="77777777" w:rsidR="00BE1219" w:rsidRPr="009F254D" w:rsidRDefault="00BE1219" w:rsidP="00FA635D">
      <w:pPr>
        <w:tabs>
          <w:tab w:val="left" w:pos="540"/>
          <w:tab w:val="left" w:pos="569"/>
        </w:tabs>
        <w:rPr>
          <w:bCs/>
          <w:sz w:val="22"/>
          <w:szCs w:val="22"/>
          <w:lang w:val="sr-Latn-ME"/>
        </w:rPr>
      </w:pPr>
    </w:p>
    <w:p w14:paraId="28EF173A" w14:textId="02A14228" w:rsidR="00F8570A" w:rsidRPr="009F254D" w:rsidRDefault="0072020E" w:rsidP="00FA635D">
      <w:pPr>
        <w:tabs>
          <w:tab w:val="left" w:pos="540"/>
          <w:tab w:val="left" w:pos="569"/>
        </w:tabs>
        <w:rPr>
          <w:b/>
          <w:bCs/>
          <w:sz w:val="22"/>
          <w:szCs w:val="22"/>
          <w:lang w:val="sr-Latn-ME"/>
        </w:rPr>
      </w:pPr>
      <w:r w:rsidRPr="009F254D">
        <w:rPr>
          <w:b/>
          <w:bCs/>
          <w:sz w:val="22"/>
          <w:szCs w:val="22"/>
          <w:lang w:val="sr-Latn-ME"/>
        </w:rPr>
        <w:t xml:space="preserve">7. </w:t>
      </w:r>
      <w:r w:rsidR="00480FB1" w:rsidRPr="009F254D">
        <w:rPr>
          <w:b/>
          <w:bCs/>
          <w:sz w:val="22"/>
          <w:szCs w:val="22"/>
          <w:lang w:val="sr-Latn-ME"/>
        </w:rPr>
        <w:tab/>
      </w:r>
      <w:r w:rsidRPr="009F254D">
        <w:rPr>
          <w:b/>
          <w:bCs/>
          <w:sz w:val="22"/>
          <w:szCs w:val="22"/>
          <w:lang w:val="sr-Latn-ME"/>
        </w:rPr>
        <w:t>NOSILAC DOZVOLE</w:t>
      </w:r>
      <w:r w:rsidR="00483928" w:rsidRPr="009F254D">
        <w:rPr>
          <w:b/>
          <w:bCs/>
          <w:sz w:val="22"/>
          <w:szCs w:val="22"/>
          <w:lang w:val="sr-Latn-ME"/>
        </w:rPr>
        <w:t xml:space="preserve"> </w:t>
      </w:r>
    </w:p>
    <w:p w14:paraId="7F73B67E" w14:textId="77777777" w:rsidR="001F21A3" w:rsidRPr="009F254D" w:rsidRDefault="001F21A3" w:rsidP="00FA635D">
      <w:pPr>
        <w:tabs>
          <w:tab w:val="left" w:pos="540"/>
          <w:tab w:val="left" w:pos="569"/>
        </w:tabs>
        <w:rPr>
          <w:b/>
          <w:bCs/>
          <w:sz w:val="22"/>
          <w:szCs w:val="22"/>
          <w:lang w:val="sr-Latn-ME"/>
        </w:rPr>
      </w:pPr>
    </w:p>
    <w:p w14:paraId="54DEFE35" w14:textId="11303D02" w:rsidR="001F21A3" w:rsidRPr="009F254D" w:rsidRDefault="001F21A3" w:rsidP="007202BC">
      <w:pPr>
        <w:tabs>
          <w:tab w:val="left" w:pos="540"/>
          <w:tab w:val="left" w:pos="569"/>
        </w:tabs>
        <w:jc w:val="both"/>
        <w:rPr>
          <w:bCs/>
          <w:sz w:val="22"/>
          <w:szCs w:val="22"/>
          <w:lang w:val="sr-Latn-ME"/>
        </w:rPr>
      </w:pPr>
      <w:r w:rsidRPr="009F254D">
        <w:rPr>
          <w:bCs/>
          <w:sz w:val="22"/>
          <w:szCs w:val="22"/>
          <w:lang w:val="sr-Latn-ME"/>
        </w:rPr>
        <w:t>Glosarij d.o.o.</w:t>
      </w:r>
    </w:p>
    <w:p w14:paraId="09CB0CFA" w14:textId="77777777" w:rsidR="001F21A3" w:rsidRPr="009F254D" w:rsidRDefault="001F21A3" w:rsidP="007202BC">
      <w:pPr>
        <w:tabs>
          <w:tab w:val="left" w:pos="540"/>
          <w:tab w:val="left" w:pos="569"/>
        </w:tabs>
        <w:jc w:val="both"/>
        <w:rPr>
          <w:bCs/>
          <w:sz w:val="22"/>
          <w:szCs w:val="22"/>
          <w:lang w:val="sr-Latn-ME"/>
        </w:rPr>
      </w:pPr>
      <w:r w:rsidRPr="009F254D">
        <w:rPr>
          <w:bCs/>
          <w:sz w:val="22"/>
          <w:szCs w:val="22"/>
          <w:lang w:val="sr-Latn-ME"/>
        </w:rPr>
        <w:t>Vojislavljevića 76, 81000 Podgorica, Crna Gora</w:t>
      </w:r>
    </w:p>
    <w:p w14:paraId="775AC8AF" w14:textId="1AF8C660" w:rsidR="00C61BE0" w:rsidRPr="009F254D" w:rsidRDefault="00C61BE0" w:rsidP="00FA635D">
      <w:pPr>
        <w:tabs>
          <w:tab w:val="left" w:pos="1219"/>
        </w:tabs>
        <w:rPr>
          <w:bCs/>
          <w:sz w:val="22"/>
          <w:szCs w:val="22"/>
          <w:lang w:val="sr-Latn-ME"/>
        </w:rPr>
      </w:pPr>
    </w:p>
    <w:p w14:paraId="70D1DFC0" w14:textId="77777777" w:rsidR="00C37FD7" w:rsidRPr="009F254D" w:rsidRDefault="00C37FD7" w:rsidP="00FA635D">
      <w:pPr>
        <w:tabs>
          <w:tab w:val="left" w:pos="540"/>
          <w:tab w:val="left" w:pos="569"/>
        </w:tabs>
        <w:rPr>
          <w:bCs/>
          <w:sz w:val="22"/>
          <w:szCs w:val="22"/>
          <w:lang w:val="sr-Latn-ME"/>
        </w:rPr>
      </w:pPr>
    </w:p>
    <w:p w14:paraId="3E81C475" w14:textId="77777777" w:rsidR="0072020E" w:rsidRPr="009F254D" w:rsidRDefault="0072020E" w:rsidP="00FA635D">
      <w:pPr>
        <w:tabs>
          <w:tab w:val="left" w:pos="540"/>
          <w:tab w:val="left" w:pos="569"/>
        </w:tabs>
        <w:rPr>
          <w:b/>
          <w:bCs/>
          <w:sz w:val="22"/>
          <w:szCs w:val="22"/>
          <w:lang w:val="sr-Latn-ME"/>
        </w:rPr>
      </w:pPr>
      <w:r w:rsidRPr="009F254D">
        <w:rPr>
          <w:b/>
          <w:bCs/>
          <w:sz w:val="22"/>
          <w:szCs w:val="22"/>
          <w:lang w:val="sr-Latn-ME"/>
        </w:rPr>
        <w:t xml:space="preserve">8. </w:t>
      </w:r>
      <w:r w:rsidR="00480FB1" w:rsidRPr="009F254D">
        <w:rPr>
          <w:b/>
          <w:bCs/>
          <w:sz w:val="22"/>
          <w:szCs w:val="22"/>
          <w:lang w:val="sr-Latn-ME"/>
        </w:rPr>
        <w:tab/>
      </w:r>
      <w:r w:rsidRPr="009F254D">
        <w:rPr>
          <w:b/>
          <w:bCs/>
          <w:sz w:val="22"/>
          <w:szCs w:val="22"/>
          <w:lang w:val="sr-Latn-ME"/>
        </w:rPr>
        <w:t>BROJ DOZVOLE</w:t>
      </w:r>
      <w:r w:rsidR="008A6D43" w:rsidRPr="009F254D">
        <w:rPr>
          <w:b/>
          <w:bCs/>
          <w:sz w:val="22"/>
          <w:szCs w:val="22"/>
          <w:lang w:val="sr-Latn-ME"/>
        </w:rPr>
        <w:t xml:space="preserve"> ZA STAVLJANJE LIJEKA U PROMET</w:t>
      </w:r>
    </w:p>
    <w:p w14:paraId="135A9226" w14:textId="77777777" w:rsidR="0072020E" w:rsidRPr="009F254D" w:rsidRDefault="0072020E" w:rsidP="00FA635D">
      <w:pPr>
        <w:tabs>
          <w:tab w:val="left" w:pos="540"/>
          <w:tab w:val="left" w:pos="569"/>
        </w:tabs>
        <w:rPr>
          <w:bCs/>
          <w:sz w:val="22"/>
          <w:szCs w:val="22"/>
          <w:lang w:val="sr-Latn-ME"/>
        </w:rPr>
      </w:pPr>
    </w:p>
    <w:p w14:paraId="0353A88E" w14:textId="4AAE6E4C" w:rsidR="00B25CFA" w:rsidRPr="009F254D" w:rsidRDefault="00B25CFA" w:rsidP="007202BC">
      <w:pPr>
        <w:tabs>
          <w:tab w:val="left" w:pos="540"/>
          <w:tab w:val="left" w:pos="569"/>
        </w:tabs>
        <w:jc w:val="both"/>
        <w:rPr>
          <w:bCs/>
          <w:sz w:val="22"/>
          <w:szCs w:val="22"/>
          <w:lang w:val="sr-Latn-ME"/>
        </w:rPr>
      </w:pPr>
      <w:r w:rsidRPr="009F254D">
        <w:rPr>
          <w:bCs/>
          <w:sz w:val="22"/>
          <w:szCs w:val="22"/>
          <w:lang w:val="sr-Latn-ME"/>
        </w:rPr>
        <w:t>Xigduo, film tableta, 5 mg + 850 mg, blister, 56 (4x14) film tableta:</w:t>
      </w:r>
      <w:r w:rsidR="00B34801" w:rsidRPr="00DA798C">
        <w:rPr>
          <w:lang w:val="sr-Latn-ME"/>
        </w:rPr>
        <w:t xml:space="preserve"> </w:t>
      </w:r>
      <w:r w:rsidR="00B34801" w:rsidRPr="00B34801">
        <w:rPr>
          <w:bCs/>
          <w:sz w:val="22"/>
          <w:szCs w:val="22"/>
          <w:lang w:val="sr-Latn-ME"/>
        </w:rPr>
        <w:t>2030/21/288 - 2441</w:t>
      </w:r>
    </w:p>
    <w:p w14:paraId="3B761259" w14:textId="20CA2810" w:rsidR="00B25CFA" w:rsidRPr="009F254D" w:rsidRDefault="00B25CFA" w:rsidP="007202BC">
      <w:pPr>
        <w:tabs>
          <w:tab w:val="left" w:pos="540"/>
          <w:tab w:val="left" w:pos="569"/>
        </w:tabs>
        <w:jc w:val="both"/>
        <w:rPr>
          <w:bCs/>
          <w:sz w:val="22"/>
          <w:szCs w:val="22"/>
          <w:lang w:val="sr-Latn-ME"/>
        </w:rPr>
      </w:pPr>
      <w:r w:rsidRPr="009F254D">
        <w:rPr>
          <w:bCs/>
          <w:sz w:val="22"/>
          <w:szCs w:val="22"/>
          <w:lang w:val="sr-Latn-ME"/>
        </w:rPr>
        <w:t>Xigduo, film tableta, 5 mg + 850 mg, blister, 60 (6x10) film tableta:</w:t>
      </w:r>
      <w:r w:rsidR="00B34801" w:rsidRPr="00DA798C">
        <w:rPr>
          <w:lang w:val="sr-Latn-ME"/>
        </w:rPr>
        <w:t xml:space="preserve"> </w:t>
      </w:r>
      <w:r w:rsidR="00B34801" w:rsidRPr="00B34801">
        <w:rPr>
          <w:bCs/>
          <w:sz w:val="22"/>
          <w:szCs w:val="22"/>
          <w:lang w:val="sr-Latn-ME"/>
        </w:rPr>
        <w:t>2030/21/289 - 2442</w:t>
      </w:r>
    </w:p>
    <w:p w14:paraId="3BAAB41B" w14:textId="066FA81C" w:rsidR="00B25CFA" w:rsidRPr="009F254D" w:rsidRDefault="00B25CFA" w:rsidP="007202BC">
      <w:pPr>
        <w:tabs>
          <w:tab w:val="left" w:pos="540"/>
          <w:tab w:val="left" w:pos="569"/>
        </w:tabs>
        <w:jc w:val="both"/>
        <w:rPr>
          <w:bCs/>
          <w:sz w:val="22"/>
          <w:szCs w:val="22"/>
          <w:lang w:val="sr-Latn-ME"/>
        </w:rPr>
      </w:pPr>
      <w:r w:rsidRPr="009F254D">
        <w:rPr>
          <w:bCs/>
          <w:sz w:val="22"/>
          <w:szCs w:val="22"/>
          <w:lang w:val="sr-Latn-ME"/>
        </w:rPr>
        <w:t>Xigduo, film tableta, 5 mg + 1000 mg, blister, 56 (4x14) film tableta:</w:t>
      </w:r>
      <w:r w:rsidR="00B34801" w:rsidRPr="00DA798C">
        <w:rPr>
          <w:lang w:val="sr-Latn-ME"/>
        </w:rPr>
        <w:t xml:space="preserve"> </w:t>
      </w:r>
      <w:r w:rsidR="00B34801" w:rsidRPr="00B34801">
        <w:rPr>
          <w:bCs/>
          <w:sz w:val="22"/>
          <w:szCs w:val="22"/>
          <w:lang w:val="sr-Latn-ME"/>
        </w:rPr>
        <w:t>2030/21/290 - 2443</w:t>
      </w:r>
    </w:p>
    <w:p w14:paraId="1ECC3D23" w14:textId="0490F9CA" w:rsidR="00B25CFA" w:rsidRPr="009F254D" w:rsidRDefault="00B25CFA" w:rsidP="007202BC">
      <w:pPr>
        <w:tabs>
          <w:tab w:val="left" w:pos="540"/>
          <w:tab w:val="left" w:pos="569"/>
        </w:tabs>
        <w:jc w:val="both"/>
        <w:rPr>
          <w:bCs/>
          <w:sz w:val="22"/>
          <w:szCs w:val="22"/>
          <w:lang w:val="sr-Latn-ME"/>
        </w:rPr>
      </w:pPr>
      <w:r w:rsidRPr="009F254D">
        <w:rPr>
          <w:bCs/>
          <w:sz w:val="22"/>
          <w:szCs w:val="22"/>
          <w:lang w:val="sr-Latn-ME"/>
        </w:rPr>
        <w:t>Xigduo, film tableta, 5 mg + 1000 mg, blister, 60 (6x10) film tableta:</w:t>
      </w:r>
      <w:r w:rsidR="00B34801" w:rsidRPr="00DA798C">
        <w:rPr>
          <w:lang w:val="sr-Latn-ME"/>
        </w:rPr>
        <w:t xml:space="preserve"> </w:t>
      </w:r>
      <w:r w:rsidR="00B34801" w:rsidRPr="00B34801">
        <w:rPr>
          <w:bCs/>
          <w:sz w:val="22"/>
          <w:szCs w:val="22"/>
          <w:lang w:val="sr-Latn-ME"/>
        </w:rPr>
        <w:t>2030/21/291 - 2444</w:t>
      </w:r>
    </w:p>
    <w:p w14:paraId="14A586E3" w14:textId="02DAD82A" w:rsidR="00F45F77" w:rsidRDefault="00F45F77" w:rsidP="007202BC">
      <w:pPr>
        <w:tabs>
          <w:tab w:val="left" w:pos="540"/>
          <w:tab w:val="left" w:pos="569"/>
        </w:tabs>
        <w:jc w:val="both"/>
        <w:rPr>
          <w:bCs/>
          <w:sz w:val="22"/>
          <w:szCs w:val="22"/>
          <w:lang w:val="sr-Latn-ME"/>
        </w:rPr>
      </w:pPr>
    </w:p>
    <w:p w14:paraId="114E1FBD" w14:textId="72F0B847" w:rsidR="00155C7B" w:rsidRPr="009F254D" w:rsidRDefault="00155C7B" w:rsidP="00FA635D">
      <w:pPr>
        <w:tabs>
          <w:tab w:val="left" w:pos="540"/>
          <w:tab w:val="left" w:pos="569"/>
        </w:tabs>
        <w:rPr>
          <w:bCs/>
          <w:sz w:val="22"/>
          <w:szCs w:val="22"/>
          <w:lang w:val="sr-Latn-ME"/>
        </w:rPr>
      </w:pPr>
    </w:p>
    <w:p w14:paraId="2D346618" w14:textId="77777777" w:rsidR="0072020E" w:rsidRPr="009F254D" w:rsidRDefault="0072020E" w:rsidP="00FA635D">
      <w:pPr>
        <w:tabs>
          <w:tab w:val="left" w:pos="540"/>
          <w:tab w:val="left" w:pos="569"/>
        </w:tabs>
        <w:rPr>
          <w:b/>
          <w:bCs/>
          <w:sz w:val="22"/>
          <w:szCs w:val="22"/>
          <w:lang w:val="sr-Latn-ME"/>
        </w:rPr>
      </w:pPr>
      <w:r w:rsidRPr="009F254D">
        <w:rPr>
          <w:b/>
          <w:bCs/>
          <w:sz w:val="22"/>
          <w:szCs w:val="22"/>
          <w:lang w:val="sr-Latn-ME"/>
        </w:rPr>
        <w:t xml:space="preserve">9. </w:t>
      </w:r>
      <w:r w:rsidR="00480FB1" w:rsidRPr="009F254D">
        <w:rPr>
          <w:b/>
          <w:bCs/>
          <w:sz w:val="22"/>
          <w:szCs w:val="22"/>
          <w:lang w:val="sr-Latn-ME"/>
        </w:rPr>
        <w:tab/>
      </w:r>
      <w:r w:rsidRPr="009F254D">
        <w:rPr>
          <w:b/>
          <w:bCs/>
          <w:sz w:val="22"/>
          <w:szCs w:val="22"/>
          <w:lang w:val="sr-Latn-ME"/>
        </w:rPr>
        <w:t xml:space="preserve">DATUM </w:t>
      </w:r>
      <w:r w:rsidR="00C05DF8" w:rsidRPr="009F254D">
        <w:rPr>
          <w:b/>
          <w:bCs/>
          <w:sz w:val="22"/>
          <w:szCs w:val="22"/>
          <w:lang w:val="sr-Latn-ME"/>
        </w:rPr>
        <w:t xml:space="preserve">PRVE </w:t>
      </w:r>
      <w:r w:rsidR="008A6D43" w:rsidRPr="009F254D">
        <w:rPr>
          <w:b/>
          <w:bCs/>
          <w:sz w:val="22"/>
          <w:szCs w:val="22"/>
          <w:lang w:val="sr-Latn-ME"/>
        </w:rPr>
        <w:t>DOZVOLE</w:t>
      </w:r>
      <w:r w:rsidR="00C05DF8" w:rsidRPr="009F254D">
        <w:rPr>
          <w:b/>
          <w:bCs/>
          <w:sz w:val="22"/>
          <w:szCs w:val="22"/>
          <w:lang w:val="sr-Latn-ME"/>
        </w:rPr>
        <w:t>/OBNOVE DOZVOLE</w:t>
      </w:r>
      <w:r w:rsidR="008A6D43" w:rsidRPr="009F254D">
        <w:rPr>
          <w:b/>
          <w:bCs/>
          <w:sz w:val="22"/>
          <w:szCs w:val="22"/>
          <w:lang w:val="sr-Latn-ME"/>
        </w:rPr>
        <w:t xml:space="preserve"> ZA STAVLJANJE LIJEKA U PROMET</w:t>
      </w:r>
    </w:p>
    <w:p w14:paraId="4E3D5FF7" w14:textId="7B458815" w:rsidR="0072020E" w:rsidRDefault="0072020E" w:rsidP="00FA635D">
      <w:pPr>
        <w:tabs>
          <w:tab w:val="left" w:pos="540"/>
          <w:tab w:val="left" w:pos="569"/>
        </w:tabs>
        <w:rPr>
          <w:bCs/>
          <w:sz w:val="22"/>
          <w:szCs w:val="22"/>
          <w:lang w:val="sr-Latn-ME"/>
        </w:rPr>
      </w:pPr>
    </w:p>
    <w:p w14:paraId="5A84D0A7" w14:textId="48CB7607" w:rsidR="00B25CFA" w:rsidRPr="009F254D" w:rsidRDefault="00B25CFA" w:rsidP="007202BC">
      <w:pPr>
        <w:tabs>
          <w:tab w:val="left" w:pos="540"/>
          <w:tab w:val="left" w:pos="569"/>
        </w:tabs>
        <w:jc w:val="both"/>
        <w:rPr>
          <w:bCs/>
          <w:sz w:val="22"/>
          <w:szCs w:val="22"/>
          <w:lang w:val="sr-Latn-ME"/>
        </w:rPr>
      </w:pPr>
      <w:r w:rsidRPr="009F254D">
        <w:rPr>
          <w:bCs/>
          <w:sz w:val="22"/>
          <w:szCs w:val="22"/>
          <w:lang w:val="sr-Latn-ME"/>
        </w:rPr>
        <w:t>Xigduo, film tableta, 5 mg + 850 mg, blister, 56 (4x14) film tableta:</w:t>
      </w:r>
      <w:r w:rsidR="00B34801" w:rsidRPr="00DA798C">
        <w:rPr>
          <w:lang w:val="sr-Latn-ME"/>
        </w:rPr>
        <w:t xml:space="preserve"> </w:t>
      </w:r>
      <w:r w:rsidR="00B34801" w:rsidRPr="00B34801">
        <w:rPr>
          <w:bCs/>
          <w:sz w:val="22"/>
          <w:szCs w:val="22"/>
          <w:lang w:val="sr-Latn-ME"/>
        </w:rPr>
        <w:t>02.03.2021. godine</w:t>
      </w:r>
    </w:p>
    <w:p w14:paraId="34458FFA" w14:textId="407BB47F" w:rsidR="00B25CFA" w:rsidRPr="009F254D" w:rsidRDefault="00B25CFA" w:rsidP="007202BC">
      <w:pPr>
        <w:tabs>
          <w:tab w:val="left" w:pos="540"/>
          <w:tab w:val="left" w:pos="569"/>
        </w:tabs>
        <w:jc w:val="both"/>
        <w:rPr>
          <w:bCs/>
          <w:sz w:val="22"/>
          <w:szCs w:val="22"/>
          <w:lang w:val="sr-Latn-ME"/>
        </w:rPr>
      </w:pPr>
      <w:r w:rsidRPr="009F254D">
        <w:rPr>
          <w:bCs/>
          <w:sz w:val="22"/>
          <w:szCs w:val="22"/>
          <w:lang w:val="sr-Latn-ME"/>
        </w:rPr>
        <w:t>Xigduo, film tableta, 5 mg + 850 mg, blister, 60 (6x10) film tableta:</w:t>
      </w:r>
      <w:r w:rsidR="00B34801" w:rsidRPr="00B34801">
        <w:rPr>
          <w:bCs/>
          <w:sz w:val="22"/>
          <w:szCs w:val="22"/>
          <w:lang w:val="sr-Latn-ME"/>
        </w:rPr>
        <w:t xml:space="preserve"> 02.03.2021. godine</w:t>
      </w:r>
    </w:p>
    <w:p w14:paraId="6BB14694" w14:textId="64C850B0" w:rsidR="00B25CFA" w:rsidRPr="009F254D" w:rsidRDefault="00B25CFA" w:rsidP="007202BC">
      <w:pPr>
        <w:tabs>
          <w:tab w:val="left" w:pos="540"/>
          <w:tab w:val="left" w:pos="569"/>
        </w:tabs>
        <w:jc w:val="both"/>
        <w:rPr>
          <w:bCs/>
          <w:sz w:val="22"/>
          <w:szCs w:val="22"/>
          <w:lang w:val="sr-Latn-ME"/>
        </w:rPr>
      </w:pPr>
      <w:r w:rsidRPr="009F254D">
        <w:rPr>
          <w:bCs/>
          <w:sz w:val="22"/>
          <w:szCs w:val="22"/>
          <w:lang w:val="sr-Latn-ME"/>
        </w:rPr>
        <w:t>Xigduo, film tableta, 5 mg + 1000 mg, blister, 56 (4x14) film tableta:</w:t>
      </w:r>
      <w:r w:rsidR="00B34801" w:rsidRPr="00B34801">
        <w:rPr>
          <w:bCs/>
          <w:sz w:val="22"/>
          <w:szCs w:val="22"/>
          <w:lang w:val="sr-Latn-ME"/>
        </w:rPr>
        <w:t xml:space="preserve"> 02.03.2021. godine</w:t>
      </w:r>
    </w:p>
    <w:p w14:paraId="0AED9707" w14:textId="73CC66FF" w:rsidR="00B25CFA" w:rsidRPr="009F254D" w:rsidRDefault="00B25CFA" w:rsidP="007202BC">
      <w:pPr>
        <w:tabs>
          <w:tab w:val="left" w:pos="540"/>
          <w:tab w:val="left" w:pos="569"/>
        </w:tabs>
        <w:jc w:val="both"/>
        <w:rPr>
          <w:bCs/>
          <w:sz w:val="22"/>
          <w:szCs w:val="22"/>
          <w:lang w:val="sr-Latn-ME"/>
        </w:rPr>
      </w:pPr>
      <w:r w:rsidRPr="009F254D">
        <w:rPr>
          <w:bCs/>
          <w:sz w:val="22"/>
          <w:szCs w:val="22"/>
          <w:lang w:val="sr-Latn-ME"/>
        </w:rPr>
        <w:t>Xigduo, film tableta, 5 mg + 1000 mg, blister, 60 (6x10) film tableta:</w:t>
      </w:r>
      <w:r w:rsidR="00B34801" w:rsidRPr="00B34801">
        <w:rPr>
          <w:bCs/>
          <w:sz w:val="22"/>
          <w:szCs w:val="22"/>
          <w:lang w:val="sr-Latn-ME"/>
        </w:rPr>
        <w:t xml:space="preserve"> 02.03.2021. godine</w:t>
      </w:r>
    </w:p>
    <w:p w14:paraId="239757E1" w14:textId="16C7EF09" w:rsidR="00836B35" w:rsidRDefault="00836B35" w:rsidP="00FA635D">
      <w:pPr>
        <w:tabs>
          <w:tab w:val="left" w:pos="540"/>
          <w:tab w:val="left" w:pos="569"/>
        </w:tabs>
        <w:rPr>
          <w:bCs/>
          <w:sz w:val="22"/>
          <w:szCs w:val="22"/>
          <w:lang w:val="sr-Latn-ME"/>
        </w:rPr>
      </w:pPr>
    </w:p>
    <w:p w14:paraId="0F29FB79" w14:textId="77777777" w:rsidR="00B34801" w:rsidRPr="009F254D" w:rsidRDefault="00B34801" w:rsidP="00FA635D">
      <w:pPr>
        <w:tabs>
          <w:tab w:val="left" w:pos="540"/>
          <w:tab w:val="left" w:pos="569"/>
        </w:tabs>
        <w:rPr>
          <w:bCs/>
          <w:sz w:val="22"/>
          <w:szCs w:val="22"/>
          <w:lang w:val="sr-Latn-ME"/>
        </w:rPr>
      </w:pPr>
    </w:p>
    <w:p w14:paraId="001321B8" w14:textId="77777777" w:rsidR="003F6A59" w:rsidRPr="009F254D" w:rsidRDefault="0072020E" w:rsidP="00FA635D">
      <w:pPr>
        <w:tabs>
          <w:tab w:val="left" w:pos="540"/>
          <w:tab w:val="left" w:pos="569"/>
        </w:tabs>
        <w:ind w:left="540" w:hanging="540"/>
        <w:rPr>
          <w:bCs/>
          <w:sz w:val="22"/>
          <w:szCs w:val="22"/>
          <w:lang w:val="sr-Latn-ME"/>
        </w:rPr>
      </w:pPr>
      <w:r w:rsidRPr="009F254D">
        <w:rPr>
          <w:b/>
          <w:bCs/>
          <w:sz w:val="22"/>
          <w:szCs w:val="22"/>
          <w:lang w:val="sr-Latn-ME"/>
        </w:rPr>
        <w:t xml:space="preserve">10. </w:t>
      </w:r>
      <w:r w:rsidR="00480FB1" w:rsidRPr="009F254D">
        <w:rPr>
          <w:b/>
          <w:bCs/>
          <w:sz w:val="22"/>
          <w:szCs w:val="22"/>
          <w:lang w:val="sr-Latn-ME"/>
        </w:rPr>
        <w:tab/>
      </w:r>
      <w:r w:rsidR="002846DB" w:rsidRPr="009F254D">
        <w:rPr>
          <w:b/>
          <w:bCs/>
          <w:sz w:val="22"/>
          <w:szCs w:val="22"/>
          <w:lang w:val="sr-Latn-ME"/>
        </w:rPr>
        <w:t>D</w:t>
      </w:r>
      <w:r w:rsidR="00EC2532" w:rsidRPr="009F254D">
        <w:rPr>
          <w:b/>
          <w:bCs/>
          <w:sz w:val="22"/>
          <w:szCs w:val="22"/>
          <w:lang w:val="sr-Latn-ME"/>
        </w:rPr>
        <w:t xml:space="preserve">ATUM REVIZIJE TEKSTA </w:t>
      </w:r>
    </w:p>
    <w:p w14:paraId="0EBA5B6D" w14:textId="76B27AF6" w:rsidR="003F6A59" w:rsidRDefault="003F6A59" w:rsidP="00FA635D">
      <w:pPr>
        <w:rPr>
          <w:sz w:val="22"/>
          <w:szCs w:val="22"/>
          <w:lang w:val="sr-Latn-ME"/>
        </w:rPr>
      </w:pPr>
    </w:p>
    <w:p w14:paraId="38241C3D" w14:textId="5FF303EF" w:rsidR="00DA798C" w:rsidRDefault="00F70E65" w:rsidP="007202BC">
      <w:pPr>
        <w:jc w:val="both"/>
        <w:rPr>
          <w:sz w:val="22"/>
          <w:szCs w:val="22"/>
          <w:lang w:val="sr-Latn-ME"/>
        </w:rPr>
      </w:pPr>
      <w:r>
        <w:rPr>
          <w:sz w:val="22"/>
          <w:szCs w:val="22"/>
          <w:lang w:val="sr-Latn-ME"/>
        </w:rPr>
        <w:t>Decem</w:t>
      </w:r>
      <w:r w:rsidR="00481E9D">
        <w:rPr>
          <w:sz w:val="22"/>
          <w:szCs w:val="22"/>
          <w:lang w:val="sr-Latn-ME"/>
        </w:rPr>
        <w:t>bar</w:t>
      </w:r>
      <w:r w:rsidR="00CD5627">
        <w:rPr>
          <w:sz w:val="22"/>
          <w:szCs w:val="22"/>
          <w:lang w:val="sr-Latn-ME"/>
        </w:rPr>
        <w:t xml:space="preserve">, </w:t>
      </w:r>
      <w:r w:rsidR="00DA798C">
        <w:rPr>
          <w:sz w:val="22"/>
          <w:szCs w:val="22"/>
          <w:lang w:val="sr-Latn-ME"/>
        </w:rPr>
        <w:t>202</w:t>
      </w:r>
      <w:r w:rsidR="00E43FA0">
        <w:rPr>
          <w:sz w:val="22"/>
          <w:szCs w:val="22"/>
          <w:lang w:val="sr-Latn-ME"/>
        </w:rPr>
        <w:t>4</w:t>
      </w:r>
      <w:r w:rsidR="00DA798C">
        <w:rPr>
          <w:sz w:val="22"/>
          <w:szCs w:val="22"/>
          <w:lang w:val="sr-Latn-ME"/>
        </w:rPr>
        <w:t>. godine</w:t>
      </w:r>
    </w:p>
    <w:p w14:paraId="6F83F78B" w14:textId="2348AB07" w:rsidR="008358D3" w:rsidRPr="009F254D" w:rsidRDefault="008358D3" w:rsidP="00FA635D">
      <w:pPr>
        <w:rPr>
          <w:sz w:val="22"/>
          <w:szCs w:val="22"/>
          <w:lang w:val="sr-Latn-ME"/>
        </w:rPr>
      </w:pPr>
      <w:bookmarkStart w:id="9" w:name="_GoBack"/>
      <w:bookmarkEnd w:id="9"/>
    </w:p>
    <w:sectPr w:rsidR="008358D3" w:rsidRPr="009F254D" w:rsidSect="006B5404">
      <w:footerReference w:type="default" r:id="rId14"/>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0DFD7" w14:textId="77777777" w:rsidR="00801582" w:rsidRDefault="00801582">
      <w:r>
        <w:separator/>
      </w:r>
    </w:p>
  </w:endnote>
  <w:endnote w:type="continuationSeparator" w:id="0">
    <w:p w14:paraId="4F5C8D7C" w14:textId="77777777" w:rsidR="00801582" w:rsidRDefault="00801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DDD5D" w14:textId="4323E5EA" w:rsidR="00F6032D" w:rsidRPr="00B23F69" w:rsidRDefault="00F6032D"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F70E65">
      <w:rPr>
        <w:noProof/>
        <w:sz w:val="22"/>
        <w:szCs w:val="22"/>
      </w:rPr>
      <w:t>29</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F70E65">
      <w:rPr>
        <w:noProof/>
        <w:sz w:val="22"/>
        <w:szCs w:val="22"/>
      </w:rPr>
      <w:t>31</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A944D" w14:textId="77777777" w:rsidR="00801582" w:rsidRDefault="00801582">
      <w:r>
        <w:separator/>
      </w:r>
    </w:p>
  </w:footnote>
  <w:footnote w:type="continuationSeparator" w:id="0">
    <w:p w14:paraId="1A86FFD5" w14:textId="77777777" w:rsidR="00801582" w:rsidRDefault="008015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55pt;height:13.8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E01453A"/>
    <w:multiLevelType w:val="hybridMultilevel"/>
    <w:tmpl w:val="E9C4C05C"/>
    <w:lvl w:ilvl="0" w:tplc="2C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2DE14415"/>
    <w:multiLevelType w:val="hybridMultilevel"/>
    <w:tmpl w:val="86A614DA"/>
    <w:lvl w:ilvl="0" w:tplc="DEBA2EBE">
      <w:numFmt w:val="bullet"/>
      <w:lvlText w:val="•"/>
      <w:lvlJc w:val="left"/>
      <w:pPr>
        <w:ind w:left="720" w:hanging="360"/>
      </w:pPr>
      <w:rPr>
        <w:rFonts w:ascii="Times New Roman" w:eastAsia="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0"/>
  </w:num>
  <w:num w:numId="4">
    <w:abstractNumId w:val="10"/>
  </w:num>
  <w:num w:numId="5">
    <w:abstractNumId w:val="5"/>
  </w:num>
  <w:num w:numId="6">
    <w:abstractNumId w:val="1"/>
  </w:num>
  <w:num w:numId="7">
    <w:abstractNumId w:val="9"/>
  </w:num>
  <w:num w:numId="8">
    <w:abstractNumId w:val="4"/>
  </w:num>
  <w:num w:numId="9">
    <w:abstractNumId w:val="7"/>
  </w:num>
  <w:num w:numId="10">
    <w:abstractNumId w:val="12"/>
  </w:num>
  <w:num w:numId="11">
    <w:abstractNumId w:val="6"/>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19FF"/>
    <w:rsid w:val="000128F6"/>
    <w:rsid w:val="00012F5E"/>
    <w:rsid w:val="000176CA"/>
    <w:rsid w:val="00026CC7"/>
    <w:rsid w:val="00030C4D"/>
    <w:rsid w:val="000338EF"/>
    <w:rsid w:val="00036FA0"/>
    <w:rsid w:val="0003793F"/>
    <w:rsid w:val="00045FAB"/>
    <w:rsid w:val="0005622A"/>
    <w:rsid w:val="00057E35"/>
    <w:rsid w:val="0006499A"/>
    <w:rsid w:val="00070E65"/>
    <w:rsid w:val="00076726"/>
    <w:rsid w:val="00077479"/>
    <w:rsid w:val="00080303"/>
    <w:rsid w:val="000A3F58"/>
    <w:rsid w:val="000B01ED"/>
    <w:rsid w:val="000D2343"/>
    <w:rsid w:val="000D3449"/>
    <w:rsid w:val="000D425A"/>
    <w:rsid w:val="000D4A31"/>
    <w:rsid w:val="000D60CC"/>
    <w:rsid w:val="000E2084"/>
    <w:rsid w:val="000E5F84"/>
    <w:rsid w:val="000E6F55"/>
    <w:rsid w:val="000F3A38"/>
    <w:rsid w:val="000F7622"/>
    <w:rsid w:val="000F77FA"/>
    <w:rsid w:val="00107BF7"/>
    <w:rsid w:val="001101FD"/>
    <w:rsid w:val="00116E58"/>
    <w:rsid w:val="0011747C"/>
    <w:rsid w:val="00126F53"/>
    <w:rsid w:val="0013159C"/>
    <w:rsid w:val="001336AD"/>
    <w:rsid w:val="0014766D"/>
    <w:rsid w:val="0014766F"/>
    <w:rsid w:val="001536CC"/>
    <w:rsid w:val="00155C7B"/>
    <w:rsid w:val="00160702"/>
    <w:rsid w:val="00180154"/>
    <w:rsid w:val="00187D3C"/>
    <w:rsid w:val="00191A92"/>
    <w:rsid w:val="001A22A2"/>
    <w:rsid w:val="001A3FBA"/>
    <w:rsid w:val="001A5518"/>
    <w:rsid w:val="001B0D90"/>
    <w:rsid w:val="001B1C6A"/>
    <w:rsid w:val="001C1263"/>
    <w:rsid w:val="001C1417"/>
    <w:rsid w:val="001D3C95"/>
    <w:rsid w:val="001E3459"/>
    <w:rsid w:val="001E390B"/>
    <w:rsid w:val="001F21A3"/>
    <w:rsid w:val="001F42FB"/>
    <w:rsid w:val="001F719A"/>
    <w:rsid w:val="002031B3"/>
    <w:rsid w:val="0020748E"/>
    <w:rsid w:val="00207719"/>
    <w:rsid w:val="00213E58"/>
    <w:rsid w:val="00215931"/>
    <w:rsid w:val="002248AD"/>
    <w:rsid w:val="00224C91"/>
    <w:rsid w:val="0022766E"/>
    <w:rsid w:val="00227BDB"/>
    <w:rsid w:val="002314FC"/>
    <w:rsid w:val="002318B9"/>
    <w:rsid w:val="00234CB1"/>
    <w:rsid w:val="002352F8"/>
    <w:rsid w:val="0025029E"/>
    <w:rsid w:val="002510A5"/>
    <w:rsid w:val="00254A0A"/>
    <w:rsid w:val="002553ED"/>
    <w:rsid w:val="002557CB"/>
    <w:rsid w:val="00266046"/>
    <w:rsid w:val="00266D29"/>
    <w:rsid w:val="002846DB"/>
    <w:rsid w:val="00284CCD"/>
    <w:rsid w:val="00285237"/>
    <w:rsid w:val="0028680F"/>
    <w:rsid w:val="002A0150"/>
    <w:rsid w:val="002B6BE3"/>
    <w:rsid w:val="002C6637"/>
    <w:rsid w:val="002D523B"/>
    <w:rsid w:val="002E0135"/>
    <w:rsid w:val="002E37A5"/>
    <w:rsid w:val="002F5D4B"/>
    <w:rsid w:val="00304B6D"/>
    <w:rsid w:val="00310F03"/>
    <w:rsid w:val="00320431"/>
    <w:rsid w:val="003238A2"/>
    <w:rsid w:val="003247D2"/>
    <w:rsid w:val="00324CFF"/>
    <w:rsid w:val="003445C1"/>
    <w:rsid w:val="003479B5"/>
    <w:rsid w:val="0035187F"/>
    <w:rsid w:val="00355B61"/>
    <w:rsid w:val="0036047E"/>
    <w:rsid w:val="00362686"/>
    <w:rsid w:val="00371510"/>
    <w:rsid w:val="00374715"/>
    <w:rsid w:val="00374C31"/>
    <w:rsid w:val="00396DFD"/>
    <w:rsid w:val="00397371"/>
    <w:rsid w:val="003A7059"/>
    <w:rsid w:val="003B2D97"/>
    <w:rsid w:val="003B413B"/>
    <w:rsid w:val="003B7A36"/>
    <w:rsid w:val="003C17AB"/>
    <w:rsid w:val="003C7823"/>
    <w:rsid w:val="003D43D5"/>
    <w:rsid w:val="003E1DCC"/>
    <w:rsid w:val="003F11A1"/>
    <w:rsid w:val="003F448C"/>
    <w:rsid w:val="003F6A59"/>
    <w:rsid w:val="00405E91"/>
    <w:rsid w:val="004063BF"/>
    <w:rsid w:val="004065C8"/>
    <w:rsid w:val="004109FA"/>
    <w:rsid w:val="00411B4B"/>
    <w:rsid w:val="00415BEE"/>
    <w:rsid w:val="00427F85"/>
    <w:rsid w:val="00436F42"/>
    <w:rsid w:val="004378B4"/>
    <w:rsid w:val="00442673"/>
    <w:rsid w:val="00451314"/>
    <w:rsid w:val="00452E9D"/>
    <w:rsid w:val="004534C7"/>
    <w:rsid w:val="004671AA"/>
    <w:rsid w:val="00471572"/>
    <w:rsid w:val="00477D55"/>
    <w:rsid w:val="00480FB1"/>
    <w:rsid w:val="00481E9D"/>
    <w:rsid w:val="00483928"/>
    <w:rsid w:val="004A0B95"/>
    <w:rsid w:val="004A688E"/>
    <w:rsid w:val="004B497E"/>
    <w:rsid w:val="004C331F"/>
    <w:rsid w:val="004D184F"/>
    <w:rsid w:val="004D6103"/>
    <w:rsid w:val="004E0C59"/>
    <w:rsid w:val="004E3BCE"/>
    <w:rsid w:val="004E70AD"/>
    <w:rsid w:val="004F0D14"/>
    <w:rsid w:val="004F0E97"/>
    <w:rsid w:val="004F4607"/>
    <w:rsid w:val="004F62F8"/>
    <w:rsid w:val="00501DD1"/>
    <w:rsid w:val="00515C21"/>
    <w:rsid w:val="005172C0"/>
    <w:rsid w:val="00530BD7"/>
    <w:rsid w:val="00545CD2"/>
    <w:rsid w:val="005476F3"/>
    <w:rsid w:val="00572527"/>
    <w:rsid w:val="005730BD"/>
    <w:rsid w:val="00573E40"/>
    <w:rsid w:val="005748B6"/>
    <w:rsid w:val="0057623E"/>
    <w:rsid w:val="00576348"/>
    <w:rsid w:val="00593D7C"/>
    <w:rsid w:val="005A0B2E"/>
    <w:rsid w:val="005A23D2"/>
    <w:rsid w:val="005A36CB"/>
    <w:rsid w:val="005A3F24"/>
    <w:rsid w:val="005A712B"/>
    <w:rsid w:val="005B49B8"/>
    <w:rsid w:val="005C0741"/>
    <w:rsid w:val="005C5EF4"/>
    <w:rsid w:val="005C7CE3"/>
    <w:rsid w:val="005D6C57"/>
    <w:rsid w:val="005E0B79"/>
    <w:rsid w:val="005E28CF"/>
    <w:rsid w:val="005E2E0B"/>
    <w:rsid w:val="005E7A7D"/>
    <w:rsid w:val="005F1D3C"/>
    <w:rsid w:val="00602457"/>
    <w:rsid w:val="00622B61"/>
    <w:rsid w:val="00626E22"/>
    <w:rsid w:val="00644FC3"/>
    <w:rsid w:val="00646BD1"/>
    <w:rsid w:val="006561C2"/>
    <w:rsid w:val="00664123"/>
    <w:rsid w:val="00671CB3"/>
    <w:rsid w:val="00674BAF"/>
    <w:rsid w:val="00682200"/>
    <w:rsid w:val="006840AC"/>
    <w:rsid w:val="00692BF6"/>
    <w:rsid w:val="0069549F"/>
    <w:rsid w:val="00696788"/>
    <w:rsid w:val="006A1497"/>
    <w:rsid w:val="006B0BD1"/>
    <w:rsid w:val="006B5404"/>
    <w:rsid w:val="006D20A5"/>
    <w:rsid w:val="006D37BF"/>
    <w:rsid w:val="006D662C"/>
    <w:rsid w:val="006D6C06"/>
    <w:rsid w:val="00702E22"/>
    <w:rsid w:val="00703DC3"/>
    <w:rsid w:val="0072020E"/>
    <w:rsid w:val="007202BC"/>
    <w:rsid w:val="00726CC4"/>
    <w:rsid w:val="00733A84"/>
    <w:rsid w:val="00766564"/>
    <w:rsid w:val="00786071"/>
    <w:rsid w:val="007A3ECB"/>
    <w:rsid w:val="007B09C3"/>
    <w:rsid w:val="007C7C4F"/>
    <w:rsid w:val="007D7BB3"/>
    <w:rsid w:val="007F7AD8"/>
    <w:rsid w:val="007F7C9D"/>
    <w:rsid w:val="00801582"/>
    <w:rsid w:val="00806F96"/>
    <w:rsid w:val="00820E34"/>
    <w:rsid w:val="00824AB9"/>
    <w:rsid w:val="008264B5"/>
    <w:rsid w:val="00826CD5"/>
    <w:rsid w:val="008358D3"/>
    <w:rsid w:val="00836B35"/>
    <w:rsid w:val="00843BDE"/>
    <w:rsid w:val="0084436B"/>
    <w:rsid w:val="00855DF3"/>
    <w:rsid w:val="0087588C"/>
    <w:rsid w:val="00883B40"/>
    <w:rsid w:val="00884F5F"/>
    <w:rsid w:val="008917F7"/>
    <w:rsid w:val="00896A8E"/>
    <w:rsid w:val="0089705C"/>
    <w:rsid w:val="008A6D43"/>
    <w:rsid w:val="008B491E"/>
    <w:rsid w:val="008C1A28"/>
    <w:rsid w:val="008C2E98"/>
    <w:rsid w:val="008D5700"/>
    <w:rsid w:val="008E1524"/>
    <w:rsid w:val="008E2FC7"/>
    <w:rsid w:val="008E49BD"/>
    <w:rsid w:val="008E53E9"/>
    <w:rsid w:val="008E5771"/>
    <w:rsid w:val="008F4ACF"/>
    <w:rsid w:val="0091451C"/>
    <w:rsid w:val="00924166"/>
    <w:rsid w:val="0093070B"/>
    <w:rsid w:val="00932620"/>
    <w:rsid w:val="00940B9B"/>
    <w:rsid w:val="009464A9"/>
    <w:rsid w:val="0095676E"/>
    <w:rsid w:val="00956983"/>
    <w:rsid w:val="00963CF0"/>
    <w:rsid w:val="00964BB1"/>
    <w:rsid w:val="009775D9"/>
    <w:rsid w:val="00987105"/>
    <w:rsid w:val="00997175"/>
    <w:rsid w:val="009A1847"/>
    <w:rsid w:val="009A4D77"/>
    <w:rsid w:val="009A5780"/>
    <w:rsid w:val="009B062A"/>
    <w:rsid w:val="009B72D9"/>
    <w:rsid w:val="009E34FF"/>
    <w:rsid w:val="009E7C6F"/>
    <w:rsid w:val="009F1793"/>
    <w:rsid w:val="009F254D"/>
    <w:rsid w:val="009F2D23"/>
    <w:rsid w:val="00A01D69"/>
    <w:rsid w:val="00A02335"/>
    <w:rsid w:val="00A0553A"/>
    <w:rsid w:val="00A07028"/>
    <w:rsid w:val="00A46C9A"/>
    <w:rsid w:val="00A55AE4"/>
    <w:rsid w:val="00A619F3"/>
    <w:rsid w:val="00A62A73"/>
    <w:rsid w:val="00A63754"/>
    <w:rsid w:val="00A63D1E"/>
    <w:rsid w:val="00A82D0F"/>
    <w:rsid w:val="00A87FF6"/>
    <w:rsid w:val="00AA0A3B"/>
    <w:rsid w:val="00AA2763"/>
    <w:rsid w:val="00AA33B6"/>
    <w:rsid w:val="00AB50CA"/>
    <w:rsid w:val="00AB6D64"/>
    <w:rsid w:val="00AC2050"/>
    <w:rsid w:val="00AC3E4D"/>
    <w:rsid w:val="00AC53CE"/>
    <w:rsid w:val="00AD2193"/>
    <w:rsid w:val="00AE11C4"/>
    <w:rsid w:val="00AE581E"/>
    <w:rsid w:val="00AF2AC7"/>
    <w:rsid w:val="00AF32AE"/>
    <w:rsid w:val="00AF74CE"/>
    <w:rsid w:val="00B00AA8"/>
    <w:rsid w:val="00B01D2C"/>
    <w:rsid w:val="00B208DB"/>
    <w:rsid w:val="00B23F69"/>
    <w:rsid w:val="00B25CFA"/>
    <w:rsid w:val="00B34801"/>
    <w:rsid w:val="00B371F2"/>
    <w:rsid w:val="00B60619"/>
    <w:rsid w:val="00B63897"/>
    <w:rsid w:val="00B65CC1"/>
    <w:rsid w:val="00B66A70"/>
    <w:rsid w:val="00B67366"/>
    <w:rsid w:val="00B80EE1"/>
    <w:rsid w:val="00B84135"/>
    <w:rsid w:val="00B84E31"/>
    <w:rsid w:val="00B8500B"/>
    <w:rsid w:val="00BA0B5A"/>
    <w:rsid w:val="00BA57F1"/>
    <w:rsid w:val="00BB45EC"/>
    <w:rsid w:val="00BC7BA8"/>
    <w:rsid w:val="00BE1219"/>
    <w:rsid w:val="00C04A0D"/>
    <w:rsid w:val="00C04D34"/>
    <w:rsid w:val="00C05DF8"/>
    <w:rsid w:val="00C06864"/>
    <w:rsid w:val="00C10F54"/>
    <w:rsid w:val="00C23D8D"/>
    <w:rsid w:val="00C26A6F"/>
    <w:rsid w:val="00C37AA3"/>
    <w:rsid w:val="00C37FD7"/>
    <w:rsid w:val="00C43419"/>
    <w:rsid w:val="00C44B0F"/>
    <w:rsid w:val="00C44CF3"/>
    <w:rsid w:val="00C61BE0"/>
    <w:rsid w:val="00C6707E"/>
    <w:rsid w:val="00C70B0E"/>
    <w:rsid w:val="00C773CA"/>
    <w:rsid w:val="00C83785"/>
    <w:rsid w:val="00C92878"/>
    <w:rsid w:val="00C94C0D"/>
    <w:rsid w:val="00CA13F1"/>
    <w:rsid w:val="00CA1FEB"/>
    <w:rsid w:val="00CA2551"/>
    <w:rsid w:val="00CD4F85"/>
    <w:rsid w:val="00CD5627"/>
    <w:rsid w:val="00CD6F02"/>
    <w:rsid w:val="00CE246D"/>
    <w:rsid w:val="00CF07A0"/>
    <w:rsid w:val="00CF22C5"/>
    <w:rsid w:val="00CF37F6"/>
    <w:rsid w:val="00CF3E03"/>
    <w:rsid w:val="00D0082A"/>
    <w:rsid w:val="00D0255A"/>
    <w:rsid w:val="00D21455"/>
    <w:rsid w:val="00D2729C"/>
    <w:rsid w:val="00D47634"/>
    <w:rsid w:val="00D576FF"/>
    <w:rsid w:val="00D60683"/>
    <w:rsid w:val="00D6452B"/>
    <w:rsid w:val="00D709B3"/>
    <w:rsid w:val="00DA2ED6"/>
    <w:rsid w:val="00DA459C"/>
    <w:rsid w:val="00DA5B25"/>
    <w:rsid w:val="00DA798C"/>
    <w:rsid w:val="00DB76B8"/>
    <w:rsid w:val="00DC171F"/>
    <w:rsid w:val="00DC2EA1"/>
    <w:rsid w:val="00DD5AA1"/>
    <w:rsid w:val="00DD6AAF"/>
    <w:rsid w:val="00DE3F5C"/>
    <w:rsid w:val="00DF1D20"/>
    <w:rsid w:val="00E04CD8"/>
    <w:rsid w:val="00E116CB"/>
    <w:rsid w:val="00E21324"/>
    <w:rsid w:val="00E21503"/>
    <w:rsid w:val="00E246B9"/>
    <w:rsid w:val="00E31FEA"/>
    <w:rsid w:val="00E33174"/>
    <w:rsid w:val="00E43FA0"/>
    <w:rsid w:val="00E45169"/>
    <w:rsid w:val="00E4532F"/>
    <w:rsid w:val="00E47148"/>
    <w:rsid w:val="00E47787"/>
    <w:rsid w:val="00E47846"/>
    <w:rsid w:val="00E51C30"/>
    <w:rsid w:val="00E51D42"/>
    <w:rsid w:val="00E64180"/>
    <w:rsid w:val="00E74AEE"/>
    <w:rsid w:val="00E83D2A"/>
    <w:rsid w:val="00E868E5"/>
    <w:rsid w:val="00E9237A"/>
    <w:rsid w:val="00E939FA"/>
    <w:rsid w:val="00EA5765"/>
    <w:rsid w:val="00EB001C"/>
    <w:rsid w:val="00EB6AC8"/>
    <w:rsid w:val="00EC2532"/>
    <w:rsid w:val="00EC3852"/>
    <w:rsid w:val="00ED7812"/>
    <w:rsid w:val="00EF0F2B"/>
    <w:rsid w:val="00EF3B86"/>
    <w:rsid w:val="00F02E80"/>
    <w:rsid w:val="00F317E9"/>
    <w:rsid w:val="00F34554"/>
    <w:rsid w:val="00F34C1F"/>
    <w:rsid w:val="00F42FCC"/>
    <w:rsid w:val="00F45F77"/>
    <w:rsid w:val="00F5167F"/>
    <w:rsid w:val="00F52258"/>
    <w:rsid w:val="00F6032D"/>
    <w:rsid w:val="00F70E65"/>
    <w:rsid w:val="00F8570A"/>
    <w:rsid w:val="00F91C7B"/>
    <w:rsid w:val="00F92002"/>
    <w:rsid w:val="00FA635D"/>
    <w:rsid w:val="00FD307A"/>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BC383A"/>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BA57F1"/>
    <w:pPr>
      <w:ind w:left="720"/>
      <w:contextualSpacing/>
    </w:pPr>
  </w:style>
  <w:style w:type="paragraph" w:styleId="Revision">
    <w:name w:val="Revision"/>
    <w:hidden/>
    <w:uiPriority w:val="99"/>
    <w:semiHidden/>
    <w:rsid w:val="0044267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60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A1407-13B9-4171-94D6-7A7DB5520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13875</Words>
  <Characters>79089</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92779</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Aleksandra Minić</cp:lastModifiedBy>
  <cp:revision>4</cp:revision>
  <dcterms:created xsi:type="dcterms:W3CDTF">2024-11-19T12:42:00Z</dcterms:created>
  <dcterms:modified xsi:type="dcterms:W3CDTF">2024-12-04T12:45:00Z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