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C59AC" w14:textId="5099EAE9" w:rsidR="00895BAD" w:rsidRPr="005B2E72" w:rsidRDefault="00895BAD" w:rsidP="00895BAD">
      <w:pPr>
        <w:pStyle w:val="BodyText"/>
        <w:spacing w:before="76"/>
        <w:ind w:left="218" w:right="449" w:firstLine="328"/>
        <w:jc w:val="center"/>
        <w:rPr>
          <w:b/>
          <w:color w:val="000000" w:themeColor="text1"/>
          <w:u w:val="single"/>
          <w:lang w:val="sr-Latn-RS"/>
        </w:rPr>
      </w:pPr>
      <w:r w:rsidRPr="005B2E72">
        <w:rPr>
          <w:b/>
          <w:color w:val="000000" w:themeColor="text1"/>
          <w:u w:val="single"/>
          <w:lang w:val="sr-Latn-RS"/>
        </w:rPr>
        <w:t>SAŽETAK KARAKTERISTIKA L</w:t>
      </w:r>
      <w:r w:rsidR="00797F56">
        <w:rPr>
          <w:b/>
          <w:color w:val="000000" w:themeColor="text1"/>
          <w:u w:val="single"/>
          <w:lang w:val="sr-Latn-RS"/>
        </w:rPr>
        <w:t>IJ</w:t>
      </w:r>
      <w:r w:rsidRPr="005B2E72">
        <w:rPr>
          <w:b/>
          <w:color w:val="000000" w:themeColor="text1"/>
          <w:u w:val="single"/>
          <w:lang w:val="sr-Latn-RS"/>
        </w:rPr>
        <w:t>EKA</w:t>
      </w:r>
    </w:p>
    <w:p w14:paraId="52945208" w14:textId="440DCE1E" w:rsidR="00895BAD" w:rsidRDefault="00895BAD">
      <w:pPr>
        <w:pStyle w:val="BodyText"/>
        <w:spacing w:before="67" w:line="266" w:lineRule="auto"/>
        <w:ind w:left="311" w:right="1096" w:firstLine="312"/>
        <w:jc w:val="both"/>
        <w:rPr>
          <w:lang w:val="sr-Latn-RS"/>
        </w:rPr>
      </w:pPr>
    </w:p>
    <w:p w14:paraId="45C6F740" w14:textId="77777777" w:rsidR="00895BAD" w:rsidRDefault="00895BAD">
      <w:pPr>
        <w:pStyle w:val="BodyText"/>
        <w:spacing w:before="67" w:line="266" w:lineRule="auto"/>
        <w:ind w:left="311" w:right="1096" w:firstLine="312"/>
        <w:jc w:val="both"/>
        <w:rPr>
          <w:lang w:val="sr-Latn-RS"/>
        </w:rPr>
      </w:pPr>
    </w:p>
    <w:p w14:paraId="66FAFD96" w14:textId="22BE32B6" w:rsidR="00AA07A9" w:rsidRPr="00AE2963" w:rsidRDefault="00AE2963" w:rsidP="00797F56">
      <w:pPr>
        <w:pStyle w:val="BodyText"/>
        <w:spacing w:before="67" w:line="266" w:lineRule="auto"/>
        <w:ind w:left="311" w:right="1096" w:firstLine="312"/>
        <w:jc w:val="both"/>
        <w:rPr>
          <w:lang w:val="sr-Latn-RS"/>
        </w:rPr>
      </w:pPr>
      <w:r w:rsidRPr="00AE2963">
        <w:rPr>
          <w:noProof/>
        </w:rPr>
        <w:drawing>
          <wp:anchor distT="0" distB="0" distL="0" distR="0" simplePos="0" relativeHeight="251657728" behindDoc="1" locked="0" layoutInCell="1" allowOverlap="1" wp14:anchorId="4AC99C5B" wp14:editId="33803E1A">
            <wp:simplePos x="0" y="0"/>
            <wp:positionH relativeFrom="page">
              <wp:posOffset>895985</wp:posOffset>
            </wp:positionH>
            <wp:positionV relativeFrom="paragraph">
              <wp:posOffset>-514</wp:posOffset>
            </wp:positionV>
            <wp:extent cx="198119" cy="177800"/>
            <wp:effectExtent l="0" t="0" r="0" b="0"/>
            <wp:wrapNone/>
            <wp:docPr id="1" name="image1.png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BAD" w:rsidRPr="00895BAD">
        <w:rPr>
          <w:lang w:val="sr-Latn-RS"/>
        </w:rPr>
        <w:t xml:space="preserve"> </w:t>
      </w:r>
      <w:r w:rsidR="006F786E">
        <w:rPr>
          <w:lang w:val="sr-Latn-RS"/>
        </w:rPr>
        <w:t>O</w:t>
      </w:r>
      <w:r w:rsidR="00797F56" w:rsidRPr="00786071">
        <w:rPr>
          <w:noProof/>
          <w:lang w:val="hr-HR"/>
        </w:rPr>
        <w:t>vaj lijek je pod dodatnim praćenjem.</w:t>
      </w:r>
      <w:r w:rsidR="00797F56" w:rsidRPr="00786071">
        <w:rPr>
          <w:lang w:val="hr-HR"/>
        </w:rPr>
        <w:t xml:space="preserve"> </w:t>
      </w:r>
      <w:r w:rsidR="00797F56" w:rsidRPr="00786071">
        <w:rPr>
          <w:noProof/>
          <w:lang w:val="hr-HR"/>
        </w:rPr>
        <w:t>Time se omogućava brzo otkrivanje novih bezbjednosnih informacija. Zdravstveni radnici treba da prijave svaku sumnju na neželjeno dejstvo ovog lijeka.</w:t>
      </w:r>
      <w:r w:rsidR="00797F56" w:rsidRPr="00786071">
        <w:rPr>
          <w:lang w:val="hr-HR"/>
        </w:rPr>
        <w:t xml:space="preserve"> Za način prijavljivanja neželjenih dejstava vidjeti </w:t>
      </w:r>
      <w:r w:rsidR="00797F56">
        <w:rPr>
          <w:lang w:val="hr-HR"/>
        </w:rPr>
        <w:t xml:space="preserve">dio </w:t>
      </w:r>
      <w:r w:rsidR="00797F56" w:rsidRPr="00786071">
        <w:rPr>
          <w:lang w:val="hr-HR"/>
        </w:rPr>
        <w:t>4.8</w:t>
      </w:r>
      <w:r w:rsidR="00797F56" w:rsidRPr="00786071">
        <w:rPr>
          <w:noProof/>
          <w:lang w:val="hr-HR"/>
        </w:rPr>
        <w:t>.</w:t>
      </w:r>
    </w:p>
    <w:p w14:paraId="45DF51DD" w14:textId="77777777" w:rsidR="00AA07A9" w:rsidRPr="00AE2963" w:rsidRDefault="00AA07A9">
      <w:pPr>
        <w:pStyle w:val="BodyText"/>
        <w:rPr>
          <w:sz w:val="24"/>
          <w:lang w:val="sr-Latn-RS"/>
        </w:rPr>
      </w:pPr>
    </w:p>
    <w:p w14:paraId="2354541E" w14:textId="5A0266C7" w:rsidR="00AA07A9" w:rsidRPr="00AE2963" w:rsidRDefault="003A734F" w:rsidP="003A734F">
      <w:pPr>
        <w:pStyle w:val="Heading1"/>
        <w:tabs>
          <w:tab w:val="left" w:pos="877"/>
          <w:tab w:val="left" w:pos="879"/>
        </w:tabs>
        <w:spacing w:before="207"/>
        <w:rPr>
          <w:lang w:val="sr-Latn-RS"/>
        </w:rPr>
      </w:pPr>
      <w:r>
        <w:rPr>
          <w:lang w:val="sr-Latn-RS"/>
        </w:rPr>
        <w:t xml:space="preserve">1. </w:t>
      </w:r>
      <w:r w:rsidR="00797F56">
        <w:rPr>
          <w:lang w:val="sr-Latn-RS"/>
        </w:rPr>
        <w:t>NAZIV</w:t>
      </w:r>
      <w:r w:rsidR="00AE2963" w:rsidRPr="00AE2963">
        <w:rPr>
          <w:lang w:val="sr-Latn-RS"/>
        </w:rPr>
        <w:t xml:space="preserve"> L</w:t>
      </w:r>
      <w:r w:rsidR="00797F56">
        <w:rPr>
          <w:lang w:val="sr-Latn-RS"/>
        </w:rPr>
        <w:t>IJ</w:t>
      </w:r>
      <w:r w:rsidR="00AE2963" w:rsidRPr="00AE2963">
        <w:rPr>
          <w:lang w:val="sr-Latn-RS"/>
        </w:rPr>
        <w:t>EKA</w:t>
      </w:r>
    </w:p>
    <w:p w14:paraId="752BCBA7" w14:textId="77777777" w:rsidR="00AA07A9" w:rsidRPr="00AE2963" w:rsidRDefault="00AA07A9">
      <w:pPr>
        <w:pStyle w:val="BodyText"/>
        <w:spacing w:before="7"/>
        <w:rPr>
          <w:b/>
          <w:sz w:val="21"/>
          <w:lang w:val="sr-Latn-RS"/>
        </w:rPr>
      </w:pPr>
    </w:p>
    <w:p w14:paraId="2C30ADD2" w14:textId="7BC83AEF" w:rsidR="00AA07A9" w:rsidRPr="00AE2963" w:rsidRDefault="00AE2963">
      <w:pPr>
        <w:pStyle w:val="BodyText"/>
        <w:ind w:left="311"/>
        <w:rPr>
          <w:lang w:val="sr-Latn-RS"/>
        </w:rPr>
      </w:pPr>
      <w:r w:rsidRPr="00AE2963">
        <w:rPr>
          <w:lang w:val="sr-Latn-RS"/>
        </w:rPr>
        <w:t>Ronapreve</w:t>
      </w:r>
      <w:r w:rsidR="00242CA0">
        <w:rPr>
          <w:lang w:val="sr-Latn-RS"/>
        </w:rPr>
        <w:t>,</w:t>
      </w:r>
      <w:r w:rsidRPr="00AE2963">
        <w:rPr>
          <w:lang w:val="sr-Latn-RS"/>
        </w:rPr>
        <w:t xml:space="preserve"> 120 mg/</w:t>
      </w:r>
      <w:r w:rsidR="00B94782">
        <w:rPr>
          <w:lang w:val="sr-Latn-RS"/>
        </w:rPr>
        <w:t>ml</w:t>
      </w:r>
      <w:r w:rsidR="00AE3A50">
        <w:rPr>
          <w:lang w:val="sr-Latn-RS"/>
        </w:rPr>
        <w:t xml:space="preserve"> </w:t>
      </w:r>
      <w:r w:rsidRPr="00AE2963">
        <w:rPr>
          <w:lang w:val="sr-Latn-RS"/>
        </w:rPr>
        <w:t>+ 120 mg/</w:t>
      </w:r>
      <w:r w:rsidR="00B94782">
        <w:rPr>
          <w:lang w:val="sr-Latn-RS"/>
        </w:rPr>
        <w:t>ml</w:t>
      </w:r>
      <w:r w:rsidR="00951828">
        <w:rPr>
          <w:lang w:val="sr-Latn-RS"/>
        </w:rPr>
        <w:t xml:space="preserve">, </w:t>
      </w:r>
      <w:r w:rsidRPr="00AE2963">
        <w:rPr>
          <w:lang w:val="sr-Latn-RS"/>
        </w:rPr>
        <w:t>rastvor za injekciju/infuziju</w:t>
      </w:r>
    </w:p>
    <w:p w14:paraId="62891758" w14:textId="77777777" w:rsidR="00AA07A9" w:rsidRPr="00AE2963" w:rsidRDefault="00AA07A9">
      <w:pPr>
        <w:pStyle w:val="BodyText"/>
        <w:rPr>
          <w:sz w:val="24"/>
          <w:lang w:val="sr-Latn-RS"/>
        </w:rPr>
      </w:pPr>
    </w:p>
    <w:p w14:paraId="405184CD" w14:textId="0B2F1B0E" w:rsidR="00AA07A9" w:rsidRPr="00443A25" w:rsidRDefault="00443A25">
      <w:pPr>
        <w:pStyle w:val="BodyText"/>
        <w:spacing w:before="4"/>
        <w:rPr>
          <w:lang w:val="sr-Latn-RS"/>
        </w:rPr>
      </w:pPr>
      <w:r>
        <w:rPr>
          <w:sz w:val="20"/>
          <w:lang w:val="sr-Latn-RS"/>
        </w:rPr>
        <w:t xml:space="preserve">      </w:t>
      </w:r>
      <w:r w:rsidRPr="00443A25">
        <w:rPr>
          <w:lang w:val="sr-Latn-RS"/>
        </w:rPr>
        <w:t>INN: kasirivimab, imdevimab</w:t>
      </w:r>
    </w:p>
    <w:p w14:paraId="292D957F" w14:textId="75B825D0" w:rsidR="00443A25" w:rsidRDefault="00443A25">
      <w:pPr>
        <w:pStyle w:val="BodyText"/>
        <w:spacing w:before="4"/>
        <w:rPr>
          <w:sz w:val="20"/>
          <w:lang w:val="sr-Latn-RS"/>
        </w:rPr>
      </w:pPr>
    </w:p>
    <w:p w14:paraId="348F93C6" w14:textId="77777777" w:rsidR="00EA6DA9" w:rsidRPr="00AE2963" w:rsidRDefault="00EA6DA9">
      <w:pPr>
        <w:pStyle w:val="BodyText"/>
        <w:spacing w:before="4"/>
        <w:rPr>
          <w:sz w:val="20"/>
          <w:lang w:val="sr-Latn-RS"/>
        </w:rPr>
      </w:pPr>
    </w:p>
    <w:p w14:paraId="126093A7" w14:textId="4D3E295D" w:rsidR="00AA07A9" w:rsidRPr="00AE2963" w:rsidRDefault="003A734F" w:rsidP="003A734F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2. </w:t>
      </w:r>
      <w:r w:rsidR="00AE2963" w:rsidRPr="00AE2963">
        <w:rPr>
          <w:lang w:val="sr-Latn-RS"/>
        </w:rPr>
        <w:t>KVALITATIVNI I KVANTITATIVNI SASTAV</w:t>
      </w:r>
    </w:p>
    <w:p w14:paraId="1E0D25B7" w14:textId="77777777" w:rsidR="00AA07A9" w:rsidRPr="00AE2963" w:rsidRDefault="00AA07A9">
      <w:pPr>
        <w:pStyle w:val="BodyText"/>
        <w:spacing w:before="7"/>
        <w:rPr>
          <w:b/>
          <w:sz w:val="21"/>
          <w:lang w:val="sr-Latn-RS"/>
        </w:rPr>
      </w:pPr>
    </w:p>
    <w:p w14:paraId="796CB239" w14:textId="7BC41139" w:rsidR="00AA07A9" w:rsidRPr="00AE2963" w:rsidRDefault="00AE2963">
      <w:pPr>
        <w:pStyle w:val="BodyText"/>
        <w:ind w:left="311"/>
        <w:rPr>
          <w:lang w:val="sr-Latn-RS"/>
        </w:rPr>
      </w:pPr>
      <w:r w:rsidRPr="00AE2963">
        <w:rPr>
          <w:u w:val="single"/>
          <w:lang w:val="sr-Latn-RS"/>
        </w:rPr>
        <w:t xml:space="preserve">Zajedno upakovane </w:t>
      </w:r>
      <w:r w:rsidR="00B121AB">
        <w:rPr>
          <w:u w:val="single"/>
          <w:lang w:val="sr-Latn-RS"/>
        </w:rPr>
        <w:t xml:space="preserve">višedozne </w:t>
      </w:r>
      <w:r w:rsidRPr="00AE2963">
        <w:rPr>
          <w:u w:val="single"/>
          <w:lang w:val="sr-Latn-RS"/>
        </w:rPr>
        <w:t>bočice od 1332 mg</w:t>
      </w:r>
    </w:p>
    <w:p w14:paraId="59FE1F41" w14:textId="77777777" w:rsidR="00AA07A9" w:rsidRPr="00AE2963" w:rsidRDefault="00AA07A9">
      <w:pPr>
        <w:pStyle w:val="BodyText"/>
        <w:rPr>
          <w:sz w:val="14"/>
          <w:lang w:val="sr-Latn-RS"/>
        </w:rPr>
      </w:pPr>
    </w:p>
    <w:p w14:paraId="59149EF5" w14:textId="16E2344F" w:rsidR="00B121AB" w:rsidRDefault="00B121AB" w:rsidP="00951828">
      <w:pPr>
        <w:pStyle w:val="BodyText"/>
        <w:spacing w:before="91"/>
        <w:ind w:left="311" w:right="970"/>
        <w:jc w:val="both"/>
        <w:rPr>
          <w:lang w:val="sr-Latn-RS"/>
        </w:rPr>
      </w:pPr>
      <w:r>
        <w:rPr>
          <w:lang w:val="sr-Latn-RS"/>
        </w:rPr>
        <w:t>Jedna višedozna bočica</w:t>
      </w:r>
      <w:r w:rsidR="00AE2963" w:rsidRPr="00AE2963">
        <w:rPr>
          <w:lang w:val="sr-Latn-RS"/>
        </w:rPr>
        <w:t xml:space="preserve"> kasirivimaba sadrži 1332 mg kasirivimaba </w:t>
      </w:r>
      <w:r w:rsidR="00AE3A50">
        <w:rPr>
          <w:lang w:val="sr-Latn-RS"/>
        </w:rPr>
        <w:t>u</w:t>
      </w:r>
      <w:r w:rsidR="00AE2963" w:rsidRPr="00AE2963">
        <w:rPr>
          <w:lang w:val="sr-Latn-RS"/>
        </w:rPr>
        <w:t xml:space="preserve"> 11,1 </w:t>
      </w:r>
      <w:r w:rsidR="00B94782">
        <w:rPr>
          <w:lang w:val="sr-Latn-RS"/>
        </w:rPr>
        <w:t>ml</w:t>
      </w:r>
      <w:r w:rsidR="00AE2963" w:rsidRPr="00AE2963">
        <w:rPr>
          <w:lang w:val="sr-Latn-RS"/>
        </w:rPr>
        <w:t xml:space="preserve"> (120 mg/</w:t>
      </w:r>
      <w:r w:rsidR="00B94782">
        <w:rPr>
          <w:lang w:val="sr-Latn-RS"/>
        </w:rPr>
        <w:t>ml</w:t>
      </w:r>
      <w:r w:rsidR="00AE2963" w:rsidRPr="00AE2963">
        <w:rPr>
          <w:lang w:val="sr-Latn-RS"/>
        </w:rPr>
        <w:t xml:space="preserve">). </w:t>
      </w:r>
    </w:p>
    <w:p w14:paraId="0501E5D8" w14:textId="33772FDC" w:rsidR="00AA07A9" w:rsidRPr="00AE2963" w:rsidRDefault="00B121AB" w:rsidP="00951828">
      <w:pPr>
        <w:pStyle w:val="BodyText"/>
        <w:spacing w:before="91"/>
        <w:ind w:left="311" w:right="970"/>
        <w:jc w:val="both"/>
        <w:rPr>
          <w:lang w:val="sr-Latn-RS"/>
        </w:rPr>
      </w:pPr>
      <w:r>
        <w:rPr>
          <w:lang w:val="sr-Latn-RS"/>
        </w:rPr>
        <w:t>Jedna višedozna bočica</w:t>
      </w:r>
      <w:r w:rsidRPr="00AE2963">
        <w:rPr>
          <w:lang w:val="sr-Latn-RS"/>
        </w:rPr>
        <w:t xml:space="preserve"> </w:t>
      </w:r>
      <w:r w:rsidR="00AE2963" w:rsidRPr="00AE2963">
        <w:rPr>
          <w:lang w:val="sr-Latn-RS"/>
        </w:rPr>
        <w:t xml:space="preserve">imdevimaba sadrži 1332 mg imdevimaba </w:t>
      </w:r>
      <w:r w:rsidR="00AE3A50">
        <w:rPr>
          <w:lang w:val="sr-Latn-RS"/>
        </w:rPr>
        <w:t>u</w:t>
      </w:r>
      <w:r w:rsidR="00AE2963" w:rsidRPr="00AE2963">
        <w:rPr>
          <w:lang w:val="sr-Latn-RS"/>
        </w:rPr>
        <w:t xml:space="preserve"> 11,1 </w:t>
      </w:r>
      <w:r w:rsidR="00B94782">
        <w:rPr>
          <w:lang w:val="sr-Latn-RS"/>
        </w:rPr>
        <w:t>ml</w:t>
      </w:r>
      <w:r w:rsidR="00AE3A50">
        <w:rPr>
          <w:lang w:val="sr-Latn-RS"/>
        </w:rPr>
        <w:t xml:space="preserve"> </w:t>
      </w:r>
      <w:r w:rsidR="00AE2963" w:rsidRPr="00AE2963">
        <w:rPr>
          <w:lang w:val="sr-Latn-RS"/>
        </w:rPr>
        <w:t>(120 mg/</w:t>
      </w:r>
      <w:r w:rsidR="00B94782">
        <w:rPr>
          <w:lang w:val="sr-Latn-RS"/>
        </w:rPr>
        <w:t>ml</w:t>
      </w:r>
      <w:r w:rsidR="00AE2963" w:rsidRPr="00AE2963">
        <w:rPr>
          <w:lang w:val="sr-Latn-RS"/>
        </w:rPr>
        <w:t>).</w:t>
      </w:r>
    </w:p>
    <w:p w14:paraId="34DB5228" w14:textId="77777777" w:rsidR="00AA07A9" w:rsidRPr="00AE2963" w:rsidRDefault="00AA07A9" w:rsidP="00951828">
      <w:pPr>
        <w:pStyle w:val="BodyText"/>
        <w:spacing w:before="2"/>
        <w:ind w:right="970"/>
        <w:jc w:val="both"/>
        <w:rPr>
          <w:lang w:val="sr-Latn-RS"/>
        </w:rPr>
      </w:pPr>
    </w:p>
    <w:p w14:paraId="5CEB9555" w14:textId="514C9482" w:rsidR="00AA07A9" w:rsidRPr="00AE2963" w:rsidRDefault="00AE2963" w:rsidP="00951828">
      <w:pPr>
        <w:pStyle w:val="BodyText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>Kasirivimab i imdevimab su dva IgG1 rekombinantna humana monoklonska antit</w:t>
      </w:r>
      <w:r w:rsidR="00242CA0">
        <w:rPr>
          <w:lang w:val="sr-Latn-RS"/>
        </w:rPr>
        <w:t>ij</w:t>
      </w:r>
      <w:r w:rsidRPr="00AE2963">
        <w:rPr>
          <w:lang w:val="sr-Latn-RS"/>
        </w:rPr>
        <w:t>ela proizvedena tehnologijom rekombinantne DNK u ćelijama jajnika kineskog hrčka.</w:t>
      </w:r>
    </w:p>
    <w:p w14:paraId="54CCBEAF" w14:textId="77777777" w:rsidR="00AA07A9" w:rsidRPr="00AE2963" w:rsidRDefault="00AA07A9" w:rsidP="00951828">
      <w:pPr>
        <w:pStyle w:val="BodyText"/>
        <w:spacing w:before="11"/>
        <w:ind w:right="970"/>
        <w:jc w:val="both"/>
        <w:rPr>
          <w:sz w:val="21"/>
          <w:lang w:val="sr-Latn-RS"/>
        </w:rPr>
      </w:pPr>
    </w:p>
    <w:p w14:paraId="4DBC337D" w14:textId="0CE7F8B5" w:rsidR="00AA07A9" w:rsidRPr="00AE3A50" w:rsidRDefault="00AE2963" w:rsidP="00951828">
      <w:pPr>
        <w:pStyle w:val="BodyText"/>
        <w:ind w:left="311" w:right="970"/>
        <w:jc w:val="both"/>
      </w:pPr>
      <w:r w:rsidRPr="00AE2963">
        <w:rPr>
          <w:u w:val="single"/>
          <w:lang w:val="sr-Latn-RS"/>
        </w:rPr>
        <w:t xml:space="preserve">Pomoćne supstance sa </w:t>
      </w:r>
      <w:r w:rsidR="00893621" w:rsidRPr="00AE2963">
        <w:rPr>
          <w:u w:val="single"/>
          <w:lang w:val="sr-Latn-RS"/>
        </w:rPr>
        <w:t>p</w:t>
      </w:r>
      <w:r w:rsidR="00893621">
        <w:rPr>
          <w:u w:val="single"/>
          <w:lang w:val="sr-Latn-RS"/>
        </w:rPr>
        <w:t>otvrđenim</w:t>
      </w:r>
      <w:r w:rsidR="00893621" w:rsidRPr="00AE2963">
        <w:rPr>
          <w:u w:val="single"/>
          <w:lang w:val="sr-Latn-RS"/>
        </w:rPr>
        <w:t xml:space="preserve"> </w:t>
      </w:r>
      <w:r w:rsidRPr="00AE2963">
        <w:rPr>
          <w:u w:val="single"/>
          <w:lang w:val="sr-Latn-RS"/>
        </w:rPr>
        <w:t>dejstvom</w:t>
      </w:r>
    </w:p>
    <w:p w14:paraId="48101C2D" w14:textId="77777777" w:rsidR="00AA07A9" w:rsidRPr="00AE2963" w:rsidRDefault="00AA07A9" w:rsidP="00951828">
      <w:pPr>
        <w:pStyle w:val="BodyText"/>
        <w:spacing w:before="1"/>
        <w:ind w:right="970"/>
        <w:jc w:val="both"/>
        <w:rPr>
          <w:sz w:val="14"/>
          <w:lang w:val="sr-Latn-RS"/>
        </w:rPr>
      </w:pPr>
    </w:p>
    <w:p w14:paraId="34CF913C" w14:textId="3219C6E5" w:rsidR="00AA07A9" w:rsidRPr="00AE2963" w:rsidRDefault="007D2B93" w:rsidP="00951828">
      <w:pPr>
        <w:pStyle w:val="BodyText"/>
        <w:ind w:right="970"/>
        <w:jc w:val="both"/>
        <w:rPr>
          <w:sz w:val="24"/>
          <w:lang w:val="sr-Latn-RS"/>
        </w:rPr>
      </w:pPr>
      <w:r>
        <w:rPr>
          <w:lang w:val="sr-Latn-RS"/>
        </w:rPr>
        <w:t xml:space="preserve">      </w:t>
      </w:r>
      <w:r w:rsidR="003206D7" w:rsidRPr="003206D7">
        <w:rPr>
          <w:lang w:val="sr-Latn-RS"/>
        </w:rPr>
        <w:t>Za spisak svih ekscipijenasa, pogledati dio 6.1.</w:t>
      </w:r>
    </w:p>
    <w:p w14:paraId="1A0378A6" w14:textId="2438B5A6" w:rsidR="00AA07A9" w:rsidRDefault="00AA07A9" w:rsidP="00951828">
      <w:pPr>
        <w:pStyle w:val="BodyText"/>
        <w:spacing w:before="4"/>
        <w:ind w:right="970"/>
        <w:jc w:val="both"/>
        <w:rPr>
          <w:sz w:val="20"/>
          <w:lang w:val="sr-Latn-RS"/>
        </w:rPr>
      </w:pPr>
    </w:p>
    <w:p w14:paraId="2E9D5934" w14:textId="77777777" w:rsidR="00EA6DA9" w:rsidRPr="00AE2963" w:rsidRDefault="00EA6DA9" w:rsidP="00951828">
      <w:pPr>
        <w:pStyle w:val="BodyText"/>
        <w:spacing w:before="4"/>
        <w:ind w:right="970"/>
        <w:jc w:val="both"/>
        <w:rPr>
          <w:sz w:val="20"/>
          <w:lang w:val="sr-Latn-RS"/>
        </w:rPr>
      </w:pPr>
    </w:p>
    <w:p w14:paraId="12384795" w14:textId="467DFD66" w:rsidR="00AA07A9" w:rsidRPr="00AE2963" w:rsidRDefault="003A734F" w:rsidP="00951828">
      <w:pPr>
        <w:pStyle w:val="Heading1"/>
        <w:tabs>
          <w:tab w:val="left" w:pos="851"/>
          <w:tab w:val="left" w:pos="852"/>
        </w:tabs>
        <w:spacing w:before="1"/>
        <w:ind w:right="970"/>
        <w:jc w:val="both"/>
        <w:rPr>
          <w:lang w:val="sr-Latn-RS"/>
        </w:rPr>
      </w:pPr>
      <w:r>
        <w:rPr>
          <w:lang w:val="sr-Latn-RS"/>
        </w:rPr>
        <w:t xml:space="preserve">3. </w:t>
      </w:r>
      <w:r w:rsidR="00AE2963" w:rsidRPr="00AE2963">
        <w:rPr>
          <w:lang w:val="sr-Latn-RS"/>
        </w:rPr>
        <w:t>FARMACEUTSKI OBLIK</w:t>
      </w:r>
    </w:p>
    <w:p w14:paraId="141ED95A" w14:textId="77777777" w:rsidR="00AA07A9" w:rsidRPr="00AE2963" w:rsidRDefault="00AA07A9" w:rsidP="00951828">
      <w:pPr>
        <w:pStyle w:val="BodyText"/>
        <w:spacing w:before="7"/>
        <w:ind w:right="970"/>
        <w:jc w:val="both"/>
        <w:rPr>
          <w:b/>
          <w:sz w:val="21"/>
          <w:lang w:val="sr-Latn-RS"/>
        </w:rPr>
      </w:pPr>
    </w:p>
    <w:p w14:paraId="7E850A56" w14:textId="60803A5B" w:rsidR="00AA07A9" w:rsidRDefault="00AE2963" w:rsidP="00951828">
      <w:pPr>
        <w:pStyle w:val="BodyText"/>
        <w:spacing w:line="252" w:lineRule="exact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>Rastvor za injekciju/infuziju.</w:t>
      </w:r>
    </w:p>
    <w:p w14:paraId="324B90D9" w14:textId="77777777" w:rsidR="00AE3A50" w:rsidRPr="00AE2963" w:rsidRDefault="00AE3A50" w:rsidP="00951828">
      <w:pPr>
        <w:pStyle w:val="BodyText"/>
        <w:spacing w:line="252" w:lineRule="exact"/>
        <w:ind w:left="311" w:right="970"/>
        <w:jc w:val="both"/>
        <w:rPr>
          <w:lang w:val="sr-Latn-RS"/>
        </w:rPr>
      </w:pPr>
    </w:p>
    <w:p w14:paraId="50EA91BB" w14:textId="3084B1FC" w:rsidR="00AA07A9" w:rsidRPr="00AE2963" w:rsidRDefault="00AE2963" w:rsidP="00951828">
      <w:pPr>
        <w:pStyle w:val="BodyText"/>
        <w:spacing w:line="252" w:lineRule="exact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>Bistar do blago opalescentan rastvor, bezbojan do bl</w:t>
      </w:r>
      <w:r w:rsidR="00242CA0">
        <w:rPr>
          <w:lang w:val="sr-Latn-RS"/>
        </w:rPr>
        <w:t>ij</w:t>
      </w:r>
      <w:r w:rsidRPr="00AE2963">
        <w:rPr>
          <w:lang w:val="sr-Latn-RS"/>
        </w:rPr>
        <w:t>edožućkaste boje</w:t>
      </w:r>
      <w:r w:rsidR="00893621">
        <w:rPr>
          <w:lang w:val="sr-Latn-RS"/>
        </w:rPr>
        <w:t>,</w:t>
      </w:r>
      <w:r w:rsidR="00893621" w:rsidRPr="007D3B0A">
        <w:rPr>
          <w:lang w:val="sr-Latn-RS"/>
        </w:rPr>
        <w:t xml:space="preserve"> pH</w:t>
      </w:r>
      <w:r w:rsidR="00893621">
        <w:rPr>
          <w:lang w:val="sr-Latn-RS"/>
        </w:rPr>
        <w:t xml:space="preserve"> vr</w:t>
      </w:r>
      <w:r w:rsidR="00242CA0">
        <w:rPr>
          <w:lang w:val="sr-Latn-RS"/>
        </w:rPr>
        <w:t>ij</w:t>
      </w:r>
      <w:r w:rsidR="00893621">
        <w:rPr>
          <w:lang w:val="sr-Latn-RS"/>
        </w:rPr>
        <w:t xml:space="preserve">ednosti </w:t>
      </w:r>
      <w:r w:rsidR="00893621" w:rsidRPr="007D3B0A">
        <w:rPr>
          <w:lang w:val="sr-Latn-RS"/>
        </w:rPr>
        <w:t>6,0.</w:t>
      </w:r>
    </w:p>
    <w:p w14:paraId="51E5A2F3" w14:textId="77777777" w:rsidR="00AA07A9" w:rsidRPr="00AE2963" w:rsidRDefault="00AA07A9" w:rsidP="00951828">
      <w:pPr>
        <w:pStyle w:val="BodyText"/>
        <w:jc w:val="both"/>
        <w:rPr>
          <w:sz w:val="24"/>
          <w:lang w:val="sr-Latn-RS"/>
        </w:rPr>
      </w:pPr>
    </w:p>
    <w:p w14:paraId="71A93352" w14:textId="77777777" w:rsidR="00AA07A9" w:rsidRPr="00AE2963" w:rsidRDefault="00AA07A9">
      <w:pPr>
        <w:pStyle w:val="BodyText"/>
        <w:spacing w:before="4"/>
        <w:rPr>
          <w:sz w:val="20"/>
          <w:lang w:val="sr-Latn-RS"/>
        </w:rPr>
      </w:pPr>
    </w:p>
    <w:p w14:paraId="0322B1FA" w14:textId="4CF85B8C" w:rsidR="00AA07A9" w:rsidRPr="00AE2963" w:rsidRDefault="003A734F" w:rsidP="003A734F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4. </w:t>
      </w:r>
      <w:r w:rsidR="00AE2963" w:rsidRPr="00AE2963">
        <w:rPr>
          <w:lang w:val="sr-Latn-RS"/>
        </w:rPr>
        <w:t>KLINIČKI PODACI</w:t>
      </w:r>
    </w:p>
    <w:p w14:paraId="6512678F" w14:textId="77777777" w:rsidR="00AA07A9" w:rsidRPr="00AE2963" w:rsidRDefault="00AA07A9">
      <w:pPr>
        <w:pStyle w:val="BodyText"/>
        <w:spacing w:before="1"/>
        <w:rPr>
          <w:b/>
          <w:lang w:val="sr-Latn-RS"/>
        </w:rPr>
      </w:pPr>
    </w:p>
    <w:p w14:paraId="0E1BCB72" w14:textId="6D27B4F7" w:rsidR="00AA07A9" w:rsidRPr="003A734F" w:rsidRDefault="003A734F" w:rsidP="003A734F">
      <w:pPr>
        <w:tabs>
          <w:tab w:val="left" w:pos="851"/>
          <w:tab w:val="left" w:pos="852"/>
        </w:tabs>
        <w:rPr>
          <w:b/>
          <w:lang w:val="sr-Latn-RS"/>
        </w:rPr>
      </w:pPr>
      <w:r>
        <w:rPr>
          <w:b/>
          <w:bCs/>
          <w:lang w:val="sr-Latn-RS"/>
        </w:rPr>
        <w:t xml:space="preserve">     4.1. </w:t>
      </w:r>
      <w:r w:rsidR="00AE2963" w:rsidRPr="003A734F">
        <w:rPr>
          <w:b/>
          <w:bCs/>
          <w:lang w:val="sr-Latn-RS"/>
        </w:rPr>
        <w:t>Terapijske indikacije</w:t>
      </w:r>
    </w:p>
    <w:p w14:paraId="5B588D82" w14:textId="77777777" w:rsidR="00AA07A9" w:rsidRPr="00AE2963" w:rsidRDefault="00AA07A9">
      <w:pPr>
        <w:pStyle w:val="BodyText"/>
        <w:spacing w:before="7"/>
        <w:rPr>
          <w:b/>
          <w:sz w:val="21"/>
          <w:lang w:val="sr-Latn-RS"/>
        </w:rPr>
      </w:pPr>
    </w:p>
    <w:p w14:paraId="73932337" w14:textId="19A0F915" w:rsidR="00893621" w:rsidRPr="007D3B0A" w:rsidRDefault="00FA7CB8" w:rsidP="00893621">
      <w:pPr>
        <w:pStyle w:val="BodyText"/>
        <w:spacing w:line="252" w:lineRule="exact"/>
        <w:ind w:left="311"/>
        <w:rPr>
          <w:lang w:val="sr-Latn-RS"/>
        </w:rPr>
      </w:pPr>
      <w:r>
        <w:rPr>
          <w:lang w:val="sr-Latn-RS"/>
        </w:rPr>
        <w:t>Lijek</w:t>
      </w:r>
      <w:r w:rsidR="00893621" w:rsidRPr="007D3B0A">
        <w:rPr>
          <w:lang w:val="sr-Latn-RS"/>
        </w:rPr>
        <w:t xml:space="preserve"> Ronapreve je indikovan za:</w:t>
      </w:r>
    </w:p>
    <w:p w14:paraId="6EBAE18D" w14:textId="59DB7B29" w:rsidR="00893621" w:rsidRPr="007D3B0A" w:rsidRDefault="00AE3A50" w:rsidP="00951828">
      <w:pPr>
        <w:pStyle w:val="ListParagraph"/>
        <w:numPr>
          <w:ilvl w:val="2"/>
          <w:numId w:val="7"/>
        </w:numPr>
        <w:tabs>
          <w:tab w:val="left" w:pos="1031"/>
          <w:tab w:val="left" w:pos="1032"/>
        </w:tabs>
        <w:ind w:right="977"/>
        <w:jc w:val="both"/>
        <w:rPr>
          <w:lang w:val="sr-Latn-RS"/>
        </w:rPr>
      </w:pPr>
      <w:r>
        <w:rPr>
          <w:lang w:val="sr-Latn-RS"/>
        </w:rPr>
        <w:t>l</w:t>
      </w:r>
      <w:r w:rsidR="00242CA0">
        <w:rPr>
          <w:lang w:val="sr-Latn-RS"/>
        </w:rPr>
        <w:t>ij</w:t>
      </w:r>
      <w:r w:rsidR="00893621" w:rsidRPr="007D3B0A">
        <w:rPr>
          <w:lang w:val="sr-Latn-RS"/>
        </w:rPr>
        <w:t xml:space="preserve">ečenje </w:t>
      </w:r>
      <w:r w:rsidR="00893621">
        <w:rPr>
          <w:lang w:val="sr-Latn-RS"/>
        </w:rPr>
        <w:t>bolesti COVID-19</w:t>
      </w:r>
      <w:r w:rsidR="00893621" w:rsidRPr="007D3B0A">
        <w:rPr>
          <w:lang w:val="sr-Latn-RS"/>
        </w:rPr>
        <w:t xml:space="preserve"> kod odraslih</w:t>
      </w:r>
      <w:r w:rsidR="00893621">
        <w:rPr>
          <w:lang w:val="sr-Latn-RS"/>
        </w:rPr>
        <w:t xml:space="preserve"> osoba</w:t>
      </w:r>
      <w:r w:rsidR="00893621" w:rsidRPr="007D3B0A">
        <w:rPr>
          <w:lang w:val="sr-Latn-RS"/>
        </w:rPr>
        <w:t xml:space="preserve"> i adolescenata uzrasta</w:t>
      </w:r>
      <w:r w:rsidR="00893621">
        <w:rPr>
          <w:lang w:val="sr-Latn-RS"/>
        </w:rPr>
        <w:t xml:space="preserve"> od</w:t>
      </w:r>
      <w:r w:rsidR="00893621" w:rsidRPr="007D3B0A">
        <w:rPr>
          <w:lang w:val="sr-Latn-RS"/>
        </w:rPr>
        <w:t xml:space="preserve"> 12 </w:t>
      </w:r>
      <w:r w:rsidR="00893621">
        <w:rPr>
          <w:lang w:val="sr-Latn-RS"/>
        </w:rPr>
        <w:t xml:space="preserve">ili više </w:t>
      </w:r>
      <w:r w:rsidR="00893621" w:rsidRPr="007D3B0A">
        <w:rPr>
          <w:lang w:val="sr-Latn-RS"/>
        </w:rPr>
        <w:t xml:space="preserve">godina i </w:t>
      </w:r>
      <w:r w:rsidR="00893621">
        <w:rPr>
          <w:lang w:val="sr-Latn-RS"/>
        </w:rPr>
        <w:t>t</w:t>
      </w:r>
      <w:r w:rsidR="00242CA0">
        <w:rPr>
          <w:lang w:val="sr-Latn-RS"/>
        </w:rPr>
        <w:t>j</w:t>
      </w:r>
      <w:r w:rsidR="00893621">
        <w:rPr>
          <w:lang w:val="sr-Latn-RS"/>
        </w:rPr>
        <w:t>elesne mase od</w:t>
      </w:r>
      <w:r w:rsidR="00893621" w:rsidRPr="007D3B0A">
        <w:rPr>
          <w:lang w:val="sr-Latn-RS"/>
        </w:rPr>
        <w:t xml:space="preserve"> najmanje 40 kg, a koji ne zaht</w:t>
      </w:r>
      <w:r w:rsidR="00242CA0">
        <w:rPr>
          <w:lang w:val="sr-Latn-RS"/>
        </w:rPr>
        <w:t>ij</w:t>
      </w:r>
      <w:r w:rsidR="00893621" w:rsidRPr="007D3B0A">
        <w:rPr>
          <w:lang w:val="sr-Latn-RS"/>
        </w:rPr>
        <w:t xml:space="preserve">evaju suportivnu terapiju kiseonikom i koji </w:t>
      </w:r>
      <w:r w:rsidR="00893621">
        <w:rPr>
          <w:lang w:val="sr-Latn-RS"/>
        </w:rPr>
        <w:t>su u povećanom</w:t>
      </w:r>
      <w:r w:rsidR="00893621" w:rsidRPr="007D3B0A">
        <w:rPr>
          <w:lang w:val="sr-Latn-RS"/>
        </w:rPr>
        <w:t xml:space="preserve"> rizik</w:t>
      </w:r>
      <w:r w:rsidR="00893621">
        <w:rPr>
          <w:lang w:val="sr-Latn-RS"/>
        </w:rPr>
        <w:t>u</w:t>
      </w:r>
      <w:r w:rsidR="00893621" w:rsidRPr="007D3B0A">
        <w:rPr>
          <w:lang w:val="sr-Latn-RS"/>
        </w:rPr>
        <w:t xml:space="preserve"> za razvoj teškog oblika </w:t>
      </w:r>
      <w:r w:rsidR="00893621">
        <w:rPr>
          <w:lang w:val="sr-Latn-RS"/>
        </w:rPr>
        <w:t>bolesti COVID-19</w:t>
      </w:r>
      <w:r w:rsidR="00C90D83">
        <w:rPr>
          <w:lang w:val="sr-Latn-RS"/>
        </w:rPr>
        <w:t xml:space="preserve"> (vidjeti dio 4.2)</w:t>
      </w:r>
      <w:r w:rsidR="00893621">
        <w:rPr>
          <w:lang w:val="sr-Latn-RS"/>
        </w:rPr>
        <w:t>.</w:t>
      </w:r>
    </w:p>
    <w:p w14:paraId="126BBFB5" w14:textId="48C8F81C" w:rsidR="00893621" w:rsidRPr="007D3B0A" w:rsidRDefault="00AE3A50" w:rsidP="00893621">
      <w:pPr>
        <w:pStyle w:val="ListParagraph"/>
        <w:numPr>
          <w:ilvl w:val="2"/>
          <w:numId w:val="7"/>
        </w:numPr>
        <w:tabs>
          <w:tab w:val="left" w:pos="1031"/>
          <w:tab w:val="left" w:pos="1032"/>
        </w:tabs>
        <w:spacing w:before="1"/>
        <w:ind w:right="1117"/>
        <w:rPr>
          <w:lang w:val="sr-Latn-RS"/>
        </w:rPr>
      </w:pPr>
      <w:r>
        <w:rPr>
          <w:lang w:val="sr-Latn-RS"/>
        </w:rPr>
        <w:t>p</w:t>
      </w:r>
      <w:r w:rsidR="00893621" w:rsidRPr="007D3B0A">
        <w:rPr>
          <w:lang w:val="sr-Latn-RS"/>
        </w:rPr>
        <w:t xml:space="preserve">revenciju </w:t>
      </w:r>
      <w:r w:rsidR="00893621">
        <w:rPr>
          <w:lang w:val="sr-Latn-RS"/>
        </w:rPr>
        <w:t>bolesti COVID-19</w:t>
      </w:r>
      <w:r w:rsidR="00893621" w:rsidRPr="007D3B0A">
        <w:rPr>
          <w:lang w:val="sr-Latn-RS"/>
        </w:rPr>
        <w:t xml:space="preserve"> kod odraslih </w:t>
      </w:r>
      <w:r w:rsidR="00893621">
        <w:rPr>
          <w:lang w:val="sr-Latn-RS"/>
        </w:rPr>
        <w:t xml:space="preserve">osoba </w:t>
      </w:r>
      <w:r w:rsidR="00893621" w:rsidRPr="007D3B0A">
        <w:rPr>
          <w:lang w:val="sr-Latn-RS"/>
        </w:rPr>
        <w:t>i adolescenata uzrasta</w:t>
      </w:r>
      <w:r w:rsidR="00893621">
        <w:rPr>
          <w:lang w:val="sr-Latn-RS"/>
        </w:rPr>
        <w:t xml:space="preserve"> od</w:t>
      </w:r>
      <w:r w:rsidR="00893621" w:rsidRPr="007D3B0A">
        <w:rPr>
          <w:lang w:val="sr-Latn-RS"/>
        </w:rPr>
        <w:t xml:space="preserve"> 12 </w:t>
      </w:r>
      <w:r w:rsidR="00893621">
        <w:rPr>
          <w:lang w:val="sr-Latn-RS"/>
        </w:rPr>
        <w:t xml:space="preserve">ili više </w:t>
      </w:r>
      <w:r w:rsidR="00893621" w:rsidRPr="007D3B0A">
        <w:rPr>
          <w:lang w:val="sr-Latn-RS"/>
        </w:rPr>
        <w:t>godina</w:t>
      </w:r>
      <w:r w:rsidR="00893621">
        <w:rPr>
          <w:lang w:val="sr-Latn-RS"/>
        </w:rPr>
        <w:t xml:space="preserve"> i t</w:t>
      </w:r>
      <w:r w:rsidR="00242CA0">
        <w:rPr>
          <w:lang w:val="sr-Latn-RS"/>
        </w:rPr>
        <w:t>j</w:t>
      </w:r>
      <w:r w:rsidR="00893621">
        <w:rPr>
          <w:lang w:val="sr-Latn-RS"/>
        </w:rPr>
        <w:t xml:space="preserve">elesne mase od </w:t>
      </w:r>
      <w:r w:rsidR="00893621" w:rsidRPr="007D3B0A">
        <w:rPr>
          <w:lang w:val="sr-Latn-RS"/>
        </w:rPr>
        <w:t>najmanje 40 kg</w:t>
      </w:r>
      <w:r w:rsidR="00C90D83">
        <w:rPr>
          <w:lang w:val="sr-Latn-RS"/>
        </w:rPr>
        <w:t xml:space="preserve"> (vidjeti dio 4.2)</w:t>
      </w:r>
      <w:r w:rsidR="00893621" w:rsidRPr="007D3B0A">
        <w:rPr>
          <w:lang w:val="sr-Latn-RS"/>
        </w:rPr>
        <w:t>.</w:t>
      </w:r>
    </w:p>
    <w:p w14:paraId="51F6053F" w14:textId="77777777" w:rsidR="008D327C" w:rsidRDefault="008D327C" w:rsidP="00893621">
      <w:pPr>
        <w:pStyle w:val="BodyText"/>
        <w:spacing w:line="252" w:lineRule="exact"/>
        <w:ind w:left="311"/>
        <w:rPr>
          <w:lang w:val="sr-Latn-RS"/>
        </w:rPr>
      </w:pPr>
    </w:p>
    <w:p w14:paraId="4AA6425E" w14:textId="592F3F3C" w:rsidR="00893621" w:rsidRPr="007D3B0A" w:rsidRDefault="008D327C" w:rsidP="00893621">
      <w:pPr>
        <w:pStyle w:val="BodyText"/>
        <w:spacing w:line="252" w:lineRule="exact"/>
        <w:ind w:left="311"/>
        <w:rPr>
          <w:lang w:val="sr-Latn-RS"/>
        </w:rPr>
      </w:pPr>
      <w:r w:rsidRPr="00A53883">
        <w:rPr>
          <w:lang w:val="sr-Latn-RS"/>
        </w:rPr>
        <w:t>Prilikom primjene lijeka Ronapreve potrebno je uzeti u obzir informacije o aktivnosti lijeka Ronapreve protiv virusnih varija</w:t>
      </w:r>
      <w:r w:rsidR="00AE3A50">
        <w:rPr>
          <w:lang w:val="sr-Latn-RS"/>
        </w:rPr>
        <w:t>nti koje izazivaju zabrinutost (v</w:t>
      </w:r>
      <w:r w:rsidR="00893621">
        <w:rPr>
          <w:lang w:val="sr-Latn-RS"/>
        </w:rPr>
        <w:t>id</w:t>
      </w:r>
      <w:r w:rsidR="00242CA0">
        <w:rPr>
          <w:lang w:val="sr-Latn-RS"/>
        </w:rPr>
        <w:t>j</w:t>
      </w:r>
      <w:r w:rsidR="00893621">
        <w:rPr>
          <w:lang w:val="sr-Latn-RS"/>
        </w:rPr>
        <w:t>eti</w:t>
      </w:r>
      <w:r w:rsidR="00893621" w:rsidRPr="007D3B0A">
        <w:rPr>
          <w:lang w:val="sr-Latn-RS"/>
        </w:rPr>
        <w:t xml:space="preserve"> </w:t>
      </w:r>
      <w:r w:rsidR="00DE2971">
        <w:rPr>
          <w:lang w:val="sr-Latn-RS"/>
        </w:rPr>
        <w:t>d</w:t>
      </w:r>
      <w:r w:rsidR="008E76C9">
        <w:rPr>
          <w:lang w:val="sr-Latn-RS"/>
        </w:rPr>
        <w:t>jelove</w:t>
      </w:r>
      <w:r w:rsidR="00893621" w:rsidRPr="007D3B0A">
        <w:rPr>
          <w:lang w:val="sr-Latn-RS"/>
        </w:rPr>
        <w:t xml:space="preserve"> 4.4 i 5.1</w:t>
      </w:r>
      <w:r w:rsidR="00AE3A50">
        <w:rPr>
          <w:lang w:val="sr-Latn-RS"/>
        </w:rPr>
        <w:t>)</w:t>
      </w:r>
      <w:r w:rsidR="00893621" w:rsidRPr="007D3B0A">
        <w:rPr>
          <w:lang w:val="sr-Latn-RS"/>
        </w:rPr>
        <w:t>.</w:t>
      </w:r>
    </w:p>
    <w:p w14:paraId="690ACD37" w14:textId="77777777" w:rsidR="00AA07A9" w:rsidRPr="00AE2963" w:rsidRDefault="00AA07A9">
      <w:pPr>
        <w:pStyle w:val="BodyText"/>
        <w:spacing w:before="5"/>
        <w:rPr>
          <w:lang w:val="sr-Latn-RS"/>
        </w:rPr>
      </w:pPr>
    </w:p>
    <w:p w14:paraId="5E6F98D6" w14:textId="5BD69BA7" w:rsidR="00AA07A9" w:rsidRPr="00AE2963" w:rsidRDefault="003A734F" w:rsidP="003A734F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 xml:space="preserve">4.2. </w:t>
      </w:r>
      <w:r w:rsidR="00AE2963" w:rsidRPr="00AE2963">
        <w:rPr>
          <w:lang w:val="sr-Latn-RS"/>
        </w:rPr>
        <w:t>Doziranje i način prim</w:t>
      </w:r>
      <w:r w:rsidR="00797F56">
        <w:rPr>
          <w:lang w:val="sr-Latn-RS"/>
        </w:rPr>
        <w:t>j</w:t>
      </w:r>
      <w:r w:rsidR="00AE2963" w:rsidRPr="00AE2963">
        <w:rPr>
          <w:lang w:val="sr-Latn-RS"/>
        </w:rPr>
        <w:t>ene</w:t>
      </w:r>
    </w:p>
    <w:p w14:paraId="7A472C1F" w14:textId="77777777" w:rsidR="00AA07A9" w:rsidRPr="00AE2963" w:rsidRDefault="00AA07A9">
      <w:pPr>
        <w:pStyle w:val="BodyText"/>
        <w:spacing w:before="7"/>
        <w:rPr>
          <w:b/>
          <w:sz w:val="21"/>
          <w:lang w:val="sr-Latn-RS"/>
        </w:rPr>
      </w:pPr>
    </w:p>
    <w:p w14:paraId="17748E0F" w14:textId="269187BC" w:rsidR="00AA07A9" w:rsidRPr="00AE2963" w:rsidRDefault="00FA7CB8" w:rsidP="00242CA0">
      <w:pPr>
        <w:pStyle w:val="BodyText"/>
        <w:ind w:left="311" w:right="970"/>
        <w:jc w:val="both"/>
        <w:rPr>
          <w:lang w:val="sr-Latn-RS"/>
        </w:rPr>
      </w:pPr>
      <w:r>
        <w:rPr>
          <w:lang w:val="sr-Latn-RS"/>
        </w:rPr>
        <w:t>Primjen</w:t>
      </w:r>
      <w:r w:rsidR="00AE2963" w:rsidRPr="00AE2963">
        <w:rPr>
          <w:lang w:val="sr-Latn-RS"/>
        </w:rPr>
        <w:t xml:space="preserve">a treba da se </w:t>
      </w:r>
      <w:r w:rsidR="00893621">
        <w:rPr>
          <w:lang w:val="sr-Latn-RS"/>
        </w:rPr>
        <w:t>sprovodi</w:t>
      </w:r>
      <w:r w:rsidR="00893621" w:rsidRPr="00AE2963">
        <w:rPr>
          <w:lang w:val="sr-Latn-RS"/>
        </w:rPr>
        <w:t xml:space="preserve"> </w:t>
      </w:r>
      <w:r w:rsidR="00AE2963" w:rsidRPr="00AE2963">
        <w:rPr>
          <w:lang w:val="sr-Latn-RS"/>
        </w:rPr>
        <w:t>u uslovima gd</w:t>
      </w:r>
      <w:r w:rsidR="00242CA0">
        <w:rPr>
          <w:lang w:val="sr-Latn-RS"/>
        </w:rPr>
        <w:t>j</w:t>
      </w:r>
      <w:r w:rsidR="00AE2963" w:rsidRPr="00AE2963">
        <w:rPr>
          <w:lang w:val="sr-Latn-RS"/>
        </w:rPr>
        <w:t>e je moguće zbrinjavanje teških reakcija preos</w:t>
      </w:r>
      <w:r w:rsidR="00242CA0">
        <w:rPr>
          <w:lang w:val="sr-Latn-RS"/>
        </w:rPr>
        <w:t>j</w:t>
      </w:r>
      <w:r w:rsidR="00AE2963" w:rsidRPr="00AE2963">
        <w:rPr>
          <w:lang w:val="sr-Latn-RS"/>
        </w:rPr>
        <w:t xml:space="preserve">etljivosti, kao što je anafilaksa. Osobe treba pratiti nakon </w:t>
      </w:r>
      <w:r>
        <w:rPr>
          <w:lang w:val="sr-Latn-RS"/>
        </w:rPr>
        <w:t>primjen</w:t>
      </w:r>
      <w:r w:rsidR="00AE2963" w:rsidRPr="00AE2963">
        <w:rPr>
          <w:lang w:val="sr-Latn-RS"/>
        </w:rPr>
        <w:t>e u skladu sa lokalnom medicinskom praksom.</w:t>
      </w:r>
    </w:p>
    <w:p w14:paraId="6D7AA565" w14:textId="77777777" w:rsidR="00AA07A9" w:rsidRPr="00AE2963" w:rsidRDefault="00AA07A9" w:rsidP="00242CA0">
      <w:pPr>
        <w:pStyle w:val="BodyText"/>
        <w:ind w:right="970"/>
        <w:rPr>
          <w:lang w:val="sr-Latn-RS"/>
        </w:rPr>
      </w:pPr>
    </w:p>
    <w:p w14:paraId="15280CA1" w14:textId="77777777" w:rsidR="00AA07A9" w:rsidRPr="00AE2963" w:rsidRDefault="00AE2963" w:rsidP="00242CA0">
      <w:pPr>
        <w:pStyle w:val="BodyText"/>
        <w:spacing w:before="1"/>
        <w:ind w:left="311" w:right="970"/>
        <w:rPr>
          <w:lang w:val="sr-Latn-RS"/>
        </w:rPr>
      </w:pPr>
      <w:r w:rsidRPr="00AE2963">
        <w:rPr>
          <w:u w:val="single"/>
          <w:lang w:val="sr-Latn-RS"/>
        </w:rPr>
        <w:lastRenderedPageBreak/>
        <w:t>Doziranje</w:t>
      </w:r>
    </w:p>
    <w:p w14:paraId="3C79368F" w14:textId="77777777" w:rsidR="00AA07A9" w:rsidRPr="00AE2963" w:rsidRDefault="00AA07A9">
      <w:pPr>
        <w:pStyle w:val="BodyText"/>
        <w:spacing w:before="7"/>
        <w:rPr>
          <w:sz w:val="18"/>
          <w:lang w:val="sr-Latn-RS"/>
        </w:rPr>
      </w:pPr>
    </w:p>
    <w:p w14:paraId="112EDD06" w14:textId="4F214CDD" w:rsidR="00AA07A9" w:rsidRPr="00AE2963" w:rsidRDefault="00AE2963">
      <w:pPr>
        <w:spacing w:before="92"/>
        <w:ind w:left="311"/>
        <w:rPr>
          <w:i/>
          <w:lang w:val="sr-Latn-RS"/>
        </w:rPr>
      </w:pPr>
      <w:r w:rsidRPr="00AE2963">
        <w:rPr>
          <w:i/>
          <w:iCs/>
          <w:lang w:val="sr-Latn-RS"/>
        </w:rPr>
        <w:t>L</w:t>
      </w:r>
      <w:r w:rsidR="00242CA0">
        <w:rPr>
          <w:i/>
          <w:iCs/>
          <w:lang w:val="sr-Latn-RS"/>
        </w:rPr>
        <w:t>ij</w:t>
      </w:r>
      <w:r w:rsidRPr="00AE2963">
        <w:rPr>
          <w:i/>
          <w:iCs/>
          <w:lang w:val="sr-Latn-RS"/>
        </w:rPr>
        <w:t>ečenje</w:t>
      </w:r>
    </w:p>
    <w:p w14:paraId="4DE1F72F" w14:textId="77777777" w:rsidR="00AA07A9" w:rsidRPr="00AE2963" w:rsidRDefault="00AA07A9">
      <w:pPr>
        <w:pStyle w:val="BodyText"/>
        <w:spacing w:before="10"/>
        <w:rPr>
          <w:i/>
          <w:sz w:val="26"/>
          <w:lang w:val="sr-Latn-RS"/>
        </w:rPr>
      </w:pPr>
    </w:p>
    <w:p w14:paraId="404A1E3E" w14:textId="51595F14" w:rsidR="00893621" w:rsidRPr="007D3B0A" w:rsidRDefault="00893621" w:rsidP="00242CA0">
      <w:pPr>
        <w:pStyle w:val="BodyText"/>
        <w:spacing w:before="62" w:line="266" w:lineRule="auto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>Doza za odrasle pacijente i za adolescent</w:t>
      </w:r>
      <w:r>
        <w:rPr>
          <w:lang w:val="sr-Latn-RS"/>
        </w:rPr>
        <w:t xml:space="preserve">e </w:t>
      </w:r>
      <w:r w:rsidRPr="007D3B0A">
        <w:rPr>
          <w:lang w:val="sr-Latn-RS"/>
        </w:rPr>
        <w:t>uzrasta</w:t>
      </w:r>
      <w:r>
        <w:rPr>
          <w:lang w:val="sr-Latn-RS"/>
        </w:rPr>
        <w:t xml:space="preserve"> od</w:t>
      </w:r>
      <w:r w:rsidRPr="007D3B0A">
        <w:rPr>
          <w:lang w:val="sr-Latn-RS"/>
        </w:rPr>
        <w:t xml:space="preserve"> 12</w:t>
      </w:r>
      <w:r>
        <w:rPr>
          <w:lang w:val="sr-Latn-RS"/>
        </w:rPr>
        <w:t xml:space="preserve"> ili više</w:t>
      </w:r>
      <w:r w:rsidRPr="007D3B0A">
        <w:rPr>
          <w:lang w:val="sr-Latn-RS"/>
        </w:rPr>
        <w:t xml:space="preserve"> godina 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r>
        <w:rPr>
          <w:lang w:val="sr-Latn-RS"/>
        </w:rPr>
        <w:t>t</w:t>
      </w:r>
      <w:r w:rsidR="00242CA0">
        <w:rPr>
          <w:lang w:val="sr-Latn-RS"/>
        </w:rPr>
        <w:t>j</w:t>
      </w:r>
      <w:r>
        <w:rPr>
          <w:lang w:val="sr-Latn-RS"/>
        </w:rPr>
        <w:t>elesne mase</w:t>
      </w:r>
      <w:r w:rsidRPr="007D3B0A">
        <w:rPr>
          <w:lang w:val="sr-Latn-RS"/>
        </w:rPr>
        <w:t xml:space="preserve"> od najmanje 40 kg iznosi 600 mg kasirivimaba i 600 mg imdevimaba koji se daju kao jedna intravenska infuzija ili </w:t>
      </w:r>
      <w:r>
        <w:rPr>
          <w:lang w:val="sr-Latn-RS"/>
        </w:rPr>
        <w:t>kao s</w:t>
      </w:r>
      <w:r w:rsidRPr="007D3B0A">
        <w:rPr>
          <w:lang w:val="sr-Latn-RS"/>
        </w:rPr>
        <w:t>u</w:t>
      </w:r>
      <w:r w:rsidR="00242CA0">
        <w:rPr>
          <w:lang w:val="sr-Latn-RS"/>
        </w:rPr>
        <w:t>b</w:t>
      </w:r>
      <w:r w:rsidRPr="007D3B0A">
        <w:rPr>
          <w:lang w:val="sr-Latn-RS"/>
        </w:rPr>
        <w:t>kutane injekcije (</w:t>
      </w:r>
      <w:r>
        <w:rPr>
          <w:lang w:val="sr-Latn-RS"/>
        </w:rPr>
        <w:t>vid</w:t>
      </w:r>
      <w:r w:rsidR="00242CA0">
        <w:rPr>
          <w:lang w:val="sr-Latn-RS"/>
        </w:rPr>
        <w:t>j</w:t>
      </w:r>
      <w:r>
        <w:rPr>
          <w:lang w:val="sr-Latn-RS"/>
        </w:rPr>
        <w:t>eti T</w:t>
      </w:r>
      <w:r w:rsidR="00AE3A50">
        <w:rPr>
          <w:lang w:val="sr-Latn-RS"/>
        </w:rPr>
        <w:t>abelu 1) (v</w:t>
      </w:r>
      <w:r>
        <w:rPr>
          <w:lang w:val="sr-Latn-RS"/>
        </w:rPr>
        <w:t>id</w:t>
      </w:r>
      <w:r w:rsidR="002A3DBE">
        <w:rPr>
          <w:lang w:val="sr-Latn-RS"/>
        </w:rPr>
        <w:t>jeti</w:t>
      </w:r>
      <w:r w:rsidRPr="007D3B0A">
        <w:rPr>
          <w:lang w:val="sr-Latn-RS"/>
        </w:rPr>
        <w:t xml:space="preserve"> </w:t>
      </w:r>
      <w:r w:rsidR="00242CA0">
        <w:rPr>
          <w:lang w:val="sr-Latn-RS"/>
        </w:rPr>
        <w:t>djelove</w:t>
      </w:r>
      <w:r w:rsidR="00242CA0" w:rsidRPr="007D3B0A">
        <w:rPr>
          <w:lang w:val="sr-Latn-RS"/>
        </w:rPr>
        <w:t xml:space="preserve"> </w:t>
      </w:r>
      <w:r w:rsidRPr="007D3B0A">
        <w:rPr>
          <w:lang w:val="sr-Latn-RS"/>
        </w:rPr>
        <w:t>4.4 i 5.1</w:t>
      </w:r>
      <w:r w:rsidR="00AE3A50">
        <w:rPr>
          <w:lang w:val="sr-Latn-RS"/>
        </w:rPr>
        <w:t>)</w:t>
      </w:r>
      <w:r w:rsidRPr="007D3B0A">
        <w:rPr>
          <w:lang w:val="sr-Latn-RS"/>
        </w:rPr>
        <w:t>.</w:t>
      </w:r>
    </w:p>
    <w:p w14:paraId="76770351" w14:textId="52B1B5E2" w:rsidR="00893621" w:rsidRPr="007D3B0A" w:rsidRDefault="00893621" w:rsidP="00242CA0">
      <w:pPr>
        <w:pStyle w:val="BodyText"/>
        <w:spacing w:line="251" w:lineRule="exact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Kasirivimab sa imdevimabom treba </w:t>
      </w:r>
      <w:r w:rsidR="00FA7CB8">
        <w:rPr>
          <w:lang w:val="sr-Latn-RS"/>
        </w:rPr>
        <w:t>prim</w:t>
      </w:r>
      <w:r w:rsidR="00242CA0">
        <w:rPr>
          <w:lang w:val="sr-Latn-RS"/>
        </w:rPr>
        <w:t>i</w:t>
      </w:r>
      <w:r w:rsidR="00FA7CB8">
        <w:rPr>
          <w:lang w:val="sr-Latn-RS"/>
        </w:rPr>
        <w:t>jen</w:t>
      </w:r>
      <w:r>
        <w:rPr>
          <w:lang w:val="sr-Latn-RS"/>
        </w:rPr>
        <w:t>iti</w:t>
      </w:r>
      <w:r w:rsidRPr="007D3B0A">
        <w:rPr>
          <w:lang w:val="sr-Latn-RS"/>
        </w:rPr>
        <w:t xml:space="preserve"> u roku od 7 dana od pojave simptoma </w:t>
      </w:r>
      <w:r>
        <w:rPr>
          <w:lang w:val="sr-Latn-RS"/>
        </w:rPr>
        <w:t>bolesti COVID-19</w:t>
      </w:r>
      <w:r w:rsidRPr="007D3B0A">
        <w:rPr>
          <w:lang w:val="sr-Latn-RS"/>
        </w:rPr>
        <w:t>.</w:t>
      </w:r>
    </w:p>
    <w:p w14:paraId="191954D5" w14:textId="77777777" w:rsidR="00AA07A9" w:rsidRPr="00AE2963" w:rsidRDefault="00AA07A9">
      <w:pPr>
        <w:pStyle w:val="BodyText"/>
        <w:spacing w:before="7"/>
        <w:rPr>
          <w:sz w:val="26"/>
          <w:lang w:val="sr-Latn-RS"/>
        </w:rPr>
      </w:pPr>
    </w:p>
    <w:p w14:paraId="592E5D40" w14:textId="77777777" w:rsidR="00B73BF1" w:rsidRPr="007D3B0A" w:rsidRDefault="00B73BF1" w:rsidP="00B73BF1">
      <w:pPr>
        <w:ind w:left="311"/>
        <w:jc w:val="both"/>
        <w:rPr>
          <w:i/>
          <w:lang w:val="sr-Latn-RS"/>
        </w:rPr>
      </w:pPr>
      <w:r w:rsidRPr="007D3B0A">
        <w:rPr>
          <w:i/>
          <w:iCs/>
          <w:lang w:val="sr-Latn-RS"/>
        </w:rPr>
        <w:t>Prevencija</w:t>
      </w:r>
    </w:p>
    <w:p w14:paraId="62BC3870" w14:textId="77777777" w:rsidR="00B73BF1" w:rsidRPr="007D3B0A" w:rsidRDefault="00B73BF1" w:rsidP="00B73BF1">
      <w:pPr>
        <w:pStyle w:val="BodyText"/>
        <w:spacing w:before="7"/>
        <w:jc w:val="both"/>
        <w:rPr>
          <w:i/>
          <w:sz w:val="26"/>
          <w:lang w:val="sr-Latn-RS"/>
        </w:rPr>
      </w:pPr>
    </w:p>
    <w:p w14:paraId="69CE18DF" w14:textId="77777777" w:rsidR="00B73BF1" w:rsidRPr="007D3B0A" w:rsidRDefault="00B73BF1" w:rsidP="00B73BF1">
      <w:pPr>
        <w:ind w:left="311"/>
        <w:jc w:val="both"/>
        <w:rPr>
          <w:i/>
          <w:lang w:val="sr-Latn-RS"/>
        </w:rPr>
      </w:pPr>
      <w:r w:rsidRPr="007D3B0A">
        <w:rPr>
          <w:i/>
          <w:iCs/>
          <w:u w:val="single"/>
          <w:lang w:val="sr-Latn-RS"/>
        </w:rPr>
        <w:t>Profilaksa nakon izlaganja</w:t>
      </w:r>
    </w:p>
    <w:p w14:paraId="229D0A57" w14:textId="00084682" w:rsidR="00B73BF1" w:rsidRPr="007D3B0A" w:rsidRDefault="00B73BF1" w:rsidP="00B73BF1">
      <w:pPr>
        <w:pStyle w:val="BodyText"/>
        <w:spacing w:before="28" w:line="266" w:lineRule="auto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 xml:space="preserve">Doza za odrasle pacijente i adolescente uzrasta </w:t>
      </w:r>
      <w:r>
        <w:rPr>
          <w:lang w:val="sr-Latn-RS"/>
        </w:rPr>
        <w:t xml:space="preserve">od </w:t>
      </w:r>
      <w:r w:rsidRPr="007D3B0A">
        <w:rPr>
          <w:lang w:val="sr-Latn-RS"/>
        </w:rPr>
        <w:t xml:space="preserve">12 </w:t>
      </w:r>
      <w:r>
        <w:rPr>
          <w:lang w:val="sr-Latn-RS"/>
        </w:rPr>
        <w:t xml:space="preserve">i više </w:t>
      </w:r>
      <w:r w:rsidRPr="007D3B0A">
        <w:rPr>
          <w:lang w:val="sr-Latn-RS"/>
        </w:rPr>
        <w:t>godina i sa</w:t>
      </w:r>
      <w:r>
        <w:rPr>
          <w:lang w:val="sr-Latn-RS"/>
        </w:rPr>
        <w:t xml:space="preserve"> t</w:t>
      </w:r>
      <w:r w:rsidR="00242CA0">
        <w:rPr>
          <w:lang w:val="sr-Latn-RS"/>
        </w:rPr>
        <w:t>j</w:t>
      </w:r>
      <w:r>
        <w:rPr>
          <w:lang w:val="sr-Latn-RS"/>
        </w:rPr>
        <w:t>elesnom</w:t>
      </w:r>
      <w:r w:rsidRPr="007D3B0A">
        <w:rPr>
          <w:lang w:val="sr-Latn-RS"/>
        </w:rPr>
        <w:t xml:space="preserve"> </w:t>
      </w:r>
      <w:r>
        <w:rPr>
          <w:lang w:val="sr-Latn-RS"/>
        </w:rPr>
        <w:t>masom</w:t>
      </w:r>
      <w:r w:rsidRPr="007D3B0A">
        <w:rPr>
          <w:lang w:val="sr-Latn-RS"/>
        </w:rPr>
        <w:t xml:space="preserve"> od najmanje 40 kg iznosi 600 mg kasirivimaba i 600 mg imdevimaba koji se daju kao jedna intravenska infuzija ili </w:t>
      </w:r>
      <w:r>
        <w:rPr>
          <w:lang w:val="sr-Latn-RS"/>
        </w:rPr>
        <w:t xml:space="preserve">kao </w:t>
      </w:r>
      <w:r w:rsidRPr="007D3B0A">
        <w:rPr>
          <w:lang w:val="sr-Latn-RS"/>
        </w:rPr>
        <w:t>su</w:t>
      </w:r>
      <w:r w:rsidR="00242CA0">
        <w:rPr>
          <w:lang w:val="sr-Latn-RS"/>
        </w:rPr>
        <w:t>b</w:t>
      </w:r>
      <w:r w:rsidRPr="007D3B0A">
        <w:rPr>
          <w:lang w:val="sr-Latn-RS"/>
        </w:rPr>
        <w:t>kutane injekcije (</w:t>
      </w:r>
      <w:r>
        <w:rPr>
          <w:lang w:val="sr-Latn-RS"/>
        </w:rPr>
        <w:t>vid</w:t>
      </w:r>
      <w:r w:rsidR="00242CA0">
        <w:rPr>
          <w:lang w:val="sr-Latn-RS"/>
        </w:rPr>
        <w:t>j</w:t>
      </w:r>
      <w:r>
        <w:rPr>
          <w:lang w:val="sr-Latn-RS"/>
        </w:rPr>
        <w:t>eti</w:t>
      </w:r>
      <w:r w:rsidRPr="007D3B0A">
        <w:rPr>
          <w:lang w:val="sr-Latn-RS"/>
        </w:rPr>
        <w:t xml:space="preserve"> </w:t>
      </w:r>
      <w:r>
        <w:rPr>
          <w:lang w:val="sr-Latn-RS"/>
        </w:rPr>
        <w:t>T</w:t>
      </w:r>
      <w:r w:rsidRPr="007D3B0A">
        <w:rPr>
          <w:lang w:val="sr-Latn-RS"/>
        </w:rPr>
        <w:t>abele 1 i 2).</w:t>
      </w:r>
    </w:p>
    <w:p w14:paraId="7DA27196" w14:textId="5DBDB2A9" w:rsidR="00B73BF1" w:rsidRPr="007D3B0A" w:rsidRDefault="00B73BF1" w:rsidP="00B73BF1">
      <w:pPr>
        <w:pStyle w:val="BodyText"/>
        <w:spacing w:line="266" w:lineRule="auto"/>
        <w:ind w:left="311" w:right="1017"/>
        <w:jc w:val="both"/>
        <w:rPr>
          <w:lang w:val="sr-Latn-RS"/>
        </w:rPr>
      </w:pPr>
      <w:r w:rsidRPr="007D3B0A">
        <w:rPr>
          <w:lang w:val="sr-Latn-RS"/>
        </w:rPr>
        <w:t xml:space="preserve">Kasirivimab sa imdevimabom treba </w:t>
      </w:r>
      <w:r w:rsidR="00FA7CB8">
        <w:rPr>
          <w:lang w:val="sr-Latn-RS"/>
        </w:rPr>
        <w:t>prim</w:t>
      </w:r>
      <w:r w:rsidR="00242CA0">
        <w:rPr>
          <w:lang w:val="sr-Latn-RS"/>
        </w:rPr>
        <w:t>i</w:t>
      </w:r>
      <w:r w:rsidR="00FA7CB8">
        <w:rPr>
          <w:lang w:val="sr-Latn-RS"/>
        </w:rPr>
        <w:t>jen</w:t>
      </w:r>
      <w:r>
        <w:rPr>
          <w:lang w:val="sr-Latn-RS"/>
        </w:rPr>
        <w:t>iti</w:t>
      </w:r>
      <w:r w:rsidRPr="007D3B0A">
        <w:rPr>
          <w:lang w:val="sr-Latn-RS"/>
        </w:rPr>
        <w:t xml:space="preserve"> što je pr</w:t>
      </w:r>
      <w:r w:rsidR="00242CA0">
        <w:rPr>
          <w:lang w:val="sr-Latn-RS"/>
        </w:rPr>
        <w:t>ij</w:t>
      </w:r>
      <w:r w:rsidRPr="007D3B0A">
        <w:rPr>
          <w:lang w:val="sr-Latn-RS"/>
        </w:rPr>
        <w:t>e moguće nakon kontakta s</w:t>
      </w:r>
      <w:r w:rsidR="00242CA0">
        <w:rPr>
          <w:lang w:val="sr-Latn-RS"/>
        </w:rPr>
        <w:t>a</w:t>
      </w:r>
      <w:r w:rsidRPr="007D3B0A">
        <w:rPr>
          <w:lang w:val="sr-Latn-RS"/>
        </w:rPr>
        <w:t xml:space="preserve"> </w:t>
      </w:r>
      <w:r>
        <w:rPr>
          <w:lang w:val="sr-Latn-RS"/>
        </w:rPr>
        <w:t>osobom obol</w:t>
      </w:r>
      <w:r w:rsidR="00242CA0">
        <w:rPr>
          <w:lang w:val="sr-Latn-RS"/>
        </w:rPr>
        <w:t>j</w:t>
      </w:r>
      <w:r>
        <w:rPr>
          <w:lang w:val="sr-Latn-RS"/>
        </w:rPr>
        <w:t>elom od COVID-19.</w:t>
      </w:r>
    </w:p>
    <w:p w14:paraId="5BEC7A5B" w14:textId="77777777" w:rsidR="00B73BF1" w:rsidRPr="007D3B0A" w:rsidRDefault="00B73BF1" w:rsidP="00B73BF1">
      <w:pPr>
        <w:pStyle w:val="BodyText"/>
        <w:jc w:val="both"/>
        <w:rPr>
          <w:sz w:val="24"/>
          <w:lang w:val="sr-Latn-RS"/>
        </w:rPr>
      </w:pPr>
    </w:p>
    <w:p w14:paraId="1A1EE06F" w14:textId="5AE3D8CD" w:rsidR="00B73BF1" w:rsidRPr="007D3B0A" w:rsidRDefault="00B73BF1" w:rsidP="00B73BF1">
      <w:pPr>
        <w:ind w:left="311"/>
        <w:jc w:val="both"/>
        <w:rPr>
          <w:i/>
          <w:lang w:val="sr-Latn-RS"/>
        </w:rPr>
      </w:pPr>
      <w:r w:rsidRPr="007D3B0A">
        <w:rPr>
          <w:i/>
          <w:iCs/>
          <w:u w:val="single"/>
          <w:lang w:val="sr-Latn-RS"/>
        </w:rPr>
        <w:t>Profilaksa pr</w:t>
      </w:r>
      <w:r w:rsidR="00242CA0">
        <w:rPr>
          <w:i/>
          <w:iCs/>
          <w:u w:val="single"/>
          <w:lang w:val="sr-Latn-RS"/>
        </w:rPr>
        <w:t>ij</w:t>
      </w:r>
      <w:r w:rsidRPr="007D3B0A">
        <w:rPr>
          <w:i/>
          <w:iCs/>
          <w:u w:val="single"/>
          <w:lang w:val="sr-Latn-RS"/>
        </w:rPr>
        <w:t>e izlaganja</w:t>
      </w:r>
      <w:r>
        <w:rPr>
          <w:i/>
          <w:iCs/>
          <w:u w:val="single"/>
          <w:lang w:val="sr-Latn-RS"/>
        </w:rPr>
        <w:t xml:space="preserve"> virusu</w:t>
      </w:r>
    </w:p>
    <w:p w14:paraId="2D94C0F7" w14:textId="3E69BF93" w:rsidR="00B73BF1" w:rsidRPr="007D3B0A" w:rsidRDefault="00B73BF1" w:rsidP="00B73BF1">
      <w:pPr>
        <w:pStyle w:val="BodyText"/>
        <w:spacing w:before="28" w:line="266" w:lineRule="auto"/>
        <w:ind w:left="311" w:right="929"/>
        <w:jc w:val="both"/>
        <w:rPr>
          <w:lang w:val="sr-Latn-RS"/>
        </w:rPr>
      </w:pPr>
      <w:r w:rsidRPr="007D3B0A">
        <w:rPr>
          <w:lang w:val="sr-Latn-RS"/>
        </w:rPr>
        <w:t>Početna doza za odrasle pacijente i adolescente uzrasta</w:t>
      </w:r>
      <w:r>
        <w:rPr>
          <w:lang w:val="sr-Latn-RS"/>
        </w:rPr>
        <w:t xml:space="preserve"> od</w:t>
      </w:r>
      <w:r w:rsidRPr="007D3B0A">
        <w:rPr>
          <w:lang w:val="sr-Latn-RS"/>
        </w:rPr>
        <w:t xml:space="preserve"> 12</w:t>
      </w:r>
      <w:r>
        <w:rPr>
          <w:lang w:val="sr-Latn-RS"/>
        </w:rPr>
        <w:t xml:space="preserve"> i više</w:t>
      </w:r>
      <w:r w:rsidRPr="007D3B0A">
        <w:rPr>
          <w:lang w:val="sr-Latn-RS"/>
        </w:rPr>
        <w:t xml:space="preserve"> godina sa</w:t>
      </w:r>
      <w:r>
        <w:rPr>
          <w:lang w:val="sr-Latn-RS"/>
        </w:rPr>
        <w:t xml:space="preserve"> t</w:t>
      </w:r>
      <w:r w:rsidR="00242CA0">
        <w:rPr>
          <w:lang w:val="sr-Latn-RS"/>
        </w:rPr>
        <w:t>j</w:t>
      </w:r>
      <w:r>
        <w:rPr>
          <w:lang w:val="sr-Latn-RS"/>
        </w:rPr>
        <w:t>elesnom</w:t>
      </w:r>
      <w:r w:rsidRPr="007D3B0A">
        <w:rPr>
          <w:lang w:val="sr-Latn-RS"/>
        </w:rPr>
        <w:t xml:space="preserve"> </w:t>
      </w:r>
      <w:r>
        <w:rPr>
          <w:lang w:val="sr-Latn-RS"/>
        </w:rPr>
        <w:t>masom</w:t>
      </w:r>
      <w:r w:rsidRPr="007D3B0A">
        <w:rPr>
          <w:lang w:val="sr-Latn-RS"/>
        </w:rPr>
        <w:t xml:space="preserve"> od najmanje 40 kg iznosi 600 mg kasirivimaba i 600 mg imdevimaba koji se daju kao jedna intravenska infuzija ili </w:t>
      </w:r>
      <w:r>
        <w:rPr>
          <w:lang w:val="sr-Latn-RS"/>
        </w:rPr>
        <w:t>kao</w:t>
      </w:r>
      <w:r w:rsidRPr="007D3B0A">
        <w:rPr>
          <w:lang w:val="sr-Latn-RS"/>
        </w:rPr>
        <w:t xml:space="preserve"> su</w:t>
      </w:r>
      <w:r w:rsidR="00242CA0">
        <w:rPr>
          <w:lang w:val="sr-Latn-RS"/>
        </w:rPr>
        <w:t>b</w:t>
      </w:r>
      <w:r w:rsidRPr="007D3B0A">
        <w:rPr>
          <w:lang w:val="sr-Latn-RS"/>
        </w:rPr>
        <w:t>kutane injekcije (</w:t>
      </w:r>
      <w:r w:rsidR="00096FEC">
        <w:rPr>
          <w:lang w:val="sr-Latn-RS"/>
        </w:rPr>
        <w:t>vidjeti</w:t>
      </w:r>
      <w:r w:rsidRPr="007D3B0A">
        <w:rPr>
          <w:lang w:val="sr-Latn-RS"/>
        </w:rPr>
        <w:t xml:space="preserve"> </w:t>
      </w:r>
      <w:r w:rsidR="00242CA0">
        <w:rPr>
          <w:lang w:val="sr-Latn-RS"/>
        </w:rPr>
        <w:t>T</w:t>
      </w:r>
      <w:r w:rsidRPr="007D3B0A">
        <w:rPr>
          <w:lang w:val="sr-Latn-RS"/>
        </w:rPr>
        <w:t>abele 1 i 2). Sl</w:t>
      </w:r>
      <w:r w:rsidR="00242CA0">
        <w:rPr>
          <w:lang w:val="sr-Latn-RS"/>
        </w:rPr>
        <w:t>j</w:t>
      </w:r>
      <w:r w:rsidRPr="007D3B0A">
        <w:rPr>
          <w:lang w:val="sr-Latn-RS"/>
        </w:rPr>
        <w:t>edeće doze od 300 mg kasirivimaba i 300 mg imdevimaba koj</w:t>
      </w:r>
      <w:r>
        <w:rPr>
          <w:lang w:val="sr-Latn-RS"/>
        </w:rPr>
        <w:t>e</w:t>
      </w:r>
      <w:r w:rsidRPr="007D3B0A">
        <w:rPr>
          <w:lang w:val="sr-Latn-RS"/>
        </w:rPr>
        <w:t xml:space="preserve"> se daju </w:t>
      </w:r>
      <w:r>
        <w:rPr>
          <w:lang w:val="sr-Latn-RS"/>
        </w:rPr>
        <w:t>kao</w:t>
      </w:r>
      <w:r w:rsidRPr="007D3B0A">
        <w:rPr>
          <w:lang w:val="sr-Latn-RS"/>
        </w:rPr>
        <w:t xml:space="preserve"> jedna intravenska infuzija ili </w:t>
      </w:r>
      <w:r>
        <w:rPr>
          <w:lang w:val="sr-Latn-RS"/>
        </w:rPr>
        <w:t>kao</w:t>
      </w:r>
      <w:r w:rsidRPr="007D3B0A">
        <w:rPr>
          <w:lang w:val="sr-Latn-RS"/>
        </w:rPr>
        <w:t xml:space="preserve"> su</w:t>
      </w:r>
      <w:r w:rsidR="00242CA0">
        <w:rPr>
          <w:lang w:val="sr-Latn-RS"/>
        </w:rPr>
        <w:t>b</w:t>
      </w:r>
      <w:r w:rsidRPr="007D3B0A">
        <w:rPr>
          <w:lang w:val="sr-Latn-RS"/>
        </w:rPr>
        <w:t xml:space="preserve">kutane injekcije mogu se </w:t>
      </w:r>
      <w:r w:rsidR="00FA7CB8">
        <w:rPr>
          <w:lang w:val="sr-Latn-RS"/>
        </w:rPr>
        <w:t>primjen</w:t>
      </w:r>
      <w:r>
        <w:rPr>
          <w:lang w:val="sr-Latn-RS"/>
        </w:rPr>
        <w:t xml:space="preserve">jivati na </w:t>
      </w:r>
      <w:r w:rsidRPr="007D3B0A">
        <w:rPr>
          <w:lang w:val="sr-Latn-RS"/>
        </w:rPr>
        <w:t>svake 4 ned</w:t>
      </w:r>
      <w:r w:rsidR="00242CA0">
        <w:rPr>
          <w:lang w:val="sr-Latn-RS"/>
        </w:rPr>
        <w:t>j</w:t>
      </w:r>
      <w:r w:rsidRPr="007D3B0A">
        <w:rPr>
          <w:lang w:val="sr-Latn-RS"/>
        </w:rPr>
        <w:t xml:space="preserve">elje sve dok profilaksa više </w:t>
      </w:r>
      <w:r>
        <w:rPr>
          <w:lang w:val="sr-Latn-RS"/>
        </w:rPr>
        <w:t>nij</w:t>
      </w:r>
      <w:r w:rsidRPr="007D3B0A">
        <w:rPr>
          <w:lang w:val="sr-Latn-RS"/>
        </w:rPr>
        <w:t>e potrebna. Nema podataka o ponavljanju doza nakon 24 ned</w:t>
      </w:r>
      <w:r w:rsidR="00242CA0">
        <w:rPr>
          <w:lang w:val="sr-Latn-RS"/>
        </w:rPr>
        <w:t>j</w:t>
      </w:r>
      <w:r w:rsidRPr="007D3B0A">
        <w:rPr>
          <w:lang w:val="sr-Latn-RS"/>
        </w:rPr>
        <w:t>elj</w:t>
      </w:r>
      <w:r>
        <w:rPr>
          <w:lang w:val="sr-Latn-RS"/>
        </w:rPr>
        <w:t>a</w:t>
      </w:r>
      <w:r w:rsidRPr="007D3B0A">
        <w:rPr>
          <w:lang w:val="sr-Latn-RS"/>
        </w:rPr>
        <w:t xml:space="preserve"> (6 doza).</w:t>
      </w:r>
    </w:p>
    <w:p w14:paraId="3EBB97E0" w14:textId="77777777" w:rsidR="00B73BF1" w:rsidRPr="007D3B0A" w:rsidRDefault="00B73BF1" w:rsidP="00B73BF1">
      <w:pPr>
        <w:pStyle w:val="BodyText"/>
        <w:spacing w:before="9"/>
        <w:rPr>
          <w:sz w:val="23"/>
          <w:lang w:val="sr-Latn-RS"/>
        </w:rPr>
      </w:pPr>
    </w:p>
    <w:p w14:paraId="3DBE458A" w14:textId="77777777" w:rsidR="00B73BF1" w:rsidRPr="007D3B0A" w:rsidRDefault="00B73BF1" w:rsidP="00B73BF1">
      <w:pPr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Propuštena doza</w:t>
      </w:r>
    </w:p>
    <w:p w14:paraId="477E9ED1" w14:textId="00507F4D" w:rsidR="00B73BF1" w:rsidRPr="007D3B0A" w:rsidRDefault="00B73BF1" w:rsidP="00B73BF1">
      <w:pPr>
        <w:pStyle w:val="BodyText"/>
        <w:spacing w:before="28" w:line="266" w:lineRule="auto"/>
        <w:ind w:left="311" w:right="880"/>
        <w:jc w:val="both"/>
        <w:rPr>
          <w:lang w:val="sr-Latn-RS"/>
        </w:rPr>
      </w:pPr>
      <w:r>
        <w:rPr>
          <w:lang w:val="sr-Latn-RS"/>
        </w:rPr>
        <w:t xml:space="preserve">Kod </w:t>
      </w:r>
      <w:r w:rsidR="00FA7CB8">
        <w:rPr>
          <w:lang w:val="sr-Latn-RS"/>
        </w:rPr>
        <w:t>primjen</w:t>
      </w:r>
      <w:r>
        <w:rPr>
          <w:lang w:val="sr-Latn-RS"/>
        </w:rPr>
        <w:t>e ponovoljenih doza</w:t>
      </w:r>
      <w:r w:rsidRPr="007D3B0A">
        <w:rPr>
          <w:lang w:val="sr-Latn-RS"/>
        </w:rPr>
        <w:t xml:space="preserve"> radi profilakse pr</w:t>
      </w:r>
      <w:r w:rsidR="00242CA0">
        <w:rPr>
          <w:lang w:val="sr-Latn-RS"/>
        </w:rPr>
        <w:t>ij</w:t>
      </w:r>
      <w:r w:rsidRPr="007D3B0A">
        <w:rPr>
          <w:lang w:val="sr-Latn-RS"/>
        </w:rPr>
        <w:t>e izlaganja</w:t>
      </w:r>
      <w:r>
        <w:rPr>
          <w:lang w:val="sr-Latn-RS"/>
        </w:rPr>
        <w:t xml:space="preserve"> virusu</w:t>
      </w:r>
      <w:r w:rsidRPr="007D3B0A">
        <w:rPr>
          <w:lang w:val="sr-Latn-RS"/>
        </w:rPr>
        <w:t xml:space="preserve">, ukoliko se propusti doza </w:t>
      </w:r>
      <w:r w:rsidR="00FA7CB8">
        <w:rPr>
          <w:lang w:val="sr-Latn-RS"/>
        </w:rPr>
        <w:t>lijek</w:t>
      </w:r>
      <w:r w:rsidRPr="007D3B0A">
        <w:rPr>
          <w:lang w:val="sr-Latn-RS"/>
        </w:rPr>
        <w:t xml:space="preserve">a Ronapreve, treba je </w:t>
      </w:r>
      <w:r w:rsidR="00FA7CB8">
        <w:rPr>
          <w:lang w:val="sr-Latn-RS"/>
        </w:rPr>
        <w:t>prim</w:t>
      </w:r>
      <w:r w:rsidR="00242CA0">
        <w:rPr>
          <w:lang w:val="sr-Latn-RS"/>
        </w:rPr>
        <w:t>i</w:t>
      </w:r>
      <w:r w:rsidR="00FA7CB8">
        <w:rPr>
          <w:lang w:val="sr-Latn-RS"/>
        </w:rPr>
        <w:t>jen</w:t>
      </w:r>
      <w:r w:rsidRPr="007D3B0A">
        <w:rPr>
          <w:lang w:val="sr-Latn-RS"/>
        </w:rPr>
        <w:t xml:space="preserve">iti što je </w:t>
      </w:r>
      <w:r>
        <w:rPr>
          <w:lang w:val="sr-Latn-RS"/>
        </w:rPr>
        <w:t>pr</w:t>
      </w:r>
      <w:r w:rsidR="00242CA0">
        <w:rPr>
          <w:lang w:val="sr-Latn-RS"/>
        </w:rPr>
        <w:t>ij</w:t>
      </w:r>
      <w:r>
        <w:rPr>
          <w:lang w:val="sr-Latn-RS"/>
        </w:rPr>
        <w:t xml:space="preserve">e </w:t>
      </w:r>
      <w:r w:rsidRPr="007D3B0A">
        <w:rPr>
          <w:lang w:val="sr-Latn-RS"/>
        </w:rPr>
        <w:t xml:space="preserve">moguće. Nakon toga, raspored </w:t>
      </w:r>
      <w:r w:rsidR="00FA7CB8">
        <w:rPr>
          <w:lang w:val="sr-Latn-RS"/>
        </w:rPr>
        <w:t>primjen</w:t>
      </w:r>
      <w:r w:rsidRPr="007D3B0A">
        <w:rPr>
          <w:lang w:val="sr-Latn-RS"/>
        </w:rPr>
        <w:t xml:space="preserve">e </w:t>
      </w:r>
      <w:r w:rsidR="00FA7CB8">
        <w:rPr>
          <w:lang w:val="sr-Latn-RS"/>
        </w:rPr>
        <w:t>lijek</w:t>
      </w:r>
      <w:r w:rsidRPr="007D3B0A">
        <w:rPr>
          <w:lang w:val="sr-Latn-RS"/>
        </w:rPr>
        <w:t xml:space="preserve">a treba prilagoditi </w:t>
      </w:r>
      <w:r>
        <w:rPr>
          <w:lang w:val="sr-Latn-RS"/>
        </w:rPr>
        <w:t>tako da se održi</w:t>
      </w:r>
      <w:r w:rsidRPr="007D3B0A">
        <w:rPr>
          <w:lang w:val="sr-Latn-RS"/>
        </w:rPr>
        <w:t xml:space="preserve"> odgovarajući interval između doza.</w:t>
      </w:r>
    </w:p>
    <w:p w14:paraId="2DD20FA5" w14:textId="77777777" w:rsidR="00AA07A9" w:rsidRPr="00AE2963" w:rsidRDefault="00AA07A9">
      <w:pPr>
        <w:pStyle w:val="BodyText"/>
        <w:spacing w:before="4"/>
        <w:rPr>
          <w:sz w:val="19"/>
          <w:lang w:val="sr-Latn-RS"/>
        </w:rPr>
      </w:pPr>
    </w:p>
    <w:p w14:paraId="1A872E62" w14:textId="77777777" w:rsidR="00B73BF1" w:rsidRPr="007D3B0A" w:rsidRDefault="00B73BF1" w:rsidP="00B73BF1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>Posebne populacije</w:t>
      </w:r>
    </w:p>
    <w:p w14:paraId="4F0B3001" w14:textId="77777777" w:rsidR="00B73BF1" w:rsidRPr="007D3B0A" w:rsidRDefault="00B73BF1" w:rsidP="00B73BF1">
      <w:pPr>
        <w:pStyle w:val="BodyText"/>
        <w:spacing w:before="1"/>
        <w:rPr>
          <w:sz w:val="14"/>
          <w:lang w:val="sr-Latn-RS"/>
        </w:rPr>
      </w:pPr>
    </w:p>
    <w:p w14:paraId="7B3D7E5C" w14:textId="77777777" w:rsidR="00B73BF1" w:rsidRPr="007D3B0A" w:rsidRDefault="00B73BF1" w:rsidP="00B73BF1">
      <w:pPr>
        <w:spacing w:before="92" w:line="252" w:lineRule="exact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Starij</w:t>
      </w:r>
      <w:r>
        <w:rPr>
          <w:i/>
          <w:iCs/>
          <w:lang w:val="sr-Latn-RS"/>
        </w:rPr>
        <w:t>i pacijenti</w:t>
      </w:r>
    </w:p>
    <w:p w14:paraId="01259420" w14:textId="3E10D0BC" w:rsidR="00B73BF1" w:rsidRPr="007D3B0A" w:rsidRDefault="00B73BF1" w:rsidP="00B73BF1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>Nije potrebno p</w:t>
      </w:r>
      <w:r>
        <w:rPr>
          <w:lang w:val="sr-Latn-RS"/>
        </w:rPr>
        <w:t xml:space="preserve">rilagođavanje </w:t>
      </w:r>
      <w:r w:rsidRPr="007D3B0A">
        <w:rPr>
          <w:lang w:val="sr-Latn-RS"/>
        </w:rPr>
        <w:t>doze (vid</w:t>
      </w:r>
      <w:r w:rsidR="00242CA0">
        <w:rPr>
          <w:lang w:val="sr-Latn-RS"/>
        </w:rPr>
        <w:t>j</w:t>
      </w:r>
      <w:r w:rsidRPr="007D3B0A">
        <w:rPr>
          <w:lang w:val="sr-Latn-RS"/>
        </w:rPr>
        <w:t xml:space="preserve">eti </w:t>
      </w:r>
      <w:r w:rsidR="00FA7CB8">
        <w:rPr>
          <w:lang w:val="sr-Latn-RS"/>
        </w:rPr>
        <w:t>dio</w:t>
      </w:r>
      <w:r w:rsidRPr="007D3B0A">
        <w:rPr>
          <w:lang w:val="sr-Latn-RS"/>
        </w:rPr>
        <w:t xml:space="preserve"> 5.2).</w:t>
      </w:r>
    </w:p>
    <w:p w14:paraId="19B0371D" w14:textId="77777777" w:rsidR="00B73BF1" w:rsidRPr="007D3B0A" w:rsidRDefault="00B73BF1" w:rsidP="00B73BF1">
      <w:pPr>
        <w:pStyle w:val="BodyText"/>
        <w:rPr>
          <w:lang w:val="sr-Latn-RS"/>
        </w:rPr>
      </w:pPr>
    </w:p>
    <w:p w14:paraId="183F22D0" w14:textId="77777777" w:rsidR="00B73BF1" w:rsidRPr="007D3B0A" w:rsidRDefault="00B73BF1" w:rsidP="00B73BF1">
      <w:pPr>
        <w:spacing w:line="252" w:lineRule="exact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Oštećenje funkcije bubrega</w:t>
      </w:r>
    </w:p>
    <w:p w14:paraId="49274B48" w14:textId="6572ED7E" w:rsidR="00B73BF1" w:rsidRPr="007D3B0A" w:rsidRDefault="00B73BF1" w:rsidP="00B73BF1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>Nije potrebno p</w:t>
      </w:r>
      <w:r>
        <w:rPr>
          <w:lang w:val="sr-Latn-RS"/>
        </w:rPr>
        <w:t>rilagođavanje</w:t>
      </w:r>
      <w:r w:rsidRPr="007D3B0A">
        <w:rPr>
          <w:lang w:val="sr-Latn-RS"/>
        </w:rPr>
        <w:t xml:space="preserve"> doze (vid</w:t>
      </w:r>
      <w:r w:rsidR="00242CA0">
        <w:rPr>
          <w:lang w:val="sr-Latn-RS"/>
        </w:rPr>
        <w:t>j</w:t>
      </w:r>
      <w:r w:rsidRPr="007D3B0A">
        <w:rPr>
          <w:lang w:val="sr-Latn-RS"/>
        </w:rPr>
        <w:t xml:space="preserve">eti </w:t>
      </w:r>
      <w:r w:rsidR="00FA7CB8">
        <w:rPr>
          <w:lang w:val="sr-Latn-RS"/>
        </w:rPr>
        <w:t>dio</w:t>
      </w:r>
      <w:r w:rsidRPr="007D3B0A">
        <w:rPr>
          <w:lang w:val="sr-Latn-RS"/>
        </w:rPr>
        <w:t xml:space="preserve"> 5.2).</w:t>
      </w:r>
    </w:p>
    <w:p w14:paraId="037FF6D1" w14:textId="77777777" w:rsidR="00B73BF1" w:rsidRPr="007D3B0A" w:rsidRDefault="00B73BF1" w:rsidP="00B73BF1">
      <w:pPr>
        <w:pStyle w:val="BodyText"/>
        <w:rPr>
          <w:lang w:val="sr-Latn-RS"/>
        </w:rPr>
      </w:pPr>
    </w:p>
    <w:p w14:paraId="5F2C7010" w14:textId="77777777" w:rsidR="00B73BF1" w:rsidRPr="007D3B0A" w:rsidRDefault="00B73BF1" w:rsidP="00B73BF1">
      <w:pPr>
        <w:spacing w:before="1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Oštećenje funkcije jetre</w:t>
      </w:r>
    </w:p>
    <w:p w14:paraId="46D4023C" w14:textId="43E7005A" w:rsidR="00B73BF1" w:rsidRPr="007D3B0A" w:rsidRDefault="00B73BF1" w:rsidP="00B73BF1">
      <w:pPr>
        <w:pStyle w:val="BodyText"/>
        <w:spacing w:before="1"/>
        <w:ind w:left="311"/>
        <w:rPr>
          <w:lang w:val="sr-Latn-RS"/>
        </w:rPr>
      </w:pPr>
      <w:r w:rsidRPr="007D3B0A">
        <w:rPr>
          <w:lang w:val="sr-Latn-RS"/>
        </w:rPr>
        <w:t>Nije potrebno p</w:t>
      </w:r>
      <w:r>
        <w:rPr>
          <w:lang w:val="sr-Latn-RS"/>
        </w:rPr>
        <w:t>rilagođavanje</w:t>
      </w:r>
      <w:r w:rsidRPr="007D3B0A">
        <w:rPr>
          <w:lang w:val="sr-Latn-RS"/>
        </w:rPr>
        <w:t xml:space="preserve"> doze (vid</w:t>
      </w:r>
      <w:r w:rsidR="00242CA0">
        <w:rPr>
          <w:lang w:val="sr-Latn-RS"/>
        </w:rPr>
        <w:t>j</w:t>
      </w:r>
      <w:r w:rsidRPr="007D3B0A">
        <w:rPr>
          <w:lang w:val="sr-Latn-RS"/>
        </w:rPr>
        <w:t xml:space="preserve">eti </w:t>
      </w:r>
      <w:r w:rsidR="00FA7CB8">
        <w:rPr>
          <w:lang w:val="sr-Latn-RS"/>
        </w:rPr>
        <w:t>dio</w:t>
      </w:r>
      <w:r w:rsidRPr="007D3B0A">
        <w:rPr>
          <w:lang w:val="sr-Latn-RS"/>
        </w:rPr>
        <w:t xml:space="preserve"> 5.2).</w:t>
      </w:r>
    </w:p>
    <w:p w14:paraId="4E668B44" w14:textId="77777777" w:rsidR="00B73BF1" w:rsidRPr="007D3B0A" w:rsidRDefault="00B73BF1" w:rsidP="00B73BF1">
      <w:pPr>
        <w:pStyle w:val="BodyText"/>
        <w:spacing w:before="10"/>
        <w:rPr>
          <w:sz w:val="21"/>
          <w:lang w:val="sr-Latn-RS"/>
        </w:rPr>
      </w:pPr>
    </w:p>
    <w:p w14:paraId="4EF996E1" w14:textId="77777777" w:rsidR="00B73BF1" w:rsidRPr="007D3B0A" w:rsidRDefault="00B73BF1" w:rsidP="00B73BF1">
      <w:pPr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Pedijatrijska populacija</w:t>
      </w:r>
    </w:p>
    <w:p w14:paraId="581E1426" w14:textId="4342FB48" w:rsidR="00B73BF1" w:rsidRPr="007D3B0A" w:rsidRDefault="00FA7CB8" w:rsidP="00B73BF1">
      <w:pPr>
        <w:pStyle w:val="BodyText"/>
        <w:spacing w:before="2"/>
        <w:ind w:left="311" w:right="880"/>
        <w:jc w:val="both"/>
        <w:rPr>
          <w:lang w:val="sr-Latn-RS"/>
        </w:rPr>
      </w:pPr>
      <w:r>
        <w:rPr>
          <w:lang w:val="sr-Latn-RS"/>
        </w:rPr>
        <w:t>Bezbjednost</w:t>
      </w:r>
      <w:r w:rsidR="00B73BF1" w:rsidRPr="007D3B0A">
        <w:rPr>
          <w:lang w:val="sr-Latn-RS"/>
        </w:rPr>
        <w:t xml:space="preserve"> i efikasnost kasirivimaba i imdevimaba kod d</w:t>
      </w:r>
      <w:r w:rsidR="00242CA0">
        <w:rPr>
          <w:lang w:val="sr-Latn-RS"/>
        </w:rPr>
        <w:t>j</w:t>
      </w:r>
      <w:r w:rsidR="00B73BF1" w:rsidRPr="007D3B0A">
        <w:rPr>
          <w:lang w:val="sr-Latn-RS"/>
        </w:rPr>
        <w:t xml:space="preserve">ece </w:t>
      </w:r>
      <w:r w:rsidR="00B94782">
        <w:rPr>
          <w:lang w:val="sr-Latn-RS"/>
        </w:rPr>
        <w:t>ml</w:t>
      </w:r>
      <w:r w:rsidR="00B73BF1" w:rsidRPr="007D3B0A">
        <w:rPr>
          <w:lang w:val="sr-Latn-RS"/>
        </w:rPr>
        <w:t xml:space="preserve">ađe od 12 godina nisu još </w:t>
      </w:r>
      <w:r w:rsidR="00B73BF1">
        <w:rPr>
          <w:lang w:val="sr-Latn-RS"/>
        </w:rPr>
        <w:t>ustanovljene.</w:t>
      </w:r>
      <w:r w:rsidR="00B73BF1" w:rsidRPr="007D3B0A">
        <w:rPr>
          <w:lang w:val="sr-Latn-RS"/>
        </w:rPr>
        <w:t xml:space="preserve"> Nema dostupnih podataka.</w:t>
      </w:r>
    </w:p>
    <w:p w14:paraId="3AD0380A" w14:textId="77777777" w:rsidR="00AA07A9" w:rsidRPr="00AE2963" w:rsidRDefault="00AA07A9">
      <w:pPr>
        <w:pStyle w:val="BodyText"/>
        <w:rPr>
          <w:lang w:val="sr-Latn-RS"/>
        </w:rPr>
      </w:pPr>
    </w:p>
    <w:p w14:paraId="6102BA50" w14:textId="4593199E" w:rsidR="00AA07A9" w:rsidRPr="00AE2963" w:rsidRDefault="00AE2963">
      <w:pPr>
        <w:pStyle w:val="BodyText"/>
        <w:ind w:left="311"/>
        <w:rPr>
          <w:lang w:val="sr-Latn-RS"/>
        </w:rPr>
      </w:pPr>
      <w:r w:rsidRPr="00AE2963">
        <w:rPr>
          <w:u w:val="single"/>
          <w:lang w:val="sr-Latn-RS"/>
        </w:rPr>
        <w:t>Način prim</w:t>
      </w:r>
      <w:r w:rsidR="00797F56">
        <w:rPr>
          <w:u w:val="single"/>
          <w:lang w:val="sr-Latn-RS"/>
        </w:rPr>
        <w:t>j</w:t>
      </w:r>
      <w:r w:rsidRPr="00AE2963">
        <w:rPr>
          <w:u w:val="single"/>
          <w:lang w:val="sr-Latn-RS"/>
        </w:rPr>
        <w:t>ene</w:t>
      </w:r>
    </w:p>
    <w:p w14:paraId="40B2715E" w14:textId="77777777" w:rsidR="00AA07A9" w:rsidRPr="00AE2963" w:rsidRDefault="00AA07A9">
      <w:pPr>
        <w:pStyle w:val="BodyText"/>
        <w:spacing w:before="1"/>
        <w:rPr>
          <w:sz w:val="14"/>
          <w:lang w:val="sr-Latn-RS"/>
        </w:rPr>
      </w:pPr>
    </w:p>
    <w:p w14:paraId="18B408FB" w14:textId="13957C14" w:rsidR="00AA07A9" w:rsidRPr="00AE2963" w:rsidRDefault="00FA7CB8">
      <w:pPr>
        <w:pStyle w:val="BodyText"/>
        <w:spacing w:before="92"/>
        <w:ind w:left="311"/>
        <w:rPr>
          <w:lang w:val="sr-Latn-RS"/>
        </w:rPr>
      </w:pPr>
      <w:r>
        <w:rPr>
          <w:lang w:val="sr-Latn-RS"/>
        </w:rPr>
        <w:t>Lijek</w:t>
      </w:r>
      <w:r w:rsidR="00AE2963" w:rsidRPr="00AE2963">
        <w:rPr>
          <w:lang w:val="sr-Latn-RS"/>
        </w:rPr>
        <w:t xml:space="preserve"> Ronapreve nam</w:t>
      </w:r>
      <w:r w:rsidR="00242CA0">
        <w:rPr>
          <w:lang w:val="sr-Latn-RS"/>
        </w:rPr>
        <w:t>ij</w:t>
      </w:r>
      <w:r w:rsidR="00AE2963" w:rsidRPr="00AE2963">
        <w:rPr>
          <w:lang w:val="sr-Latn-RS"/>
        </w:rPr>
        <w:t>enjen je samo za intravensku ili su</w:t>
      </w:r>
      <w:r w:rsidR="00242CA0">
        <w:rPr>
          <w:lang w:val="sr-Latn-RS"/>
        </w:rPr>
        <w:t>b</w:t>
      </w:r>
      <w:r w:rsidR="00AE2963" w:rsidRPr="00AE2963">
        <w:rPr>
          <w:lang w:val="sr-Latn-RS"/>
        </w:rPr>
        <w:t>kutanu upotrebu.</w:t>
      </w:r>
    </w:p>
    <w:p w14:paraId="4DC932E4" w14:textId="77777777" w:rsidR="00AA07A9" w:rsidRPr="00AE2963" w:rsidRDefault="00AA07A9">
      <w:pPr>
        <w:pStyle w:val="BodyText"/>
        <w:rPr>
          <w:lang w:val="sr-Latn-RS"/>
        </w:rPr>
      </w:pPr>
    </w:p>
    <w:p w14:paraId="3AB22706" w14:textId="77777777" w:rsidR="00AA07A9" w:rsidRPr="00AE2963" w:rsidRDefault="00AE2963">
      <w:pPr>
        <w:spacing w:line="252" w:lineRule="exact"/>
        <w:ind w:left="311"/>
        <w:rPr>
          <w:i/>
          <w:lang w:val="sr-Latn-RS"/>
        </w:rPr>
      </w:pPr>
      <w:r w:rsidRPr="00AE2963">
        <w:rPr>
          <w:i/>
          <w:iCs/>
          <w:lang w:val="sr-Latn-RS"/>
        </w:rPr>
        <w:t>Intravenska infuzija</w:t>
      </w:r>
    </w:p>
    <w:p w14:paraId="5F8FF4FC" w14:textId="4D2083FC" w:rsidR="00AA07A9" w:rsidRPr="00AE2963" w:rsidRDefault="00AE2963">
      <w:pPr>
        <w:pStyle w:val="BodyText"/>
        <w:spacing w:line="252" w:lineRule="exact"/>
        <w:ind w:left="311"/>
        <w:rPr>
          <w:lang w:val="sr-Latn-RS"/>
        </w:rPr>
      </w:pPr>
      <w:r w:rsidRPr="00AE2963">
        <w:rPr>
          <w:lang w:val="sr-Latn-RS"/>
        </w:rPr>
        <w:t xml:space="preserve">Za detaljna uputstva o pripremi i </w:t>
      </w:r>
      <w:r w:rsidR="00FA7CB8">
        <w:rPr>
          <w:lang w:val="sr-Latn-RS"/>
        </w:rPr>
        <w:t>primjen</w:t>
      </w:r>
      <w:r w:rsidRPr="00AE2963">
        <w:rPr>
          <w:lang w:val="sr-Latn-RS"/>
        </w:rPr>
        <w:t xml:space="preserve">i </w:t>
      </w:r>
      <w:r w:rsidR="00FA7CB8">
        <w:rPr>
          <w:lang w:val="sr-Latn-RS"/>
        </w:rPr>
        <w:t>lijek</w:t>
      </w:r>
      <w:r w:rsidRPr="00AE2963">
        <w:rPr>
          <w:lang w:val="sr-Latn-RS"/>
        </w:rPr>
        <w:t xml:space="preserve">a Ronapreve, </w:t>
      </w:r>
      <w:r w:rsidR="00B73BF1">
        <w:rPr>
          <w:lang w:val="sr-Latn-RS"/>
        </w:rPr>
        <w:t>vid</w:t>
      </w:r>
      <w:r w:rsidR="00096FEC">
        <w:rPr>
          <w:lang w:val="sr-Latn-RS"/>
        </w:rPr>
        <w:t>jeti</w:t>
      </w:r>
      <w:r w:rsidRPr="00AE2963">
        <w:rPr>
          <w:lang w:val="sr-Latn-RS"/>
        </w:rPr>
        <w:t xml:space="preserve"> </w:t>
      </w:r>
      <w:r w:rsidR="00FA7CB8">
        <w:rPr>
          <w:lang w:val="sr-Latn-RS"/>
        </w:rPr>
        <w:t>dio</w:t>
      </w:r>
      <w:r w:rsidRPr="00AE2963">
        <w:rPr>
          <w:lang w:val="sr-Latn-RS"/>
        </w:rPr>
        <w:t xml:space="preserve"> 6.6.</w:t>
      </w:r>
    </w:p>
    <w:p w14:paraId="30B63F4A" w14:textId="77777777" w:rsidR="00AA07A9" w:rsidRPr="00AE2963" w:rsidRDefault="00AA07A9">
      <w:pPr>
        <w:spacing w:line="252" w:lineRule="exact"/>
        <w:rPr>
          <w:lang w:val="sr-Latn-RS"/>
        </w:rPr>
        <w:sectPr w:rsidR="00AA07A9" w:rsidRPr="00AE2963" w:rsidSect="00D33711">
          <w:footerReference w:type="default" r:id="rId8"/>
          <w:pgSz w:w="11910" w:h="16840"/>
          <w:pgMar w:top="1080" w:right="480" w:bottom="1080" w:left="1100" w:header="737" w:footer="737" w:gutter="0"/>
          <w:cols w:space="720"/>
          <w:docGrid w:linePitch="299"/>
        </w:sectPr>
      </w:pPr>
    </w:p>
    <w:p w14:paraId="56A20901" w14:textId="3D85A9F1" w:rsidR="00B73BF1" w:rsidRPr="007D3B0A" w:rsidRDefault="00AE2963" w:rsidP="00242CA0">
      <w:pPr>
        <w:pStyle w:val="Heading1"/>
        <w:spacing w:before="78" w:after="2"/>
        <w:ind w:left="1170" w:right="790" w:hanging="860"/>
        <w:rPr>
          <w:lang w:val="sr-Latn-RS"/>
        </w:rPr>
      </w:pPr>
      <w:r w:rsidRPr="00AE2963">
        <w:rPr>
          <w:lang w:val="sr-Latn-RS"/>
        </w:rPr>
        <w:lastRenderedPageBreak/>
        <w:t xml:space="preserve">Tabela </w:t>
      </w:r>
      <w:r w:rsidR="00B73BF1">
        <w:rPr>
          <w:lang w:val="sr-Latn-RS"/>
        </w:rPr>
        <w:t>1</w:t>
      </w:r>
      <w:r w:rsidRPr="00AE2963">
        <w:rPr>
          <w:lang w:val="sr-Latn-RS"/>
        </w:rPr>
        <w:t xml:space="preserve">: Uputstva za preporučeno razblaživanje </w:t>
      </w:r>
      <w:r w:rsidR="00FA7CB8">
        <w:rPr>
          <w:lang w:val="sr-Latn-RS"/>
        </w:rPr>
        <w:t>lijek</w:t>
      </w:r>
      <w:r w:rsidR="00B73BF1" w:rsidRPr="007D3B0A">
        <w:rPr>
          <w:lang w:val="sr-Latn-RS"/>
        </w:rPr>
        <w:t>a Ronapreve (kasirivimaba i imdevimaba) za intravensku infuziju</w:t>
      </w: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867"/>
        <w:gridCol w:w="1170"/>
        <w:gridCol w:w="4806"/>
      </w:tblGrid>
      <w:tr w:rsidR="00AA07A9" w:rsidRPr="007613FE" w14:paraId="68E9D696" w14:textId="77777777" w:rsidTr="00951828">
        <w:trPr>
          <w:trHeight w:val="1072"/>
        </w:trPr>
        <w:tc>
          <w:tcPr>
            <w:tcW w:w="1423" w:type="dxa"/>
            <w:tcBorders>
              <w:left w:val="single" w:sz="4" w:space="0" w:color="000000"/>
            </w:tcBorders>
          </w:tcPr>
          <w:p w14:paraId="4B5D65AA" w14:textId="77777777" w:rsidR="00AA07A9" w:rsidRPr="00AE2963" w:rsidRDefault="00AE2963">
            <w:pPr>
              <w:pStyle w:val="TableParagraph"/>
              <w:spacing w:before="29"/>
              <w:ind w:left="45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67" w:type="dxa"/>
          </w:tcPr>
          <w:p w14:paraId="591214DB" w14:textId="5423900A" w:rsidR="00AA07A9" w:rsidRPr="00AE2963" w:rsidRDefault="00AE2963">
            <w:pPr>
              <w:pStyle w:val="TableParagraph"/>
              <w:spacing w:before="29"/>
              <w:ind w:left="4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 xml:space="preserve">Doza </w:t>
            </w:r>
            <w:r w:rsidR="00FA7CB8">
              <w:rPr>
                <w:b/>
                <w:bCs/>
                <w:lang w:val="sr-Latn-RS"/>
              </w:rPr>
              <w:t>lijek</w:t>
            </w:r>
            <w:r w:rsidRPr="00AE2963">
              <w:rPr>
                <w:b/>
                <w:bCs/>
                <w:lang w:val="sr-Latn-RS"/>
              </w:rPr>
              <w:t>a Ronapreve</w:t>
            </w:r>
          </w:p>
        </w:tc>
        <w:tc>
          <w:tcPr>
            <w:tcW w:w="1170" w:type="dxa"/>
          </w:tcPr>
          <w:p w14:paraId="25B6F731" w14:textId="77777777" w:rsidR="00AA07A9" w:rsidRPr="00AE2963" w:rsidRDefault="00AE2963">
            <w:pPr>
              <w:pStyle w:val="TableParagraph"/>
              <w:spacing w:before="29"/>
              <w:ind w:left="42" w:right="94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Ukupna zapremina za 1 dozu</w:t>
            </w:r>
          </w:p>
        </w:tc>
        <w:tc>
          <w:tcPr>
            <w:tcW w:w="4806" w:type="dxa"/>
          </w:tcPr>
          <w:p w14:paraId="7735E046" w14:textId="78390910" w:rsidR="00AA07A9" w:rsidRPr="00AE2963" w:rsidRDefault="00B73BF1" w:rsidP="00951828">
            <w:pPr>
              <w:pStyle w:val="TableParagraph"/>
              <w:spacing w:before="29"/>
              <w:ind w:left="42" w:right="94"/>
              <w:jc w:val="both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Zapremina koju treba izvući iz svake bočice i ubrizgati u kesu za infuziju</w:t>
            </w:r>
            <w:r>
              <w:rPr>
                <w:b/>
                <w:bCs/>
                <w:lang w:val="sr-Latn-RS"/>
              </w:rPr>
              <w:t xml:space="preserve"> zapremine</w:t>
            </w:r>
            <w:r w:rsidRPr="007D3B0A">
              <w:rPr>
                <w:b/>
                <w:bCs/>
                <w:lang w:val="sr-Latn-RS"/>
              </w:rPr>
              <w:t xml:space="preserve"> od 50–250 </w:t>
            </w:r>
            <w:r w:rsidR="00B94782">
              <w:rPr>
                <w:b/>
                <w:bCs/>
                <w:lang w:val="sr-Latn-RS"/>
              </w:rPr>
              <w:t>ml</w:t>
            </w:r>
            <w:r w:rsidRPr="007D3B0A">
              <w:rPr>
                <w:b/>
                <w:bCs/>
                <w:lang w:val="sr-Latn-RS"/>
              </w:rPr>
              <w:t xml:space="preserve"> </w:t>
            </w:r>
            <w:r>
              <w:rPr>
                <w:b/>
                <w:bCs/>
                <w:lang w:val="sr-Latn-RS"/>
              </w:rPr>
              <w:t xml:space="preserve">napunjene </w:t>
            </w:r>
            <w:r w:rsidRPr="007D3B0A">
              <w:rPr>
                <w:b/>
                <w:bCs/>
                <w:lang w:val="sr-Latn-RS"/>
              </w:rPr>
              <w:t>sa 0,9</w:t>
            </w:r>
            <w:r>
              <w:rPr>
                <w:b/>
                <w:bCs/>
                <w:lang w:val="sr-Latn-RS"/>
              </w:rPr>
              <w:t>%-tnim rastvorom</w:t>
            </w:r>
            <w:r w:rsidR="00597EA9">
              <w:rPr>
                <w:b/>
                <w:bCs/>
                <w:lang w:val="sr-Latn-RS"/>
              </w:rPr>
              <w:t xml:space="preserve"> natrijum </w:t>
            </w:r>
            <w:r w:rsidRPr="007D3B0A">
              <w:rPr>
                <w:b/>
                <w:bCs/>
                <w:lang w:val="sr-Latn-RS"/>
              </w:rPr>
              <w:t>hlorid</w:t>
            </w:r>
            <w:r>
              <w:rPr>
                <w:b/>
                <w:bCs/>
                <w:lang w:val="sr-Latn-RS"/>
              </w:rPr>
              <w:t>a</w:t>
            </w:r>
            <w:r w:rsidRPr="007D3B0A">
              <w:rPr>
                <w:b/>
                <w:bCs/>
                <w:lang w:val="sr-Latn-RS"/>
              </w:rPr>
              <w:t xml:space="preserve"> ili </w:t>
            </w:r>
            <w:r>
              <w:rPr>
                <w:b/>
                <w:bCs/>
                <w:lang w:val="sr-Latn-RS"/>
              </w:rPr>
              <w:t xml:space="preserve">sa </w:t>
            </w:r>
            <w:r w:rsidRPr="007D3B0A">
              <w:rPr>
                <w:b/>
                <w:bCs/>
                <w:lang w:val="sr-Latn-RS"/>
              </w:rPr>
              <w:t>5%</w:t>
            </w:r>
            <w:r>
              <w:rPr>
                <w:b/>
                <w:bCs/>
                <w:lang w:val="sr-Latn-RS"/>
              </w:rPr>
              <w:t>-tnim rastvorom</w:t>
            </w:r>
            <w:r w:rsidRPr="007D3B0A">
              <w:rPr>
                <w:b/>
                <w:bCs/>
                <w:lang w:val="sr-Latn-RS"/>
              </w:rPr>
              <w:t xml:space="preserve"> dekstroz</w:t>
            </w:r>
            <w:r>
              <w:rPr>
                <w:b/>
                <w:bCs/>
                <w:lang w:val="sr-Latn-RS"/>
              </w:rPr>
              <w:t>e,</w:t>
            </w:r>
            <w:r w:rsidRPr="007D3B0A">
              <w:rPr>
                <w:b/>
                <w:bCs/>
                <w:lang w:val="sr-Latn-RS"/>
              </w:rPr>
              <w:t xml:space="preserve"> za zajedničku </w:t>
            </w:r>
            <w:r w:rsidR="00FA7CB8">
              <w:rPr>
                <w:b/>
                <w:bCs/>
                <w:lang w:val="sr-Latn-RS"/>
              </w:rPr>
              <w:t>primjen</w:t>
            </w:r>
            <w:r w:rsidRPr="007D3B0A">
              <w:rPr>
                <w:b/>
                <w:bCs/>
                <w:lang w:val="sr-Latn-RS"/>
              </w:rPr>
              <w:t>u</w:t>
            </w:r>
          </w:p>
        </w:tc>
      </w:tr>
      <w:tr w:rsidR="00AA07A9" w:rsidRPr="007613FE" w14:paraId="501651C0" w14:textId="77777777" w:rsidTr="00951828">
        <w:trPr>
          <w:trHeight w:val="1830"/>
        </w:trPr>
        <w:tc>
          <w:tcPr>
            <w:tcW w:w="1423" w:type="dxa"/>
            <w:tcBorders>
              <w:left w:val="single" w:sz="4" w:space="0" w:color="000000"/>
            </w:tcBorders>
          </w:tcPr>
          <w:p w14:paraId="6DDA2DC1" w14:textId="66D4A516" w:rsidR="00AA07A9" w:rsidRPr="00AE2963" w:rsidRDefault="00AE2963">
            <w:pPr>
              <w:pStyle w:val="TableParagraph"/>
              <w:spacing w:before="24"/>
              <w:ind w:left="45" w:right="115"/>
              <w:rPr>
                <w:lang w:val="sr-Latn-RS"/>
              </w:rPr>
            </w:pPr>
            <w:r w:rsidRPr="00AE2963">
              <w:rPr>
                <w:lang w:val="sr-Latn-RS"/>
              </w:rPr>
              <w:t>L</w:t>
            </w:r>
            <w:r w:rsidR="00242CA0"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ečenje, profilaksa nakon izlaganja (jedna doza), profilaksa pr</w:t>
            </w:r>
            <w:r w:rsidR="00242CA0"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 izlaganja (početna doza)</w:t>
            </w:r>
          </w:p>
        </w:tc>
        <w:tc>
          <w:tcPr>
            <w:tcW w:w="1867" w:type="dxa"/>
          </w:tcPr>
          <w:p w14:paraId="661A2937" w14:textId="77777777" w:rsidR="00AA07A9" w:rsidRPr="00AE2963" w:rsidRDefault="00AA07A9">
            <w:pPr>
              <w:pStyle w:val="TableParagraph"/>
              <w:spacing w:before="1"/>
              <w:rPr>
                <w:b/>
                <w:sz w:val="35"/>
                <w:lang w:val="sr-Latn-RS"/>
              </w:rPr>
            </w:pPr>
          </w:p>
          <w:p w14:paraId="14AC1699" w14:textId="77777777" w:rsidR="00AA07A9" w:rsidRPr="00AE2963" w:rsidRDefault="00AE2963">
            <w:pPr>
              <w:pStyle w:val="TableParagraph"/>
              <w:ind w:left="4" w:right="218"/>
              <w:rPr>
                <w:lang w:val="sr-Latn-RS"/>
              </w:rPr>
            </w:pPr>
            <w:r w:rsidRPr="00AE2963">
              <w:rPr>
                <w:lang w:val="sr-Latn-RS"/>
              </w:rPr>
              <w:t>600 mg kasirivimaba i</w:t>
            </w:r>
          </w:p>
          <w:p w14:paraId="28EBA979" w14:textId="77777777" w:rsidR="00AA07A9" w:rsidRPr="00AE2963" w:rsidRDefault="00AE2963">
            <w:pPr>
              <w:pStyle w:val="TableParagraph"/>
              <w:spacing w:before="1"/>
              <w:ind w:left="4"/>
              <w:rPr>
                <w:lang w:val="sr-Latn-RS"/>
              </w:rPr>
            </w:pPr>
            <w:r w:rsidRPr="00AE2963">
              <w:rPr>
                <w:lang w:val="sr-Latn-RS"/>
              </w:rPr>
              <w:t>600 mg imdevimaba</w:t>
            </w:r>
          </w:p>
        </w:tc>
        <w:tc>
          <w:tcPr>
            <w:tcW w:w="1170" w:type="dxa"/>
          </w:tcPr>
          <w:p w14:paraId="73D16224" w14:textId="77777777" w:rsidR="00AA07A9" w:rsidRPr="00AE2963" w:rsidRDefault="00AA07A9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42AF0174" w14:textId="77777777" w:rsidR="00AA07A9" w:rsidRPr="00AE2963" w:rsidRDefault="00AA07A9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4ED79B14" w14:textId="77777777" w:rsidR="00AA07A9" w:rsidRPr="00AE2963" w:rsidRDefault="00AA07A9">
            <w:pPr>
              <w:pStyle w:val="TableParagraph"/>
              <w:spacing w:before="1"/>
              <w:rPr>
                <w:b/>
                <w:sz w:val="20"/>
                <w:lang w:val="sr-Latn-RS"/>
              </w:rPr>
            </w:pPr>
          </w:p>
          <w:p w14:paraId="4065233C" w14:textId="450C97B4" w:rsidR="00AA07A9" w:rsidRPr="00AE2963" w:rsidRDefault="00AE2963" w:rsidP="00B73BF1">
            <w:pPr>
              <w:pStyle w:val="TableParagraph"/>
              <w:ind w:left="139" w:right="130"/>
              <w:jc w:val="center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10 </w:t>
            </w:r>
            <w:r w:rsidR="00B94782">
              <w:rPr>
                <w:lang w:val="sr-Latn-RS"/>
              </w:rPr>
              <w:t>ml</w:t>
            </w:r>
          </w:p>
        </w:tc>
        <w:tc>
          <w:tcPr>
            <w:tcW w:w="4806" w:type="dxa"/>
          </w:tcPr>
          <w:p w14:paraId="03058DE4" w14:textId="77777777" w:rsidR="00AA07A9" w:rsidRPr="00AE2963" w:rsidRDefault="00AA07A9" w:rsidP="00951828">
            <w:pPr>
              <w:pStyle w:val="TableParagraph"/>
              <w:jc w:val="both"/>
              <w:rPr>
                <w:b/>
                <w:sz w:val="24"/>
                <w:lang w:val="sr-Latn-RS"/>
              </w:rPr>
            </w:pPr>
          </w:p>
          <w:p w14:paraId="0721162F" w14:textId="77777777" w:rsidR="00AA07A9" w:rsidRPr="00AE2963" w:rsidRDefault="00AA07A9" w:rsidP="00951828">
            <w:pPr>
              <w:pStyle w:val="TableParagraph"/>
              <w:jc w:val="both"/>
              <w:rPr>
                <w:b/>
                <w:sz w:val="33"/>
                <w:lang w:val="sr-Latn-RS"/>
              </w:rPr>
            </w:pPr>
          </w:p>
          <w:p w14:paraId="26D8D4D7" w14:textId="0F39A838" w:rsidR="00B73BF1" w:rsidRDefault="00AE2963" w:rsidP="00951828">
            <w:pPr>
              <w:pStyle w:val="TableParagraph"/>
              <w:ind w:left="42" w:right="49"/>
              <w:jc w:val="both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5 </w:t>
            </w:r>
            <w:r w:rsidR="00B94782">
              <w:rPr>
                <w:lang w:val="sr-Latn-RS"/>
              </w:rPr>
              <w:t>ml</w:t>
            </w:r>
            <w:r w:rsidR="00242CA0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 xml:space="preserve">iz jedne </w:t>
            </w:r>
            <w:r w:rsidR="00B73BF1">
              <w:rPr>
                <w:lang w:val="sr-Latn-RS"/>
              </w:rPr>
              <w:t xml:space="preserve">višedozne </w:t>
            </w:r>
            <w:r w:rsidRPr="00AE2963">
              <w:rPr>
                <w:lang w:val="sr-Latn-RS"/>
              </w:rPr>
              <w:t xml:space="preserve">bočice kasirivimaba od 1332 mg </w:t>
            </w:r>
          </w:p>
          <w:p w14:paraId="1B5CBEF4" w14:textId="70672EA4" w:rsidR="00AA07A9" w:rsidRPr="00AE2963" w:rsidRDefault="00AE2963" w:rsidP="00951828">
            <w:pPr>
              <w:pStyle w:val="TableParagraph"/>
              <w:ind w:left="42" w:right="49"/>
              <w:jc w:val="both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5 </w:t>
            </w:r>
            <w:r w:rsidR="00B94782">
              <w:rPr>
                <w:lang w:val="sr-Latn-RS"/>
              </w:rPr>
              <w:t>ml</w:t>
            </w:r>
            <w:r w:rsidR="00242CA0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 xml:space="preserve">iz jedne </w:t>
            </w:r>
            <w:r w:rsidR="00B73BF1">
              <w:rPr>
                <w:lang w:val="sr-Latn-RS"/>
              </w:rPr>
              <w:t xml:space="preserve">višedozne </w:t>
            </w:r>
            <w:r w:rsidRPr="00AE2963">
              <w:rPr>
                <w:lang w:val="sr-Latn-RS"/>
              </w:rPr>
              <w:t xml:space="preserve">bočice imdevimaba od 1332 mg </w:t>
            </w:r>
          </w:p>
        </w:tc>
      </w:tr>
      <w:tr w:rsidR="00AA07A9" w:rsidRPr="007613FE" w14:paraId="3CCD3FEC" w14:textId="77777777" w:rsidTr="00951828">
        <w:trPr>
          <w:trHeight w:val="1072"/>
        </w:trPr>
        <w:tc>
          <w:tcPr>
            <w:tcW w:w="1423" w:type="dxa"/>
            <w:tcBorders>
              <w:left w:val="single" w:sz="4" w:space="0" w:color="000000"/>
            </w:tcBorders>
          </w:tcPr>
          <w:p w14:paraId="034B0969" w14:textId="19029923" w:rsidR="00AA07A9" w:rsidRPr="00AE2963" w:rsidRDefault="00AE2963">
            <w:pPr>
              <w:pStyle w:val="TableParagraph"/>
              <w:spacing w:before="150"/>
              <w:ind w:left="45" w:right="184"/>
              <w:rPr>
                <w:lang w:val="sr-Latn-RS"/>
              </w:rPr>
            </w:pPr>
            <w:r w:rsidRPr="00AE2963">
              <w:rPr>
                <w:lang w:val="sr-Latn-RS"/>
              </w:rPr>
              <w:t>Profilaksa pr</w:t>
            </w:r>
            <w:r w:rsidR="00242CA0"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 izlaganja (ponovljena doza)</w:t>
            </w:r>
          </w:p>
        </w:tc>
        <w:tc>
          <w:tcPr>
            <w:tcW w:w="1867" w:type="dxa"/>
          </w:tcPr>
          <w:p w14:paraId="70B4A40F" w14:textId="77777777" w:rsidR="00AA07A9" w:rsidRPr="00AE2963" w:rsidRDefault="00AE2963">
            <w:pPr>
              <w:pStyle w:val="TableParagraph"/>
              <w:spacing w:before="150"/>
              <w:ind w:left="4" w:right="218"/>
              <w:rPr>
                <w:lang w:val="sr-Latn-RS"/>
              </w:rPr>
            </w:pPr>
            <w:r w:rsidRPr="00AE2963">
              <w:rPr>
                <w:lang w:val="sr-Latn-RS"/>
              </w:rPr>
              <w:t>300 mg kasirivimaba i</w:t>
            </w:r>
          </w:p>
          <w:p w14:paraId="5D06C604" w14:textId="77777777" w:rsidR="00AA07A9" w:rsidRPr="00AE2963" w:rsidRDefault="00AE2963">
            <w:pPr>
              <w:pStyle w:val="TableParagraph"/>
              <w:ind w:left="4"/>
              <w:rPr>
                <w:lang w:val="sr-Latn-RS"/>
              </w:rPr>
            </w:pPr>
            <w:r w:rsidRPr="00AE2963">
              <w:rPr>
                <w:lang w:val="sr-Latn-RS"/>
              </w:rPr>
              <w:t>300 mg imdevimaba</w:t>
            </w:r>
          </w:p>
        </w:tc>
        <w:tc>
          <w:tcPr>
            <w:tcW w:w="1170" w:type="dxa"/>
          </w:tcPr>
          <w:p w14:paraId="67E76DE1" w14:textId="77777777" w:rsidR="00AA07A9" w:rsidRPr="00AE2963" w:rsidRDefault="00AA07A9">
            <w:pPr>
              <w:pStyle w:val="TableParagraph"/>
              <w:spacing w:before="2"/>
              <w:rPr>
                <w:b/>
                <w:sz w:val="35"/>
                <w:lang w:val="sr-Latn-RS"/>
              </w:rPr>
            </w:pPr>
          </w:p>
          <w:p w14:paraId="346F3631" w14:textId="4812D811" w:rsidR="00AA07A9" w:rsidRPr="00AE2963" w:rsidRDefault="00AE2963">
            <w:pPr>
              <w:pStyle w:val="TableParagraph"/>
              <w:ind w:left="135" w:right="130"/>
              <w:jc w:val="center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5 </w:t>
            </w:r>
            <w:r w:rsidR="00B94782">
              <w:rPr>
                <w:lang w:val="sr-Latn-RS"/>
              </w:rPr>
              <w:t>ml</w:t>
            </w:r>
          </w:p>
        </w:tc>
        <w:tc>
          <w:tcPr>
            <w:tcW w:w="4806" w:type="dxa"/>
          </w:tcPr>
          <w:p w14:paraId="009A5C22" w14:textId="713BCFA1" w:rsidR="00AA07A9" w:rsidRPr="00AE2963" w:rsidRDefault="00AE2963" w:rsidP="00951828">
            <w:pPr>
              <w:pStyle w:val="TableParagraph"/>
              <w:spacing w:before="1"/>
              <w:ind w:left="42" w:right="24"/>
              <w:jc w:val="both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2,5 </w:t>
            </w:r>
            <w:r w:rsidR="00B94782">
              <w:rPr>
                <w:lang w:val="sr-Latn-RS"/>
              </w:rPr>
              <w:t>ml</w:t>
            </w:r>
            <w:r w:rsidR="00242CA0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 xml:space="preserve">iz jedne </w:t>
            </w:r>
            <w:r w:rsidR="00B73BF1">
              <w:rPr>
                <w:lang w:val="sr-Latn-RS"/>
              </w:rPr>
              <w:t xml:space="preserve">višedozne </w:t>
            </w:r>
            <w:r w:rsidRPr="00AE2963">
              <w:rPr>
                <w:lang w:val="sr-Latn-RS"/>
              </w:rPr>
              <w:t xml:space="preserve">bočice kasirivimaba od 1332 mg 2,5 </w:t>
            </w:r>
            <w:r w:rsidR="00B94782">
              <w:rPr>
                <w:lang w:val="sr-Latn-RS"/>
              </w:rPr>
              <w:t>ml</w:t>
            </w:r>
            <w:r w:rsidRPr="00AE2963">
              <w:rPr>
                <w:lang w:val="sr-Latn-RS"/>
              </w:rPr>
              <w:t>iz jedne</w:t>
            </w:r>
            <w:r w:rsidR="00B73BF1">
              <w:rPr>
                <w:lang w:val="sr-Latn-RS"/>
              </w:rPr>
              <w:t xml:space="preserve"> višedozne</w:t>
            </w:r>
            <w:r w:rsidRPr="00AE2963">
              <w:rPr>
                <w:lang w:val="sr-Latn-RS"/>
              </w:rPr>
              <w:t xml:space="preserve"> bočice imdevimaba od 1332 mg </w:t>
            </w:r>
          </w:p>
        </w:tc>
      </w:tr>
    </w:tbl>
    <w:p w14:paraId="291A03B9" w14:textId="77777777" w:rsidR="00AA07A9" w:rsidRPr="00AE2963" w:rsidRDefault="00AA07A9">
      <w:pPr>
        <w:pStyle w:val="BodyText"/>
        <w:spacing w:before="9"/>
        <w:rPr>
          <w:b/>
          <w:sz w:val="21"/>
          <w:lang w:val="sr-Latn-RS"/>
        </w:rPr>
      </w:pPr>
    </w:p>
    <w:p w14:paraId="15E151FF" w14:textId="0F790D63" w:rsidR="00B73BF1" w:rsidRPr="007D3B0A" w:rsidRDefault="00B73BF1" w:rsidP="00242CA0">
      <w:pPr>
        <w:pStyle w:val="BodyText"/>
        <w:tabs>
          <w:tab w:val="left" w:pos="8910"/>
        </w:tabs>
        <w:spacing w:line="259" w:lineRule="auto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 xml:space="preserve">Infuziju treba </w:t>
      </w:r>
      <w:r w:rsidR="00FA7CB8">
        <w:rPr>
          <w:lang w:val="sr-Latn-RS"/>
        </w:rPr>
        <w:t>primjen</w:t>
      </w:r>
      <w:r>
        <w:rPr>
          <w:lang w:val="sr-Latn-RS"/>
        </w:rPr>
        <w:t xml:space="preserve">jivati </w:t>
      </w:r>
      <w:r w:rsidRPr="007D3B0A">
        <w:rPr>
          <w:lang w:val="sr-Latn-RS"/>
        </w:rPr>
        <w:t xml:space="preserve">u periodu od 20–30 minuta. Brzina infuzije može se </w:t>
      </w:r>
      <w:r>
        <w:rPr>
          <w:lang w:val="sr-Latn-RS"/>
        </w:rPr>
        <w:t>smanjiti</w:t>
      </w:r>
      <w:r w:rsidRPr="007D3B0A">
        <w:rPr>
          <w:lang w:val="sr-Latn-RS"/>
        </w:rPr>
        <w:t xml:space="preserve">, </w:t>
      </w:r>
      <w:r>
        <w:rPr>
          <w:lang w:val="sr-Latn-RS"/>
        </w:rPr>
        <w:t xml:space="preserve">infuzija se može </w:t>
      </w:r>
      <w:r w:rsidRPr="007D3B0A">
        <w:rPr>
          <w:lang w:val="sr-Latn-RS"/>
        </w:rPr>
        <w:t>privremeno ili trajno prekinuti ako kod pacijenta dođe do pojave bilo kakvih znakova događaja povezanih s infuzijom ili drugih neželjenih reakcija (</w:t>
      </w:r>
      <w:r>
        <w:rPr>
          <w:lang w:val="sr-Latn-RS"/>
        </w:rPr>
        <w:t>vid</w:t>
      </w:r>
      <w:r w:rsidR="00242CA0">
        <w:rPr>
          <w:lang w:val="sr-Latn-RS"/>
        </w:rPr>
        <w:t>j</w:t>
      </w:r>
      <w:r>
        <w:rPr>
          <w:lang w:val="sr-Latn-RS"/>
        </w:rPr>
        <w:t>eti</w:t>
      </w:r>
      <w:r w:rsidRPr="007D3B0A">
        <w:rPr>
          <w:lang w:val="sr-Latn-RS"/>
        </w:rPr>
        <w:t xml:space="preserve"> </w:t>
      </w:r>
      <w:r w:rsidR="00FA7CB8">
        <w:rPr>
          <w:lang w:val="sr-Latn-RS"/>
        </w:rPr>
        <w:t>dio</w:t>
      </w:r>
      <w:r w:rsidRPr="007D3B0A">
        <w:rPr>
          <w:lang w:val="sr-Latn-RS"/>
        </w:rPr>
        <w:t xml:space="preserve"> 4.4).</w:t>
      </w:r>
    </w:p>
    <w:p w14:paraId="337294DB" w14:textId="77777777" w:rsidR="00AA07A9" w:rsidRPr="00AE2963" w:rsidRDefault="00AA07A9" w:rsidP="00242CA0">
      <w:pPr>
        <w:pStyle w:val="BodyText"/>
        <w:spacing w:before="8"/>
        <w:ind w:right="880"/>
        <w:rPr>
          <w:sz w:val="23"/>
          <w:lang w:val="sr-Latn-RS"/>
        </w:rPr>
      </w:pPr>
    </w:p>
    <w:p w14:paraId="4DC553E6" w14:textId="14555729" w:rsidR="00AA07A9" w:rsidRPr="00AE2963" w:rsidRDefault="00AE2963" w:rsidP="00242CA0">
      <w:pPr>
        <w:ind w:left="311" w:right="880"/>
        <w:rPr>
          <w:i/>
          <w:lang w:val="sr-Latn-RS"/>
        </w:rPr>
      </w:pPr>
      <w:r w:rsidRPr="00AE2963">
        <w:rPr>
          <w:i/>
          <w:iCs/>
          <w:lang w:val="sr-Latn-RS"/>
        </w:rPr>
        <w:t>Su</w:t>
      </w:r>
      <w:r w:rsidR="00242CA0">
        <w:rPr>
          <w:i/>
          <w:iCs/>
          <w:lang w:val="sr-Latn-RS"/>
        </w:rPr>
        <w:t>b</w:t>
      </w:r>
      <w:r w:rsidRPr="00AE2963">
        <w:rPr>
          <w:i/>
          <w:iCs/>
          <w:lang w:val="sr-Latn-RS"/>
        </w:rPr>
        <w:t>kutana injekcija</w:t>
      </w:r>
    </w:p>
    <w:p w14:paraId="26307D31" w14:textId="77777777" w:rsidR="00AA07A9" w:rsidRPr="00AE2963" w:rsidRDefault="00AA07A9" w:rsidP="00242CA0">
      <w:pPr>
        <w:pStyle w:val="BodyText"/>
        <w:spacing w:before="1"/>
        <w:ind w:right="880"/>
        <w:rPr>
          <w:i/>
          <w:sz w:val="25"/>
          <w:lang w:val="sr-Latn-RS"/>
        </w:rPr>
      </w:pPr>
    </w:p>
    <w:p w14:paraId="2D3F8416" w14:textId="0329BA43" w:rsidR="00AA07A9" w:rsidRPr="00AE2963" w:rsidRDefault="00AE2963" w:rsidP="00242CA0">
      <w:pPr>
        <w:pStyle w:val="BodyText"/>
        <w:spacing w:before="1"/>
        <w:ind w:left="311" w:right="880"/>
        <w:rPr>
          <w:lang w:val="sr-Latn-RS"/>
        </w:rPr>
      </w:pPr>
      <w:r w:rsidRPr="00AE2963">
        <w:rPr>
          <w:lang w:val="sr-Latn-RS"/>
        </w:rPr>
        <w:t xml:space="preserve">Za detaljna uputstva o pripremi i </w:t>
      </w:r>
      <w:r w:rsidR="00FA7CB8">
        <w:rPr>
          <w:lang w:val="sr-Latn-RS"/>
        </w:rPr>
        <w:t>primjen</w:t>
      </w:r>
      <w:r w:rsidRPr="00AE2963">
        <w:rPr>
          <w:lang w:val="sr-Latn-RS"/>
        </w:rPr>
        <w:t xml:space="preserve">i </w:t>
      </w:r>
      <w:r w:rsidR="00FA7CB8">
        <w:rPr>
          <w:lang w:val="sr-Latn-RS"/>
        </w:rPr>
        <w:t>lijek</w:t>
      </w:r>
      <w:r w:rsidRPr="00AE2963">
        <w:rPr>
          <w:lang w:val="sr-Latn-RS"/>
        </w:rPr>
        <w:t xml:space="preserve">a Ronapreve, </w:t>
      </w:r>
      <w:r w:rsidR="00B73BF1">
        <w:rPr>
          <w:lang w:val="sr-Latn-RS"/>
        </w:rPr>
        <w:t>vid</w:t>
      </w:r>
      <w:r w:rsidR="00242CA0">
        <w:rPr>
          <w:lang w:val="sr-Latn-RS"/>
        </w:rPr>
        <w:t>j</w:t>
      </w:r>
      <w:r w:rsidR="00B73BF1">
        <w:rPr>
          <w:lang w:val="sr-Latn-RS"/>
        </w:rPr>
        <w:t>eti</w:t>
      </w:r>
      <w:r w:rsidR="00B73BF1" w:rsidRPr="00AE2963">
        <w:rPr>
          <w:lang w:val="sr-Latn-RS"/>
        </w:rPr>
        <w:t xml:space="preserve"> </w:t>
      </w:r>
      <w:r w:rsidR="00FA7CB8">
        <w:rPr>
          <w:lang w:val="sr-Latn-RS"/>
        </w:rPr>
        <w:t>dio</w:t>
      </w:r>
      <w:r w:rsidRPr="00AE2963">
        <w:rPr>
          <w:lang w:val="sr-Latn-RS"/>
        </w:rPr>
        <w:t xml:space="preserve"> 6.6.</w:t>
      </w:r>
    </w:p>
    <w:p w14:paraId="78BB1E2D" w14:textId="77777777" w:rsidR="00AA07A9" w:rsidRPr="00AE2963" w:rsidRDefault="00AA07A9" w:rsidP="00242CA0">
      <w:pPr>
        <w:pStyle w:val="BodyText"/>
        <w:ind w:right="880"/>
        <w:rPr>
          <w:lang w:val="sr-Latn-RS"/>
        </w:rPr>
      </w:pPr>
    </w:p>
    <w:p w14:paraId="667F7415" w14:textId="6615A013" w:rsidR="00B73BF1" w:rsidRPr="007D3B0A" w:rsidRDefault="00B73BF1" w:rsidP="00242CA0">
      <w:pPr>
        <w:pStyle w:val="BodyText"/>
        <w:tabs>
          <w:tab w:val="left" w:pos="8910"/>
        </w:tabs>
        <w:ind w:left="311" w:right="880"/>
        <w:jc w:val="both"/>
        <w:rPr>
          <w:lang w:val="sr-Latn-RS"/>
        </w:rPr>
      </w:pPr>
      <w:r w:rsidRPr="007D3B0A">
        <w:rPr>
          <w:lang w:val="sr-Latn-RS"/>
        </w:rPr>
        <w:t>Su</w:t>
      </w:r>
      <w:r w:rsidR="00242CA0">
        <w:rPr>
          <w:lang w:val="sr-Latn-RS"/>
        </w:rPr>
        <w:t>b</w:t>
      </w:r>
      <w:r w:rsidRPr="007D3B0A">
        <w:rPr>
          <w:lang w:val="sr-Latn-RS"/>
        </w:rPr>
        <w:t xml:space="preserve">kutane injekcije kasirivimaba i imdevimaba treba </w:t>
      </w:r>
      <w:r w:rsidR="00FA7CB8">
        <w:rPr>
          <w:lang w:val="sr-Latn-RS"/>
        </w:rPr>
        <w:t>prim</w:t>
      </w:r>
      <w:r w:rsidR="00242CA0">
        <w:rPr>
          <w:lang w:val="sr-Latn-RS"/>
        </w:rPr>
        <w:t>i</w:t>
      </w:r>
      <w:r w:rsidR="00FA7CB8">
        <w:rPr>
          <w:lang w:val="sr-Latn-RS"/>
        </w:rPr>
        <w:t>jen</w:t>
      </w:r>
      <w:r>
        <w:rPr>
          <w:lang w:val="sr-Latn-RS"/>
        </w:rPr>
        <w:t>iti jednu za drugom</w:t>
      </w:r>
      <w:r w:rsidRPr="007D3B0A">
        <w:rPr>
          <w:lang w:val="sr-Latn-RS"/>
        </w:rPr>
        <w:t xml:space="preserve"> </w:t>
      </w:r>
      <w:r>
        <w:rPr>
          <w:lang w:val="sr-Latn-RS"/>
        </w:rPr>
        <w:t>na</w:t>
      </w:r>
      <w:r w:rsidRPr="007D3B0A">
        <w:rPr>
          <w:lang w:val="sr-Latn-RS"/>
        </w:rPr>
        <w:t xml:space="preserve"> različit</w:t>
      </w:r>
      <w:r>
        <w:rPr>
          <w:lang w:val="sr-Latn-RS"/>
        </w:rPr>
        <w:t>im</w:t>
      </w:r>
      <w:r w:rsidRPr="007D3B0A">
        <w:rPr>
          <w:lang w:val="sr-Latn-RS"/>
        </w:rPr>
        <w:t xml:space="preserve"> m</w:t>
      </w:r>
      <w:r w:rsidR="00242CA0">
        <w:rPr>
          <w:lang w:val="sr-Latn-RS"/>
        </w:rPr>
        <w:t>j</w:t>
      </w:r>
      <w:r w:rsidRPr="007D3B0A">
        <w:rPr>
          <w:lang w:val="sr-Latn-RS"/>
        </w:rPr>
        <w:t>est</w:t>
      </w:r>
      <w:r>
        <w:rPr>
          <w:lang w:val="sr-Latn-RS"/>
        </w:rPr>
        <w:t>im</w:t>
      </w:r>
      <w:r w:rsidRPr="007D3B0A">
        <w:rPr>
          <w:lang w:val="sr-Latn-RS"/>
        </w:rPr>
        <w:t>a</w:t>
      </w:r>
      <w:r>
        <w:rPr>
          <w:lang w:val="sr-Latn-RS"/>
        </w:rPr>
        <w:t xml:space="preserve"> na t</w:t>
      </w:r>
      <w:r w:rsidR="00242CA0">
        <w:rPr>
          <w:lang w:val="sr-Latn-RS"/>
        </w:rPr>
        <w:t>ij</w:t>
      </w:r>
      <w:r>
        <w:rPr>
          <w:lang w:val="sr-Latn-RS"/>
        </w:rPr>
        <w:t>elu</w:t>
      </w:r>
      <w:r w:rsidRPr="007D3B0A">
        <w:rPr>
          <w:lang w:val="sr-Latn-RS"/>
        </w:rPr>
        <w:t xml:space="preserve"> (u gornji d</w:t>
      </w:r>
      <w:r w:rsidR="00242CA0">
        <w:rPr>
          <w:lang w:val="sr-Latn-RS"/>
        </w:rPr>
        <w:t>i</w:t>
      </w:r>
      <w:r w:rsidRPr="007D3B0A">
        <w:rPr>
          <w:lang w:val="sr-Latn-RS"/>
        </w:rPr>
        <w:t>o butina,</w:t>
      </w:r>
      <w:r>
        <w:rPr>
          <w:lang w:val="sr-Latn-RS"/>
        </w:rPr>
        <w:t xml:space="preserve"> spoljašnji d</w:t>
      </w:r>
      <w:r w:rsidR="00242CA0">
        <w:rPr>
          <w:lang w:val="sr-Latn-RS"/>
        </w:rPr>
        <w:t>i</w:t>
      </w:r>
      <w:r>
        <w:rPr>
          <w:lang w:val="sr-Latn-RS"/>
        </w:rPr>
        <w:t>o</w:t>
      </w:r>
      <w:r w:rsidRPr="007D3B0A">
        <w:rPr>
          <w:lang w:val="sr-Latn-RS"/>
        </w:rPr>
        <w:t xml:space="preserve"> nadlaktice ili abdomen, izb</w:t>
      </w:r>
      <w:r w:rsidR="00242CA0">
        <w:rPr>
          <w:lang w:val="sr-Latn-RS"/>
        </w:rPr>
        <w:t>j</w:t>
      </w:r>
      <w:r w:rsidRPr="007D3B0A">
        <w:rPr>
          <w:lang w:val="sr-Latn-RS"/>
        </w:rPr>
        <w:t>egavajući</w:t>
      </w:r>
      <w:r>
        <w:rPr>
          <w:lang w:val="sr-Latn-RS"/>
        </w:rPr>
        <w:t xml:space="preserve"> pred</w:t>
      </w:r>
      <w:r w:rsidR="00242CA0">
        <w:rPr>
          <w:lang w:val="sr-Latn-RS"/>
        </w:rPr>
        <w:t>i</w:t>
      </w:r>
      <w:r>
        <w:rPr>
          <w:lang w:val="sr-Latn-RS"/>
        </w:rPr>
        <w:t xml:space="preserve">o od </w:t>
      </w:r>
      <w:r w:rsidRPr="007D3B0A">
        <w:rPr>
          <w:lang w:val="sr-Latn-RS"/>
        </w:rPr>
        <w:t xml:space="preserve">5 cm </w:t>
      </w:r>
      <w:r>
        <w:rPr>
          <w:lang w:val="sr-Latn-RS"/>
        </w:rPr>
        <w:t>oko</w:t>
      </w:r>
      <w:r w:rsidRPr="007D3B0A">
        <w:rPr>
          <w:lang w:val="sr-Latn-RS"/>
        </w:rPr>
        <w:t xml:space="preserve"> pupka i</w:t>
      </w:r>
      <w:r>
        <w:rPr>
          <w:lang w:val="sr-Latn-RS"/>
        </w:rPr>
        <w:t xml:space="preserve"> pred</w:t>
      </w:r>
      <w:r w:rsidR="007A2B29">
        <w:rPr>
          <w:lang w:val="sr-Latn-RS"/>
        </w:rPr>
        <w:t>i</w:t>
      </w:r>
      <w:r>
        <w:rPr>
          <w:lang w:val="sr-Latn-RS"/>
        </w:rPr>
        <w:t xml:space="preserve">o </w:t>
      </w:r>
      <w:r w:rsidRPr="007D3B0A">
        <w:rPr>
          <w:lang w:val="sr-Latn-RS"/>
        </w:rPr>
        <w:t>struka).</w:t>
      </w:r>
    </w:p>
    <w:p w14:paraId="63DC5085" w14:textId="77777777" w:rsidR="00AA07A9" w:rsidRPr="00AE2963" w:rsidRDefault="00AA07A9">
      <w:pPr>
        <w:pStyle w:val="BodyText"/>
        <w:spacing w:before="5"/>
        <w:rPr>
          <w:sz w:val="20"/>
          <w:lang w:val="sr-Latn-RS"/>
        </w:rPr>
      </w:pPr>
    </w:p>
    <w:p w14:paraId="1609E3FF" w14:textId="66AADC2E" w:rsidR="00AA07A9" w:rsidRPr="00AE2963" w:rsidRDefault="00AE2963">
      <w:pPr>
        <w:pStyle w:val="Heading1"/>
        <w:ind w:left="311" w:firstLine="0"/>
        <w:rPr>
          <w:lang w:val="sr-Latn-RS"/>
        </w:rPr>
      </w:pPr>
      <w:r w:rsidRPr="00AE2963">
        <w:rPr>
          <w:lang w:val="sr-Latn-RS"/>
        </w:rPr>
        <w:t xml:space="preserve">Tabela 2: Priprema </w:t>
      </w:r>
      <w:r w:rsidR="00FA7CB8">
        <w:rPr>
          <w:lang w:val="sr-Latn-RS"/>
        </w:rPr>
        <w:t>lijek</w:t>
      </w:r>
      <w:r w:rsidRPr="00AE2963">
        <w:rPr>
          <w:lang w:val="sr-Latn-RS"/>
        </w:rPr>
        <w:t>a Ronapreve (kasirivimaba i imdevimaba) za su</w:t>
      </w:r>
      <w:r w:rsidR="00242CA0">
        <w:rPr>
          <w:lang w:val="sr-Latn-RS"/>
        </w:rPr>
        <w:t>b</w:t>
      </w:r>
      <w:r w:rsidRPr="00AE2963">
        <w:rPr>
          <w:lang w:val="sr-Latn-RS"/>
        </w:rPr>
        <w:t>kutanu injekciju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1890"/>
        <w:gridCol w:w="1253"/>
        <w:gridCol w:w="4885"/>
      </w:tblGrid>
      <w:tr w:rsidR="00AA07A9" w:rsidRPr="007613FE" w14:paraId="021FFA8B" w14:textId="77777777">
        <w:trPr>
          <w:trHeight w:val="820"/>
        </w:trPr>
        <w:tc>
          <w:tcPr>
            <w:tcW w:w="1467" w:type="dxa"/>
          </w:tcPr>
          <w:p w14:paraId="147C73C6" w14:textId="77777777" w:rsidR="00AA07A9" w:rsidRPr="00AE2963" w:rsidRDefault="00AA07A9">
            <w:pPr>
              <w:pStyle w:val="TableParagraph"/>
              <w:spacing w:before="7"/>
              <w:rPr>
                <w:b/>
                <w:sz w:val="24"/>
                <w:lang w:val="sr-Latn-RS"/>
              </w:rPr>
            </w:pPr>
          </w:p>
          <w:p w14:paraId="05722702" w14:textId="77777777" w:rsidR="00AA07A9" w:rsidRPr="00AE2963" w:rsidRDefault="00AE2963">
            <w:pPr>
              <w:pStyle w:val="TableParagraph"/>
              <w:spacing w:before="1"/>
              <w:ind w:left="9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90" w:type="dxa"/>
          </w:tcPr>
          <w:p w14:paraId="074F346C" w14:textId="77777777" w:rsidR="00AA07A9" w:rsidRPr="00AE2963" w:rsidRDefault="00AA07A9">
            <w:pPr>
              <w:pStyle w:val="TableParagraph"/>
              <w:spacing w:before="7"/>
              <w:rPr>
                <w:b/>
                <w:sz w:val="24"/>
                <w:lang w:val="sr-Latn-RS"/>
              </w:rPr>
            </w:pPr>
          </w:p>
          <w:p w14:paraId="049ACBA9" w14:textId="36F6F0E4" w:rsidR="00AA07A9" w:rsidRPr="00AE2963" w:rsidRDefault="00AE2963">
            <w:pPr>
              <w:pStyle w:val="TableParagraph"/>
              <w:spacing w:before="1"/>
              <w:ind w:left="45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 xml:space="preserve">Doza </w:t>
            </w:r>
            <w:r w:rsidR="00FA7CB8">
              <w:rPr>
                <w:b/>
                <w:bCs/>
                <w:lang w:val="sr-Latn-RS"/>
              </w:rPr>
              <w:t>lijek</w:t>
            </w:r>
            <w:r w:rsidRPr="00AE2963">
              <w:rPr>
                <w:b/>
                <w:bCs/>
                <w:lang w:val="sr-Latn-RS"/>
              </w:rPr>
              <w:t>a Ronapreve</w:t>
            </w:r>
          </w:p>
        </w:tc>
        <w:tc>
          <w:tcPr>
            <w:tcW w:w="1253" w:type="dxa"/>
          </w:tcPr>
          <w:p w14:paraId="4183BD41" w14:textId="77777777" w:rsidR="00AA07A9" w:rsidRPr="00AE2963" w:rsidRDefault="00AE2963">
            <w:pPr>
              <w:pStyle w:val="TableParagraph"/>
              <w:spacing w:before="29"/>
              <w:ind w:left="44" w:right="104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Ukupna zapremina za 1 dozu</w:t>
            </w:r>
          </w:p>
        </w:tc>
        <w:tc>
          <w:tcPr>
            <w:tcW w:w="4885" w:type="dxa"/>
          </w:tcPr>
          <w:p w14:paraId="76003C8E" w14:textId="5B1053E4" w:rsidR="00AA07A9" w:rsidRPr="00AE2963" w:rsidRDefault="00AE2963" w:rsidP="00FF34ED">
            <w:pPr>
              <w:pStyle w:val="TableParagraph"/>
              <w:spacing w:before="156"/>
              <w:ind w:left="44" w:right="97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Zapremina koju treba izvući iz svake bočice za pripremu 4 šprica</w:t>
            </w:r>
          </w:p>
        </w:tc>
      </w:tr>
      <w:tr w:rsidR="00AA07A9" w:rsidRPr="007613FE" w14:paraId="00BC2908" w14:textId="77777777">
        <w:trPr>
          <w:trHeight w:val="1831"/>
        </w:trPr>
        <w:tc>
          <w:tcPr>
            <w:tcW w:w="1467" w:type="dxa"/>
            <w:tcBorders>
              <w:bottom w:val="single" w:sz="4" w:space="0" w:color="000000"/>
            </w:tcBorders>
          </w:tcPr>
          <w:p w14:paraId="1FDB49CA" w14:textId="38BAEFE6" w:rsidR="00AA07A9" w:rsidRPr="00AE2963" w:rsidRDefault="00AE2963">
            <w:pPr>
              <w:pStyle w:val="TableParagraph"/>
              <w:spacing w:before="24"/>
              <w:ind w:left="9" w:right="192"/>
              <w:rPr>
                <w:lang w:val="sr-Latn-RS"/>
              </w:rPr>
            </w:pPr>
            <w:r w:rsidRPr="00AE2963">
              <w:rPr>
                <w:lang w:val="sr-Latn-RS"/>
              </w:rPr>
              <w:t>L</w:t>
            </w:r>
            <w:r w:rsidR="00242CA0"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ečenje, profilaksa nakon izlaganja (jedna doza), profilaksa pr</w:t>
            </w:r>
            <w:r w:rsidR="00242CA0"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 izlaganja (početna doza)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3AAA9311" w14:textId="77777777" w:rsidR="00AA07A9" w:rsidRPr="00AE2963" w:rsidRDefault="00AA07A9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3CD8C4FF" w14:textId="77777777" w:rsidR="00AA07A9" w:rsidRPr="00AE2963" w:rsidRDefault="00AA07A9">
            <w:pPr>
              <w:pStyle w:val="TableParagraph"/>
              <w:spacing w:before="11"/>
              <w:rPr>
                <w:b/>
                <w:sz w:val="21"/>
                <w:lang w:val="sr-Latn-RS"/>
              </w:rPr>
            </w:pPr>
          </w:p>
          <w:p w14:paraId="630A51F6" w14:textId="77777777" w:rsidR="00AA07A9" w:rsidRPr="00AE2963" w:rsidRDefault="00AE2963">
            <w:pPr>
              <w:pStyle w:val="TableParagraph"/>
              <w:ind w:left="45" w:right="79"/>
              <w:rPr>
                <w:lang w:val="sr-Latn-RS"/>
              </w:rPr>
            </w:pPr>
            <w:r w:rsidRPr="00AE2963">
              <w:rPr>
                <w:lang w:val="sr-Latn-RS"/>
              </w:rPr>
              <w:t>600 mg kasirivimaba i</w:t>
            </w:r>
          </w:p>
          <w:p w14:paraId="1DF736B7" w14:textId="77777777" w:rsidR="00AA07A9" w:rsidRPr="00AE2963" w:rsidRDefault="00AE2963">
            <w:pPr>
              <w:pStyle w:val="TableParagraph"/>
              <w:spacing w:before="1"/>
              <w:ind w:left="45"/>
              <w:rPr>
                <w:lang w:val="sr-Latn-RS"/>
              </w:rPr>
            </w:pPr>
            <w:r w:rsidRPr="00AE2963">
              <w:rPr>
                <w:lang w:val="sr-Latn-RS"/>
              </w:rPr>
              <w:t>600 mg imdevimaba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 w14:paraId="2FFAD6FC" w14:textId="77777777" w:rsidR="00AA07A9" w:rsidRPr="00AE2963" w:rsidRDefault="00AA07A9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4516467B" w14:textId="77777777" w:rsidR="00AA07A9" w:rsidRPr="00AE2963" w:rsidRDefault="00AA07A9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029ABAB9" w14:textId="77777777" w:rsidR="00AA07A9" w:rsidRPr="00AE2963" w:rsidRDefault="00AA07A9">
            <w:pPr>
              <w:pStyle w:val="TableParagraph"/>
              <w:spacing w:before="1"/>
              <w:rPr>
                <w:b/>
                <w:sz w:val="20"/>
                <w:lang w:val="sr-Latn-RS"/>
              </w:rPr>
            </w:pPr>
          </w:p>
          <w:p w14:paraId="04F9FD1D" w14:textId="7A0D0BFA" w:rsidR="00AA07A9" w:rsidRPr="00AE2963" w:rsidRDefault="00AE2963" w:rsidP="00FF34ED">
            <w:pPr>
              <w:pStyle w:val="TableParagraph"/>
              <w:ind w:left="334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10 </w:t>
            </w:r>
            <w:r w:rsidR="00B94782">
              <w:rPr>
                <w:lang w:val="sr-Latn-RS"/>
              </w:rPr>
              <w:t>ml</w:t>
            </w:r>
          </w:p>
        </w:tc>
        <w:tc>
          <w:tcPr>
            <w:tcW w:w="4885" w:type="dxa"/>
            <w:tcBorders>
              <w:bottom w:val="single" w:sz="4" w:space="0" w:color="000000"/>
            </w:tcBorders>
          </w:tcPr>
          <w:p w14:paraId="056FF3F8" w14:textId="77777777" w:rsidR="00AA07A9" w:rsidRPr="00AE2963" w:rsidRDefault="00AA07A9">
            <w:pPr>
              <w:pStyle w:val="TableParagraph"/>
              <w:spacing w:before="1"/>
              <w:rPr>
                <w:b/>
                <w:sz w:val="35"/>
                <w:lang w:val="sr-Latn-RS"/>
              </w:rPr>
            </w:pPr>
          </w:p>
          <w:p w14:paraId="32EF1E91" w14:textId="5B0FA434" w:rsidR="00AA07A9" w:rsidRPr="00AE2963" w:rsidRDefault="00AE2963" w:rsidP="00951828">
            <w:pPr>
              <w:pStyle w:val="TableParagraph"/>
              <w:ind w:left="44" w:right="57"/>
              <w:jc w:val="both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2,5 </w:t>
            </w:r>
            <w:r w:rsidR="00B94782">
              <w:rPr>
                <w:lang w:val="sr-Latn-RS"/>
              </w:rPr>
              <w:t>ml</w:t>
            </w:r>
            <w:r w:rsidR="00096FEC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>(2x) iz jedne</w:t>
            </w:r>
            <w:r w:rsidR="00FF34ED">
              <w:rPr>
                <w:lang w:val="sr-Latn-RS"/>
              </w:rPr>
              <w:t xml:space="preserve"> višedozne</w:t>
            </w:r>
            <w:r w:rsidRPr="00AE2963">
              <w:rPr>
                <w:lang w:val="sr-Latn-RS"/>
              </w:rPr>
              <w:t xml:space="preserve"> bočice kasirivimaba od 1332 mg </w:t>
            </w:r>
          </w:p>
          <w:p w14:paraId="1A747513" w14:textId="453ECE65" w:rsidR="00AA07A9" w:rsidRPr="00AE2963" w:rsidRDefault="00AE2963" w:rsidP="00951828">
            <w:pPr>
              <w:pStyle w:val="TableParagraph"/>
              <w:ind w:left="44" w:right="147"/>
              <w:jc w:val="both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2,5 </w:t>
            </w:r>
            <w:r w:rsidR="00B94782">
              <w:rPr>
                <w:lang w:val="sr-Latn-RS"/>
              </w:rPr>
              <w:t>ml</w:t>
            </w:r>
            <w:r w:rsidR="00096FEC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>(2x) iz jedne</w:t>
            </w:r>
            <w:r w:rsidR="00FF34ED">
              <w:rPr>
                <w:lang w:val="sr-Latn-RS"/>
              </w:rPr>
              <w:t xml:space="preserve"> višedozne</w:t>
            </w:r>
            <w:r w:rsidRPr="00AE2963">
              <w:rPr>
                <w:lang w:val="sr-Latn-RS"/>
              </w:rPr>
              <w:t xml:space="preserve"> bočice imdevimaba od 1332 mg </w:t>
            </w:r>
          </w:p>
        </w:tc>
      </w:tr>
      <w:tr w:rsidR="00AA07A9" w:rsidRPr="007613FE" w14:paraId="58573E83" w14:textId="77777777">
        <w:trPr>
          <w:trHeight w:val="10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430" w14:textId="77777777" w:rsidR="00AA07A9" w:rsidRPr="00AE2963" w:rsidRDefault="00AA07A9">
            <w:pPr>
              <w:pStyle w:val="TableParagraph"/>
              <w:spacing w:before="10"/>
              <w:rPr>
                <w:b/>
                <w:sz w:val="34"/>
                <w:lang w:val="sr-Latn-RS"/>
              </w:rPr>
            </w:pPr>
          </w:p>
          <w:p w14:paraId="13394CB1" w14:textId="77777777" w:rsidR="00AA07A9" w:rsidRPr="00AE2963" w:rsidRDefault="00AE2963">
            <w:pPr>
              <w:pStyle w:val="TableParagraph"/>
              <w:ind w:left="9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ECC8" w14:textId="77777777" w:rsidR="00AA07A9" w:rsidRPr="00AE2963" w:rsidRDefault="00AA07A9">
            <w:pPr>
              <w:pStyle w:val="TableParagraph"/>
              <w:spacing w:before="10"/>
              <w:rPr>
                <w:b/>
                <w:sz w:val="34"/>
                <w:lang w:val="sr-Latn-RS"/>
              </w:rPr>
            </w:pPr>
          </w:p>
          <w:p w14:paraId="676B7D42" w14:textId="7CF69503" w:rsidR="00AA07A9" w:rsidRPr="00AE2963" w:rsidRDefault="00AE2963">
            <w:pPr>
              <w:pStyle w:val="TableParagraph"/>
              <w:ind w:left="47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 xml:space="preserve">Doza </w:t>
            </w:r>
            <w:r w:rsidR="00FA7CB8">
              <w:rPr>
                <w:b/>
                <w:bCs/>
                <w:lang w:val="sr-Latn-RS"/>
              </w:rPr>
              <w:t>lijek</w:t>
            </w:r>
            <w:r w:rsidRPr="00AE2963">
              <w:rPr>
                <w:b/>
                <w:bCs/>
                <w:lang w:val="sr-Latn-RS"/>
              </w:rPr>
              <w:t>a Ronapreve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4D8E" w14:textId="77777777" w:rsidR="00AA07A9" w:rsidRPr="00AE2963" w:rsidRDefault="00AE2963">
            <w:pPr>
              <w:pStyle w:val="TableParagraph"/>
              <w:spacing w:before="149"/>
              <w:ind w:left="46" w:right="107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Ukupna zapremina za 1 dozu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EBD" w14:textId="77777777" w:rsidR="00AA07A9" w:rsidRPr="00AE2963" w:rsidRDefault="00AA07A9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52B72D72" w14:textId="5BEFF4D1" w:rsidR="00AA07A9" w:rsidRPr="00AE2963" w:rsidRDefault="00AE2963">
            <w:pPr>
              <w:pStyle w:val="TableParagraph"/>
              <w:spacing w:before="1"/>
              <w:ind w:left="46" w:right="100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Zapremina koju treba izvući iz svake</w:t>
            </w:r>
            <w:r w:rsidR="00FF34ED">
              <w:rPr>
                <w:b/>
                <w:bCs/>
                <w:lang w:val="sr-Latn-RS"/>
              </w:rPr>
              <w:t xml:space="preserve"> </w:t>
            </w:r>
            <w:r w:rsidRPr="00AE2963">
              <w:rPr>
                <w:b/>
                <w:bCs/>
                <w:lang w:val="sr-Latn-RS"/>
              </w:rPr>
              <w:t>bočice za pripremu 2 šprica</w:t>
            </w:r>
          </w:p>
        </w:tc>
      </w:tr>
      <w:tr w:rsidR="00AA07A9" w:rsidRPr="007613FE" w14:paraId="40525B96" w14:textId="77777777">
        <w:trPr>
          <w:trHeight w:val="107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819" w14:textId="2E0177F8" w:rsidR="00AA07A9" w:rsidRPr="00AE2963" w:rsidRDefault="00AE2963">
            <w:pPr>
              <w:pStyle w:val="TableParagraph"/>
              <w:spacing w:before="149"/>
              <w:ind w:left="9" w:right="267"/>
              <w:rPr>
                <w:lang w:val="sr-Latn-RS"/>
              </w:rPr>
            </w:pPr>
            <w:r w:rsidRPr="00AE2963">
              <w:rPr>
                <w:lang w:val="sr-Latn-RS"/>
              </w:rPr>
              <w:lastRenderedPageBreak/>
              <w:t>Profilaksa pr</w:t>
            </w:r>
            <w:r w:rsidR="00242CA0"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 izlaganja (ponovljena doza)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7F1F" w14:textId="77777777" w:rsidR="00AA07A9" w:rsidRPr="00AE2963" w:rsidRDefault="00AE2963">
            <w:pPr>
              <w:pStyle w:val="TableParagraph"/>
              <w:spacing w:before="149"/>
              <w:ind w:left="9" w:right="120"/>
              <w:rPr>
                <w:lang w:val="sr-Latn-RS"/>
              </w:rPr>
            </w:pPr>
            <w:r w:rsidRPr="00AE2963">
              <w:rPr>
                <w:lang w:val="sr-Latn-RS"/>
              </w:rPr>
              <w:t>300 mg kasirivimaba i</w:t>
            </w:r>
          </w:p>
          <w:p w14:paraId="2D26B283" w14:textId="77777777" w:rsidR="00AA07A9" w:rsidRPr="00AE2963" w:rsidRDefault="00AE2963">
            <w:pPr>
              <w:pStyle w:val="TableParagraph"/>
              <w:spacing w:before="1"/>
              <w:ind w:left="9"/>
              <w:rPr>
                <w:lang w:val="sr-Latn-RS"/>
              </w:rPr>
            </w:pPr>
            <w:r w:rsidRPr="00AE2963">
              <w:rPr>
                <w:lang w:val="sr-Latn-RS"/>
              </w:rPr>
              <w:t>300 mg imdevimaba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14CC" w14:textId="77777777" w:rsidR="00AA07A9" w:rsidRPr="00AE2963" w:rsidRDefault="00AA07A9">
            <w:pPr>
              <w:pStyle w:val="TableParagraph"/>
              <w:spacing w:before="1"/>
              <w:rPr>
                <w:b/>
                <w:sz w:val="35"/>
                <w:lang w:val="sr-Latn-RS"/>
              </w:rPr>
            </w:pPr>
          </w:p>
          <w:p w14:paraId="18799B59" w14:textId="150E8C83" w:rsidR="00AA07A9" w:rsidRPr="00AE2963" w:rsidRDefault="00AE2963">
            <w:pPr>
              <w:pStyle w:val="TableParagraph"/>
              <w:ind w:left="392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5 </w:t>
            </w:r>
            <w:r w:rsidR="00B94782">
              <w:rPr>
                <w:lang w:val="sr-Latn-RS"/>
              </w:rPr>
              <w:t>ml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5284" w14:textId="7BB5B089" w:rsidR="00AA07A9" w:rsidRPr="00AE2963" w:rsidRDefault="00AE2963" w:rsidP="00FF34ED">
            <w:pPr>
              <w:pStyle w:val="TableParagraph"/>
              <w:spacing w:before="22"/>
              <w:ind w:left="46" w:right="147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2,5 </w:t>
            </w:r>
            <w:r w:rsidR="00B94782">
              <w:rPr>
                <w:lang w:val="sr-Latn-RS"/>
              </w:rPr>
              <w:t>ml</w:t>
            </w:r>
            <w:r w:rsidR="00242CA0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 xml:space="preserve">iz jedne </w:t>
            </w:r>
            <w:r w:rsidR="00FF34ED">
              <w:rPr>
                <w:lang w:val="sr-Latn-RS"/>
              </w:rPr>
              <w:t>višedozne</w:t>
            </w:r>
            <w:r w:rsidR="00FF34ED" w:rsidRPr="00AE2963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 xml:space="preserve">bočice kasirivimaba od 1332 mg </w:t>
            </w:r>
          </w:p>
          <w:p w14:paraId="73EF59BB" w14:textId="035DB017" w:rsidR="00AA07A9" w:rsidRPr="00AE2963" w:rsidRDefault="00AE2963" w:rsidP="00FF34ED">
            <w:pPr>
              <w:pStyle w:val="TableParagraph"/>
              <w:spacing w:before="1"/>
              <w:ind w:left="46" w:right="147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2,5 </w:t>
            </w:r>
            <w:r w:rsidR="00B94782">
              <w:rPr>
                <w:lang w:val="sr-Latn-RS"/>
              </w:rPr>
              <w:t>ml</w:t>
            </w:r>
            <w:r w:rsidR="00242CA0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 xml:space="preserve">iz jedne </w:t>
            </w:r>
            <w:r w:rsidR="00FF34ED">
              <w:rPr>
                <w:lang w:val="sr-Latn-RS"/>
              </w:rPr>
              <w:t>višedozne</w:t>
            </w:r>
            <w:r w:rsidR="00FF34ED" w:rsidRPr="00AE2963">
              <w:rPr>
                <w:lang w:val="sr-Latn-RS"/>
              </w:rPr>
              <w:t xml:space="preserve"> </w:t>
            </w:r>
            <w:r w:rsidRPr="00AE2963">
              <w:rPr>
                <w:lang w:val="sr-Latn-RS"/>
              </w:rPr>
              <w:t xml:space="preserve">bočice imdevimaba od 1332 mg </w:t>
            </w:r>
          </w:p>
        </w:tc>
      </w:tr>
    </w:tbl>
    <w:p w14:paraId="32905EB0" w14:textId="77777777" w:rsidR="00AA07A9" w:rsidRPr="00AE2963" w:rsidRDefault="00AA07A9">
      <w:pPr>
        <w:pStyle w:val="BodyText"/>
        <w:spacing w:before="9"/>
        <w:rPr>
          <w:b/>
          <w:sz w:val="21"/>
          <w:lang w:val="sr-Latn-RS"/>
        </w:rPr>
      </w:pPr>
    </w:p>
    <w:p w14:paraId="678D4D91" w14:textId="2686210C" w:rsidR="00AA07A9" w:rsidRPr="003A734F" w:rsidRDefault="003A734F" w:rsidP="003A734F">
      <w:pPr>
        <w:tabs>
          <w:tab w:val="left" w:pos="851"/>
          <w:tab w:val="left" w:pos="852"/>
        </w:tabs>
        <w:rPr>
          <w:b/>
          <w:lang w:val="sr-Latn-RS"/>
        </w:rPr>
      </w:pPr>
      <w:r>
        <w:rPr>
          <w:b/>
          <w:bCs/>
          <w:lang w:val="sr-Latn-RS"/>
        </w:rPr>
        <w:t xml:space="preserve">     4.3. </w:t>
      </w:r>
      <w:r w:rsidR="00AE2963" w:rsidRPr="003A734F">
        <w:rPr>
          <w:b/>
          <w:bCs/>
          <w:lang w:val="sr-Latn-RS"/>
        </w:rPr>
        <w:t>Kontraindikacije</w:t>
      </w:r>
    </w:p>
    <w:p w14:paraId="32E5A664" w14:textId="77777777" w:rsidR="00AA07A9" w:rsidRPr="00AE2963" w:rsidRDefault="00AA07A9">
      <w:pPr>
        <w:pStyle w:val="BodyText"/>
        <w:spacing w:before="7"/>
        <w:rPr>
          <w:b/>
          <w:sz w:val="21"/>
          <w:lang w:val="sr-Latn-RS"/>
        </w:rPr>
      </w:pPr>
    </w:p>
    <w:p w14:paraId="2F2D27B1" w14:textId="43CDC466" w:rsidR="00AA07A9" w:rsidRPr="004919D6" w:rsidRDefault="00AE2963" w:rsidP="00242CA0">
      <w:pPr>
        <w:pStyle w:val="BodyText"/>
        <w:ind w:left="311" w:right="970"/>
        <w:jc w:val="both"/>
        <w:rPr>
          <w:lang w:val="sr-Latn-RS"/>
        </w:rPr>
      </w:pPr>
      <w:r w:rsidRPr="00FF34ED">
        <w:rPr>
          <w:lang w:val="sr-Latn-RS"/>
        </w:rPr>
        <w:t>Preos</w:t>
      </w:r>
      <w:r w:rsidR="00242CA0">
        <w:rPr>
          <w:lang w:val="sr-Latn-RS"/>
        </w:rPr>
        <w:t>j</w:t>
      </w:r>
      <w:r w:rsidRPr="00FF34ED">
        <w:rPr>
          <w:lang w:val="sr-Latn-RS"/>
        </w:rPr>
        <w:t xml:space="preserve">etljivost na aktivne supstance ili </w:t>
      </w:r>
      <w:r w:rsidR="00FF34ED" w:rsidRPr="004919D6">
        <w:rPr>
          <w:lang w:val="sr-Latn-RS"/>
        </w:rPr>
        <w:t>na bilo koju</w:t>
      </w:r>
      <w:r w:rsidRPr="004919D6">
        <w:rPr>
          <w:lang w:val="sr-Latn-RS"/>
        </w:rPr>
        <w:t xml:space="preserve"> od pomoćnih supstanci navedenih u </w:t>
      </w:r>
      <w:r w:rsidR="00242CA0">
        <w:rPr>
          <w:lang w:val="sr-Latn-RS"/>
        </w:rPr>
        <w:t>dijelu</w:t>
      </w:r>
      <w:r w:rsidR="00242CA0" w:rsidRPr="004919D6">
        <w:rPr>
          <w:lang w:val="sr-Latn-RS"/>
        </w:rPr>
        <w:t xml:space="preserve"> </w:t>
      </w:r>
      <w:r w:rsidRPr="004919D6">
        <w:rPr>
          <w:lang w:val="sr-Latn-RS"/>
        </w:rPr>
        <w:t>6.1.</w:t>
      </w:r>
    </w:p>
    <w:p w14:paraId="71AA8582" w14:textId="77777777" w:rsidR="00C87375" w:rsidRPr="004919D6" w:rsidRDefault="00C87375" w:rsidP="00951828">
      <w:pPr>
        <w:pStyle w:val="BodyText"/>
        <w:ind w:left="311"/>
        <w:jc w:val="both"/>
        <w:rPr>
          <w:lang w:val="sr-Latn-RS"/>
        </w:rPr>
      </w:pPr>
    </w:p>
    <w:p w14:paraId="45FC227F" w14:textId="642172D4" w:rsidR="00AA07A9" w:rsidRPr="004919D6" w:rsidRDefault="003A734F" w:rsidP="00951828">
      <w:pPr>
        <w:pStyle w:val="Heading1"/>
        <w:tabs>
          <w:tab w:val="left" w:pos="851"/>
          <w:tab w:val="left" w:pos="852"/>
        </w:tabs>
        <w:spacing w:before="78"/>
        <w:jc w:val="both"/>
        <w:rPr>
          <w:lang w:val="sr-Latn-RS"/>
        </w:rPr>
      </w:pPr>
      <w:r w:rsidRPr="004919D6">
        <w:rPr>
          <w:lang w:val="sr-Latn-RS"/>
        </w:rPr>
        <w:t xml:space="preserve">4.4. </w:t>
      </w:r>
      <w:r w:rsidR="00AE2963" w:rsidRPr="004919D6">
        <w:rPr>
          <w:lang w:val="sr-Latn-RS"/>
        </w:rPr>
        <w:t>Posebna upozorenja i m</w:t>
      </w:r>
      <w:r w:rsidR="00797F56">
        <w:rPr>
          <w:lang w:val="sr-Latn-RS"/>
        </w:rPr>
        <w:t>j</w:t>
      </w:r>
      <w:r w:rsidR="00AE2963" w:rsidRPr="004919D6">
        <w:rPr>
          <w:lang w:val="sr-Latn-RS"/>
        </w:rPr>
        <w:t>ere opreza pri upotrebi l</w:t>
      </w:r>
      <w:r w:rsidR="00797F56">
        <w:rPr>
          <w:lang w:val="sr-Latn-RS"/>
        </w:rPr>
        <w:t>ij</w:t>
      </w:r>
      <w:r w:rsidR="00AE2963" w:rsidRPr="004919D6">
        <w:rPr>
          <w:lang w:val="sr-Latn-RS"/>
        </w:rPr>
        <w:t>eka</w:t>
      </w:r>
    </w:p>
    <w:p w14:paraId="74C441F8" w14:textId="77777777" w:rsidR="00AA07A9" w:rsidRPr="00951828" w:rsidRDefault="00AA07A9" w:rsidP="00951828">
      <w:pPr>
        <w:pStyle w:val="BodyText"/>
        <w:spacing w:before="7"/>
        <w:jc w:val="both"/>
        <w:rPr>
          <w:b/>
          <w:lang w:val="sr-Latn-RS"/>
        </w:rPr>
      </w:pPr>
    </w:p>
    <w:p w14:paraId="2823AD26" w14:textId="47F46847" w:rsidR="00AA07A9" w:rsidRPr="00FF34ED" w:rsidRDefault="00AE2963" w:rsidP="00951828">
      <w:pPr>
        <w:pStyle w:val="BodyText"/>
        <w:ind w:left="311"/>
        <w:jc w:val="both"/>
        <w:rPr>
          <w:lang w:val="sr-Latn-RS"/>
        </w:rPr>
      </w:pPr>
      <w:r w:rsidRPr="00FF34ED">
        <w:rPr>
          <w:u w:val="single"/>
          <w:lang w:val="sr-Latn-RS"/>
        </w:rPr>
        <w:t>Sl</w:t>
      </w:r>
      <w:r w:rsidR="00242CA0">
        <w:rPr>
          <w:u w:val="single"/>
          <w:lang w:val="sr-Latn-RS"/>
        </w:rPr>
        <w:t>j</w:t>
      </w:r>
      <w:r w:rsidRPr="00FF34ED">
        <w:rPr>
          <w:u w:val="single"/>
          <w:lang w:val="sr-Latn-RS"/>
        </w:rPr>
        <w:t>edivost</w:t>
      </w:r>
    </w:p>
    <w:p w14:paraId="7BB64D90" w14:textId="77777777" w:rsidR="00AA07A9" w:rsidRPr="00951828" w:rsidRDefault="00AA07A9" w:rsidP="00951828">
      <w:pPr>
        <w:pStyle w:val="BodyText"/>
        <w:spacing w:before="1"/>
        <w:jc w:val="both"/>
        <w:rPr>
          <w:lang w:val="sr-Latn-RS"/>
        </w:rPr>
      </w:pPr>
    </w:p>
    <w:p w14:paraId="1BCA8773" w14:textId="767ECE4E" w:rsidR="00AA07A9" w:rsidRPr="004919D6" w:rsidRDefault="00AE2963" w:rsidP="00951828">
      <w:pPr>
        <w:pStyle w:val="BodyText"/>
        <w:spacing w:before="91"/>
        <w:ind w:left="311" w:right="970"/>
        <w:jc w:val="both"/>
        <w:rPr>
          <w:lang w:val="sr-Latn-RS"/>
        </w:rPr>
      </w:pPr>
      <w:r w:rsidRPr="00FF34ED">
        <w:rPr>
          <w:lang w:val="sr-Latn-RS"/>
        </w:rPr>
        <w:t>Kako bi se poboljšala sl</w:t>
      </w:r>
      <w:r w:rsidR="00242CA0">
        <w:rPr>
          <w:lang w:val="sr-Latn-RS"/>
        </w:rPr>
        <w:t>j</w:t>
      </w:r>
      <w:r w:rsidRPr="00FF34ED">
        <w:rPr>
          <w:lang w:val="sr-Latn-RS"/>
        </w:rPr>
        <w:t xml:space="preserve">edivost bioloških </w:t>
      </w:r>
      <w:r w:rsidR="00FA7CB8">
        <w:rPr>
          <w:lang w:val="sr-Latn-RS"/>
        </w:rPr>
        <w:t>ljekov</w:t>
      </w:r>
      <w:r w:rsidRPr="00FF34ED">
        <w:rPr>
          <w:lang w:val="sr-Latn-RS"/>
        </w:rPr>
        <w:t>a, potrebno je jasno zab</w:t>
      </w:r>
      <w:r w:rsidR="00242CA0">
        <w:rPr>
          <w:lang w:val="sr-Latn-RS"/>
        </w:rPr>
        <w:t>i</w:t>
      </w:r>
      <w:r w:rsidRPr="00FF34ED">
        <w:rPr>
          <w:lang w:val="sr-Latn-RS"/>
        </w:rPr>
        <w:t>l</w:t>
      </w:r>
      <w:r w:rsidR="00242CA0">
        <w:rPr>
          <w:lang w:val="sr-Latn-RS"/>
        </w:rPr>
        <w:t>j</w:t>
      </w:r>
      <w:r w:rsidRPr="00FF34ED">
        <w:rPr>
          <w:lang w:val="sr-Latn-RS"/>
        </w:rPr>
        <w:t xml:space="preserve">ežiti naziv i broj serije </w:t>
      </w:r>
      <w:r w:rsidR="00FA7CB8">
        <w:rPr>
          <w:lang w:val="sr-Latn-RS"/>
        </w:rPr>
        <w:t>prim</w:t>
      </w:r>
      <w:r w:rsidR="00242CA0">
        <w:rPr>
          <w:lang w:val="sr-Latn-RS"/>
        </w:rPr>
        <w:t>i</w:t>
      </w:r>
      <w:r w:rsidR="00FA7CB8">
        <w:rPr>
          <w:lang w:val="sr-Latn-RS"/>
        </w:rPr>
        <w:t>jen</w:t>
      </w:r>
      <w:r w:rsidRPr="00FF34ED">
        <w:rPr>
          <w:lang w:val="sr-Latn-RS"/>
        </w:rPr>
        <w:t xml:space="preserve">jenog </w:t>
      </w:r>
      <w:r w:rsidR="00FA7CB8">
        <w:rPr>
          <w:lang w:val="sr-Latn-RS"/>
        </w:rPr>
        <w:t>lijek</w:t>
      </w:r>
      <w:r w:rsidRPr="00FF34ED">
        <w:rPr>
          <w:lang w:val="sr-Latn-RS"/>
        </w:rPr>
        <w:t>a.</w:t>
      </w:r>
    </w:p>
    <w:p w14:paraId="43BAFD40" w14:textId="77777777" w:rsidR="00AA07A9" w:rsidRPr="004919D6" w:rsidRDefault="00AA07A9" w:rsidP="00951828">
      <w:pPr>
        <w:pStyle w:val="BodyText"/>
        <w:jc w:val="both"/>
        <w:rPr>
          <w:lang w:val="sr-Latn-RS"/>
        </w:rPr>
      </w:pPr>
    </w:p>
    <w:p w14:paraId="5844076D" w14:textId="77777777" w:rsidR="008D327C" w:rsidRPr="00A53883" w:rsidRDefault="008D327C" w:rsidP="00DB12CA">
      <w:pPr>
        <w:pStyle w:val="BodyText"/>
        <w:ind w:left="311"/>
        <w:jc w:val="both"/>
        <w:rPr>
          <w:u w:val="single"/>
          <w:lang w:val="sr-Latn-RS"/>
        </w:rPr>
      </w:pPr>
      <w:r w:rsidRPr="00A53883">
        <w:rPr>
          <w:u w:val="single"/>
          <w:lang w:val="sr-Latn-RS"/>
        </w:rPr>
        <w:t>Aktivno</w:t>
      </w:r>
      <w:r>
        <w:rPr>
          <w:u w:val="single"/>
          <w:lang w:val="sr-Latn-RS"/>
        </w:rPr>
        <w:t>st protiv varijanti virusa SARS-</w:t>
      </w:r>
      <w:r w:rsidRPr="00A53883">
        <w:rPr>
          <w:u w:val="single"/>
          <w:lang w:val="sr-Latn-RS"/>
        </w:rPr>
        <w:t>CoV 2</w:t>
      </w:r>
    </w:p>
    <w:p w14:paraId="44DDD782" w14:textId="77777777" w:rsidR="008D327C" w:rsidRPr="00A53883" w:rsidRDefault="008D327C" w:rsidP="00DB12CA">
      <w:pPr>
        <w:pStyle w:val="BodyText"/>
        <w:ind w:left="311"/>
        <w:jc w:val="both"/>
        <w:rPr>
          <w:u w:val="single"/>
          <w:lang w:val="sr-Latn-RS"/>
        </w:rPr>
      </w:pPr>
    </w:p>
    <w:p w14:paraId="0DA17A2F" w14:textId="77777777" w:rsidR="008D327C" w:rsidRPr="00096FEC" w:rsidRDefault="008D327C" w:rsidP="00DB12CA">
      <w:pPr>
        <w:pStyle w:val="BodyText"/>
        <w:ind w:left="311"/>
        <w:jc w:val="both"/>
        <w:rPr>
          <w:lang w:val="sr-Latn-RS"/>
        </w:rPr>
      </w:pPr>
      <w:r w:rsidRPr="00096FEC">
        <w:rPr>
          <w:lang w:val="sr-Latn-RS"/>
        </w:rPr>
        <w:t>Prilikom donošenja odluka o primjeni lijeka Ronapreve za liječenje ili profilaksu potrebno je razmotriti</w:t>
      </w:r>
    </w:p>
    <w:p w14:paraId="6721E654" w14:textId="77777777" w:rsidR="00BE221C" w:rsidRDefault="008D327C" w:rsidP="00DB12CA">
      <w:pPr>
        <w:pStyle w:val="BodyText"/>
        <w:ind w:left="311"/>
        <w:jc w:val="both"/>
        <w:rPr>
          <w:lang w:val="sr-Latn-RS"/>
        </w:rPr>
      </w:pPr>
      <w:r w:rsidRPr="00096FEC">
        <w:rPr>
          <w:lang w:val="sr-Latn-RS"/>
        </w:rPr>
        <w:t>poznate činjenice o karakteristikama cirkulišućih varijanti virusa SARS-CoV-2, uključujući</w:t>
      </w:r>
      <w:r w:rsidR="00BE221C">
        <w:rPr>
          <w:lang w:val="sr-Latn-RS"/>
        </w:rPr>
        <w:t xml:space="preserve"> </w:t>
      </w:r>
    </w:p>
    <w:p w14:paraId="5222EE76" w14:textId="0BF8E97C" w:rsidR="008D327C" w:rsidRPr="00096FEC" w:rsidRDefault="008D327C" w:rsidP="00DB12CA">
      <w:pPr>
        <w:pStyle w:val="BodyText"/>
        <w:ind w:left="311"/>
        <w:jc w:val="both"/>
        <w:rPr>
          <w:lang w:val="sr-Latn-RS"/>
        </w:rPr>
      </w:pPr>
      <w:r w:rsidRPr="00096FEC">
        <w:rPr>
          <w:lang w:val="sr-Latn-RS"/>
        </w:rPr>
        <w:t xml:space="preserve">regionalne ili geografske različitosti, i dostupne informacije o obrascima osjetljivosti na lijek Ronapreve. </w:t>
      </w:r>
    </w:p>
    <w:p w14:paraId="2122FF4F" w14:textId="34171FF5" w:rsidR="008D327C" w:rsidRPr="00096FEC" w:rsidRDefault="00096FEC" w:rsidP="00DB12CA">
      <w:pPr>
        <w:pStyle w:val="BodyText"/>
        <w:ind w:left="311"/>
        <w:jc w:val="both"/>
        <w:rPr>
          <w:lang w:val="sr-Latn-RS"/>
        </w:rPr>
      </w:pPr>
      <w:r>
        <w:rPr>
          <w:lang w:val="sr-Latn-RS"/>
        </w:rPr>
        <w:t>(v</w:t>
      </w:r>
      <w:r w:rsidR="008D327C" w:rsidRPr="00096FEC">
        <w:rPr>
          <w:lang w:val="sr-Latn-RS"/>
        </w:rPr>
        <w:t>idjeti dio 5.1</w:t>
      </w:r>
      <w:r>
        <w:rPr>
          <w:lang w:val="sr-Latn-RS"/>
        </w:rPr>
        <w:t>)</w:t>
      </w:r>
      <w:r w:rsidR="008D327C" w:rsidRPr="00096FEC">
        <w:rPr>
          <w:lang w:val="sr-Latn-RS"/>
        </w:rPr>
        <w:t>.</w:t>
      </w:r>
    </w:p>
    <w:p w14:paraId="56A93664" w14:textId="77777777" w:rsidR="008D327C" w:rsidRPr="00096FEC" w:rsidRDefault="008D327C" w:rsidP="00DB12CA">
      <w:pPr>
        <w:pStyle w:val="BodyText"/>
        <w:ind w:left="311"/>
        <w:jc w:val="both"/>
        <w:rPr>
          <w:lang w:val="sr-Latn-RS"/>
        </w:rPr>
      </w:pPr>
    </w:p>
    <w:p w14:paraId="3498791D" w14:textId="77777777" w:rsidR="008D327C" w:rsidRPr="00096FEC" w:rsidRDefault="008D327C" w:rsidP="00DB12CA">
      <w:pPr>
        <w:pStyle w:val="BodyText"/>
        <w:ind w:left="311"/>
        <w:jc w:val="both"/>
        <w:rPr>
          <w:lang w:val="sr-Latn-RS"/>
        </w:rPr>
      </w:pPr>
      <w:r w:rsidRPr="00096FEC">
        <w:rPr>
          <w:lang w:val="sr-Latn-RS"/>
        </w:rPr>
        <w:t xml:space="preserve">Ako su dostupni nalazi molekularnog testiranja ili sekvenciranja, treba ih uzeti u obzir kod odabira </w:t>
      </w:r>
    </w:p>
    <w:p w14:paraId="586B1EC2" w14:textId="77777777" w:rsidR="008D327C" w:rsidRPr="00096FEC" w:rsidRDefault="008D327C" w:rsidP="00DB12CA">
      <w:pPr>
        <w:pStyle w:val="BodyText"/>
        <w:ind w:left="311"/>
        <w:jc w:val="both"/>
        <w:rPr>
          <w:lang w:val="sr-Latn-RS"/>
        </w:rPr>
      </w:pPr>
      <w:r w:rsidRPr="00096FEC">
        <w:rPr>
          <w:lang w:val="sr-Latn-RS"/>
        </w:rPr>
        <w:t xml:space="preserve">antivirusne terapije kako bi se isključile varijante virusa SARS-CoV-2 koje su pokazale manju </w:t>
      </w:r>
    </w:p>
    <w:p w14:paraId="2087CE6C" w14:textId="77777777" w:rsidR="008D327C" w:rsidRPr="00096FEC" w:rsidRDefault="008D327C" w:rsidP="00DB12CA">
      <w:pPr>
        <w:pStyle w:val="BodyText"/>
        <w:ind w:left="311"/>
        <w:jc w:val="both"/>
        <w:rPr>
          <w:lang w:val="sr-Latn-RS"/>
        </w:rPr>
      </w:pPr>
      <w:r w:rsidRPr="00096FEC">
        <w:rPr>
          <w:lang w:val="sr-Latn-RS"/>
        </w:rPr>
        <w:t>osjetljivost na lijek Ronapreve.</w:t>
      </w:r>
    </w:p>
    <w:p w14:paraId="1506C5D3" w14:textId="77777777" w:rsidR="008D327C" w:rsidRDefault="008D327C" w:rsidP="008D327C">
      <w:pPr>
        <w:pStyle w:val="BodyText"/>
        <w:ind w:left="311"/>
        <w:rPr>
          <w:u w:val="single"/>
          <w:lang w:val="sr-Latn-RS"/>
        </w:rPr>
      </w:pPr>
    </w:p>
    <w:p w14:paraId="77925C1C" w14:textId="3B136FE8" w:rsidR="00AA07A9" w:rsidRPr="004919D6" w:rsidRDefault="00AE2963" w:rsidP="00951828">
      <w:pPr>
        <w:pStyle w:val="BodyText"/>
        <w:ind w:left="311"/>
        <w:jc w:val="both"/>
        <w:rPr>
          <w:lang w:val="sr-Latn-RS"/>
        </w:rPr>
      </w:pPr>
      <w:r w:rsidRPr="004919D6">
        <w:rPr>
          <w:u w:val="single"/>
          <w:lang w:val="sr-Latn-RS"/>
        </w:rPr>
        <w:t>Su</w:t>
      </w:r>
      <w:r w:rsidR="00242CA0">
        <w:rPr>
          <w:u w:val="single"/>
          <w:lang w:val="sr-Latn-RS"/>
        </w:rPr>
        <w:t>b</w:t>
      </w:r>
      <w:r w:rsidRPr="004919D6">
        <w:rPr>
          <w:u w:val="single"/>
          <w:lang w:val="sr-Latn-RS"/>
        </w:rPr>
        <w:t xml:space="preserve">kutana </w:t>
      </w:r>
      <w:r w:rsidR="00FA7CB8">
        <w:rPr>
          <w:u w:val="single"/>
          <w:lang w:val="sr-Latn-RS"/>
        </w:rPr>
        <w:t>primjen</w:t>
      </w:r>
      <w:r w:rsidR="00096FEC">
        <w:rPr>
          <w:u w:val="single"/>
          <w:lang w:val="sr-Latn-RS"/>
        </w:rPr>
        <w:t>a za l</w:t>
      </w:r>
      <w:r w:rsidR="00242CA0">
        <w:rPr>
          <w:u w:val="single"/>
          <w:lang w:val="sr-Latn-RS"/>
        </w:rPr>
        <w:t>ij</w:t>
      </w:r>
      <w:r w:rsidR="00096FEC">
        <w:rPr>
          <w:u w:val="single"/>
          <w:lang w:val="sr-Latn-RS"/>
        </w:rPr>
        <w:t>e</w:t>
      </w:r>
      <w:r w:rsidRPr="004919D6">
        <w:rPr>
          <w:u w:val="single"/>
          <w:lang w:val="sr-Latn-RS"/>
        </w:rPr>
        <w:t xml:space="preserve">čenje </w:t>
      </w:r>
      <w:r w:rsidR="00FF34ED" w:rsidRPr="004919D6">
        <w:rPr>
          <w:u w:val="single"/>
          <w:lang w:val="sr-Latn-RS"/>
        </w:rPr>
        <w:t>bolesti COVID-19</w:t>
      </w:r>
    </w:p>
    <w:p w14:paraId="44E49289" w14:textId="77777777" w:rsidR="00AA07A9" w:rsidRPr="00951828" w:rsidRDefault="00AA07A9" w:rsidP="00951828">
      <w:pPr>
        <w:pStyle w:val="BodyText"/>
        <w:jc w:val="both"/>
        <w:rPr>
          <w:lang w:val="sr-Latn-RS"/>
        </w:rPr>
      </w:pPr>
    </w:p>
    <w:p w14:paraId="2C5ED73C" w14:textId="65139863" w:rsidR="004919D6" w:rsidRPr="007D3B0A" w:rsidRDefault="004919D6" w:rsidP="00951828">
      <w:pPr>
        <w:pStyle w:val="BodyText"/>
        <w:spacing w:before="91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Klinička efikasnost </w:t>
      </w:r>
      <w:r w:rsidR="00FA7CB8">
        <w:rPr>
          <w:lang w:val="sr-Latn-RS"/>
        </w:rPr>
        <w:t>lijek</w:t>
      </w:r>
      <w:r w:rsidRPr="007D3B0A">
        <w:rPr>
          <w:lang w:val="sr-Latn-RS"/>
        </w:rPr>
        <w:t>a Ronapreve kada se daje su</w:t>
      </w:r>
      <w:r w:rsidR="00242CA0">
        <w:rPr>
          <w:lang w:val="sr-Latn-RS"/>
        </w:rPr>
        <w:t>b</w:t>
      </w:r>
      <w:r w:rsidRPr="007D3B0A">
        <w:rPr>
          <w:lang w:val="sr-Latn-RS"/>
        </w:rPr>
        <w:t>kutano u l</w:t>
      </w:r>
      <w:r w:rsidR="00242CA0">
        <w:rPr>
          <w:lang w:val="sr-Latn-RS"/>
        </w:rPr>
        <w:t>ij</w:t>
      </w:r>
      <w:r w:rsidRPr="007D3B0A">
        <w:rPr>
          <w:lang w:val="sr-Latn-RS"/>
        </w:rPr>
        <w:t xml:space="preserve">ečenju </w:t>
      </w:r>
      <w:r>
        <w:rPr>
          <w:lang w:val="sr-Latn-RS"/>
        </w:rPr>
        <w:t>bolesti COVID-1</w:t>
      </w:r>
      <w:r w:rsidRPr="007D3B0A">
        <w:rPr>
          <w:lang w:val="sr-Latn-RS"/>
        </w:rPr>
        <w:t>9 nije proc</w:t>
      </w:r>
      <w:r w:rsidR="00242CA0">
        <w:rPr>
          <w:lang w:val="sr-Latn-RS"/>
        </w:rPr>
        <w:t>ij</w:t>
      </w:r>
      <w:r w:rsidRPr="007D3B0A">
        <w:rPr>
          <w:lang w:val="sr-Latn-RS"/>
        </w:rPr>
        <w:t>enjena u kliničkim ispitivanjima (</w:t>
      </w:r>
      <w:r>
        <w:rPr>
          <w:lang w:val="sr-Latn-RS"/>
        </w:rPr>
        <w:t>vid</w:t>
      </w:r>
      <w:r w:rsidR="00242CA0">
        <w:rPr>
          <w:lang w:val="sr-Latn-RS"/>
        </w:rPr>
        <w:t>j</w:t>
      </w:r>
      <w:r>
        <w:rPr>
          <w:lang w:val="sr-Latn-RS"/>
        </w:rPr>
        <w:t>eti</w:t>
      </w:r>
      <w:r w:rsidRPr="007D3B0A">
        <w:rPr>
          <w:lang w:val="sr-Latn-RS"/>
        </w:rPr>
        <w:t xml:space="preserve"> </w:t>
      </w:r>
      <w:r w:rsidR="00FA7CB8">
        <w:rPr>
          <w:lang w:val="sr-Latn-RS"/>
        </w:rPr>
        <w:t>dio</w:t>
      </w:r>
      <w:r w:rsidRPr="007D3B0A">
        <w:rPr>
          <w:lang w:val="sr-Latn-RS"/>
        </w:rPr>
        <w:t xml:space="preserve"> 5.1). Farmakokinetika kasirivimaba i imdevimaba u prvih 48 sati nakon su</w:t>
      </w:r>
      <w:r w:rsidR="00242CA0">
        <w:rPr>
          <w:lang w:val="sr-Latn-RS"/>
        </w:rPr>
        <w:t>b</w:t>
      </w:r>
      <w:r w:rsidRPr="007D3B0A">
        <w:rPr>
          <w:lang w:val="sr-Latn-RS"/>
        </w:rPr>
        <w:t xml:space="preserve">kutane </w:t>
      </w:r>
      <w:r w:rsidR="00FA7CB8">
        <w:rPr>
          <w:lang w:val="sr-Latn-RS"/>
        </w:rPr>
        <w:t>primjen</w:t>
      </w:r>
      <w:r w:rsidRPr="007D3B0A">
        <w:rPr>
          <w:lang w:val="sr-Latn-RS"/>
        </w:rPr>
        <w:t>e 600 mg svakog monoklonskog antit</w:t>
      </w:r>
      <w:r w:rsidR="00242CA0">
        <w:rPr>
          <w:lang w:val="sr-Latn-RS"/>
        </w:rPr>
        <w:t>ij</w:t>
      </w:r>
      <w:r w:rsidRPr="007D3B0A">
        <w:rPr>
          <w:lang w:val="sr-Latn-RS"/>
        </w:rPr>
        <w:t xml:space="preserve">ela ukazuje na niže </w:t>
      </w:r>
      <w:r>
        <w:rPr>
          <w:lang w:val="sr-Latn-RS"/>
        </w:rPr>
        <w:t xml:space="preserve">nivoe serumske </w:t>
      </w:r>
      <w:r w:rsidRPr="007D3B0A">
        <w:rPr>
          <w:lang w:val="sr-Latn-RS"/>
        </w:rPr>
        <w:t>izloženosti</w:t>
      </w:r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u poređenju sa intravenskom </w:t>
      </w:r>
      <w:r w:rsidR="00FA7CB8">
        <w:rPr>
          <w:lang w:val="sr-Latn-RS"/>
        </w:rPr>
        <w:t>primjen</w:t>
      </w:r>
      <w:r w:rsidRPr="007D3B0A">
        <w:rPr>
          <w:lang w:val="sr-Latn-RS"/>
        </w:rPr>
        <w:t>om iste doze. Nije poznato da li razlike u inicijalnoj sistemskoj izloženosti dovode do razlika u kliničkoj efikasnosti. Preporučuje se da se su</w:t>
      </w:r>
      <w:r w:rsidR="00242CA0">
        <w:rPr>
          <w:lang w:val="sr-Latn-RS"/>
        </w:rPr>
        <w:t>b</w:t>
      </w:r>
      <w:r w:rsidRPr="007D3B0A">
        <w:rPr>
          <w:lang w:val="sr-Latn-RS"/>
        </w:rPr>
        <w:t xml:space="preserve">kutani način </w:t>
      </w:r>
      <w:r w:rsidR="00FA7CB8">
        <w:rPr>
          <w:lang w:val="sr-Latn-RS"/>
        </w:rPr>
        <w:t>primjen</w:t>
      </w:r>
      <w:r w:rsidRPr="007D3B0A">
        <w:rPr>
          <w:lang w:val="sr-Latn-RS"/>
        </w:rPr>
        <w:t xml:space="preserve">e koristi samo kada intravenska </w:t>
      </w:r>
      <w:r w:rsidR="00FA7CB8">
        <w:rPr>
          <w:lang w:val="sr-Latn-RS"/>
        </w:rPr>
        <w:t>primjen</w:t>
      </w:r>
      <w:r w:rsidRPr="007D3B0A">
        <w:rPr>
          <w:lang w:val="sr-Latn-RS"/>
        </w:rPr>
        <w:t>a nije</w:t>
      </w:r>
      <w:r>
        <w:rPr>
          <w:lang w:val="sr-Latn-RS"/>
        </w:rPr>
        <w:t xml:space="preserve"> moguća</w:t>
      </w:r>
      <w:r w:rsidRPr="007D3B0A">
        <w:rPr>
          <w:lang w:val="sr-Latn-RS"/>
        </w:rPr>
        <w:t xml:space="preserve"> i kada bi dovela do odlaganja terapije.</w:t>
      </w:r>
    </w:p>
    <w:p w14:paraId="38AC3D54" w14:textId="77777777" w:rsidR="00AA07A9" w:rsidRPr="00FF34ED" w:rsidRDefault="00AA07A9" w:rsidP="00951828">
      <w:pPr>
        <w:pStyle w:val="BodyText"/>
        <w:spacing w:before="1"/>
        <w:jc w:val="both"/>
        <w:rPr>
          <w:lang w:val="sr-Latn-RS"/>
        </w:rPr>
      </w:pPr>
    </w:p>
    <w:p w14:paraId="42B99EF9" w14:textId="16D7564E" w:rsidR="00AA07A9" w:rsidRPr="004919D6" w:rsidRDefault="00AE2963" w:rsidP="00951828">
      <w:pPr>
        <w:pStyle w:val="BodyText"/>
        <w:spacing w:before="1"/>
        <w:ind w:left="311"/>
        <w:jc w:val="both"/>
        <w:rPr>
          <w:lang w:val="sr-Latn-RS"/>
        </w:rPr>
      </w:pPr>
      <w:r w:rsidRPr="00FF34ED">
        <w:rPr>
          <w:u w:val="single"/>
          <w:lang w:val="sr-Latn-RS"/>
        </w:rPr>
        <w:t>Reakcije preos</w:t>
      </w:r>
      <w:r w:rsidR="00242CA0">
        <w:rPr>
          <w:u w:val="single"/>
          <w:lang w:val="sr-Latn-RS"/>
        </w:rPr>
        <w:t>j</w:t>
      </w:r>
      <w:r w:rsidRPr="00FF34ED">
        <w:rPr>
          <w:u w:val="single"/>
          <w:lang w:val="sr-Latn-RS"/>
        </w:rPr>
        <w:t>etljivosti</w:t>
      </w:r>
      <w:r w:rsidR="00096FEC">
        <w:rPr>
          <w:u w:val="single"/>
          <w:lang w:val="sr-Latn-RS"/>
        </w:rPr>
        <w:t>,</w:t>
      </w:r>
      <w:r w:rsidRPr="00FF34ED">
        <w:rPr>
          <w:u w:val="single"/>
          <w:lang w:val="sr-Latn-RS"/>
        </w:rPr>
        <w:t xml:space="preserve"> uključujući anafilaksu</w:t>
      </w:r>
    </w:p>
    <w:p w14:paraId="6614A007" w14:textId="77777777" w:rsidR="00AA07A9" w:rsidRPr="00951828" w:rsidRDefault="00AA07A9" w:rsidP="00951828">
      <w:pPr>
        <w:pStyle w:val="BodyText"/>
        <w:spacing w:before="10"/>
        <w:jc w:val="both"/>
        <w:rPr>
          <w:lang w:val="sr-Latn-RS"/>
        </w:rPr>
      </w:pPr>
    </w:p>
    <w:p w14:paraId="404C2A20" w14:textId="1CAA84FD" w:rsidR="00AA07A9" w:rsidRPr="004919D6" w:rsidRDefault="00AE2963" w:rsidP="00951828">
      <w:pPr>
        <w:pStyle w:val="BodyText"/>
        <w:spacing w:before="91"/>
        <w:ind w:left="311" w:right="970"/>
        <w:jc w:val="both"/>
        <w:rPr>
          <w:lang w:val="sr-Latn-RS"/>
        </w:rPr>
      </w:pPr>
      <w:r w:rsidRPr="00FF34ED">
        <w:rPr>
          <w:lang w:val="sr-Latn-RS"/>
        </w:rPr>
        <w:t xml:space="preserve">Prilikom </w:t>
      </w:r>
      <w:r w:rsidR="00FA7CB8">
        <w:rPr>
          <w:lang w:val="sr-Latn-RS"/>
        </w:rPr>
        <w:t>primjen</w:t>
      </w:r>
      <w:r w:rsidRPr="00FF34ED">
        <w:rPr>
          <w:lang w:val="sr-Latn-RS"/>
        </w:rPr>
        <w:t>e kasirivimaba i imdevimaba prijavljene su reakcije preos</w:t>
      </w:r>
      <w:r w:rsidR="00242CA0">
        <w:rPr>
          <w:lang w:val="sr-Latn-RS"/>
        </w:rPr>
        <w:t>j</w:t>
      </w:r>
      <w:r w:rsidRPr="00FF34ED">
        <w:rPr>
          <w:lang w:val="sr-Latn-RS"/>
        </w:rPr>
        <w:t>etljivosti, uključujući anafilaksu (</w:t>
      </w:r>
      <w:r w:rsidR="004919D6">
        <w:rPr>
          <w:lang w:val="sr-Latn-RS"/>
        </w:rPr>
        <w:t>vid</w:t>
      </w:r>
      <w:r w:rsidR="00242CA0">
        <w:rPr>
          <w:lang w:val="sr-Latn-RS"/>
        </w:rPr>
        <w:t>j</w:t>
      </w:r>
      <w:r w:rsidR="004919D6">
        <w:rPr>
          <w:lang w:val="sr-Latn-RS"/>
        </w:rPr>
        <w:t>eti</w:t>
      </w:r>
      <w:r w:rsidR="004919D6" w:rsidRPr="00FF34ED">
        <w:rPr>
          <w:lang w:val="sr-Latn-RS"/>
        </w:rPr>
        <w:t xml:space="preserve"> </w:t>
      </w:r>
      <w:r w:rsidR="00FA7CB8">
        <w:rPr>
          <w:lang w:val="sr-Latn-RS"/>
        </w:rPr>
        <w:t>dio</w:t>
      </w:r>
      <w:r w:rsidRPr="00FF34ED">
        <w:rPr>
          <w:lang w:val="sr-Latn-RS"/>
        </w:rPr>
        <w:t xml:space="preserve"> 4.8). </w:t>
      </w:r>
      <w:r w:rsidR="004919D6">
        <w:rPr>
          <w:lang w:val="sr-Latn-RS"/>
        </w:rPr>
        <w:t>U slučaju</w:t>
      </w:r>
      <w:r w:rsidRPr="00FF34ED">
        <w:rPr>
          <w:lang w:val="sr-Latn-RS"/>
        </w:rPr>
        <w:t xml:space="preserve"> pojave znakova ili simptoma klinički značajne reakcije preos</w:t>
      </w:r>
      <w:r w:rsidR="00242CA0">
        <w:rPr>
          <w:lang w:val="sr-Latn-RS"/>
        </w:rPr>
        <w:t>j</w:t>
      </w:r>
      <w:r w:rsidRPr="00FF34ED">
        <w:rPr>
          <w:lang w:val="sr-Latn-RS"/>
        </w:rPr>
        <w:t xml:space="preserve">etljivosti ili anafilakse, odmah prekinite sa </w:t>
      </w:r>
      <w:r w:rsidR="00FA7CB8">
        <w:rPr>
          <w:lang w:val="sr-Latn-RS"/>
        </w:rPr>
        <w:t>primjen</w:t>
      </w:r>
      <w:r w:rsidRPr="00FF34ED">
        <w:rPr>
          <w:lang w:val="sr-Latn-RS"/>
        </w:rPr>
        <w:t xml:space="preserve">om i započnite sa davanjem odgovarajućih </w:t>
      </w:r>
      <w:r w:rsidR="00FA7CB8">
        <w:rPr>
          <w:lang w:val="sr-Latn-RS"/>
        </w:rPr>
        <w:t>ljekov</w:t>
      </w:r>
      <w:r w:rsidRPr="00FF34ED">
        <w:rPr>
          <w:lang w:val="sr-Latn-RS"/>
        </w:rPr>
        <w:t xml:space="preserve">a </w:t>
      </w:r>
      <w:r w:rsidR="004919D6">
        <w:rPr>
          <w:lang w:val="sr-Latn-RS"/>
        </w:rPr>
        <w:t>i/ili</w:t>
      </w:r>
      <w:r w:rsidRPr="00FF34ED">
        <w:rPr>
          <w:lang w:val="sr-Latn-RS"/>
        </w:rPr>
        <w:t xml:space="preserve"> suportivne terapije.</w:t>
      </w:r>
    </w:p>
    <w:p w14:paraId="44F8D196" w14:textId="030FB48F" w:rsidR="00AA07A9" w:rsidRDefault="00AA07A9" w:rsidP="00951828">
      <w:pPr>
        <w:pStyle w:val="BodyText"/>
        <w:ind w:right="970"/>
        <w:jc w:val="both"/>
        <w:rPr>
          <w:lang w:val="sr-Latn-RS"/>
        </w:rPr>
      </w:pPr>
    </w:p>
    <w:p w14:paraId="0C8E7398" w14:textId="0662361C" w:rsidR="0053587C" w:rsidRDefault="0053587C" w:rsidP="00BE701E">
      <w:pPr>
        <w:pStyle w:val="BodyText"/>
        <w:spacing w:before="91"/>
        <w:ind w:left="311" w:right="970"/>
        <w:jc w:val="both"/>
        <w:rPr>
          <w:lang w:val="sr-Latn-RS"/>
        </w:rPr>
      </w:pPr>
      <w:r w:rsidRPr="009E74D4">
        <w:rPr>
          <w:lang w:val="sr-Latn-RS"/>
        </w:rPr>
        <w:t>Sluč</w:t>
      </w:r>
      <w:r>
        <w:rPr>
          <w:lang w:val="sr-Latn-RS"/>
        </w:rPr>
        <w:t>ajevi konvulzivne sinkope prim</w:t>
      </w:r>
      <w:r w:rsidR="00BE221C">
        <w:rPr>
          <w:lang w:val="sr-Latn-RS"/>
        </w:rPr>
        <w:t>ij</w:t>
      </w:r>
      <w:r w:rsidRPr="009E74D4">
        <w:rPr>
          <w:lang w:val="sr-Latn-RS"/>
        </w:rPr>
        <w:t>ećeni su nakon intrave</w:t>
      </w:r>
      <w:r w:rsidR="00BE221C">
        <w:rPr>
          <w:lang w:val="sr-Latn-RS"/>
        </w:rPr>
        <w:t>nske i sub</w:t>
      </w:r>
      <w:r>
        <w:rPr>
          <w:lang w:val="sr-Latn-RS"/>
        </w:rPr>
        <w:t>kutane prim</w:t>
      </w:r>
      <w:r w:rsidR="00BE221C">
        <w:rPr>
          <w:lang w:val="sr-Latn-RS"/>
        </w:rPr>
        <w:t>j</w:t>
      </w:r>
      <w:r>
        <w:rPr>
          <w:lang w:val="sr-Latn-RS"/>
        </w:rPr>
        <w:t>ene (vidjeti dio</w:t>
      </w:r>
      <w:r w:rsidRPr="009E74D4">
        <w:rPr>
          <w:lang w:val="sr-Latn-RS"/>
        </w:rPr>
        <w:t xml:space="preserve"> 4.8). Konvulzivnu sinkopu tre</w:t>
      </w:r>
      <w:r>
        <w:rPr>
          <w:lang w:val="sr-Latn-RS"/>
        </w:rPr>
        <w:t>ba razlikovati od napada i lij</w:t>
      </w:r>
      <w:r w:rsidRPr="009E74D4">
        <w:rPr>
          <w:lang w:val="sr-Latn-RS"/>
        </w:rPr>
        <w:t>ečiti prema kliničkoj indikaciji.</w:t>
      </w:r>
    </w:p>
    <w:p w14:paraId="00C29496" w14:textId="77777777" w:rsidR="00BE701E" w:rsidRPr="004919D6" w:rsidRDefault="00BE701E" w:rsidP="00951828">
      <w:pPr>
        <w:pStyle w:val="BodyText"/>
        <w:ind w:right="970"/>
        <w:jc w:val="both"/>
        <w:rPr>
          <w:lang w:val="sr-Latn-RS"/>
        </w:rPr>
      </w:pPr>
    </w:p>
    <w:p w14:paraId="188D37AB" w14:textId="77777777" w:rsidR="00AA07A9" w:rsidRPr="004919D6" w:rsidRDefault="00AE2963" w:rsidP="00951828">
      <w:pPr>
        <w:pStyle w:val="BodyText"/>
        <w:ind w:left="311" w:right="970"/>
        <w:jc w:val="both"/>
        <w:rPr>
          <w:lang w:val="sr-Latn-RS"/>
        </w:rPr>
      </w:pPr>
      <w:r w:rsidRPr="004919D6">
        <w:rPr>
          <w:u w:val="single"/>
          <w:lang w:val="sr-Latn-RS"/>
        </w:rPr>
        <w:t>Reakcije povezane sa infuzijom</w:t>
      </w:r>
    </w:p>
    <w:p w14:paraId="7C9D5C3B" w14:textId="77777777" w:rsidR="00AA07A9" w:rsidRPr="00951828" w:rsidRDefault="00AA07A9" w:rsidP="00951828">
      <w:pPr>
        <w:pStyle w:val="BodyText"/>
        <w:spacing w:before="1"/>
        <w:ind w:right="970"/>
        <w:jc w:val="both"/>
        <w:rPr>
          <w:lang w:val="sr-Latn-RS"/>
        </w:rPr>
      </w:pPr>
    </w:p>
    <w:p w14:paraId="3BE83DB8" w14:textId="3BC9F91D" w:rsidR="00AA07A9" w:rsidRPr="00AE2963" w:rsidRDefault="00AE2963" w:rsidP="00951828">
      <w:pPr>
        <w:pStyle w:val="BodyText"/>
        <w:spacing w:before="91"/>
        <w:ind w:left="311" w:right="970"/>
        <w:jc w:val="both"/>
        <w:rPr>
          <w:lang w:val="sr-Latn-RS"/>
        </w:rPr>
      </w:pPr>
      <w:r w:rsidRPr="00FF34ED">
        <w:rPr>
          <w:lang w:val="sr-Latn-RS"/>
        </w:rPr>
        <w:t xml:space="preserve">Prilikom intravenske </w:t>
      </w:r>
      <w:r w:rsidR="00FA7CB8">
        <w:rPr>
          <w:lang w:val="sr-Latn-RS"/>
        </w:rPr>
        <w:t>primjen</w:t>
      </w:r>
      <w:r w:rsidRPr="00FF34ED">
        <w:rPr>
          <w:lang w:val="sr-Latn-RS"/>
        </w:rPr>
        <w:t>e kasirivimaba i imdevimaba</w:t>
      </w:r>
      <w:r w:rsidRPr="00AE2963">
        <w:rPr>
          <w:lang w:val="sr-Latn-RS"/>
        </w:rPr>
        <w:t xml:space="preserve"> zab</w:t>
      </w:r>
      <w:r w:rsidR="00AE2425">
        <w:rPr>
          <w:lang w:val="sr-Latn-RS"/>
        </w:rPr>
        <w:t>i</w:t>
      </w:r>
      <w:r w:rsidRPr="00AE2963">
        <w:rPr>
          <w:lang w:val="sr-Latn-RS"/>
        </w:rPr>
        <w:t>l</w:t>
      </w:r>
      <w:r w:rsidR="00AE2425">
        <w:rPr>
          <w:lang w:val="sr-Latn-RS"/>
        </w:rPr>
        <w:t>j</w:t>
      </w:r>
      <w:r w:rsidRPr="00AE2963">
        <w:rPr>
          <w:lang w:val="sr-Latn-RS"/>
        </w:rPr>
        <w:t>ežene su reakcije povezane sa infuzijom.</w:t>
      </w:r>
    </w:p>
    <w:p w14:paraId="5794801A" w14:textId="77777777" w:rsidR="00AA07A9" w:rsidRPr="00AE2963" w:rsidRDefault="00AA07A9">
      <w:pPr>
        <w:pStyle w:val="BodyText"/>
        <w:spacing w:before="11"/>
        <w:rPr>
          <w:sz w:val="21"/>
          <w:lang w:val="sr-Latn-RS"/>
        </w:rPr>
      </w:pPr>
    </w:p>
    <w:p w14:paraId="7703517D" w14:textId="6EDE1176" w:rsidR="00AA07A9" w:rsidRPr="00AE2963" w:rsidRDefault="00AE2963" w:rsidP="00951828">
      <w:pPr>
        <w:pStyle w:val="BodyText"/>
        <w:ind w:left="311" w:right="956"/>
        <w:jc w:val="both"/>
        <w:rPr>
          <w:lang w:val="sr-Latn-RS"/>
        </w:rPr>
      </w:pPr>
      <w:r w:rsidRPr="00AE2963">
        <w:rPr>
          <w:lang w:val="sr-Latn-RS"/>
        </w:rPr>
        <w:t>Reakcije povezane sa infuzijom zab</w:t>
      </w:r>
      <w:r w:rsidR="00AE2425">
        <w:rPr>
          <w:lang w:val="sr-Latn-RS"/>
        </w:rPr>
        <w:t>i</w:t>
      </w:r>
      <w:r w:rsidRPr="00AE2963">
        <w:rPr>
          <w:lang w:val="sr-Latn-RS"/>
        </w:rPr>
        <w:t>l</w:t>
      </w:r>
      <w:r w:rsidR="00AE2425">
        <w:rPr>
          <w:lang w:val="sr-Latn-RS"/>
        </w:rPr>
        <w:t>j</w:t>
      </w:r>
      <w:r w:rsidRPr="00AE2963">
        <w:rPr>
          <w:lang w:val="sr-Latn-RS"/>
        </w:rPr>
        <w:t xml:space="preserve">ežene u kliničkim studijama uglavnom su bile </w:t>
      </w:r>
      <w:r w:rsidR="004919D6" w:rsidRPr="00AE2963">
        <w:rPr>
          <w:lang w:val="sr-Latn-RS"/>
        </w:rPr>
        <w:t>um</w:t>
      </w:r>
      <w:r w:rsidR="00AE2425">
        <w:rPr>
          <w:lang w:val="sr-Latn-RS"/>
        </w:rPr>
        <w:t>j</w:t>
      </w:r>
      <w:r w:rsidR="004919D6" w:rsidRPr="00AE2963">
        <w:rPr>
          <w:lang w:val="sr-Latn-RS"/>
        </w:rPr>
        <w:t>eren</w:t>
      </w:r>
      <w:r w:rsidR="004919D6">
        <w:rPr>
          <w:lang w:val="sr-Latn-RS"/>
        </w:rPr>
        <w:t>e težine</w:t>
      </w:r>
      <w:r w:rsidRPr="00AE2963">
        <w:rPr>
          <w:lang w:val="sr-Latn-RS"/>
        </w:rPr>
        <w:t xml:space="preserve"> i obično su b</w:t>
      </w:r>
      <w:r w:rsidR="00AE2425">
        <w:rPr>
          <w:lang w:val="sr-Latn-RS"/>
        </w:rPr>
        <w:t>i</w:t>
      </w:r>
      <w:r w:rsidRPr="00AE2963">
        <w:rPr>
          <w:lang w:val="sr-Latn-RS"/>
        </w:rPr>
        <w:t>l</w:t>
      </w:r>
      <w:r w:rsidR="00AE2425">
        <w:rPr>
          <w:lang w:val="sr-Latn-RS"/>
        </w:rPr>
        <w:t>j</w:t>
      </w:r>
      <w:r w:rsidRPr="00AE2963">
        <w:rPr>
          <w:lang w:val="sr-Latn-RS"/>
        </w:rPr>
        <w:t xml:space="preserve">ežene tokom ili </w:t>
      </w:r>
      <w:r w:rsidR="004919D6">
        <w:rPr>
          <w:lang w:val="sr-Latn-RS"/>
        </w:rPr>
        <w:t>unutar</w:t>
      </w:r>
      <w:r w:rsidRPr="00AE2963">
        <w:rPr>
          <w:lang w:val="sr-Latn-RS"/>
        </w:rPr>
        <w:t xml:space="preserve"> 24 sata od infuzije. Često prijavljivani znaci i simptomi tih reakcija </w:t>
      </w:r>
      <w:r w:rsidR="004919D6">
        <w:rPr>
          <w:lang w:val="sr-Latn-RS"/>
        </w:rPr>
        <w:lastRenderedPageBreak/>
        <w:t xml:space="preserve">uključivali </w:t>
      </w:r>
      <w:r w:rsidRPr="00AE2963">
        <w:rPr>
          <w:lang w:val="sr-Latn-RS"/>
        </w:rPr>
        <w:t xml:space="preserve">su mučninu, drhtavicu, vrtoglavicu (ili sinkopu), osip, urtikariju i crvenilo. Ipak, reakcije povezane sa infuzijom mogu se javiti kao teški događaji ili događaji koji ugrožavaju život i mogu </w:t>
      </w:r>
      <w:r w:rsidR="004919D6">
        <w:rPr>
          <w:lang w:val="sr-Latn-RS"/>
        </w:rPr>
        <w:t>uključivati</w:t>
      </w:r>
      <w:r w:rsidRPr="00AE2963">
        <w:rPr>
          <w:lang w:val="sr-Latn-RS"/>
        </w:rPr>
        <w:t xml:space="preserve"> i druge znake i simptome.</w:t>
      </w:r>
    </w:p>
    <w:p w14:paraId="555A25C4" w14:textId="77777777" w:rsidR="00AA07A9" w:rsidRPr="00AE2963" w:rsidRDefault="00AA07A9">
      <w:pPr>
        <w:pStyle w:val="BodyText"/>
        <w:spacing w:before="2"/>
        <w:rPr>
          <w:lang w:val="sr-Latn-RS"/>
        </w:rPr>
      </w:pPr>
    </w:p>
    <w:p w14:paraId="0FE8D5B2" w14:textId="77777777" w:rsidR="004919D6" w:rsidRPr="007D3B0A" w:rsidRDefault="004919D6" w:rsidP="004919D6">
      <w:pPr>
        <w:pStyle w:val="BodyText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>Ukoliko dođe do reakcije povezane sa infuzijom, infuziju</w:t>
      </w:r>
      <w:r>
        <w:rPr>
          <w:lang w:val="sr-Latn-RS"/>
        </w:rPr>
        <w:t xml:space="preserve"> treba</w:t>
      </w:r>
      <w:r w:rsidRPr="007D3B0A">
        <w:rPr>
          <w:lang w:val="sr-Latn-RS"/>
        </w:rPr>
        <w:t xml:space="preserve"> privremeno prekinuti, usporiti ili </w:t>
      </w:r>
      <w:r>
        <w:rPr>
          <w:lang w:val="sr-Latn-RS"/>
        </w:rPr>
        <w:t>trajno obustaviti</w:t>
      </w:r>
      <w:r w:rsidRPr="007D3B0A">
        <w:rPr>
          <w:lang w:val="sr-Latn-RS"/>
        </w:rPr>
        <w:t>.</w:t>
      </w:r>
    </w:p>
    <w:p w14:paraId="694C812B" w14:textId="77777777" w:rsidR="00AA07A9" w:rsidRPr="00AE2963" w:rsidRDefault="00AA07A9">
      <w:pPr>
        <w:pStyle w:val="BodyText"/>
        <w:spacing w:before="3"/>
        <w:rPr>
          <w:lang w:val="sr-Latn-RS"/>
        </w:rPr>
      </w:pPr>
    </w:p>
    <w:p w14:paraId="370430DA" w14:textId="3FFBD298" w:rsidR="00AA07A9" w:rsidRPr="00AE2963" w:rsidRDefault="003A734F" w:rsidP="003A734F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4.5. </w:t>
      </w:r>
      <w:r w:rsidR="00AE2963" w:rsidRPr="00AE2963">
        <w:rPr>
          <w:lang w:val="sr-Latn-RS"/>
        </w:rPr>
        <w:t>Interakcij</w:t>
      </w:r>
      <w:r w:rsidR="00797F56">
        <w:rPr>
          <w:lang w:val="sr-Latn-RS"/>
        </w:rPr>
        <w:t>e</w:t>
      </w:r>
      <w:r w:rsidR="00AE2963" w:rsidRPr="00AE2963">
        <w:rPr>
          <w:lang w:val="sr-Latn-RS"/>
        </w:rPr>
        <w:t xml:space="preserve"> sa drugim l</w:t>
      </w:r>
      <w:r w:rsidR="00797F56">
        <w:rPr>
          <w:lang w:val="sr-Latn-RS"/>
        </w:rPr>
        <w:t>j</w:t>
      </w:r>
      <w:r w:rsidR="00AE2963" w:rsidRPr="00AE2963">
        <w:rPr>
          <w:lang w:val="sr-Latn-RS"/>
        </w:rPr>
        <w:t>ekovima i druge vrste interakcija</w:t>
      </w:r>
    </w:p>
    <w:p w14:paraId="36D2FA0E" w14:textId="77777777" w:rsidR="00AA07A9" w:rsidRPr="00AE2963" w:rsidRDefault="00AA07A9">
      <w:pPr>
        <w:pStyle w:val="BodyText"/>
        <w:spacing w:before="2"/>
        <w:rPr>
          <w:b/>
          <w:sz w:val="24"/>
          <w:lang w:val="sr-Latn-RS"/>
        </w:rPr>
      </w:pPr>
    </w:p>
    <w:p w14:paraId="56CFC347" w14:textId="54BBD4D3" w:rsidR="00AA07A9" w:rsidRPr="00AE2963" w:rsidRDefault="00AE2963" w:rsidP="00951828">
      <w:pPr>
        <w:pStyle w:val="BodyText"/>
        <w:ind w:left="311" w:right="956"/>
        <w:jc w:val="both"/>
        <w:rPr>
          <w:lang w:val="sr-Latn-RS"/>
        </w:rPr>
      </w:pPr>
      <w:r w:rsidRPr="00AE2963">
        <w:rPr>
          <w:lang w:val="sr-Latn-RS"/>
        </w:rPr>
        <w:t xml:space="preserve">Nisu sprovedena formalna ispitivanja interakcija između </w:t>
      </w:r>
      <w:r w:rsidR="00FA7CB8">
        <w:rPr>
          <w:lang w:val="sr-Latn-RS"/>
        </w:rPr>
        <w:t>ljekov</w:t>
      </w:r>
      <w:r w:rsidRPr="00AE2963">
        <w:rPr>
          <w:lang w:val="sr-Latn-RS"/>
        </w:rPr>
        <w:t>a. Kasirivimab i imdevimab su monoklonska antit</w:t>
      </w:r>
      <w:r w:rsidR="00341EBD">
        <w:rPr>
          <w:lang w:val="sr-Latn-RS"/>
        </w:rPr>
        <w:t>ij</w:t>
      </w:r>
      <w:r w:rsidRPr="00AE2963">
        <w:rPr>
          <w:lang w:val="sr-Latn-RS"/>
        </w:rPr>
        <w:t>ela koja se ne izlučuju putem bubrega niti ih metabolišu enzimi citohroma P450; zbog toga je mala v</w:t>
      </w:r>
      <w:r w:rsidR="00341EBD">
        <w:rPr>
          <w:lang w:val="sr-Latn-RS"/>
        </w:rPr>
        <w:t>j</w:t>
      </w:r>
      <w:r w:rsidRPr="00AE2963">
        <w:rPr>
          <w:lang w:val="sr-Latn-RS"/>
        </w:rPr>
        <w:t xml:space="preserve">erovatnoća interakcija sa konkomitantnim </w:t>
      </w:r>
      <w:r w:rsidR="00FA7CB8">
        <w:rPr>
          <w:lang w:val="sr-Latn-RS"/>
        </w:rPr>
        <w:t>ljekov</w:t>
      </w:r>
      <w:r w:rsidRPr="00AE2963">
        <w:rPr>
          <w:lang w:val="sr-Latn-RS"/>
        </w:rPr>
        <w:t>ima koji se izlučuju putem bubrega ili su supstrati, induktori ili inhibitori enzima citohroma P450.</w:t>
      </w:r>
    </w:p>
    <w:p w14:paraId="7B834C9D" w14:textId="77777777" w:rsidR="00AA07A9" w:rsidRPr="00AE2963" w:rsidRDefault="00AA07A9">
      <w:pPr>
        <w:pStyle w:val="BodyText"/>
        <w:spacing w:before="10"/>
        <w:rPr>
          <w:sz w:val="21"/>
          <w:lang w:val="sr-Latn-RS"/>
        </w:rPr>
      </w:pPr>
    </w:p>
    <w:p w14:paraId="771F0A5C" w14:textId="00254843" w:rsidR="00AA07A9" w:rsidRPr="00AE2963" w:rsidRDefault="003A734F" w:rsidP="003A734F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 xml:space="preserve">4.6. </w:t>
      </w:r>
      <w:r w:rsidR="00AE2963" w:rsidRPr="00AE2963">
        <w:rPr>
          <w:lang w:val="sr-Latn-RS"/>
        </w:rPr>
        <w:t>Plodnost, trudnoća i dojenje</w:t>
      </w:r>
    </w:p>
    <w:p w14:paraId="7CDD57D7" w14:textId="77777777" w:rsidR="00AA07A9" w:rsidRPr="00AE2963" w:rsidRDefault="00AA07A9">
      <w:pPr>
        <w:pStyle w:val="BodyText"/>
        <w:spacing w:before="4"/>
        <w:rPr>
          <w:b/>
          <w:sz w:val="26"/>
          <w:lang w:val="sr-Latn-RS"/>
        </w:rPr>
      </w:pPr>
    </w:p>
    <w:p w14:paraId="527FCD03" w14:textId="77777777" w:rsidR="00AA07A9" w:rsidRPr="00AE2963" w:rsidRDefault="00AE2963">
      <w:pPr>
        <w:pStyle w:val="BodyText"/>
        <w:ind w:left="311"/>
        <w:rPr>
          <w:lang w:val="sr-Latn-RS"/>
        </w:rPr>
      </w:pPr>
      <w:r w:rsidRPr="00AE2963">
        <w:rPr>
          <w:u w:val="single"/>
          <w:lang w:val="sr-Latn-RS"/>
        </w:rPr>
        <w:t>Trudnoća</w:t>
      </w:r>
    </w:p>
    <w:p w14:paraId="0BE8DA50" w14:textId="77777777" w:rsidR="00AA07A9" w:rsidRPr="00AE2963" w:rsidRDefault="00AA07A9">
      <w:pPr>
        <w:pStyle w:val="BodyText"/>
        <w:spacing w:before="10"/>
        <w:rPr>
          <w:sz w:val="18"/>
          <w:lang w:val="sr-Latn-RS"/>
        </w:rPr>
      </w:pPr>
    </w:p>
    <w:p w14:paraId="4EAA9635" w14:textId="3D3B602B" w:rsidR="004919D6" w:rsidRPr="004919D6" w:rsidRDefault="003F462C" w:rsidP="00341EBD">
      <w:pPr>
        <w:spacing w:before="91" w:line="266" w:lineRule="auto"/>
        <w:ind w:left="311" w:right="981"/>
        <w:jc w:val="both"/>
        <w:rPr>
          <w:lang w:val="sr-Latn-RS"/>
        </w:rPr>
      </w:pPr>
      <w:r w:rsidRPr="003F462C">
        <w:rPr>
          <w:lang w:val="sr-Latn-RS"/>
        </w:rPr>
        <w:t>Postoje ograničeni podaci o prim</w:t>
      </w:r>
      <w:r>
        <w:rPr>
          <w:lang w:val="sr-Latn-RS"/>
        </w:rPr>
        <w:t>j</w:t>
      </w:r>
      <w:r w:rsidRPr="003F462C">
        <w:rPr>
          <w:lang w:val="sr-Latn-RS"/>
        </w:rPr>
        <w:t>eni kasirivimaba i im</w:t>
      </w:r>
      <w:r>
        <w:rPr>
          <w:lang w:val="sr-Latn-RS"/>
        </w:rPr>
        <w:t>devimaba kod trudnica</w:t>
      </w:r>
      <w:r w:rsidRPr="003F462C">
        <w:rPr>
          <w:lang w:val="sr-Latn-RS"/>
        </w:rPr>
        <w:t>. U podacima o trudnicama izloženim kasirivimabu i imdevimabu iz kliničkih studija, kohorte zasnovane na registru i postmarketinškog praćenja, uključujući ukupno 364 izloženih trudnica, ni</w:t>
      </w:r>
      <w:r w:rsidR="001005E1">
        <w:rPr>
          <w:lang w:val="sr-Latn-RS"/>
        </w:rPr>
        <w:t>je</w:t>
      </w:r>
      <w:r w:rsidRPr="003F462C">
        <w:rPr>
          <w:lang w:val="sr-Latn-RS"/>
        </w:rPr>
        <w:t>su identifikovani neželjeni efekti povezani sa upotrebom kasirivimaba i imdevimaba na trudnoću ili na zdrav razvoj fetusa.</w:t>
      </w:r>
      <w:r w:rsidR="004919D6" w:rsidRPr="004919D6">
        <w:rPr>
          <w:lang w:val="sr-Latn-RS"/>
        </w:rPr>
        <w:t xml:space="preserve"> Ni</w:t>
      </w:r>
      <w:r w:rsidR="001005E1">
        <w:rPr>
          <w:lang w:val="sr-Latn-RS"/>
        </w:rPr>
        <w:t>je</w:t>
      </w:r>
      <w:r w:rsidR="004919D6" w:rsidRPr="004919D6">
        <w:rPr>
          <w:lang w:val="sr-Latn-RS"/>
        </w:rPr>
        <w:t>su sprovedena ispitivanja na životinjama u kojima bi se proc</w:t>
      </w:r>
      <w:r w:rsidR="00341EBD">
        <w:rPr>
          <w:lang w:val="sr-Latn-RS"/>
        </w:rPr>
        <w:t>j</w:t>
      </w:r>
      <w:r w:rsidR="004919D6" w:rsidRPr="004919D6">
        <w:rPr>
          <w:lang w:val="sr-Latn-RS"/>
        </w:rPr>
        <w:t>enjivala reproduktivna toksičnost. Poznato je da ljudska imunoglobulinska G1 (IgG1) antit</w:t>
      </w:r>
      <w:r w:rsidR="00341EBD">
        <w:rPr>
          <w:lang w:val="sr-Latn-RS"/>
        </w:rPr>
        <w:t>ij</w:t>
      </w:r>
      <w:r w:rsidR="004919D6" w:rsidRPr="004919D6">
        <w:rPr>
          <w:lang w:val="sr-Latn-RS"/>
        </w:rPr>
        <w:t>ela prolaze kroz placentu. Nije poznato da li potencijalna izloženost fetusa kasirivimabu i imdevimabu donosi bilo kakvu korist od l</w:t>
      </w:r>
      <w:r w:rsidR="00341EBD">
        <w:rPr>
          <w:lang w:val="sr-Latn-RS"/>
        </w:rPr>
        <w:t>ij</w:t>
      </w:r>
      <w:r w:rsidR="004919D6" w:rsidRPr="004919D6">
        <w:rPr>
          <w:lang w:val="sr-Latn-RS"/>
        </w:rPr>
        <w:t xml:space="preserve">ečenja ili rizik za plod u razvoju. Ipak, pošto kasirivimab i imdevimab direktno ciljaju protein šiljka virusa SARS-CoV-2 i s obzirom na izostanak unakrsne reaktivnosti sa reproduktivnim ili fetalnim tkivima u studijama unakrsne reaktivnosti tkiva, ne očekuju se negativna dejstva na plod u razvoju. </w:t>
      </w:r>
      <w:r w:rsidR="00FA7CB8">
        <w:rPr>
          <w:lang w:val="sr-Latn-RS"/>
        </w:rPr>
        <w:t>Lijek</w:t>
      </w:r>
      <w:r w:rsidR="004919D6" w:rsidRPr="004919D6">
        <w:rPr>
          <w:lang w:val="sr-Latn-RS"/>
        </w:rPr>
        <w:t xml:space="preserve"> Ronapreve treba koristiti tokom trudnoće samo ako potencijalna korist opravdava potencijalni rizik za majku i fetus, uzimajući u obzir sve povezane zdravstvene faktore. Ukoliko žena ostane u drugom stanju dok uzima ovaj </w:t>
      </w:r>
      <w:r w:rsidR="00FA7CB8">
        <w:rPr>
          <w:lang w:val="sr-Latn-RS"/>
        </w:rPr>
        <w:t>lijek</w:t>
      </w:r>
      <w:r w:rsidR="004919D6" w:rsidRPr="004919D6">
        <w:rPr>
          <w:lang w:val="sr-Latn-RS"/>
        </w:rPr>
        <w:t>, treba je obav</w:t>
      </w:r>
      <w:r w:rsidR="00341EBD">
        <w:rPr>
          <w:lang w:val="sr-Latn-RS"/>
        </w:rPr>
        <w:t>ij</w:t>
      </w:r>
      <w:r w:rsidR="004919D6" w:rsidRPr="004919D6">
        <w:rPr>
          <w:lang w:val="sr-Latn-RS"/>
        </w:rPr>
        <w:t>estiti da nisu poznati bilo koji mogući rizici za plod.</w:t>
      </w:r>
    </w:p>
    <w:p w14:paraId="10A85C3E" w14:textId="77777777" w:rsidR="00AA07A9" w:rsidRPr="00AE2963" w:rsidRDefault="00AA07A9" w:rsidP="00341EBD">
      <w:pPr>
        <w:pStyle w:val="BodyText"/>
        <w:spacing w:before="5"/>
        <w:ind w:right="981"/>
        <w:rPr>
          <w:sz w:val="21"/>
          <w:lang w:val="sr-Latn-RS"/>
        </w:rPr>
      </w:pPr>
    </w:p>
    <w:p w14:paraId="25E77AC9" w14:textId="77777777" w:rsidR="00AA07A9" w:rsidRPr="00AE2963" w:rsidRDefault="00AE2963" w:rsidP="00341EBD">
      <w:pPr>
        <w:pStyle w:val="BodyText"/>
        <w:spacing w:before="1"/>
        <w:ind w:left="311" w:right="981"/>
        <w:rPr>
          <w:lang w:val="sr-Latn-RS"/>
        </w:rPr>
      </w:pPr>
      <w:r w:rsidRPr="00AE2963">
        <w:rPr>
          <w:u w:val="single"/>
          <w:lang w:val="sr-Latn-RS"/>
        </w:rPr>
        <w:t>Dojenje</w:t>
      </w:r>
    </w:p>
    <w:p w14:paraId="3C5E36B4" w14:textId="77777777" w:rsidR="00AA07A9" w:rsidRPr="00AE2963" w:rsidRDefault="00AA07A9" w:rsidP="00341EBD">
      <w:pPr>
        <w:pStyle w:val="BodyText"/>
        <w:ind w:right="981"/>
        <w:rPr>
          <w:sz w:val="14"/>
          <w:lang w:val="sr-Latn-RS"/>
        </w:rPr>
      </w:pPr>
    </w:p>
    <w:p w14:paraId="05656E63" w14:textId="1F8C91B4" w:rsidR="00AA07A9" w:rsidRPr="00AE2963" w:rsidRDefault="00AE2963" w:rsidP="00341EBD">
      <w:pPr>
        <w:pStyle w:val="BodyText"/>
        <w:spacing w:before="92"/>
        <w:ind w:left="311" w:right="981"/>
        <w:jc w:val="both"/>
        <w:rPr>
          <w:lang w:val="sr-Latn-RS"/>
        </w:rPr>
      </w:pPr>
      <w:r w:rsidRPr="00AE2963">
        <w:rPr>
          <w:lang w:val="sr-Latn-RS"/>
        </w:rPr>
        <w:t xml:space="preserve">Nije poznato da li se kasirivimab i imdevimab izlučuju u ljudsko </w:t>
      </w:r>
      <w:r w:rsidR="00B94782">
        <w:rPr>
          <w:lang w:val="sr-Latn-RS"/>
        </w:rPr>
        <w:t>ml</w:t>
      </w:r>
      <w:r w:rsidR="00341EBD">
        <w:rPr>
          <w:lang w:val="sr-Latn-RS"/>
        </w:rPr>
        <w:t>i</w:t>
      </w:r>
      <w:r w:rsidR="00FA7CB8">
        <w:rPr>
          <w:lang w:val="sr-Latn-RS"/>
        </w:rPr>
        <w:t>jeko</w:t>
      </w:r>
      <w:r w:rsidRPr="00AE2963">
        <w:rPr>
          <w:lang w:val="sr-Latn-RS"/>
        </w:rPr>
        <w:t xml:space="preserve">, ali poznato je da se IgG </w:t>
      </w:r>
      <w:r w:rsidR="004919D6">
        <w:rPr>
          <w:lang w:val="sr-Latn-RS"/>
        </w:rPr>
        <w:t>anitit</w:t>
      </w:r>
      <w:r w:rsidR="00341EBD">
        <w:rPr>
          <w:lang w:val="sr-Latn-RS"/>
        </w:rPr>
        <w:t>ij</w:t>
      </w:r>
      <w:r w:rsidR="004919D6">
        <w:rPr>
          <w:lang w:val="sr-Latn-RS"/>
        </w:rPr>
        <w:t xml:space="preserve">ela </w:t>
      </w:r>
      <w:r w:rsidRPr="00AE2963">
        <w:rPr>
          <w:lang w:val="sr-Latn-RS"/>
        </w:rPr>
        <w:t>majke prenos</w:t>
      </w:r>
      <w:r w:rsidR="004919D6">
        <w:rPr>
          <w:lang w:val="sr-Latn-RS"/>
        </w:rPr>
        <w:t>e</w:t>
      </w:r>
      <w:r w:rsidRPr="00AE2963">
        <w:rPr>
          <w:lang w:val="sr-Latn-RS"/>
        </w:rPr>
        <w:t xml:space="preserve"> u </w:t>
      </w:r>
      <w:r w:rsidR="00B94782">
        <w:rPr>
          <w:lang w:val="sr-Latn-RS"/>
        </w:rPr>
        <w:t>ml</w:t>
      </w:r>
      <w:r w:rsidR="00341EBD">
        <w:rPr>
          <w:lang w:val="sr-Latn-RS"/>
        </w:rPr>
        <w:t>i</w:t>
      </w:r>
      <w:r w:rsidR="00FA7CB8">
        <w:rPr>
          <w:lang w:val="sr-Latn-RS"/>
        </w:rPr>
        <w:t>jeko</w:t>
      </w:r>
      <w:r w:rsidRPr="00AE2963">
        <w:rPr>
          <w:lang w:val="sr-Latn-RS"/>
        </w:rPr>
        <w:t xml:space="preserve"> tokom prvih dana nakon </w:t>
      </w:r>
      <w:r w:rsidR="004919D6">
        <w:rPr>
          <w:lang w:val="sr-Latn-RS"/>
        </w:rPr>
        <w:t>porođaja</w:t>
      </w:r>
      <w:r w:rsidRPr="00AE2963">
        <w:rPr>
          <w:lang w:val="sr-Latn-RS"/>
        </w:rPr>
        <w:t xml:space="preserve">. Pošto kasirivimab i imdevimab direktno ciljaju protein </w:t>
      </w:r>
      <w:r w:rsidR="004919D6">
        <w:rPr>
          <w:lang w:val="sr-Latn-RS"/>
        </w:rPr>
        <w:t xml:space="preserve">šiljka virusa </w:t>
      </w:r>
      <w:r w:rsidRPr="00AE2963">
        <w:rPr>
          <w:lang w:val="sr-Latn-RS"/>
        </w:rPr>
        <w:t>SARS-CoV-2 i usl</w:t>
      </w:r>
      <w:r w:rsidR="00341EBD">
        <w:rPr>
          <w:lang w:val="sr-Latn-RS"/>
        </w:rPr>
        <w:t>j</w:t>
      </w:r>
      <w:r w:rsidRPr="00AE2963">
        <w:rPr>
          <w:lang w:val="sr-Latn-RS"/>
        </w:rPr>
        <w:t xml:space="preserve">ed niske sistemske resorpcije nakon </w:t>
      </w:r>
      <w:r w:rsidR="004919D6">
        <w:rPr>
          <w:lang w:val="sr-Latn-RS"/>
        </w:rPr>
        <w:t>per</w:t>
      </w:r>
      <w:r w:rsidRPr="00AE2963">
        <w:rPr>
          <w:lang w:val="sr-Latn-RS"/>
        </w:rPr>
        <w:t>oralnog unosa antit</w:t>
      </w:r>
      <w:r w:rsidR="00341EBD">
        <w:rPr>
          <w:lang w:val="sr-Latn-RS"/>
        </w:rPr>
        <w:t>ij</w:t>
      </w:r>
      <w:r w:rsidRPr="00AE2963">
        <w:rPr>
          <w:lang w:val="sr-Latn-RS"/>
        </w:rPr>
        <w:t xml:space="preserve">ela, </w:t>
      </w:r>
      <w:r w:rsidR="00FA7CB8">
        <w:rPr>
          <w:lang w:val="sr-Latn-RS"/>
        </w:rPr>
        <w:t>primjen</w:t>
      </w:r>
      <w:r w:rsidRPr="00AE2963">
        <w:rPr>
          <w:lang w:val="sr-Latn-RS"/>
        </w:rPr>
        <w:t xml:space="preserve">a </w:t>
      </w:r>
      <w:r w:rsidR="00FA7CB8">
        <w:rPr>
          <w:lang w:val="sr-Latn-RS"/>
        </w:rPr>
        <w:t>lijek</w:t>
      </w:r>
      <w:r w:rsidRPr="00AE2963">
        <w:rPr>
          <w:lang w:val="sr-Latn-RS"/>
        </w:rPr>
        <w:t>a Ronapreve tokom dojenja može se razmotriti kada je</w:t>
      </w:r>
      <w:r w:rsidR="004919D6">
        <w:rPr>
          <w:lang w:val="sr-Latn-RS"/>
        </w:rPr>
        <w:t xml:space="preserve"> to</w:t>
      </w:r>
      <w:r w:rsidRPr="00AE2963">
        <w:rPr>
          <w:lang w:val="sr-Latn-RS"/>
        </w:rPr>
        <w:t xml:space="preserve"> klinički indikovan</w:t>
      </w:r>
      <w:r w:rsidR="004919D6">
        <w:rPr>
          <w:lang w:val="sr-Latn-RS"/>
        </w:rPr>
        <w:t>o</w:t>
      </w:r>
      <w:r w:rsidRPr="00AE2963">
        <w:rPr>
          <w:lang w:val="sr-Latn-RS"/>
        </w:rPr>
        <w:t>.</w:t>
      </w:r>
    </w:p>
    <w:p w14:paraId="1F487B06" w14:textId="77777777" w:rsidR="00AA07A9" w:rsidRPr="00AE2963" w:rsidRDefault="00AA07A9">
      <w:pPr>
        <w:pStyle w:val="BodyText"/>
        <w:spacing w:before="1"/>
        <w:rPr>
          <w:lang w:val="sr-Latn-RS"/>
        </w:rPr>
      </w:pPr>
    </w:p>
    <w:p w14:paraId="3AA44B5A" w14:textId="77777777" w:rsidR="00AA07A9" w:rsidRPr="00AE2963" w:rsidRDefault="00AE2963">
      <w:pPr>
        <w:pStyle w:val="BodyText"/>
        <w:ind w:left="311"/>
        <w:rPr>
          <w:lang w:val="sr-Latn-RS"/>
        </w:rPr>
      </w:pPr>
      <w:r w:rsidRPr="00AE2963">
        <w:rPr>
          <w:u w:val="single"/>
          <w:lang w:val="sr-Latn-RS"/>
        </w:rPr>
        <w:t>Plodnost</w:t>
      </w:r>
    </w:p>
    <w:p w14:paraId="4BEBA20C" w14:textId="77777777" w:rsidR="00AA07A9" w:rsidRPr="00AE2963" w:rsidRDefault="00AA07A9">
      <w:pPr>
        <w:pStyle w:val="BodyText"/>
        <w:spacing w:before="2"/>
        <w:rPr>
          <w:sz w:val="14"/>
          <w:lang w:val="sr-Latn-RS"/>
        </w:rPr>
      </w:pPr>
    </w:p>
    <w:p w14:paraId="29B484D8" w14:textId="538245B0" w:rsidR="00AA07A9" w:rsidRPr="00AE2963" w:rsidRDefault="00AE2963">
      <w:pPr>
        <w:pStyle w:val="BodyText"/>
        <w:spacing w:before="91"/>
        <w:ind w:left="311"/>
        <w:rPr>
          <w:lang w:val="sr-Latn-RS"/>
        </w:rPr>
      </w:pPr>
      <w:r w:rsidRPr="00AE2963">
        <w:rPr>
          <w:lang w:val="sr-Latn-RS"/>
        </w:rPr>
        <w:t>Ni</w:t>
      </w:r>
      <w:r w:rsidR="001005E1">
        <w:rPr>
          <w:lang w:val="sr-Latn-RS"/>
        </w:rPr>
        <w:t>je</w:t>
      </w:r>
      <w:r w:rsidRPr="00AE2963">
        <w:rPr>
          <w:lang w:val="sr-Latn-RS"/>
        </w:rPr>
        <w:t xml:space="preserve">su sprovedene studije o uticaju </w:t>
      </w:r>
      <w:r w:rsidR="00FA7CB8">
        <w:rPr>
          <w:lang w:val="sr-Latn-RS"/>
        </w:rPr>
        <w:t>lijek</w:t>
      </w:r>
      <w:r w:rsidRPr="00AE2963">
        <w:rPr>
          <w:lang w:val="sr-Latn-RS"/>
        </w:rPr>
        <w:t>a na plodnost.</w:t>
      </w:r>
    </w:p>
    <w:p w14:paraId="0D592E2F" w14:textId="77777777" w:rsidR="00AA07A9" w:rsidRPr="00AE2963" w:rsidRDefault="00AA07A9">
      <w:pPr>
        <w:pStyle w:val="BodyText"/>
        <w:spacing w:before="3"/>
        <w:rPr>
          <w:lang w:val="sr-Latn-RS"/>
        </w:rPr>
      </w:pPr>
    </w:p>
    <w:p w14:paraId="314D8124" w14:textId="39B10C52" w:rsidR="00AA07A9" w:rsidRPr="00AE2963" w:rsidRDefault="003A734F" w:rsidP="003A734F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4.7. </w:t>
      </w:r>
      <w:r w:rsidR="00AE2963" w:rsidRPr="00AE2963">
        <w:rPr>
          <w:lang w:val="sr-Latn-RS"/>
        </w:rPr>
        <w:t>Uticaj na sposobnost upravljanja vozilima i rukovanj</w:t>
      </w:r>
      <w:r w:rsidR="003206D7">
        <w:rPr>
          <w:lang w:val="sr-Latn-RS"/>
        </w:rPr>
        <w:t>e</w:t>
      </w:r>
      <w:r w:rsidR="00AE2963" w:rsidRPr="00AE2963">
        <w:rPr>
          <w:lang w:val="sr-Latn-RS"/>
        </w:rPr>
        <w:t xml:space="preserve"> mašinama</w:t>
      </w:r>
    </w:p>
    <w:p w14:paraId="0560012C" w14:textId="77777777" w:rsidR="00AA07A9" w:rsidRPr="00AE2963" w:rsidRDefault="00AA07A9">
      <w:pPr>
        <w:pStyle w:val="BodyText"/>
        <w:spacing w:before="5"/>
        <w:rPr>
          <w:b/>
          <w:sz w:val="26"/>
          <w:lang w:val="sr-Latn-RS"/>
        </w:rPr>
      </w:pPr>
    </w:p>
    <w:p w14:paraId="4F19A636" w14:textId="393A9E4E" w:rsidR="00AA07A9" w:rsidRPr="00AE2963" w:rsidRDefault="00FA7CB8" w:rsidP="00341EBD">
      <w:pPr>
        <w:pStyle w:val="BodyText"/>
        <w:ind w:left="311" w:right="970"/>
        <w:rPr>
          <w:lang w:val="sr-Latn-RS"/>
        </w:rPr>
      </w:pPr>
      <w:r>
        <w:rPr>
          <w:lang w:val="sr-Latn-RS"/>
        </w:rPr>
        <w:t>Lijek</w:t>
      </w:r>
      <w:r w:rsidR="00AE2963" w:rsidRPr="00AE2963">
        <w:rPr>
          <w:lang w:val="sr-Latn-RS"/>
        </w:rPr>
        <w:t xml:space="preserve"> Ronapreve nema ili ima zanemarljiv uticaj na sposobnost upravljanja vozilima i rukovanja mašinama.</w:t>
      </w:r>
    </w:p>
    <w:p w14:paraId="260A4C6C" w14:textId="77777777" w:rsidR="00AA07A9" w:rsidRPr="00AE2963" w:rsidRDefault="00AA07A9" w:rsidP="00341EBD">
      <w:pPr>
        <w:pStyle w:val="BodyText"/>
        <w:spacing w:before="9"/>
        <w:ind w:right="970"/>
        <w:rPr>
          <w:sz w:val="24"/>
          <w:lang w:val="sr-Latn-RS"/>
        </w:rPr>
      </w:pPr>
    </w:p>
    <w:p w14:paraId="742286CD" w14:textId="69FA9922" w:rsidR="00AA07A9" w:rsidRPr="00AE2963" w:rsidRDefault="003A734F" w:rsidP="00341EBD">
      <w:pPr>
        <w:pStyle w:val="Heading1"/>
        <w:tabs>
          <w:tab w:val="left" w:pos="851"/>
          <w:tab w:val="left" w:pos="852"/>
        </w:tabs>
        <w:ind w:right="970"/>
        <w:rPr>
          <w:lang w:val="sr-Latn-RS"/>
        </w:rPr>
      </w:pPr>
      <w:r>
        <w:rPr>
          <w:lang w:val="sr-Latn-RS"/>
        </w:rPr>
        <w:t xml:space="preserve">4.8. </w:t>
      </w:r>
      <w:r w:rsidR="00AE2963" w:rsidRPr="00AE2963">
        <w:rPr>
          <w:lang w:val="sr-Latn-RS"/>
        </w:rPr>
        <w:t>Neželjena dejstva</w:t>
      </w:r>
    </w:p>
    <w:p w14:paraId="6B9A4FD2" w14:textId="77777777" w:rsidR="00AA07A9" w:rsidRPr="00AE2963" w:rsidRDefault="00AA07A9" w:rsidP="00341EBD">
      <w:pPr>
        <w:pStyle w:val="BodyText"/>
        <w:spacing w:before="10"/>
        <w:ind w:right="970"/>
        <w:rPr>
          <w:b/>
          <w:sz w:val="23"/>
          <w:lang w:val="sr-Latn-RS"/>
        </w:rPr>
      </w:pPr>
    </w:p>
    <w:p w14:paraId="19F5141E" w14:textId="5FBD3235" w:rsidR="00AA07A9" w:rsidRPr="00AE2963" w:rsidRDefault="00AE2963" w:rsidP="00341EBD">
      <w:pPr>
        <w:pStyle w:val="BodyText"/>
        <w:spacing w:line="252" w:lineRule="exact"/>
        <w:ind w:left="311" w:right="970"/>
        <w:rPr>
          <w:lang w:val="sr-Latn-RS"/>
        </w:rPr>
      </w:pPr>
      <w:r w:rsidRPr="00AE2963">
        <w:rPr>
          <w:u w:val="single"/>
          <w:lang w:val="sr-Latn-RS"/>
        </w:rPr>
        <w:t>Sažetak bezb</w:t>
      </w:r>
      <w:r w:rsidR="00341EBD">
        <w:rPr>
          <w:u w:val="single"/>
          <w:lang w:val="sr-Latn-RS"/>
        </w:rPr>
        <w:t>j</w:t>
      </w:r>
      <w:r w:rsidRPr="00AE2963">
        <w:rPr>
          <w:u w:val="single"/>
          <w:lang w:val="sr-Latn-RS"/>
        </w:rPr>
        <w:t>ednosnog profila</w:t>
      </w:r>
    </w:p>
    <w:p w14:paraId="6A117ADE" w14:textId="5850C61D" w:rsidR="00AA07A9" w:rsidRPr="00AE2963" w:rsidRDefault="00AE2963" w:rsidP="00341EBD">
      <w:pPr>
        <w:pStyle w:val="BodyText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 xml:space="preserve">Ukupno 7116 ispitanika (4666 </w:t>
      </w:r>
      <w:r w:rsidR="004919D6">
        <w:rPr>
          <w:lang w:val="sr-Latn-RS"/>
        </w:rPr>
        <w:t>i</w:t>
      </w:r>
      <w:r w:rsidRPr="00AE2963">
        <w:rPr>
          <w:lang w:val="sr-Latn-RS"/>
        </w:rPr>
        <w:t>ntravensk</w:t>
      </w:r>
      <w:r w:rsidR="004919D6">
        <w:rPr>
          <w:lang w:val="sr-Latn-RS"/>
        </w:rPr>
        <w:t>om</w:t>
      </w:r>
      <w:r w:rsidRPr="00AE2963">
        <w:rPr>
          <w:lang w:val="sr-Latn-RS"/>
        </w:rPr>
        <w:t xml:space="preserve"> </w:t>
      </w:r>
      <w:r w:rsidR="00FA7CB8">
        <w:rPr>
          <w:lang w:val="sr-Latn-RS"/>
        </w:rPr>
        <w:t>primjen</w:t>
      </w:r>
      <w:r w:rsidR="004919D6">
        <w:rPr>
          <w:lang w:val="sr-Latn-RS"/>
        </w:rPr>
        <w:t>om</w:t>
      </w:r>
      <w:r w:rsidRPr="00AE2963">
        <w:rPr>
          <w:lang w:val="sr-Latn-RS"/>
        </w:rPr>
        <w:t xml:space="preserve"> i 2450 </w:t>
      </w:r>
      <w:r w:rsidR="004919D6">
        <w:rPr>
          <w:lang w:val="sr-Latn-RS"/>
        </w:rPr>
        <w:t>su</w:t>
      </w:r>
      <w:r w:rsidR="00341EBD">
        <w:rPr>
          <w:lang w:val="sr-Latn-RS"/>
        </w:rPr>
        <w:t>b</w:t>
      </w:r>
      <w:r w:rsidR="004919D6">
        <w:rPr>
          <w:lang w:val="sr-Latn-RS"/>
        </w:rPr>
        <w:t>kutanom</w:t>
      </w:r>
      <w:r w:rsidRPr="00AE2963">
        <w:rPr>
          <w:lang w:val="sr-Latn-RS"/>
        </w:rPr>
        <w:t xml:space="preserve"> </w:t>
      </w:r>
      <w:r w:rsidR="00FA7CB8">
        <w:rPr>
          <w:lang w:val="sr-Latn-RS"/>
        </w:rPr>
        <w:t>primjen</w:t>
      </w:r>
      <w:r w:rsidR="004919D6">
        <w:rPr>
          <w:lang w:val="sr-Latn-RS"/>
        </w:rPr>
        <w:t>om</w:t>
      </w:r>
      <w:r w:rsidRPr="00AE2963">
        <w:rPr>
          <w:lang w:val="sr-Latn-RS"/>
        </w:rPr>
        <w:t>) l</w:t>
      </w:r>
      <w:r w:rsidR="00341EBD">
        <w:rPr>
          <w:lang w:val="sr-Latn-RS"/>
        </w:rPr>
        <w:t>ij</w:t>
      </w:r>
      <w:r w:rsidRPr="00AE2963">
        <w:rPr>
          <w:lang w:val="sr-Latn-RS"/>
        </w:rPr>
        <w:t>ečeno je kasirivimabom i imdevimabom u kliničkim ispitivanjima.</w:t>
      </w:r>
    </w:p>
    <w:p w14:paraId="3BA38ACA" w14:textId="77777777" w:rsidR="00AA07A9" w:rsidRPr="00AE2963" w:rsidRDefault="00AA07A9" w:rsidP="00341EBD">
      <w:pPr>
        <w:pStyle w:val="BodyText"/>
        <w:spacing w:before="2"/>
        <w:ind w:right="970"/>
        <w:jc w:val="both"/>
        <w:rPr>
          <w:lang w:val="sr-Latn-RS"/>
        </w:rPr>
      </w:pPr>
    </w:p>
    <w:p w14:paraId="0C102FB1" w14:textId="647D7DE0" w:rsidR="00AA07A9" w:rsidRPr="00AE2963" w:rsidRDefault="00AE2963" w:rsidP="00341EBD">
      <w:pPr>
        <w:pStyle w:val="BodyText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lastRenderedPageBreak/>
        <w:t xml:space="preserve">Najčešće prijavljivane neželjene reakcije na </w:t>
      </w:r>
      <w:r w:rsidR="00FA7CB8">
        <w:rPr>
          <w:lang w:val="sr-Latn-RS"/>
        </w:rPr>
        <w:t>lijek</w:t>
      </w:r>
      <w:r w:rsidRPr="00AE2963">
        <w:rPr>
          <w:lang w:val="sr-Latn-RS"/>
        </w:rPr>
        <w:t xml:space="preserve"> jesu reakcije preos</w:t>
      </w:r>
      <w:r w:rsidR="00341EBD">
        <w:rPr>
          <w:lang w:val="sr-Latn-RS"/>
        </w:rPr>
        <w:t>j</w:t>
      </w:r>
      <w:r w:rsidRPr="00AE2963">
        <w:rPr>
          <w:lang w:val="sr-Latn-RS"/>
        </w:rPr>
        <w:t>etljivosti koje obuhvataju reakcije povezane sa infuzijom i reakcije na m</w:t>
      </w:r>
      <w:r w:rsidR="00341EBD">
        <w:rPr>
          <w:lang w:val="sr-Latn-RS"/>
        </w:rPr>
        <w:t>j</w:t>
      </w:r>
      <w:r w:rsidRPr="00AE2963">
        <w:rPr>
          <w:lang w:val="sr-Latn-RS"/>
        </w:rPr>
        <w:t xml:space="preserve">estu </w:t>
      </w:r>
      <w:r w:rsidR="00FA7CB8">
        <w:rPr>
          <w:lang w:val="sr-Latn-RS"/>
        </w:rPr>
        <w:t>primjen</w:t>
      </w:r>
      <w:r w:rsidR="004919D6">
        <w:rPr>
          <w:lang w:val="sr-Latn-RS"/>
        </w:rPr>
        <w:t>e</w:t>
      </w:r>
      <w:r w:rsidRPr="00AE2963">
        <w:rPr>
          <w:lang w:val="sr-Latn-RS"/>
        </w:rPr>
        <w:t>.</w:t>
      </w:r>
    </w:p>
    <w:p w14:paraId="640257A4" w14:textId="77777777" w:rsidR="00AA07A9" w:rsidRPr="00AE2963" w:rsidRDefault="00AA07A9" w:rsidP="00341EBD">
      <w:pPr>
        <w:pStyle w:val="BodyText"/>
        <w:spacing w:before="5"/>
        <w:ind w:right="970"/>
        <w:jc w:val="both"/>
        <w:rPr>
          <w:sz w:val="24"/>
          <w:lang w:val="sr-Latn-RS"/>
        </w:rPr>
      </w:pPr>
    </w:p>
    <w:p w14:paraId="7C894FA6" w14:textId="77777777" w:rsidR="00096FEC" w:rsidRDefault="00AE2963" w:rsidP="00096FEC">
      <w:pPr>
        <w:pStyle w:val="BodyText"/>
        <w:ind w:left="311" w:right="970"/>
        <w:jc w:val="both"/>
        <w:rPr>
          <w:u w:val="single"/>
          <w:lang w:val="sr-Latn-RS"/>
        </w:rPr>
      </w:pPr>
      <w:r w:rsidRPr="00AE2963">
        <w:rPr>
          <w:u w:val="single"/>
          <w:lang w:val="sr-Latn-RS"/>
        </w:rPr>
        <w:t>Tabelarni sažetak neželjenih reakcija</w:t>
      </w:r>
    </w:p>
    <w:p w14:paraId="023E66C4" w14:textId="09886CB5" w:rsidR="004919D6" w:rsidRPr="004919D6" w:rsidRDefault="004919D6" w:rsidP="00096FEC">
      <w:pPr>
        <w:pStyle w:val="BodyText"/>
        <w:ind w:left="311" w:right="970"/>
        <w:jc w:val="both"/>
        <w:rPr>
          <w:lang w:val="sr-Latn-RS"/>
        </w:rPr>
      </w:pPr>
      <w:r w:rsidRPr="004919D6">
        <w:rPr>
          <w:lang w:val="sr-Latn-RS"/>
        </w:rPr>
        <w:t>Neželjene reakcije iz kliničkih ispitivanja u Tabeli 3 u nastavku navedene su prema klasi sistema organa i učestalosti. Učestalosti se definišu kao veoma česte (≥ 1/10), česte (≥ 1/100 do &lt;1/10), povremene (≥ 1/1000 do &lt; 1/100), r</w:t>
      </w:r>
      <w:r w:rsidR="00341EBD">
        <w:rPr>
          <w:lang w:val="sr-Latn-RS"/>
        </w:rPr>
        <w:t>ij</w:t>
      </w:r>
      <w:r w:rsidRPr="004919D6">
        <w:rPr>
          <w:lang w:val="sr-Latn-RS"/>
        </w:rPr>
        <w:t>etke (≥ 1/10000 do &lt;1/1000)</w:t>
      </w:r>
      <w:r w:rsidR="0053587C">
        <w:rPr>
          <w:lang w:val="sr-Latn-RS"/>
        </w:rPr>
        <w:t>,</w:t>
      </w:r>
      <w:r w:rsidRPr="004919D6">
        <w:rPr>
          <w:lang w:val="sr-Latn-RS"/>
        </w:rPr>
        <w:t xml:space="preserve"> veoma r</w:t>
      </w:r>
      <w:r w:rsidR="00341EBD">
        <w:rPr>
          <w:lang w:val="sr-Latn-RS"/>
        </w:rPr>
        <w:t>ij</w:t>
      </w:r>
      <w:r w:rsidRPr="004919D6">
        <w:rPr>
          <w:lang w:val="sr-Latn-RS"/>
        </w:rPr>
        <w:t>etke (&lt; 1/10000)</w:t>
      </w:r>
      <w:r w:rsidR="0053587C">
        <w:rPr>
          <w:lang w:val="sr-Latn-RS"/>
        </w:rPr>
        <w:t xml:space="preserve"> i nepoznate</w:t>
      </w:r>
      <w:r w:rsidR="0053587C" w:rsidRPr="0053587C">
        <w:rPr>
          <w:lang w:val="sr-Latn-RS"/>
        </w:rPr>
        <w:t xml:space="preserve"> (ne može se procij</w:t>
      </w:r>
      <w:r w:rsidR="0053587C">
        <w:rPr>
          <w:lang w:val="sr-Latn-RS"/>
        </w:rPr>
        <w:t>eniti iz dostupnih podataka)</w:t>
      </w:r>
      <w:r w:rsidRPr="004919D6">
        <w:rPr>
          <w:lang w:val="sr-Latn-RS"/>
        </w:rPr>
        <w:t>.</w:t>
      </w:r>
    </w:p>
    <w:p w14:paraId="75D6A01E" w14:textId="1AFB5820" w:rsidR="004946A1" w:rsidRDefault="004946A1">
      <w:pPr>
        <w:spacing w:line="266" w:lineRule="auto"/>
        <w:rPr>
          <w:lang w:val="sr-Latn-RS"/>
        </w:rPr>
      </w:pPr>
    </w:p>
    <w:p w14:paraId="46C92AAC" w14:textId="77777777" w:rsidR="0053587C" w:rsidRDefault="004946A1" w:rsidP="004946A1">
      <w:pPr>
        <w:pStyle w:val="Heading1"/>
        <w:spacing w:before="66"/>
        <w:ind w:left="311" w:firstLine="0"/>
        <w:rPr>
          <w:lang w:val="sr-Latn-RS"/>
        </w:rPr>
      </w:pPr>
      <w:r w:rsidRPr="00AE2963">
        <w:rPr>
          <w:lang w:val="sr-Latn-RS"/>
        </w:rPr>
        <w:t>Tabela 3: Tabelarni prikaz neželjenih reakcija identifikovanih u kliničkim ispitivanjima</w:t>
      </w:r>
      <w:r w:rsidR="0053587C">
        <w:rPr>
          <w:lang w:val="sr-Latn-RS"/>
        </w:rPr>
        <w:t xml:space="preserve"> i nakon</w:t>
      </w:r>
    </w:p>
    <w:p w14:paraId="3A82BE38" w14:textId="2E8887A9" w:rsidR="004946A1" w:rsidRPr="00AE2963" w:rsidRDefault="0053587C" w:rsidP="004946A1">
      <w:pPr>
        <w:pStyle w:val="Heading1"/>
        <w:spacing w:before="66"/>
        <w:ind w:left="311" w:firstLine="0"/>
        <w:rPr>
          <w:lang w:val="sr-Latn-RS"/>
        </w:rPr>
      </w:pPr>
      <w:r>
        <w:rPr>
          <w:lang w:val="sr-Latn-RS"/>
        </w:rPr>
        <w:t xml:space="preserve"> stavljanja lijeka u promet</w:t>
      </w:r>
      <w:r w:rsidR="004946A1" w:rsidRPr="00AE2963">
        <w:rPr>
          <w:lang w:val="sr-Latn-RS"/>
        </w:rPr>
        <w:t>:</w:t>
      </w:r>
    </w:p>
    <w:tbl>
      <w:tblPr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930"/>
        <w:gridCol w:w="2592"/>
      </w:tblGrid>
      <w:tr w:rsidR="004946A1" w:rsidRPr="00AE2963" w14:paraId="386FE405" w14:textId="77777777" w:rsidTr="00AE3A50">
        <w:trPr>
          <w:trHeight w:val="433"/>
        </w:trPr>
        <w:tc>
          <w:tcPr>
            <w:tcW w:w="3257" w:type="dxa"/>
          </w:tcPr>
          <w:p w14:paraId="44C836B2" w14:textId="77777777" w:rsidR="004946A1" w:rsidRPr="00AE2963" w:rsidRDefault="004946A1" w:rsidP="00AE3A50">
            <w:pPr>
              <w:pStyle w:val="TableParagraph"/>
              <w:spacing w:before="97"/>
              <w:ind w:left="107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Klasa sistema organa</w:t>
            </w:r>
          </w:p>
        </w:tc>
        <w:tc>
          <w:tcPr>
            <w:tcW w:w="2930" w:type="dxa"/>
          </w:tcPr>
          <w:p w14:paraId="4FE72806" w14:textId="77777777" w:rsidR="004946A1" w:rsidRPr="00AE2963" w:rsidRDefault="004946A1" w:rsidP="00AE3A50">
            <w:pPr>
              <w:pStyle w:val="TableParagraph"/>
              <w:spacing w:before="97"/>
              <w:ind w:left="664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Neželjena reakcija</w:t>
            </w:r>
          </w:p>
        </w:tc>
        <w:tc>
          <w:tcPr>
            <w:tcW w:w="2592" w:type="dxa"/>
          </w:tcPr>
          <w:p w14:paraId="71F75474" w14:textId="77777777" w:rsidR="004946A1" w:rsidRPr="00AE2963" w:rsidRDefault="004946A1" w:rsidP="00AE3A50">
            <w:pPr>
              <w:pStyle w:val="TableParagraph"/>
              <w:spacing w:before="97"/>
              <w:ind w:left="365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Kategorija učestalosti</w:t>
            </w:r>
          </w:p>
        </w:tc>
      </w:tr>
      <w:tr w:rsidR="004946A1" w:rsidRPr="00AE2963" w14:paraId="7BE08D5B" w14:textId="77777777" w:rsidTr="00AE3A50">
        <w:trPr>
          <w:trHeight w:val="412"/>
        </w:trPr>
        <w:tc>
          <w:tcPr>
            <w:tcW w:w="8779" w:type="dxa"/>
            <w:gridSpan w:val="3"/>
          </w:tcPr>
          <w:p w14:paraId="378B73A7" w14:textId="77777777" w:rsidR="004946A1" w:rsidRPr="00AE2963" w:rsidRDefault="004946A1" w:rsidP="00AE3A50">
            <w:pPr>
              <w:pStyle w:val="TableParagraph"/>
              <w:spacing w:before="87"/>
              <w:ind w:left="2989" w:right="2972"/>
              <w:jc w:val="center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 xml:space="preserve">Intravenska </w:t>
            </w:r>
            <w:r>
              <w:rPr>
                <w:b/>
                <w:bCs/>
                <w:lang w:val="sr-Latn-RS"/>
              </w:rPr>
              <w:t>primjen</w:t>
            </w:r>
            <w:r w:rsidRPr="00AE2963">
              <w:rPr>
                <w:b/>
                <w:bCs/>
                <w:lang w:val="sr-Latn-RS"/>
              </w:rPr>
              <w:t>a</w:t>
            </w:r>
          </w:p>
        </w:tc>
      </w:tr>
      <w:tr w:rsidR="004946A1" w:rsidRPr="00AE2963" w14:paraId="6C660BCF" w14:textId="77777777" w:rsidTr="00AE3A50">
        <w:trPr>
          <w:trHeight w:val="292"/>
        </w:trPr>
        <w:tc>
          <w:tcPr>
            <w:tcW w:w="3257" w:type="dxa"/>
          </w:tcPr>
          <w:p w14:paraId="709BC508" w14:textId="77777777" w:rsidR="004946A1" w:rsidRPr="00AE2963" w:rsidRDefault="004946A1" w:rsidP="00AE3A50">
            <w:pPr>
              <w:pStyle w:val="TableParagraph"/>
              <w:spacing w:before="10"/>
              <w:ind w:left="107"/>
              <w:rPr>
                <w:lang w:val="sr-Latn-RS"/>
              </w:rPr>
            </w:pPr>
            <w:r w:rsidRPr="00AE2963">
              <w:rPr>
                <w:lang w:val="sr-Latn-RS"/>
              </w:rPr>
              <w:t>Poremećaji imunog sistema</w:t>
            </w:r>
          </w:p>
        </w:tc>
        <w:tc>
          <w:tcPr>
            <w:tcW w:w="2930" w:type="dxa"/>
          </w:tcPr>
          <w:p w14:paraId="22E2B02E" w14:textId="77777777" w:rsidR="004946A1" w:rsidRPr="00AE2963" w:rsidRDefault="004946A1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Anafilaksa</w:t>
            </w:r>
          </w:p>
        </w:tc>
        <w:tc>
          <w:tcPr>
            <w:tcW w:w="2592" w:type="dxa"/>
          </w:tcPr>
          <w:p w14:paraId="6D8D9A51" w14:textId="77777777" w:rsidR="004946A1" w:rsidRPr="00AE2963" w:rsidRDefault="004946A1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etke</w:t>
            </w:r>
          </w:p>
        </w:tc>
      </w:tr>
      <w:tr w:rsidR="00F57316" w:rsidRPr="00AE2963" w14:paraId="58F7F2B1" w14:textId="77777777" w:rsidTr="00AE3A50">
        <w:trPr>
          <w:trHeight w:val="289"/>
        </w:trPr>
        <w:tc>
          <w:tcPr>
            <w:tcW w:w="3257" w:type="dxa"/>
            <w:vMerge w:val="restart"/>
          </w:tcPr>
          <w:p w14:paraId="21E0041B" w14:textId="77777777" w:rsidR="00F57316" w:rsidRPr="00AE2963" w:rsidRDefault="00F57316" w:rsidP="00AE3A50">
            <w:pPr>
              <w:pStyle w:val="TableParagraph"/>
              <w:spacing w:before="10"/>
              <w:ind w:left="107"/>
              <w:rPr>
                <w:lang w:val="sr-Latn-RS"/>
              </w:rPr>
            </w:pPr>
            <w:r w:rsidRPr="00AE2963">
              <w:rPr>
                <w:lang w:val="sr-Latn-RS"/>
              </w:rPr>
              <w:t>Poremećaji nervnog sistema</w:t>
            </w:r>
          </w:p>
        </w:tc>
        <w:tc>
          <w:tcPr>
            <w:tcW w:w="2930" w:type="dxa"/>
          </w:tcPr>
          <w:p w14:paraId="2A0A35AF" w14:textId="77777777" w:rsidR="00F57316" w:rsidRPr="00AE2963" w:rsidRDefault="00F57316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Vrtoglavica*</w:t>
            </w:r>
          </w:p>
        </w:tc>
        <w:tc>
          <w:tcPr>
            <w:tcW w:w="2592" w:type="dxa"/>
          </w:tcPr>
          <w:p w14:paraId="64BA450D" w14:textId="77777777" w:rsidR="00F57316" w:rsidRPr="00AE2963" w:rsidRDefault="00F57316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Povremene</w:t>
            </w:r>
          </w:p>
        </w:tc>
      </w:tr>
      <w:tr w:rsidR="00F57316" w:rsidRPr="00AE2963" w14:paraId="75DD3A3C" w14:textId="77777777" w:rsidTr="00AE3A50">
        <w:trPr>
          <w:trHeight w:val="289"/>
        </w:trPr>
        <w:tc>
          <w:tcPr>
            <w:tcW w:w="3257" w:type="dxa"/>
            <w:vMerge/>
          </w:tcPr>
          <w:p w14:paraId="51AB2EE5" w14:textId="77777777" w:rsidR="00F57316" w:rsidRPr="00AE2963" w:rsidRDefault="00F57316" w:rsidP="00AE3A50">
            <w:pPr>
              <w:pStyle w:val="TableParagraph"/>
              <w:spacing w:before="10"/>
              <w:ind w:left="107"/>
              <w:rPr>
                <w:lang w:val="sr-Latn-RS"/>
              </w:rPr>
            </w:pPr>
          </w:p>
        </w:tc>
        <w:tc>
          <w:tcPr>
            <w:tcW w:w="2930" w:type="dxa"/>
          </w:tcPr>
          <w:p w14:paraId="2F32E933" w14:textId="6FBA2138" w:rsidR="00F57316" w:rsidRPr="00AE2963" w:rsidRDefault="00F57316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>
              <w:rPr>
                <w:lang w:val="sr-Latn-RS"/>
              </w:rPr>
              <w:t>Konvulzivna sinkopa</w:t>
            </w:r>
          </w:p>
        </w:tc>
        <w:tc>
          <w:tcPr>
            <w:tcW w:w="2592" w:type="dxa"/>
          </w:tcPr>
          <w:p w14:paraId="4F29137B" w14:textId="47688224" w:rsidR="00F57316" w:rsidRPr="00AE2963" w:rsidRDefault="00F57316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>
              <w:rPr>
                <w:lang w:val="sr-Latn-RS"/>
              </w:rPr>
              <w:t>Nepoznato</w:t>
            </w:r>
          </w:p>
        </w:tc>
      </w:tr>
      <w:tr w:rsidR="004946A1" w:rsidRPr="00AE2963" w14:paraId="44025F51" w14:textId="77777777" w:rsidTr="00AE3A50">
        <w:trPr>
          <w:trHeight w:val="270"/>
        </w:trPr>
        <w:tc>
          <w:tcPr>
            <w:tcW w:w="3257" w:type="dxa"/>
          </w:tcPr>
          <w:p w14:paraId="3B264A84" w14:textId="77777777" w:rsidR="004946A1" w:rsidRPr="00AE2963" w:rsidRDefault="004946A1" w:rsidP="00AE3A50">
            <w:pPr>
              <w:pStyle w:val="TableParagraph"/>
              <w:spacing w:before="8" w:line="243" w:lineRule="exact"/>
              <w:ind w:left="107"/>
              <w:rPr>
                <w:lang w:val="sr-Latn-RS"/>
              </w:rPr>
            </w:pPr>
            <w:r w:rsidRPr="00AE2963">
              <w:rPr>
                <w:lang w:val="sr-Latn-RS"/>
              </w:rPr>
              <w:t>Vaskularni poremećaji</w:t>
            </w:r>
          </w:p>
        </w:tc>
        <w:tc>
          <w:tcPr>
            <w:tcW w:w="2930" w:type="dxa"/>
          </w:tcPr>
          <w:p w14:paraId="4705781A" w14:textId="77777777" w:rsidR="004946A1" w:rsidRPr="00AE2963" w:rsidRDefault="004946A1" w:rsidP="00AE3A50">
            <w:pPr>
              <w:pStyle w:val="TableParagraph"/>
              <w:spacing w:before="8" w:line="243" w:lineRule="exact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Crvenilo*</w:t>
            </w:r>
          </w:p>
        </w:tc>
        <w:tc>
          <w:tcPr>
            <w:tcW w:w="2592" w:type="dxa"/>
          </w:tcPr>
          <w:p w14:paraId="37DD6898" w14:textId="77777777" w:rsidR="004946A1" w:rsidRPr="00AE2963" w:rsidRDefault="004946A1" w:rsidP="00AE3A50">
            <w:pPr>
              <w:pStyle w:val="TableParagraph"/>
              <w:spacing w:before="8" w:line="243" w:lineRule="exact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etke</w:t>
            </w:r>
          </w:p>
        </w:tc>
      </w:tr>
      <w:tr w:rsidR="004946A1" w:rsidRPr="00AE2963" w14:paraId="5243BEF9" w14:textId="77777777" w:rsidTr="00AE3A50">
        <w:trPr>
          <w:trHeight w:val="267"/>
        </w:trPr>
        <w:tc>
          <w:tcPr>
            <w:tcW w:w="3257" w:type="dxa"/>
          </w:tcPr>
          <w:p w14:paraId="2A0F86EF" w14:textId="77777777" w:rsidR="004946A1" w:rsidRPr="00AE2963" w:rsidRDefault="004946A1" w:rsidP="00AE3A50">
            <w:pPr>
              <w:pStyle w:val="TableParagraph"/>
              <w:spacing w:before="10" w:line="238" w:lineRule="exact"/>
              <w:ind w:left="107"/>
              <w:rPr>
                <w:lang w:val="sr-Latn-RS"/>
              </w:rPr>
            </w:pPr>
            <w:r w:rsidRPr="00AE2963">
              <w:rPr>
                <w:lang w:val="sr-Latn-RS"/>
              </w:rPr>
              <w:t>Gastrointestinalni poremećaji</w:t>
            </w:r>
          </w:p>
        </w:tc>
        <w:tc>
          <w:tcPr>
            <w:tcW w:w="2930" w:type="dxa"/>
          </w:tcPr>
          <w:p w14:paraId="30B856DE" w14:textId="77777777" w:rsidR="004946A1" w:rsidRPr="00AE2963" w:rsidRDefault="004946A1" w:rsidP="00AE3A50">
            <w:pPr>
              <w:pStyle w:val="TableParagraph"/>
              <w:spacing w:before="10" w:line="238" w:lineRule="exact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Mučnina*</w:t>
            </w:r>
          </w:p>
        </w:tc>
        <w:tc>
          <w:tcPr>
            <w:tcW w:w="2592" w:type="dxa"/>
          </w:tcPr>
          <w:p w14:paraId="2AE94689" w14:textId="77777777" w:rsidR="004946A1" w:rsidRPr="00AE2963" w:rsidRDefault="004946A1" w:rsidP="00AE3A50">
            <w:pPr>
              <w:pStyle w:val="TableParagraph"/>
              <w:spacing w:before="10" w:line="238" w:lineRule="exact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Povremene</w:t>
            </w:r>
          </w:p>
        </w:tc>
      </w:tr>
      <w:tr w:rsidR="004946A1" w:rsidRPr="00AE2963" w14:paraId="343DCD24" w14:textId="77777777" w:rsidTr="00AE3A50">
        <w:trPr>
          <w:trHeight w:val="299"/>
        </w:trPr>
        <w:tc>
          <w:tcPr>
            <w:tcW w:w="3257" w:type="dxa"/>
            <w:vMerge w:val="restart"/>
          </w:tcPr>
          <w:p w14:paraId="0C02420F" w14:textId="77777777" w:rsidR="004946A1" w:rsidRPr="00AE2963" w:rsidRDefault="004946A1" w:rsidP="00AE3A50">
            <w:pPr>
              <w:pStyle w:val="TableParagraph"/>
              <w:spacing w:before="10"/>
              <w:ind w:left="107" w:right="554"/>
              <w:rPr>
                <w:lang w:val="sr-Latn-RS"/>
              </w:rPr>
            </w:pPr>
            <w:r w:rsidRPr="00AE2963">
              <w:rPr>
                <w:lang w:val="sr-Latn-RS"/>
              </w:rPr>
              <w:t>Poremećaji kože i potkožnog tkiva</w:t>
            </w:r>
          </w:p>
        </w:tc>
        <w:tc>
          <w:tcPr>
            <w:tcW w:w="2930" w:type="dxa"/>
          </w:tcPr>
          <w:p w14:paraId="4DACE6A1" w14:textId="77777777" w:rsidR="004946A1" w:rsidRPr="00AE2963" w:rsidRDefault="004946A1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Osip*</w:t>
            </w:r>
          </w:p>
        </w:tc>
        <w:tc>
          <w:tcPr>
            <w:tcW w:w="2592" w:type="dxa"/>
            <w:tcBorders>
              <w:bottom w:val="single" w:sz="4" w:space="0" w:color="000000"/>
            </w:tcBorders>
          </w:tcPr>
          <w:p w14:paraId="7D189CA1" w14:textId="77777777" w:rsidR="004946A1" w:rsidRPr="00AE2963" w:rsidRDefault="004946A1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Povremene</w:t>
            </w:r>
          </w:p>
        </w:tc>
      </w:tr>
      <w:tr w:rsidR="004946A1" w:rsidRPr="00AE2963" w14:paraId="55D4FE9E" w14:textId="77777777" w:rsidTr="00AE3A50">
        <w:trPr>
          <w:trHeight w:val="299"/>
        </w:trPr>
        <w:tc>
          <w:tcPr>
            <w:tcW w:w="3257" w:type="dxa"/>
            <w:vMerge/>
            <w:tcBorders>
              <w:top w:val="nil"/>
            </w:tcBorders>
          </w:tcPr>
          <w:p w14:paraId="41F3B346" w14:textId="77777777" w:rsidR="004946A1" w:rsidRPr="00AE2963" w:rsidRDefault="004946A1" w:rsidP="00AE3A50">
            <w:pPr>
              <w:rPr>
                <w:sz w:val="2"/>
                <w:szCs w:val="2"/>
                <w:lang w:val="sr-Latn-RS"/>
              </w:rPr>
            </w:pPr>
          </w:p>
        </w:tc>
        <w:tc>
          <w:tcPr>
            <w:tcW w:w="2930" w:type="dxa"/>
          </w:tcPr>
          <w:p w14:paraId="3D314C10" w14:textId="77777777" w:rsidR="004946A1" w:rsidRPr="00AE2963" w:rsidRDefault="004946A1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Urtikarija*</w:t>
            </w:r>
          </w:p>
        </w:tc>
        <w:tc>
          <w:tcPr>
            <w:tcW w:w="2592" w:type="dxa"/>
            <w:tcBorders>
              <w:top w:val="single" w:sz="4" w:space="0" w:color="000000"/>
            </w:tcBorders>
          </w:tcPr>
          <w:p w14:paraId="273FCE2B" w14:textId="77777777" w:rsidR="004946A1" w:rsidRPr="00AE2963" w:rsidRDefault="004946A1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etke</w:t>
            </w:r>
          </w:p>
        </w:tc>
      </w:tr>
      <w:tr w:rsidR="004946A1" w:rsidRPr="00AE2963" w14:paraId="6363E773" w14:textId="77777777" w:rsidTr="00AE3A50">
        <w:trPr>
          <w:trHeight w:val="522"/>
        </w:trPr>
        <w:tc>
          <w:tcPr>
            <w:tcW w:w="3257" w:type="dxa"/>
          </w:tcPr>
          <w:p w14:paraId="6738D9AC" w14:textId="77777777" w:rsidR="004946A1" w:rsidRPr="00AE2963" w:rsidRDefault="004946A1" w:rsidP="00AE3A50">
            <w:pPr>
              <w:pStyle w:val="TableParagraph"/>
              <w:spacing w:line="252" w:lineRule="exact"/>
              <w:ind w:left="107" w:right="517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Opšti poremećaji i </w:t>
            </w:r>
            <w:r>
              <w:rPr>
                <w:lang w:val="sr-Latn-RS"/>
              </w:rPr>
              <w:t xml:space="preserve">reakcije </w:t>
            </w:r>
            <w:r w:rsidRPr="00AE2963">
              <w:rPr>
                <w:lang w:val="sr-Latn-RS"/>
              </w:rPr>
              <w:t>na m</w:t>
            </w:r>
            <w:r>
              <w:rPr>
                <w:lang w:val="sr-Latn-RS"/>
              </w:rPr>
              <w:t>j</w:t>
            </w:r>
            <w:r w:rsidRPr="00AE2963">
              <w:rPr>
                <w:lang w:val="sr-Latn-RS"/>
              </w:rPr>
              <w:t xml:space="preserve">estu </w:t>
            </w:r>
            <w:r>
              <w:rPr>
                <w:lang w:val="sr-Latn-RS"/>
              </w:rPr>
              <w:t>primjen</w:t>
            </w:r>
            <w:r w:rsidRPr="00AE2963">
              <w:rPr>
                <w:lang w:val="sr-Latn-RS"/>
              </w:rPr>
              <w:t>e</w:t>
            </w:r>
          </w:p>
        </w:tc>
        <w:tc>
          <w:tcPr>
            <w:tcW w:w="2930" w:type="dxa"/>
          </w:tcPr>
          <w:p w14:paraId="0B03995E" w14:textId="77777777" w:rsidR="004946A1" w:rsidRPr="00AE2963" w:rsidRDefault="004946A1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Drhtavica*</w:t>
            </w:r>
          </w:p>
        </w:tc>
        <w:tc>
          <w:tcPr>
            <w:tcW w:w="2592" w:type="dxa"/>
          </w:tcPr>
          <w:p w14:paraId="241F649F" w14:textId="77777777" w:rsidR="004946A1" w:rsidRPr="00AE2963" w:rsidRDefault="004946A1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Povremene</w:t>
            </w:r>
          </w:p>
        </w:tc>
      </w:tr>
      <w:tr w:rsidR="004946A1" w:rsidRPr="00AE2963" w14:paraId="6898F7A5" w14:textId="77777777" w:rsidTr="00AE3A50">
        <w:trPr>
          <w:trHeight w:val="520"/>
        </w:trPr>
        <w:tc>
          <w:tcPr>
            <w:tcW w:w="3257" w:type="dxa"/>
          </w:tcPr>
          <w:p w14:paraId="0AB30FC1" w14:textId="77777777" w:rsidR="004946A1" w:rsidRPr="00AE2963" w:rsidRDefault="004946A1" w:rsidP="00AE3A50">
            <w:pPr>
              <w:pStyle w:val="TableParagraph"/>
              <w:spacing w:line="250" w:lineRule="atLeast"/>
              <w:ind w:left="107" w:right="226"/>
              <w:rPr>
                <w:lang w:val="sr-Latn-RS"/>
              </w:rPr>
            </w:pPr>
            <w:r w:rsidRPr="00AE2963">
              <w:rPr>
                <w:lang w:val="sr-Latn-RS"/>
              </w:rPr>
              <w:t>Povrede, trovanja i proceduralne komplikacije</w:t>
            </w:r>
          </w:p>
        </w:tc>
        <w:tc>
          <w:tcPr>
            <w:tcW w:w="2930" w:type="dxa"/>
          </w:tcPr>
          <w:p w14:paraId="127024F3" w14:textId="77777777" w:rsidR="004946A1" w:rsidRPr="00AE2963" w:rsidRDefault="004946A1" w:rsidP="00AE3A50">
            <w:pPr>
              <w:pStyle w:val="TableParagraph"/>
              <w:spacing w:before="8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Reakcije povezane sa infuzijom</w:t>
            </w:r>
          </w:p>
        </w:tc>
        <w:tc>
          <w:tcPr>
            <w:tcW w:w="2592" w:type="dxa"/>
          </w:tcPr>
          <w:p w14:paraId="73463CD7" w14:textId="77777777" w:rsidR="004946A1" w:rsidRPr="00AE2963" w:rsidRDefault="004946A1" w:rsidP="00AE3A50">
            <w:pPr>
              <w:pStyle w:val="TableParagraph"/>
              <w:spacing w:before="8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Povremene</w:t>
            </w:r>
          </w:p>
        </w:tc>
      </w:tr>
      <w:tr w:rsidR="004946A1" w:rsidRPr="00AE2963" w14:paraId="63A21A1E" w14:textId="77777777" w:rsidTr="00AE3A50">
        <w:trPr>
          <w:trHeight w:val="412"/>
        </w:trPr>
        <w:tc>
          <w:tcPr>
            <w:tcW w:w="8779" w:type="dxa"/>
            <w:gridSpan w:val="3"/>
          </w:tcPr>
          <w:p w14:paraId="4F615260" w14:textId="77777777" w:rsidR="004946A1" w:rsidRPr="00AE2963" w:rsidRDefault="004946A1" w:rsidP="00AE3A50">
            <w:pPr>
              <w:pStyle w:val="TableParagraph"/>
              <w:spacing w:before="87"/>
              <w:ind w:left="2991" w:right="2972"/>
              <w:jc w:val="center"/>
              <w:rPr>
                <w:b/>
                <w:lang w:val="sr-Latn-RS"/>
              </w:rPr>
            </w:pPr>
            <w:r w:rsidRPr="00AE2963">
              <w:rPr>
                <w:b/>
                <w:bCs/>
                <w:lang w:val="sr-Latn-RS"/>
              </w:rPr>
              <w:t>Su</w:t>
            </w:r>
            <w:r>
              <w:rPr>
                <w:b/>
                <w:bCs/>
                <w:lang w:val="sr-Latn-RS"/>
              </w:rPr>
              <w:t>b</w:t>
            </w:r>
            <w:r w:rsidRPr="00AE2963">
              <w:rPr>
                <w:b/>
                <w:bCs/>
                <w:lang w:val="sr-Latn-RS"/>
              </w:rPr>
              <w:t xml:space="preserve">kutana </w:t>
            </w:r>
            <w:r>
              <w:rPr>
                <w:b/>
                <w:bCs/>
                <w:lang w:val="sr-Latn-RS"/>
              </w:rPr>
              <w:t>primjen</w:t>
            </w:r>
            <w:r w:rsidRPr="00AE2963">
              <w:rPr>
                <w:b/>
                <w:bCs/>
                <w:lang w:val="sr-Latn-RS"/>
              </w:rPr>
              <w:t>a</w:t>
            </w:r>
          </w:p>
        </w:tc>
      </w:tr>
      <w:tr w:rsidR="004946A1" w:rsidRPr="00AE2963" w14:paraId="37694FAC" w14:textId="77777777" w:rsidTr="00AE3A50">
        <w:trPr>
          <w:trHeight w:val="520"/>
        </w:trPr>
        <w:tc>
          <w:tcPr>
            <w:tcW w:w="3257" w:type="dxa"/>
          </w:tcPr>
          <w:p w14:paraId="5CD0EAA8" w14:textId="77777777" w:rsidR="004946A1" w:rsidRPr="00AE2963" w:rsidRDefault="004946A1" w:rsidP="00AE3A50">
            <w:pPr>
              <w:pStyle w:val="TableParagraph"/>
              <w:spacing w:line="252" w:lineRule="exact"/>
              <w:ind w:left="107" w:right="598"/>
              <w:rPr>
                <w:lang w:val="sr-Latn-RS"/>
              </w:rPr>
            </w:pPr>
            <w:r w:rsidRPr="00AE2963">
              <w:rPr>
                <w:lang w:val="sr-Latn-RS"/>
              </w:rPr>
              <w:t>Poremećaji krvi i limfnog sistema</w:t>
            </w:r>
          </w:p>
        </w:tc>
        <w:tc>
          <w:tcPr>
            <w:tcW w:w="2930" w:type="dxa"/>
          </w:tcPr>
          <w:p w14:paraId="55C70F3D" w14:textId="77777777" w:rsidR="004946A1" w:rsidRPr="00AE2963" w:rsidRDefault="004946A1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Limfadenopatija</w:t>
            </w:r>
          </w:p>
        </w:tc>
        <w:tc>
          <w:tcPr>
            <w:tcW w:w="2592" w:type="dxa"/>
          </w:tcPr>
          <w:p w14:paraId="50A079B1" w14:textId="77777777" w:rsidR="004946A1" w:rsidRPr="00AE2963" w:rsidRDefault="004946A1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Povremene</w:t>
            </w:r>
          </w:p>
        </w:tc>
      </w:tr>
      <w:tr w:rsidR="004946A1" w:rsidRPr="00AE2963" w14:paraId="7136E326" w14:textId="77777777" w:rsidTr="00AE3A50">
        <w:trPr>
          <w:trHeight w:val="294"/>
        </w:trPr>
        <w:tc>
          <w:tcPr>
            <w:tcW w:w="3257" w:type="dxa"/>
          </w:tcPr>
          <w:p w14:paraId="5E224130" w14:textId="77777777" w:rsidR="004946A1" w:rsidRPr="00AE2963" w:rsidRDefault="004946A1" w:rsidP="00AE3A50">
            <w:pPr>
              <w:pStyle w:val="TableParagraph"/>
              <w:spacing w:before="10"/>
              <w:ind w:left="107"/>
              <w:rPr>
                <w:lang w:val="sr-Latn-RS"/>
              </w:rPr>
            </w:pPr>
            <w:r w:rsidRPr="00AE2963">
              <w:rPr>
                <w:lang w:val="sr-Latn-RS"/>
              </w:rPr>
              <w:t>Poremećaji nervnog sistema</w:t>
            </w:r>
          </w:p>
        </w:tc>
        <w:tc>
          <w:tcPr>
            <w:tcW w:w="2930" w:type="dxa"/>
          </w:tcPr>
          <w:p w14:paraId="632BC81F" w14:textId="77777777" w:rsidR="004946A1" w:rsidRPr="00AE2963" w:rsidRDefault="004946A1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Vrtoglavica</w:t>
            </w:r>
          </w:p>
        </w:tc>
        <w:tc>
          <w:tcPr>
            <w:tcW w:w="2592" w:type="dxa"/>
          </w:tcPr>
          <w:p w14:paraId="21A92681" w14:textId="77777777" w:rsidR="004946A1" w:rsidRPr="00AE2963" w:rsidRDefault="004946A1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Povremene</w:t>
            </w:r>
          </w:p>
        </w:tc>
      </w:tr>
      <w:tr w:rsidR="004946A1" w:rsidRPr="00AE2963" w14:paraId="186C92B8" w14:textId="77777777" w:rsidTr="00AE3A50">
        <w:trPr>
          <w:trHeight w:val="522"/>
        </w:trPr>
        <w:tc>
          <w:tcPr>
            <w:tcW w:w="3257" w:type="dxa"/>
          </w:tcPr>
          <w:p w14:paraId="61B52329" w14:textId="77777777" w:rsidR="004946A1" w:rsidRPr="00AE2963" w:rsidRDefault="004946A1" w:rsidP="00AE3A50">
            <w:pPr>
              <w:pStyle w:val="TableParagraph"/>
              <w:spacing w:line="252" w:lineRule="exact"/>
              <w:ind w:left="107" w:right="554"/>
              <w:rPr>
                <w:lang w:val="sr-Latn-RS"/>
              </w:rPr>
            </w:pPr>
            <w:r w:rsidRPr="00AE2963">
              <w:rPr>
                <w:lang w:val="sr-Latn-RS"/>
              </w:rPr>
              <w:t>Poremećaji kože i potkožnog tkiva</w:t>
            </w:r>
          </w:p>
        </w:tc>
        <w:tc>
          <w:tcPr>
            <w:tcW w:w="2930" w:type="dxa"/>
          </w:tcPr>
          <w:p w14:paraId="7D12CD8F" w14:textId="77777777" w:rsidR="004946A1" w:rsidRPr="00AE2963" w:rsidRDefault="004946A1" w:rsidP="00AE3A50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Pruritus</w:t>
            </w:r>
            <w:r w:rsidRPr="00AE2963">
              <w:rPr>
                <w:vertAlign w:val="superscript"/>
                <w:lang w:val="sr-Latn-RS"/>
              </w:rPr>
              <w:t>1</w:t>
            </w:r>
            <w:r w:rsidRPr="00AE2963">
              <w:rPr>
                <w:lang w:val="sr-Latn-RS"/>
              </w:rPr>
              <w:t>*</w:t>
            </w:r>
          </w:p>
        </w:tc>
        <w:tc>
          <w:tcPr>
            <w:tcW w:w="2592" w:type="dxa"/>
          </w:tcPr>
          <w:p w14:paraId="5564D5D8" w14:textId="77777777" w:rsidR="004946A1" w:rsidRPr="00AE2963" w:rsidRDefault="004946A1" w:rsidP="00AE3A50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AE2963">
              <w:rPr>
                <w:lang w:val="sr-Latn-RS"/>
              </w:rPr>
              <w:t>etke</w:t>
            </w:r>
          </w:p>
        </w:tc>
      </w:tr>
      <w:tr w:rsidR="004946A1" w:rsidRPr="00AE2963" w14:paraId="34C238B9" w14:textId="77777777" w:rsidTr="00AE3A50">
        <w:trPr>
          <w:trHeight w:val="520"/>
        </w:trPr>
        <w:tc>
          <w:tcPr>
            <w:tcW w:w="3257" w:type="dxa"/>
          </w:tcPr>
          <w:p w14:paraId="184548C1" w14:textId="77777777" w:rsidR="004946A1" w:rsidRPr="00AE2963" w:rsidRDefault="004946A1" w:rsidP="00AE3A50">
            <w:pPr>
              <w:pStyle w:val="TableParagraph"/>
              <w:spacing w:line="250" w:lineRule="atLeast"/>
              <w:ind w:left="107" w:right="517"/>
              <w:rPr>
                <w:lang w:val="sr-Latn-RS"/>
              </w:rPr>
            </w:pPr>
            <w:r w:rsidRPr="00AE2963">
              <w:rPr>
                <w:lang w:val="sr-Latn-RS"/>
              </w:rPr>
              <w:t xml:space="preserve">Opšti poremećaji i </w:t>
            </w:r>
            <w:r>
              <w:rPr>
                <w:lang w:val="sr-Latn-RS"/>
              </w:rPr>
              <w:t>reakcije</w:t>
            </w:r>
            <w:r w:rsidRPr="00AE2963">
              <w:rPr>
                <w:lang w:val="sr-Latn-RS"/>
              </w:rPr>
              <w:t xml:space="preserve"> na m</w:t>
            </w:r>
            <w:r>
              <w:rPr>
                <w:lang w:val="sr-Latn-RS"/>
              </w:rPr>
              <w:t>j</w:t>
            </w:r>
            <w:r w:rsidRPr="00AE2963">
              <w:rPr>
                <w:lang w:val="sr-Latn-RS"/>
              </w:rPr>
              <w:t xml:space="preserve">estu </w:t>
            </w:r>
            <w:r>
              <w:rPr>
                <w:lang w:val="sr-Latn-RS"/>
              </w:rPr>
              <w:t>primjen</w:t>
            </w:r>
            <w:r w:rsidRPr="00AE2963">
              <w:rPr>
                <w:lang w:val="sr-Latn-RS"/>
              </w:rPr>
              <w:t>e</w:t>
            </w:r>
          </w:p>
        </w:tc>
        <w:tc>
          <w:tcPr>
            <w:tcW w:w="2930" w:type="dxa"/>
          </w:tcPr>
          <w:p w14:paraId="3504D886" w14:textId="77777777" w:rsidR="004946A1" w:rsidRPr="00AE2963" w:rsidRDefault="004946A1" w:rsidP="00AE3A50">
            <w:pPr>
              <w:pStyle w:val="TableParagraph"/>
              <w:spacing w:before="8"/>
              <w:ind w:left="103"/>
              <w:rPr>
                <w:lang w:val="sr-Latn-RS"/>
              </w:rPr>
            </w:pPr>
            <w:r w:rsidRPr="00AE2963">
              <w:rPr>
                <w:lang w:val="sr-Latn-RS"/>
              </w:rPr>
              <w:t>Reakcije na m</w:t>
            </w:r>
            <w:r>
              <w:rPr>
                <w:lang w:val="sr-Latn-RS"/>
              </w:rPr>
              <w:t>j</w:t>
            </w:r>
            <w:r w:rsidRPr="00AE2963">
              <w:rPr>
                <w:lang w:val="sr-Latn-RS"/>
              </w:rPr>
              <w:t xml:space="preserve">estu </w:t>
            </w:r>
            <w:r>
              <w:rPr>
                <w:lang w:val="sr-Latn-RS"/>
              </w:rPr>
              <w:t>primjene</w:t>
            </w:r>
            <w:r w:rsidRPr="00AE2963"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2592" w:type="dxa"/>
          </w:tcPr>
          <w:p w14:paraId="15F3604D" w14:textId="77777777" w:rsidR="004946A1" w:rsidRPr="00AE2963" w:rsidRDefault="004946A1" w:rsidP="00AE3A50">
            <w:pPr>
              <w:pStyle w:val="TableParagraph"/>
              <w:spacing w:before="8"/>
              <w:ind w:left="108"/>
              <w:rPr>
                <w:lang w:val="sr-Latn-RS"/>
              </w:rPr>
            </w:pPr>
            <w:r w:rsidRPr="00AE2963">
              <w:rPr>
                <w:lang w:val="sr-Latn-RS"/>
              </w:rPr>
              <w:t>Česte</w:t>
            </w:r>
          </w:p>
        </w:tc>
      </w:tr>
    </w:tbl>
    <w:p w14:paraId="1A06E761" w14:textId="51BF17B2" w:rsidR="004946A1" w:rsidRPr="00AE2963" w:rsidRDefault="004946A1" w:rsidP="004946A1">
      <w:pPr>
        <w:pStyle w:val="BodyText"/>
        <w:spacing w:before="10" w:line="252" w:lineRule="exact"/>
        <w:ind w:left="429" w:right="1240"/>
        <w:jc w:val="both"/>
        <w:rPr>
          <w:lang w:val="sr-Latn-RS"/>
        </w:rPr>
      </w:pPr>
      <w:r w:rsidRPr="00AE2963">
        <w:rPr>
          <w:vertAlign w:val="superscript"/>
          <w:lang w:val="sr-Latn-RS"/>
        </w:rPr>
        <w:t xml:space="preserve">1 </w:t>
      </w:r>
      <w:r w:rsidRPr="00AE2963">
        <w:rPr>
          <w:lang w:val="sr-Latn-RS"/>
        </w:rPr>
        <w:t>Reakcije na m</w:t>
      </w:r>
      <w:r w:rsidR="00A74D3B">
        <w:rPr>
          <w:lang w:val="sr-Latn-RS"/>
        </w:rPr>
        <w:t>j</w:t>
      </w:r>
      <w:r w:rsidRPr="00AE2963">
        <w:rPr>
          <w:lang w:val="sr-Latn-RS"/>
        </w:rPr>
        <w:t xml:space="preserve">estu </w:t>
      </w:r>
      <w:r>
        <w:rPr>
          <w:lang w:val="sr-Latn-RS"/>
        </w:rPr>
        <w:t>primjene</w:t>
      </w:r>
      <w:r w:rsidRPr="00AE2963">
        <w:rPr>
          <w:lang w:val="sr-Latn-RS"/>
        </w:rPr>
        <w:t xml:space="preserve"> obuhvataju eritem, pruritus, e</w:t>
      </w:r>
      <w:r w:rsidR="00F46F3C">
        <w:rPr>
          <w:lang w:val="sr-Latn-RS"/>
        </w:rPr>
        <w:t>k</w:t>
      </w:r>
      <w:r w:rsidRPr="00AE2963">
        <w:rPr>
          <w:lang w:val="sr-Latn-RS"/>
        </w:rPr>
        <w:t>himozu, edem, bol, osetljivost</w:t>
      </w:r>
      <w:r w:rsidR="00F57316">
        <w:rPr>
          <w:lang w:val="sr-Latn-RS"/>
        </w:rPr>
        <w:t>,</w:t>
      </w:r>
      <w:r w:rsidRPr="00AE2963">
        <w:rPr>
          <w:lang w:val="sr-Latn-RS"/>
        </w:rPr>
        <w:t xml:space="preserve"> ur</w:t>
      </w:r>
      <w:r w:rsidR="00096FEC">
        <w:rPr>
          <w:lang w:val="sr-Latn-RS"/>
        </w:rPr>
        <w:t>t</w:t>
      </w:r>
      <w:r w:rsidRPr="00AE2963">
        <w:rPr>
          <w:lang w:val="sr-Latn-RS"/>
        </w:rPr>
        <w:t>ikariju</w:t>
      </w:r>
      <w:r w:rsidR="00F57316">
        <w:rPr>
          <w:lang w:val="sr-Latn-RS"/>
        </w:rPr>
        <w:t xml:space="preserve"> i konvulzivnu sinkopu.</w:t>
      </w:r>
    </w:p>
    <w:p w14:paraId="15E7235F" w14:textId="757A99CE" w:rsidR="004946A1" w:rsidRPr="00AE2963" w:rsidRDefault="004946A1" w:rsidP="004946A1">
      <w:pPr>
        <w:pStyle w:val="BodyText"/>
        <w:spacing w:line="252" w:lineRule="exact"/>
        <w:ind w:left="429" w:right="1240"/>
        <w:jc w:val="both"/>
        <w:rPr>
          <w:lang w:val="sr-Latn-RS"/>
        </w:rPr>
      </w:pPr>
      <w:r w:rsidRPr="00AE2963">
        <w:rPr>
          <w:lang w:val="sr-Latn-RS"/>
        </w:rPr>
        <w:t>*U nekim slučajevima, simptomi reakcija povezanih sa infuzijom i reakcija na m</w:t>
      </w:r>
      <w:r w:rsidR="00432D64">
        <w:rPr>
          <w:lang w:val="sr-Latn-RS"/>
        </w:rPr>
        <w:t>j</w:t>
      </w:r>
      <w:r w:rsidRPr="00AE2963">
        <w:rPr>
          <w:lang w:val="sr-Latn-RS"/>
        </w:rPr>
        <w:t xml:space="preserve">estu </w:t>
      </w:r>
      <w:r>
        <w:rPr>
          <w:lang w:val="sr-Latn-RS"/>
        </w:rPr>
        <w:t>primjene</w:t>
      </w:r>
      <w:r w:rsidRPr="00AE2963">
        <w:rPr>
          <w:lang w:val="sr-Latn-RS"/>
        </w:rPr>
        <w:t xml:space="preserve"> prijavljivani su kao pojedinačne neželjene reakcije na </w:t>
      </w:r>
      <w:r>
        <w:rPr>
          <w:lang w:val="sr-Latn-RS"/>
        </w:rPr>
        <w:t>lijek</w:t>
      </w:r>
    </w:p>
    <w:p w14:paraId="5F44B0A7" w14:textId="77777777" w:rsidR="004946A1" w:rsidRPr="00AE2963" w:rsidRDefault="004946A1" w:rsidP="004946A1">
      <w:pPr>
        <w:pStyle w:val="BodyText"/>
        <w:rPr>
          <w:sz w:val="20"/>
          <w:lang w:val="sr-Latn-RS"/>
        </w:rPr>
      </w:pPr>
    </w:p>
    <w:p w14:paraId="6B42CE69" w14:textId="77777777" w:rsidR="004946A1" w:rsidRPr="00AE2963" w:rsidRDefault="004946A1" w:rsidP="004946A1">
      <w:pPr>
        <w:pStyle w:val="BodyText"/>
        <w:spacing w:before="91"/>
        <w:ind w:left="311"/>
        <w:rPr>
          <w:lang w:val="sr-Latn-RS"/>
        </w:rPr>
      </w:pPr>
      <w:r w:rsidRPr="00AE2963">
        <w:rPr>
          <w:u w:val="single"/>
          <w:lang w:val="sr-Latn-RS"/>
        </w:rPr>
        <w:t>Pedijatrijska populacija</w:t>
      </w:r>
    </w:p>
    <w:p w14:paraId="7CF590B2" w14:textId="77777777" w:rsidR="004946A1" w:rsidRPr="00AE2963" w:rsidRDefault="004946A1" w:rsidP="004946A1">
      <w:pPr>
        <w:pStyle w:val="BodyText"/>
        <w:spacing w:before="1"/>
        <w:rPr>
          <w:sz w:val="14"/>
          <w:lang w:val="sr-Latn-RS"/>
        </w:rPr>
      </w:pPr>
    </w:p>
    <w:p w14:paraId="73BCF4EC" w14:textId="77777777" w:rsidR="004946A1" w:rsidRPr="00AE2963" w:rsidRDefault="004946A1" w:rsidP="004946A1">
      <w:pPr>
        <w:pStyle w:val="BodyText"/>
        <w:spacing w:before="92"/>
        <w:ind w:left="311"/>
        <w:rPr>
          <w:lang w:val="sr-Latn-RS"/>
        </w:rPr>
      </w:pPr>
      <w:r w:rsidRPr="00AE2963">
        <w:rPr>
          <w:lang w:val="sr-Latn-RS"/>
        </w:rPr>
        <w:t xml:space="preserve">Intravenska </w:t>
      </w:r>
      <w:r>
        <w:rPr>
          <w:lang w:val="sr-Latn-RS"/>
        </w:rPr>
        <w:t>primjen</w:t>
      </w:r>
      <w:r w:rsidRPr="00AE2963">
        <w:rPr>
          <w:lang w:val="sr-Latn-RS"/>
        </w:rPr>
        <w:t>a</w:t>
      </w:r>
    </w:p>
    <w:p w14:paraId="330CF01B" w14:textId="77777777" w:rsidR="004946A1" w:rsidRPr="00AE2963" w:rsidRDefault="004946A1" w:rsidP="004946A1">
      <w:pPr>
        <w:pStyle w:val="BodyText"/>
        <w:spacing w:before="1"/>
        <w:ind w:left="311"/>
        <w:rPr>
          <w:lang w:val="sr-Latn-RS"/>
        </w:rPr>
      </w:pPr>
      <w:r w:rsidRPr="00AE2963">
        <w:rPr>
          <w:lang w:val="sr-Latn-RS"/>
        </w:rPr>
        <w:t xml:space="preserve">Nema dostupnih podataka za pedijatrijske pacijente </w:t>
      </w:r>
      <w:r>
        <w:rPr>
          <w:lang w:val="sr-Latn-RS"/>
        </w:rPr>
        <w:t>ml</w:t>
      </w:r>
      <w:r w:rsidRPr="00AE2963">
        <w:rPr>
          <w:lang w:val="sr-Latn-RS"/>
        </w:rPr>
        <w:t>ađe od 18 godina.</w:t>
      </w:r>
    </w:p>
    <w:p w14:paraId="126404B8" w14:textId="77777777" w:rsidR="004946A1" w:rsidRPr="00AE2963" w:rsidRDefault="004946A1" w:rsidP="004946A1">
      <w:pPr>
        <w:pStyle w:val="BodyText"/>
        <w:spacing w:before="9"/>
        <w:rPr>
          <w:sz w:val="21"/>
          <w:lang w:val="sr-Latn-RS"/>
        </w:rPr>
      </w:pPr>
    </w:p>
    <w:p w14:paraId="2215B035" w14:textId="77777777" w:rsidR="004946A1" w:rsidRPr="00AE2963" w:rsidRDefault="004946A1" w:rsidP="004946A1">
      <w:pPr>
        <w:pStyle w:val="BodyText"/>
        <w:spacing w:before="1"/>
        <w:ind w:left="311"/>
        <w:rPr>
          <w:lang w:val="sr-Latn-RS"/>
        </w:rPr>
      </w:pPr>
      <w:r w:rsidRPr="00AE2963">
        <w:rPr>
          <w:lang w:val="sr-Latn-RS"/>
        </w:rPr>
        <w:t>Su</w:t>
      </w:r>
      <w:r>
        <w:rPr>
          <w:lang w:val="sr-Latn-RS"/>
        </w:rPr>
        <w:t>b</w:t>
      </w:r>
      <w:r w:rsidRPr="00AE2963">
        <w:rPr>
          <w:lang w:val="sr-Latn-RS"/>
        </w:rPr>
        <w:t xml:space="preserve">kutana </w:t>
      </w:r>
      <w:r>
        <w:rPr>
          <w:lang w:val="sr-Latn-RS"/>
        </w:rPr>
        <w:t>primjen</w:t>
      </w:r>
      <w:r w:rsidRPr="00AE2963">
        <w:rPr>
          <w:lang w:val="sr-Latn-RS"/>
        </w:rPr>
        <w:t>a</w:t>
      </w:r>
    </w:p>
    <w:p w14:paraId="35159EEC" w14:textId="77777777" w:rsidR="004946A1" w:rsidRPr="006F5377" w:rsidRDefault="004946A1" w:rsidP="004946A1">
      <w:pPr>
        <w:spacing w:line="252" w:lineRule="exact"/>
        <w:ind w:left="311" w:right="970"/>
        <w:jc w:val="both"/>
        <w:rPr>
          <w:lang w:val="sr-Latn-RS"/>
        </w:rPr>
      </w:pPr>
      <w:r w:rsidRPr="006F5377">
        <w:rPr>
          <w:lang w:val="sr-Latn-RS"/>
        </w:rPr>
        <w:t>U studiji COV-2069, terapiju kasirivimabom i imdevimabom primilo je 66 adolescenata starosti od ≥ 12 i &lt; 18 godina. Bezb</w:t>
      </w:r>
      <w:r>
        <w:rPr>
          <w:lang w:val="sr-Latn-RS"/>
        </w:rPr>
        <w:t>j</w:t>
      </w:r>
      <w:r w:rsidRPr="006F5377">
        <w:rPr>
          <w:lang w:val="sr-Latn-RS"/>
        </w:rPr>
        <w:t>ednosni profil bio je sličan onom koji je zab</w:t>
      </w:r>
      <w:r>
        <w:rPr>
          <w:lang w:val="sr-Latn-RS"/>
        </w:rPr>
        <w:t>i</w:t>
      </w:r>
      <w:r w:rsidRPr="006F5377">
        <w:rPr>
          <w:lang w:val="sr-Latn-RS"/>
        </w:rPr>
        <w:t>l</w:t>
      </w:r>
      <w:r>
        <w:rPr>
          <w:lang w:val="sr-Latn-RS"/>
        </w:rPr>
        <w:t>j</w:t>
      </w:r>
      <w:r w:rsidRPr="006F5377">
        <w:rPr>
          <w:lang w:val="sr-Latn-RS"/>
        </w:rPr>
        <w:t>ežen kod odraslih pacijenata.</w:t>
      </w:r>
    </w:p>
    <w:p w14:paraId="78C4725D" w14:textId="77777777" w:rsidR="00EA6DA9" w:rsidRDefault="00EA6DA9" w:rsidP="00D33711">
      <w:pPr>
        <w:ind w:left="311"/>
        <w:rPr>
          <w:rFonts w:eastAsia="Calibri"/>
          <w:u w:val="single"/>
          <w:lang w:val="sr-Latn-RS"/>
        </w:rPr>
      </w:pPr>
    </w:p>
    <w:p w14:paraId="2681A3D5" w14:textId="127DA234" w:rsidR="004946A1" w:rsidRPr="00797F56" w:rsidRDefault="004946A1" w:rsidP="00D33711">
      <w:pPr>
        <w:ind w:left="311"/>
        <w:rPr>
          <w:rFonts w:eastAsia="Calibri"/>
          <w:u w:val="single"/>
          <w:lang w:val="sr-Latn-RS"/>
        </w:rPr>
      </w:pPr>
      <w:r w:rsidRPr="00786071">
        <w:rPr>
          <w:rFonts w:eastAsia="Calibri"/>
          <w:u w:val="single"/>
          <w:lang w:val="sr-Latn-RS"/>
        </w:rPr>
        <w:t>Prijavljivanje sumnji na neželjena dejstva</w:t>
      </w:r>
    </w:p>
    <w:p w14:paraId="5676D6D4" w14:textId="77777777" w:rsidR="004946A1" w:rsidRPr="00786071" w:rsidRDefault="004946A1" w:rsidP="004946A1">
      <w:pPr>
        <w:spacing w:after="200"/>
        <w:ind w:left="311" w:right="970"/>
        <w:jc w:val="both"/>
        <w:rPr>
          <w:rFonts w:eastAsia="Calibri"/>
          <w:lang w:val="sr-Latn-RS"/>
        </w:rPr>
      </w:pPr>
      <w:r w:rsidRPr="00786071">
        <w:rPr>
          <w:rFonts w:eastAsia="Calibri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lang w:val="sr-Latn-RS"/>
        </w:rPr>
        <w:t>Institutu</w:t>
      </w:r>
      <w:r w:rsidRPr="00786071">
        <w:rPr>
          <w:rFonts w:eastAsia="Calibri"/>
          <w:lang w:val="sr-Latn-RS"/>
        </w:rPr>
        <w:t xml:space="preserve"> za ljekove i medicinska sredstva</w:t>
      </w:r>
      <w:r>
        <w:rPr>
          <w:rFonts w:eastAsia="Calibri"/>
          <w:lang w:val="sr-Latn-RS"/>
        </w:rPr>
        <w:t xml:space="preserve"> </w:t>
      </w:r>
      <w:r w:rsidRPr="00786071">
        <w:rPr>
          <w:rFonts w:eastAsia="Calibri"/>
          <w:lang w:val="sr-Latn-RS"/>
        </w:rPr>
        <w:t>(C</w:t>
      </w:r>
      <w:r>
        <w:rPr>
          <w:rFonts w:eastAsia="Calibri"/>
          <w:lang w:val="sr-Latn-RS"/>
        </w:rPr>
        <w:t>InMED</w:t>
      </w:r>
      <w:r w:rsidRPr="00786071">
        <w:rPr>
          <w:rFonts w:eastAsia="Calibri"/>
          <w:lang w:val="sr-Latn-RS"/>
        </w:rPr>
        <w:t>):</w:t>
      </w:r>
    </w:p>
    <w:p w14:paraId="53BBDABD" w14:textId="77777777" w:rsidR="00A73166" w:rsidRDefault="00A73166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</w:p>
    <w:p w14:paraId="281C628D" w14:textId="4CC8F069" w:rsidR="004946A1" w:rsidRPr="00786071" w:rsidRDefault="004946A1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lastRenderedPageBreak/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63FD8566" w14:textId="77777777" w:rsidR="004946A1" w:rsidRPr="00786071" w:rsidRDefault="004946A1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0FF39384" w14:textId="77777777" w:rsidR="004946A1" w:rsidRPr="00786071" w:rsidRDefault="004946A1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E6EF34B" w14:textId="77777777" w:rsidR="004946A1" w:rsidRPr="00786071" w:rsidRDefault="004946A1" w:rsidP="004946A1">
      <w:pPr>
        <w:pStyle w:val="NoSpacing"/>
        <w:ind w:left="311"/>
        <w:rPr>
          <w:rFonts w:eastAsia="Calibri"/>
          <w:sz w:val="22"/>
          <w:szCs w:val="22"/>
          <w:lang w:val="sr-Latn-RS"/>
        </w:rPr>
      </w:pPr>
    </w:p>
    <w:p w14:paraId="51782A89" w14:textId="77777777" w:rsidR="004946A1" w:rsidRPr="00786071" w:rsidRDefault="004946A1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0A049CA5" w14:textId="77777777" w:rsidR="004946A1" w:rsidRPr="00786071" w:rsidRDefault="004946A1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</w:p>
    <w:p w14:paraId="6DFA155E" w14:textId="509B72DE" w:rsidR="004946A1" w:rsidRPr="00786071" w:rsidRDefault="00463D2D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946A1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E12B687" w14:textId="76928B08" w:rsidR="004946A1" w:rsidRPr="00786071" w:rsidRDefault="00463D2D" w:rsidP="004946A1">
      <w:pPr>
        <w:pStyle w:val="NoSpacing"/>
        <w:ind w:left="311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946A1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1EF12ACB" w14:textId="77777777" w:rsidR="004946A1" w:rsidRPr="00786071" w:rsidRDefault="004946A1" w:rsidP="004946A1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415C9777" w14:textId="1EA042AE" w:rsidR="00F57316" w:rsidRPr="00D33711" w:rsidRDefault="00F57316" w:rsidP="00F57316">
      <w:pPr>
        <w:spacing w:after="200" w:line="276" w:lineRule="auto"/>
        <w:ind w:left="311"/>
        <w:rPr>
          <w:rFonts w:eastAsia="Calibri"/>
          <w:lang w:val="sr-Latn-RS"/>
        </w:rPr>
      </w:pPr>
      <w:r w:rsidRPr="00D33711">
        <w:rPr>
          <w:rFonts w:eastAsia="Calibri"/>
          <w:lang w:val="sr-Latn-RS"/>
        </w:rPr>
        <w:t>QR kod za online prijavu sumnje na neželjeno dejstvo lijeka:</w:t>
      </w:r>
    </w:p>
    <w:p w14:paraId="052AD885" w14:textId="3984596C" w:rsidR="00F57316" w:rsidRDefault="000C03C2" w:rsidP="00F57316">
      <w:pPr>
        <w:spacing w:after="200" w:line="276" w:lineRule="auto"/>
        <w:ind w:left="311"/>
        <w:rPr>
          <w:rFonts w:eastAsia="Calibri"/>
          <w:u w:val="single"/>
          <w:lang w:val="sr-Latn-RS"/>
        </w:rPr>
      </w:pPr>
      <w:r w:rsidRPr="007F661E">
        <w:rPr>
          <w:b/>
          <w:bCs/>
          <w:noProof/>
        </w:rPr>
        <w:drawing>
          <wp:inline distT="0" distB="0" distL="0" distR="0" wp14:anchorId="256767F7" wp14:editId="0B0C3F82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FAE21" w14:textId="77777777" w:rsidR="004946A1" w:rsidRPr="00AE2963" w:rsidRDefault="004946A1" w:rsidP="004946A1">
      <w:pPr>
        <w:pStyle w:val="Heading1"/>
        <w:tabs>
          <w:tab w:val="left" w:pos="851"/>
          <w:tab w:val="left" w:pos="852"/>
        </w:tabs>
        <w:spacing w:before="92"/>
        <w:rPr>
          <w:lang w:val="sr-Latn-RS"/>
        </w:rPr>
      </w:pPr>
      <w:r>
        <w:rPr>
          <w:lang w:val="sr-Latn-RS"/>
        </w:rPr>
        <w:t xml:space="preserve">4.9. </w:t>
      </w:r>
      <w:r w:rsidRPr="00AE2963">
        <w:rPr>
          <w:lang w:val="sr-Latn-RS"/>
        </w:rPr>
        <w:t>Predoziranje</w:t>
      </w:r>
    </w:p>
    <w:p w14:paraId="04B7F41F" w14:textId="77777777" w:rsidR="004946A1" w:rsidRPr="00AE2963" w:rsidRDefault="004946A1" w:rsidP="004946A1">
      <w:pPr>
        <w:pStyle w:val="BodyText"/>
        <w:spacing w:before="5"/>
        <w:rPr>
          <w:b/>
          <w:sz w:val="23"/>
          <w:lang w:val="sr-Latn-RS"/>
        </w:rPr>
      </w:pPr>
    </w:p>
    <w:p w14:paraId="201CEB5B" w14:textId="34993B89" w:rsidR="004946A1" w:rsidRPr="00AE2963" w:rsidRDefault="004946A1" w:rsidP="004946A1">
      <w:pPr>
        <w:pStyle w:val="BodyText"/>
        <w:tabs>
          <w:tab w:val="left" w:pos="8820"/>
        </w:tabs>
        <w:ind w:left="311" w:right="970"/>
        <w:jc w:val="both"/>
        <w:rPr>
          <w:lang w:val="sr-Latn-RS"/>
        </w:rPr>
      </w:pPr>
      <w:r w:rsidRPr="00AE2963">
        <w:rPr>
          <w:lang w:val="sr-Latn-RS"/>
        </w:rPr>
        <w:t xml:space="preserve">Doze do po 4000 mg kasirivimaba i imdevimaba (približno 7 puta veće od preporučene doze) </w:t>
      </w:r>
      <w:r>
        <w:rPr>
          <w:lang w:val="sr-Latn-RS"/>
        </w:rPr>
        <w:t>primijen</w:t>
      </w:r>
      <w:r w:rsidRPr="00AE2963">
        <w:rPr>
          <w:lang w:val="sr-Latn-RS"/>
        </w:rPr>
        <w:t>jene su u kliničkim ispitivanjima. Bezb</w:t>
      </w:r>
      <w:r>
        <w:rPr>
          <w:lang w:val="sr-Latn-RS"/>
        </w:rPr>
        <w:t>j</w:t>
      </w:r>
      <w:r w:rsidRPr="00AE2963">
        <w:rPr>
          <w:lang w:val="sr-Latn-RS"/>
        </w:rPr>
        <w:t xml:space="preserve">ednosni profil za 8000 mg </w:t>
      </w:r>
      <w:r>
        <w:rPr>
          <w:lang w:val="sr-Latn-RS"/>
        </w:rPr>
        <w:t>prim</w:t>
      </w:r>
      <w:r w:rsidR="000062BB">
        <w:rPr>
          <w:lang w:val="sr-Latn-RS"/>
        </w:rPr>
        <w:t>i</w:t>
      </w:r>
      <w:r>
        <w:rPr>
          <w:lang w:val="sr-Latn-RS"/>
        </w:rPr>
        <w:t>jen</w:t>
      </w:r>
      <w:r w:rsidRPr="00AE2963">
        <w:rPr>
          <w:lang w:val="sr-Latn-RS"/>
        </w:rPr>
        <w:t>jenih intravenski nije se značajno razlikovao od profila za preporučenu dozu.</w:t>
      </w:r>
    </w:p>
    <w:p w14:paraId="107DCE57" w14:textId="77777777" w:rsidR="004946A1" w:rsidRPr="00AE2963" w:rsidRDefault="004946A1" w:rsidP="004946A1">
      <w:pPr>
        <w:pStyle w:val="BodyText"/>
        <w:tabs>
          <w:tab w:val="left" w:pos="8820"/>
        </w:tabs>
        <w:spacing w:before="1"/>
        <w:ind w:right="970"/>
        <w:jc w:val="both"/>
        <w:rPr>
          <w:lang w:val="sr-Latn-RS"/>
        </w:rPr>
      </w:pPr>
    </w:p>
    <w:p w14:paraId="45618FA2" w14:textId="77777777" w:rsidR="004946A1" w:rsidRPr="00AE2963" w:rsidRDefault="004946A1" w:rsidP="004946A1">
      <w:pPr>
        <w:pStyle w:val="BodyText"/>
        <w:tabs>
          <w:tab w:val="left" w:pos="8820"/>
        </w:tabs>
        <w:ind w:left="311" w:right="970"/>
        <w:jc w:val="both"/>
        <w:rPr>
          <w:lang w:val="sr-Latn-RS"/>
        </w:rPr>
      </w:pPr>
      <w:r w:rsidRPr="00AE2963">
        <w:rPr>
          <w:lang w:val="sr-Latn-RS"/>
        </w:rPr>
        <w:t>Ne postoji poznati antidot za predoziranje kasirivimabom i imdevimabom. L</w:t>
      </w:r>
      <w:r>
        <w:rPr>
          <w:lang w:val="sr-Latn-RS"/>
        </w:rPr>
        <w:t>ij</w:t>
      </w:r>
      <w:r w:rsidRPr="00AE2963">
        <w:rPr>
          <w:lang w:val="sr-Latn-RS"/>
        </w:rPr>
        <w:t>ečenje predoziranja treba da obuhvati opšte m</w:t>
      </w:r>
      <w:r>
        <w:rPr>
          <w:lang w:val="sr-Latn-RS"/>
        </w:rPr>
        <w:t>j</w:t>
      </w:r>
      <w:r w:rsidRPr="00AE2963">
        <w:rPr>
          <w:lang w:val="sr-Latn-RS"/>
        </w:rPr>
        <w:t>ere podrške, uključujući praćenje vitalnih znakova i posmatranje kliničkog stanja pacijenta.</w:t>
      </w:r>
    </w:p>
    <w:p w14:paraId="4AD02440" w14:textId="1814C7A4" w:rsidR="004946A1" w:rsidRDefault="004946A1" w:rsidP="004946A1">
      <w:pPr>
        <w:tabs>
          <w:tab w:val="left" w:pos="8820"/>
        </w:tabs>
        <w:ind w:right="970"/>
        <w:jc w:val="both"/>
        <w:rPr>
          <w:lang w:val="sr-Latn-RS"/>
        </w:rPr>
      </w:pPr>
    </w:p>
    <w:p w14:paraId="703B8F94" w14:textId="77777777" w:rsidR="00EA6DA9" w:rsidRDefault="00EA6DA9" w:rsidP="004946A1">
      <w:pPr>
        <w:tabs>
          <w:tab w:val="left" w:pos="8820"/>
        </w:tabs>
        <w:ind w:right="970"/>
        <w:jc w:val="both"/>
        <w:rPr>
          <w:lang w:val="sr-Latn-RS"/>
        </w:rPr>
      </w:pPr>
    </w:p>
    <w:p w14:paraId="2E0B8265" w14:textId="77777777" w:rsidR="004946A1" w:rsidRPr="00AE2963" w:rsidRDefault="004946A1" w:rsidP="004946A1">
      <w:pPr>
        <w:pStyle w:val="Heading1"/>
        <w:tabs>
          <w:tab w:val="left" w:pos="851"/>
          <w:tab w:val="left" w:pos="852"/>
          <w:tab w:val="left" w:pos="8820"/>
        </w:tabs>
        <w:spacing w:before="78"/>
        <w:ind w:right="970"/>
        <w:jc w:val="both"/>
        <w:rPr>
          <w:lang w:val="sr-Latn-RS"/>
        </w:rPr>
      </w:pPr>
      <w:r>
        <w:rPr>
          <w:lang w:val="sr-Latn-RS"/>
        </w:rPr>
        <w:t xml:space="preserve">5. </w:t>
      </w:r>
      <w:r w:rsidRPr="00AE2963">
        <w:rPr>
          <w:lang w:val="sr-Latn-RS"/>
        </w:rPr>
        <w:t>FARMAKOLOŠKI PODACI</w:t>
      </w:r>
    </w:p>
    <w:p w14:paraId="0A9619B0" w14:textId="77777777" w:rsidR="004946A1" w:rsidRPr="00AE2963" w:rsidRDefault="004946A1" w:rsidP="004946A1">
      <w:pPr>
        <w:pStyle w:val="BodyText"/>
        <w:tabs>
          <w:tab w:val="left" w:pos="8820"/>
        </w:tabs>
        <w:ind w:right="970"/>
        <w:jc w:val="both"/>
        <w:rPr>
          <w:b/>
          <w:lang w:val="sr-Latn-RS"/>
        </w:rPr>
      </w:pPr>
    </w:p>
    <w:p w14:paraId="3B6422DF" w14:textId="77777777" w:rsidR="004946A1" w:rsidRPr="003A734F" w:rsidRDefault="004946A1" w:rsidP="004946A1">
      <w:pPr>
        <w:tabs>
          <w:tab w:val="left" w:pos="744"/>
          <w:tab w:val="left" w:pos="8820"/>
        </w:tabs>
        <w:ind w:right="970"/>
        <w:jc w:val="both"/>
        <w:rPr>
          <w:b/>
          <w:lang w:val="sr-Latn-RS"/>
        </w:rPr>
      </w:pPr>
      <w:r>
        <w:rPr>
          <w:b/>
          <w:bCs/>
          <w:lang w:val="sr-Latn-RS"/>
        </w:rPr>
        <w:t xml:space="preserve">     5.1. </w:t>
      </w:r>
      <w:r w:rsidRPr="003A734F">
        <w:rPr>
          <w:b/>
          <w:bCs/>
          <w:lang w:val="sr-Latn-RS"/>
        </w:rPr>
        <w:t>Farmakodinamski podaci</w:t>
      </w:r>
    </w:p>
    <w:p w14:paraId="4209EE31" w14:textId="55F7B190" w:rsidR="004946A1" w:rsidRPr="00AE2963" w:rsidRDefault="004946A1" w:rsidP="004946A1">
      <w:pPr>
        <w:pStyle w:val="BodyText"/>
        <w:tabs>
          <w:tab w:val="left" w:pos="8820"/>
        </w:tabs>
        <w:ind w:left="311" w:right="970"/>
        <w:jc w:val="both"/>
        <w:rPr>
          <w:lang w:val="sr-Latn-RS"/>
        </w:rPr>
      </w:pPr>
    </w:p>
    <w:p w14:paraId="62C3192E" w14:textId="1A27A10C" w:rsidR="00096FEC" w:rsidRDefault="004946A1" w:rsidP="00A60451">
      <w:pPr>
        <w:pStyle w:val="BodyText"/>
        <w:tabs>
          <w:tab w:val="left" w:pos="8820"/>
        </w:tabs>
        <w:spacing w:before="26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 xml:space="preserve">Farmakoterapijska grupa: </w:t>
      </w:r>
      <w:r w:rsidR="00A60451">
        <w:rPr>
          <w:lang w:val="sr-Latn-RS"/>
        </w:rPr>
        <w:t>I</w:t>
      </w:r>
      <w:r w:rsidR="00321174" w:rsidRPr="00321174">
        <w:rPr>
          <w:lang w:val="sr-Latn-RS"/>
        </w:rPr>
        <w:t>munoserumi i imunoglobulini, antivirusna monoklonska antitijela</w:t>
      </w:r>
    </w:p>
    <w:p w14:paraId="530625DE" w14:textId="77777777" w:rsidR="00EA6DA9" w:rsidRDefault="00EA6DA9" w:rsidP="004946A1">
      <w:pPr>
        <w:pStyle w:val="BodyText"/>
        <w:tabs>
          <w:tab w:val="left" w:pos="8820"/>
        </w:tabs>
        <w:spacing w:before="26"/>
        <w:ind w:left="311" w:right="970"/>
        <w:jc w:val="both"/>
        <w:rPr>
          <w:lang w:val="sr-Latn-RS"/>
        </w:rPr>
      </w:pPr>
    </w:p>
    <w:p w14:paraId="1203A6AB" w14:textId="5270F8D0" w:rsidR="004946A1" w:rsidRPr="00AE2963" w:rsidRDefault="004946A1" w:rsidP="004946A1">
      <w:pPr>
        <w:pStyle w:val="BodyText"/>
        <w:tabs>
          <w:tab w:val="left" w:pos="8820"/>
        </w:tabs>
        <w:spacing w:before="26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 xml:space="preserve">ATC </w:t>
      </w:r>
      <w:r>
        <w:rPr>
          <w:lang w:val="sr-Latn-RS"/>
        </w:rPr>
        <w:t>kod</w:t>
      </w:r>
      <w:r w:rsidRPr="00AE2963">
        <w:rPr>
          <w:lang w:val="sr-Latn-RS"/>
        </w:rPr>
        <w:t xml:space="preserve">: </w:t>
      </w:r>
      <w:r w:rsidR="00321174" w:rsidRPr="00321174">
        <w:t xml:space="preserve"> </w:t>
      </w:r>
      <w:r w:rsidR="00321174" w:rsidRPr="00321174">
        <w:rPr>
          <w:lang w:val="sr-Latn-RS"/>
        </w:rPr>
        <w:t>J06BD07</w:t>
      </w:r>
    </w:p>
    <w:p w14:paraId="1E1837CB" w14:textId="77777777" w:rsidR="004946A1" w:rsidRPr="00AE2963" w:rsidRDefault="004946A1" w:rsidP="004946A1">
      <w:pPr>
        <w:pStyle w:val="BodyText"/>
        <w:tabs>
          <w:tab w:val="left" w:pos="8820"/>
        </w:tabs>
        <w:ind w:right="970"/>
        <w:jc w:val="both"/>
        <w:rPr>
          <w:lang w:val="sr-Latn-RS"/>
        </w:rPr>
      </w:pPr>
    </w:p>
    <w:p w14:paraId="2221320D" w14:textId="77777777" w:rsidR="004946A1" w:rsidRPr="006F5377" w:rsidRDefault="004946A1" w:rsidP="004946A1">
      <w:pPr>
        <w:ind w:left="311"/>
        <w:jc w:val="both"/>
        <w:rPr>
          <w:lang w:val="sr-Latn-RS"/>
        </w:rPr>
      </w:pPr>
      <w:r w:rsidRPr="006F5377">
        <w:rPr>
          <w:u w:val="single"/>
          <w:lang w:val="sr-Latn-RS"/>
        </w:rPr>
        <w:t>Mehanizam dejstva</w:t>
      </w:r>
    </w:p>
    <w:p w14:paraId="6E89E540" w14:textId="77777777" w:rsidR="004946A1" w:rsidRPr="006F5377" w:rsidRDefault="004946A1" w:rsidP="004946A1">
      <w:pPr>
        <w:spacing w:before="1"/>
        <w:ind w:left="311" w:right="968"/>
        <w:jc w:val="both"/>
        <w:rPr>
          <w:lang w:val="sr-Latn-RS"/>
        </w:rPr>
      </w:pPr>
      <w:r w:rsidRPr="006F5377">
        <w:rPr>
          <w:lang w:val="sr-Latn-RS"/>
        </w:rPr>
        <w:t>Kasirivimab (IgG1k) i imdevimab (IgG1λ) su dva rekombinantna humana monoklonska antit</w:t>
      </w:r>
      <w:r>
        <w:rPr>
          <w:lang w:val="sr-Latn-RS"/>
        </w:rPr>
        <w:t>ij</w:t>
      </w:r>
      <w:r w:rsidRPr="006F5377">
        <w:rPr>
          <w:lang w:val="sr-Latn-RS"/>
        </w:rPr>
        <w:t>ela koja su neprom</w:t>
      </w:r>
      <w:r>
        <w:rPr>
          <w:lang w:val="sr-Latn-RS"/>
        </w:rPr>
        <w:t>ij</w:t>
      </w:r>
      <w:r w:rsidRPr="006F5377">
        <w:rPr>
          <w:lang w:val="sr-Latn-RS"/>
        </w:rPr>
        <w:t xml:space="preserve">enjena u Fc regionima. Kasirivimab i imdevimab se vezuju za nepreklapajuće epitope na receptor-vezujućem domenu (engl. </w:t>
      </w:r>
      <w:r w:rsidRPr="006F5377">
        <w:rPr>
          <w:i/>
          <w:lang w:val="sr-Latn-RS"/>
        </w:rPr>
        <w:t>receptor binding domain</w:t>
      </w:r>
      <w:r w:rsidRPr="006F5377">
        <w:rPr>
          <w:lang w:val="sr-Latn-RS"/>
        </w:rPr>
        <w:t>, RBD) proteina šiljka virusa SARS-CoV-2. Time se onemogućuje vezivanje RBD-a za ljudski ACE2 receptor i na taj način spr</w:t>
      </w:r>
      <w:r>
        <w:rPr>
          <w:lang w:val="sr-Latn-RS"/>
        </w:rPr>
        <w:t>j</w:t>
      </w:r>
      <w:r w:rsidRPr="006F5377">
        <w:rPr>
          <w:lang w:val="sr-Latn-RS"/>
        </w:rPr>
        <w:t>ečava ulazak virusa u ćelije.</w:t>
      </w:r>
    </w:p>
    <w:p w14:paraId="3B2CC1DC" w14:textId="77777777" w:rsidR="004946A1" w:rsidRPr="006F5377" w:rsidRDefault="004946A1" w:rsidP="004946A1">
      <w:pPr>
        <w:jc w:val="both"/>
        <w:rPr>
          <w:lang w:val="sr-Latn-RS"/>
        </w:rPr>
      </w:pPr>
    </w:p>
    <w:p w14:paraId="3F15E745" w14:textId="77777777" w:rsidR="004946A1" w:rsidRPr="006F5377" w:rsidRDefault="004946A1" w:rsidP="004946A1">
      <w:pPr>
        <w:spacing w:line="252" w:lineRule="exact"/>
        <w:ind w:left="311"/>
        <w:jc w:val="both"/>
        <w:rPr>
          <w:lang w:val="sr-Latn-RS"/>
        </w:rPr>
      </w:pPr>
      <w:r w:rsidRPr="006F5377">
        <w:rPr>
          <w:u w:val="single"/>
          <w:lang w:val="sr-Latn-RS"/>
        </w:rPr>
        <w:t xml:space="preserve">Antivirusno dejstvo </w:t>
      </w:r>
      <w:r w:rsidRPr="006F5377">
        <w:rPr>
          <w:i/>
          <w:u w:val="single"/>
          <w:lang w:val="sr-Latn-RS"/>
        </w:rPr>
        <w:t>in vitro</w:t>
      </w:r>
    </w:p>
    <w:p w14:paraId="46560D72" w14:textId="77777777" w:rsidR="004946A1" w:rsidRPr="006F5377" w:rsidRDefault="004946A1" w:rsidP="004946A1">
      <w:pPr>
        <w:ind w:left="311" w:right="1017"/>
        <w:jc w:val="both"/>
        <w:rPr>
          <w:lang w:val="sr-Latn-RS"/>
        </w:rPr>
      </w:pPr>
      <w:r w:rsidRPr="006F5377">
        <w:rPr>
          <w:lang w:val="sr-Latn-RS"/>
        </w:rPr>
        <w:t>Na testu neutralizacije virusa SARS-CoV-2 u ćelijama Vero E6, kasirivimab, imdevimab, kao i kombinacija kasirivimaba i imdevimaba neutralisali su SARS-CoV-2 (izolat USA-WA1/2020) pri vr</w:t>
      </w:r>
      <w:r>
        <w:rPr>
          <w:lang w:val="sr-Latn-RS"/>
        </w:rPr>
        <w:t>ij</w:t>
      </w:r>
      <w:r w:rsidRPr="006F5377">
        <w:rPr>
          <w:lang w:val="sr-Latn-RS"/>
        </w:rPr>
        <w:t>ednosti EC</w:t>
      </w:r>
      <w:r w:rsidRPr="006F5377">
        <w:rPr>
          <w:vertAlign w:val="subscript"/>
          <w:lang w:val="sr-Latn-RS"/>
        </w:rPr>
        <w:t>50</w:t>
      </w:r>
      <w:r w:rsidRPr="006F5377">
        <w:rPr>
          <w:lang w:val="sr-Latn-RS"/>
        </w:rPr>
        <w:t xml:space="preserve"> od 37,4 pM (0,006 μg/</w:t>
      </w:r>
      <w:r>
        <w:rPr>
          <w:lang w:val="sr-Latn-RS"/>
        </w:rPr>
        <w:t>ml</w:t>
      </w:r>
      <w:r w:rsidRPr="006F5377">
        <w:rPr>
          <w:lang w:val="sr-Latn-RS"/>
        </w:rPr>
        <w:t>), 42,1 pM (0,006 μg/</w:t>
      </w:r>
      <w:r>
        <w:rPr>
          <w:lang w:val="sr-Latn-RS"/>
        </w:rPr>
        <w:t>ml</w:t>
      </w:r>
      <w:r w:rsidRPr="006F5377">
        <w:rPr>
          <w:lang w:val="sr-Latn-RS"/>
        </w:rPr>
        <w:t>), odnosno 31,0 pM (0,005 μg/</w:t>
      </w:r>
      <w:r>
        <w:rPr>
          <w:lang w:val="sr-Latn-RS"/>
        </w:rPr>
        <w:t>ml</w:t>
      </w:r>
      <w:r w:rsidRPr="006F5377">
        <w:rPr>
          <w:lang w:val="sr-Latn-RS"/>
        </w:rPr>
        <w:t>).</w:t>
      </w:r>
    </w:p>
    <w:p w14:paraId="6E4E9DE9" w14:textId="77777777" w:rsidR="004946A1" w:rsidRPr="006F5377" w:rsidRDefault="004946A1" w:rsidP="004946A1">
      <w:pPr>
        <w:spacing w:before="4"/>
        <w:jc w:val="both"/>
        <w:rPr>
          <w:lang w:val="sr-Latn-RS"/>
        </w:rPr>
      </w:pPr>
    </w:p>
    <w:p w14:paraId="590CE922" w14:textId="77777777" w:rsidR="004946A1" w:rsidRPr="006F5377" w:rsidRDefault="004946A1" w:rsidP="004946A1">
      <w:pPr>
        <w:spacing w:line="252" w:lineRule="exact"/>
        <w:ind w:left="311"/>
        <w:jc w:val="both"/>
        <w:rPr>
          <w:lang w:val="sr-Latn-RS"/>
        </w:rPr>
      </w:pPr>
      <w:r w:rsidRPr="006F5377">
        <w:rPr>
          <w:u w:val="single"/>
          <w:lang w:val="sr-Latn-RS"/>
        </w:rPr>
        <w:t>Rezistencija</w:t>
      </w:r>
    </w:p>
    <w:p w14:paraId="5F588FFF" w14:textId="77777777" w:rsidR="004946A1" w:rsidRPr="006F5377" w:rsidRDefault="004946A1" w:rsidP="004946A1">
      <w:pPr>
        <w:ind w:left="311" w:right="970"/>
        <w:jc w:val="both"/>
        <w:rPr>
          <w:lang w:val="sr-Latn-RS"/>
        </w:rPr>
      </w:pPr>
      <w:r w:rsidRPr="006F5377">
        <w:rPr>
          <w:lang w:val="sr-Latn-RS"/>
        </w:rPr>
        <w:t>Postoji potencijalni rizik od neusp</w:t>
      </w:r>
      <w:r>
        <w:rPr>
          <w:lang w:val="sr-Latn-RS"/>
        </w:rPr>
        <w:t>j</w:t>
      </w:r>
      <w:r w:rsidRPr="006F5377">
        <w:rPr>
          <w:lang w:val="sr-Latn-RS"/>
        </w:rPr>
        <w:t>eha l</w:t>
      </w:r>
      <w:r>
        <w:rPr>
          <w:lang w:val="sr-Latn-RS"/>
        </w:rPr>
        <w:t>ij</w:t>
      </w:r>
      <w:r w:rsidRPr="006F5377">
        <w:rPr>
          <w:lang w:val="sr-Latn-RS"/>
        </w:rPr>
        <w:t>ečenja zbog razvoja virusnih varijanti koje su rezistentne na kasirivimab i imdevimab kada se daju u kombinaciji.</w:t>
      </w:r>
    </w:p>
    <w:p w14:paraId="639910E3" w14:textId="77777777" w:rsidR="004946A1" w:rsidRPr="006F5377" w:rsidRDefault="004946A1" w:rsidP="004946A1">
      <w:pPr>
        <w:spacing w:before="10"/>
        <w:jc w:val="both"/>
        <w:rPr>
          <w:sz w:val="21"/>
          <w:lang w:val="sr-Latn-RS"/>
        </w:rPr>
      </w:pPr>
    </w:p>
    <w:p w14:paraId="0229B9D9" w14:textId="71102496" w:rsidR="004946A1" w:rsidRDefault="004946A1" w:rsidP="004946A1">
      <w:pPr>
        <w:ind w:left="311" w:right="943"/>
        <w:jc w:val="both"/>
        <w:rPr>
          <w:lang w:val="sr-Latn-RS"/>
        </w:rPr>
      </w:pPr>
      <w:r w:rsidRPr="006F5377">
        <w:rPr>
          <w:lang w:val="sr-Latn-RS"/>
        </w:rPr>
        <w:t>Neutrališuća aktivnost kasirivimaba, imdevimaba, kao i kombinacije kasirivimaba i imdevimaba</w:t>
      </w:r>
      <w:r w:rsidR="00096FEC">
        <w:rPr>
          <w:lang w:val="sr-Latn-RS"/>
        </w:rPr>
        <w:t xml:space="preserve">, </w:t>
      </w:r>
      <w:r w:rsidRPr="006F5377">
        <w:rPr>
          <w:lang w:val="sr-Latn-RS"/>
        </w:rPr>
        <w:t>proc</w:t>
      </w:r>
      <w:r>
        <w:rPr>
          <w:lang w:val="sr-Latn-RS"/>
        </w:rPr>
        <w:t>ij</w:t>
      </w:r>
      <w:r w:rsidRPr="006F5377">
        <w:rPr>
          <w:lang w:val="sr-Latn-RS"/>
        </w:rPr>
        <w:t xml:space="preserve">enjivana je u odnosu na različite varijante S-proteina, uključujući poznate varijante koje izazivaju zabrinutost/varijante od interesa, varijante identifikovane u </w:t>
      </w:r>
      <w:r w:rsidRPr="006F5377">
        <w:rPr>
          <w:i/>
          <w:lang w:val="sr-Latn-RS"/>
        </w:rPr>
        <w:t>in vitro</w:t>
      </w:r>
      <w:r w:rsidRPr="006F5377">
        <w:rPr>
          <w:lang w:val="sr-Latn-RS"/>
        </w:rPr>
        <w:t xml:space="preserve"> ispitivanjima oslobađanja i varijante iz javno dostupnih podataka o genomu virusa SARS-CoV-2 preuzetih iz baze podataka Globalne </w:t>
      </w:r>
      <w:r w:rsidRPr="006F5377">
        <w:rPr>
          <w:lang w:val="sr-Latn-RS"/>
        </w:rPr>
        <w:lastRenderedPageBreak/>
        <w:t xml:space="preserve">inicijative o razmeni svih podataka o gripu (engl. </w:t>
      </w:r>
      <w:r w:rsidRPr="006F5377">
        <w:rPr>
          <w:i/>
          <w:lang w:val="sr-Latn-RS"/>
        </w:rPr>
        <w:t>Global Initiative on Sharing All Influenza Data</w:t>
      </w:r>
      <w:r w:rsidRPr="006F5377">
        <w:rPr>
          <w:lang w:val="sr-Latn-RS"/>
        </w:rPr>
        <w:t xml:space="preserve">, GISAID). </w:t>
      </w:r>
      <w:r>
        <w:rPr>
          <w:lang w:val="sr-Latn-RS"/>
        </w:rPr>
        <w:t>Podaci o</w:t>
      </w:r>
      <w:r w:rsidRPr="006F5377">
        <w:rPr>
          <w:lang w:val="sr-Latn-RS"/>
        </w:rPr>
        <w:t xml:space="preserve"> neutrališuć</w:t>
      </w:r>
      <w:r>
        <w:rPr>
          <w:lang w:val="sr-Latn-RS"/>
        </w:rPr>
        <w:t>oj</w:t>
      </w:r>
      <w:r w:rsidRPr="006F5377">
        <w:rPr>
          <w:lang w:val="sr-Latn-RS"/>
        </w:rPr>
        <w:t xml:space="preserve"> aktivnost</w:t>
      </w:r>
      <w:r>
        <w:rPr>
          <w:lang w:val="sr-Latn-RS"/>
        </w:rPr>
        <w:t>i</w:t>
      </w:r>
      <w:r w:rsidRPr="006F5377">
        <w:rPr>
          <w:lang w:val="sr-Latn-RS"/>
        </w:rPr>
        <w:t xml:space="preserve"> </w:t>
      </w:r>
      <w:r>
        <w:t xml:space="preserve">kasirivimaba i imdevimaba </w:t>
      </w:r>
      <w:r w:rsidRPr="006F5377">
        <w:rPr>
          <w:lang w:val="sr-Latn-RS"/>
        </w:rPr>
        <w:t>protiv varijanti koje izazivaju zabrinutost/varijante od interesa navedeni</w:t>
      </w:r>
      <w:r>
        <w:rPr>
          <w:lang w:val="sr-Latn-RS"/>
        </w:rPr>
        <w:t xml:space="preserve"> su</w:t>
      </w:r>
      <w:r w:rsidRPr="006F5377">
        <w:rPr>
          <w:lang w:val="sr-Latn-RS"/>
        </w:rPr>
        <w:t xml:space="preserve"> u Tabeli 4.</w:t>
      </w:r>
    </w:p>
    <w:p w14:paraId="135870CD" w14:textId="77777777" w:rsidR="00BE221C" w:rsidRPr="006F5377" w:rsidRDefault="00BE221C" w:rsidP="004946A1">
      <w:pPr>
        <w:ind w:left="311" w:right="943"/>
        <w:jc w:val="both"/>
        <w:rPr>
          <w:lang w:val="sr-Latn-RS"/>
        </w:rPr>
      </w:pPr>
    </w:p>
    <w:p w14:paraId="36CBB148" w14:textId="77777777" w:rsidR="004946A1" w:rsidRPr="006F5377" w:rsidRDefault="004946A1" w:rsidP="004946A1">
      <w:pPr>
        <w:pStyle w:val="Heading1"/>
        <w:spacing w:before="78"/>
        <w:ind w:left="1170" w:right="944" w:hanging="860"/>
        <w:jc w:val="both"/>
        <w:rPr>
          <w:lang w:val="sr-Latn-RS"/>
        </w:rPr>
      </w:pPr>
      <w:r w:rsidRPr="00AE2963">
        <w:rPr>
          <w:lang w:val="sr-Latn-RS"/>
        </w:rPr>
        <w:t xml:space="preserve">Tabela 4: </w:t>
      </w:r>
      <w:r w:rsidRPr="006F5377">
        <w:rPr>
          <w:lang w:val="sr-Latn-RS"/>
        </w:rPr>
        <w:t xml:space="preserve">Podaci o neutralizaciji pseudotipiziranih čestica nalik virusu (engl. </w:t>
      </w:r>
      <w:r w:rsidRPr="006F5377">
        <w:rPr>
          <w:i/>
          <w:lang w:val="sr-Latn-RS"/>
        </w:rPr>
        <w:t>virus-like particle</w:t>
      </w:r>
      <w:r w:rsidRPr="006F5377">
        <w:rPr>
          <w:lang w:val="sr-Latn-RS"/>
        </w:rPr>
        <w:t>, VLP) za c</w:t>
      </w:r>
      <w:r>
        <w:rPr>
          <w:lang w:val="sr-Latn-RS"/>
        </w:rPr>
        <w:t>ij</w:t>
      </w:r>
      <w:r w:rsidRPr="006F5377">
        <w:rPr>
          <w:lang w:val="sr-Latn-RS"/>
        </w:rPr>
        <w:t xml:space="preserve">elu sekvencu ili ključne supstitucije varijanti S-proteina virusa SARS-CoV-2 za varijante koje izazivaju zabrinutost/varijante od interesa* kod </w:t>
      </w:r>
      <w:r>
        <w:rPr>
          <w:lang w:val="sr-Latn-RS"/>
        </w:rPr>
        <w:t>primjen</w:t>
      </w:r>
      <w:r w:rsidRPr="006F5377">
        <w:rPr>
          <w:lang w:val="sr-Latn-RS"/>
        </w:rPr>
        <w:t>e kasirivimaba i imdevimaba samostalno ili u kombinaciji</w:t>
      </w:r>
    </w:p>
    <w:p w14:paraId="3F5CE95A" w14:textId="77777777" w:rsidR="004946A1" w:rsidRPr="00AE2963" w:rsidRDefault="004946A1" w:rsidP="004946A1">
      <w:pPr>
        <w:pStyle w:val="Heading1"/>
        <w:spacing w:before="78"/>
        <w:ind w:right="944"/>
        <w:rPr>
          <w:lang w:val="sr-Latn-RS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780"/>
        <w:gridCol w:w="1843"/>
        <w:gridCol w:w="1661"/>
        <w:gridCol w:w="1659"/>
      </w:tblGrid>
      <w:tr w:rsidR="004946A1" w:rsidRPr="007613FE" w14:paraId="3A2FF546" w14:textId="77777777" w:rsidTr="00AE3A50">
        <w:trPr>
          <w:trHeight w:val="1266"/>
        </w:trPr>
        <w:tc>
          <w:tcPr>
            <w:tcW w:w="2134" w:type="dxa"/>
            <w:vAlign w:val="center"/>
          </w:tcPr>
          <w:p w14:paraId="6A71057F" w14:textId="77777777" w:rsidR="004946A1" w:rsidRPr="006F5377" w:rsidRDefault="004946A1" w:rsidP="00AE3A50">
            <w:pPr>
              <w:spacing w:before="11"/>
              <w:jc w:val="center"/>
              <w:rPr>
                <w:b/>
                <w:sz w:val="21"/>
                <w:lang w:val="sr-Latn-RS"/>
              </w:rPr>
            </w:pPr>
          </w:p>
          <w:p w14:paraId="0CECD73F" w14:textId="77777777" w:rsidR="004946A1" w:rsidRPr="006F5377" w:rsidRDefault="004946A1" w:rsidP="00AE3A50">
            <w:pPr>
              <w:ind w:left="184" w:right="177"/>
              <w:jc w:val="center"/>
              <w:rPr>
                <w:b/>
                <w:bCs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 xml:space="preserve">Soj sa supstitucijom </w:t>
            </w:r>
          </w:p>
          <w:p w14:paraId="750A33E5" w14:textId="77777777" w:rsidR="004946A1" w:rsidRPr="006F5377" w:rsidRDefault="004946A1" w:rsidP="00AE3A50">
            <w:pPr>
              <w:ind w:left="184" w:right="177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S-proteina</w:t>
            </w:r>
          </w:p>
        </w:tc>
        <w:tc>
          <w:tcPr>
            <w:tcW w:w="1780" w:type="dxa"/>
            <w:vAlign w:val="center"/>
          </w:tcPr>
          <w:p w14:paraId="2375D83F" w14:textId="77777777" w:rsidR="004946A1" w:rsidRPr="006F5377" w:rsidRDefault="004946A1" w:rsidP="00AE3A50">
            <w:pPr>
              <w:jc w:val="center"/>
              <w:rPr>
                <w:b/>
                <w:sz w:val="33"/>
                <w:lang w:val="sr-Latn-RS"/>
              </w:rPr>
            </w:pPr>
          </w:p>
          <w:p w14:paraId="7AF5ACB2" w14:textId="77777777" w:rsidR="004946A1" w:rsidRPr="006F5377" w:rsidRDefault="004946A1" w:rsidP="00AE3A50">
            <w:pPr>
              <w:ind w:left="674" w:right="105" w:hanging="543"/>
              <w:jc w:val="center"/>
              <w:rPr>
                <w:b/>
                <w:bCs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Ključne</w:t>
            </w:r>
          </w:p>
          <w:p w14:paraId="3DEF1144" w14:textId="77777777" w:rsidR="004946A1" w:rsidRPr="006F5377" w:rsidRDefault="004946A1" w:rsidP="00AE3A50">
            <w:pPr>
              <w:ind w:left="674" w:right="105" w:hanging="543"/>
              <w:jc w:val="center"/>
              <w:rPr>
                <w:b/>
                <w:bCs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testirane</w:t>
            </w:r>
          </w:p>
          <w:p w14:paraId="17762710" w14:textId="77777777" w:rsidR="004946A1" w:rsidRPr="006F5377" w:rsidRDefault="004946A1" w:rsidP="00AE3A50">
            <w:pPr>
              <w:ind w:left="674" w:right="105" w:hanging="543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supstitucije</w:t>
            </w:r>
          </w:p>
        </w:tc>
        <w:tc>
          <w:tcPr>
            <w:tcW w:w="1843" w:type="dxa"/>
            <w:vAlign w:val="center"/>
          </w:tcPr>
          <w:p w14:paraId="2AC53D9F" w14:textId="77777777" w:rsidR="004946A1" w:rsidRPr="006F5377" w:rsidRDefault="004946A1" w:rsidP="00AE3A50">
            <w:pPr>
              <w:spacing w:before="1"/>
              <w:ind w:left="121" w:right="114" w:firstLine="2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Smanjena os</w:t>
            </w:r>
            <w:r>
              <w:rPr>
                <w:b/>
                <w:bCs/>
                <w:lang w:val="sr-Latn-RS"/>
              </w:rPr>
              <w:t>j</w:t>
            </w:r>
            <w:r w:rsidRPr="006F5377">
              <w:rPr>
                <w:b/>
                <w:bCs/>
                <w:lang w:val="sr-Latn-RS"/>
              </w:rPr>
              <w:t>etljivost na kasirivimab i imdevimab</w:t>
            </w:r>
          </w:p>
          <w:p w14:paraId="6BD9C810" w14:textId="77777777" w:rsidR="004946A1" w:rsidRPr="006F5377" w:rsidRDefault="004946A1" w:rsidP="00AE3A50">
            <w:pPr>
              <w:spacing w:line="234" w:lineRule="exact"/>
              <w:ind w:left="355" w:right="351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u kombinaciji</w:t>
            </w:r>
          </w:p>
        </w:tc>
        <w:tc>
          <w:tcPr>
            <w:tcW w:w="1661" w:type="dxa"/>
            <w:vAlign w:val="center"/>
          </w:tcPr>
          <w:p w14:paraId="1CDCFCB5" w14:textId="77777777" w:rsidR="004946A1" w:rsidRPr="006F5377" w:rsidRDefault="004946A1" w:rsidP="00AE3A50">
            <w:pPr>
              <w:spacing w:before="125"/>
              <w:ind w:left="157" w:right="150" w:firstLine="2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Smanjena os</w:t>
            </w:r>
            <w:r>
              <w:rPr>
                <w:b/>
                <w:bCs/>
                <w:lang w:val="sr-Latn-RS"/>
              </w:rPr>
              <w:t>j</w:t>
            </w:r>
            <w:r w:rsidRPr="006F5377">
              <w:rPr>
                <w:b/>
                <w:bCs/>
                <w:lang w:val="sr-Latn-RS"/>
              </w:rPr>
              <w:t xml:space="preserve">etljivost na kasirivimab </w:t>
            </w:r>
            <w:r>
              <w:rPr>
                <w:b/>
                <w:bCs/>
                <w:lang w:val="sr-Latn-RS"/>
              </w:rPr>
              <w:t>primijen</w:t>
            </w:r>
            <w:r w:rsidRPr="006F5377">
              <w:rPr>
                <w:b/>
                <w:bCs/>
                <w:lang w:val="sr-Latn-RS"/>
              </w:rPr>
              <w:t>jen samostalno</w:t>
            </w:r>
          </w:p>
        </w:tc>
        <w:tc>
          <w:tcPr>
            <w:tcW w:w="1659" w:type="dxa"/>
            <w:vAlign w:val="center"/>
          </w:tcPr>
          <w:p w14:paraId="64D77EFF" w14:textId="77777777" w:rsidR="004946A1" w:rsidRPr="006F5377" w:rsidRDefault="004946A1" w:rsidP="00AE3A50">
            <w:pPr>
              <w:spacing w:before="125"/>
              <w:ind w:left="181" w:right="174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Smanjena os</w:t>
            </w:r>
            <w:r>
              <w:rPr>
                <w:b/>
                <w:bCs/>
                <w:lang w:val="sr-Latn-RS"/>
              </w:rPr>
              <w:t>j</w:t>
            </w:r>
            <w:r w:rsidRPr="006F5377">
              <w:rPr>
                <w:b/>
                <w:bCs/>
                <w:lang w:val="sr-Latn-RS"/>
              </w:rPr>
              <w:t xml:space="preserve">etljivost na imdevimab </w:t>
            </w:r>
            <w:r>
              <w:rPr>
                <w:b/>
                <w:bCs/>
                <w:lang w:val="sr-Latn-RS"/>
              </w:rPr>
              <w:t>primijen</w:t>
            </w:r>
            <w:r w:rsidRPr="006F5377">
              <w:rPr>
                <w:b/>
                <w:bCs/>
                <w:lang w:val="sr-Latn-RS"/>
              </w:rPr>
              <w:t>jen samostalno</w:t>
            </w:r>
          </w:p>
        </w:tc>
      </w:tr>
      <w:tr w:rsidR="004946A1" w:rsidRPr="006F5377" w14:paraId="2C371646" w14:textId="77777777" w:rsidTr="00AE3A50">
        <w:trPr>
          <w:trHeight w:val="505"/>
        </w:trPr>
        <w:tc>
          <w:tcPr>
            <w:tcW w:w="2134" w:type="dxa"/>
          </w:tcPr>
          <w:p w14:paraId="5CE142D6" w14:textId="77777777" w:rsidR="004946A1" w:rsidRPr="006F5377" w:rsidRDefault="004946A1" w:rsidP="00AE3A50">
            <w:pPr>
              <w:spacing w:line="246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B.1.1.7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</w:t>
            </w:r>
          </w:p>
          <w:p w14:paraId="48CE05BA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Velike Britanije/Alfa)</w:t>
            </w:r>
          </w:p>
        </w:tc>
        <w:tc>
          <w:tcPr>
            <w:tcW w:w="1780" w:type="dxa"/>
            <w:vAlign w:val="center"/>
          </w:tcPr>
          <w:p w14:paraId="22BE7F52" w14:textId="77777777" w:rsidR="004946A1" w:rsidRPr="006F5377" w:rsidRDefault="004946A1" w:rsidP="00AE3A50">
            <w:pPr>
              <w:spacing w:before="118"/>
              <w:ind w:left="248" w:right="240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Kompletan        S-protein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1843" w:type="dxa"/>
            <w:vAlign w:val="center"/>
          </w:tcPr>
          <w:p w14:paraId="012742F6" w14:textId="77777777" w:rsidR="004946A1" w:rsidRPr="006F5377" w:rsidRDefault="004946A1" w:rsidP="00AE3A50">
            <w:pPr>
              <w:spacing w:before="118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5A40867F" w14:textId="77777777" w:rsidR="004946A1" w:rsidRPr="006F5377" w:rsidRDefault="004946A1" w:rsidP="00AE3A50">
            <w:pPr>
              <w:spacing w:before="118"/>
              <w:ind w:left="330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59" w:type="dxa"/>
            <w:vAlign w:val="center"/>
          </w:tcPr>
          <w:p w14:paraId="787499A4" w14:textId="77777777" w:rsidR="004946A1" w:rsidRPr="006F5377" w:rsidRDefault="004946A1" w:rsidP="00AE3A50">
            <w:pPr>
              <w:spacing w:before="118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1D3B1DA1" w14:textId="77777777" w:rsidTr="00AE3A50">
        <w:trPr>
          <w:trHeight w:val="506"/>
        </w:trPr>
        <w:tc>
          <w:tcPr>
            <w:tcW w:w="2134" w:type="dxa"/>
          </w:tcPr>
          <w:p w14:paraId="585E5245" w14:textId="77777777" w:rsidR="004946A1" w:rsidRPr="006F5377" w:rsidRDefault="004946A1" w:rsidP="00AE3A50">
            <w:pPr>
              <w:spacing w:line="240" w:lineRule="exact"/>
              <w:ind w:left="129"/>
              <w:rPr>
                <w:lang w:val="sr-Latn-RS"/>
              </w:rPr>
            </w:pPr>
            <w:r w:rsidRPr="006F5377">
              <w:rPr>
                <w:lang w:val="sr-Latn-RS"/>
              </w:rPr>
              <w:t>B.1.351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Južne Afrike/Beta)</w:t>
            </w:r>
          </w:p>
        </w:tc>
        <w:tc>
          <w:tcPr>
            <w:tcW w:w="1780" w:type="dxa"/>
            <w:vAlign w:val="center"/>
          </w:tcPr>
          <w:p w14:paraId="35870EEA" w14:textId="77777777" w:rsidR="004946A1" w:rsidRPr="006F5377" w:rsidRDefault="004946A1" w:rsidP="00AE3A50">
            <w:pPr>
              <w:spacing w:before="118"/>
              <w:ind w:left="248" w:right="2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Kompletan        S-protein</w:t>
            </w:r>
            <w:r w:rsidRPr="006F5377">
              <w:rPr>
                <w:vertAlign w:val="superscript"/>
                <w:lang w:val="sr-Latn-RS"/>
              </w:rPr>
              <w:t>b</w:t>
            </w:r>
          </w:p>
        </w:tc>
        <w:tc>
          <w:tcPr>
            <w:tcW w:w="1843" w:type="dxa"/>
            <w:vAlign w:val="center"/>
          </w:tcPr>
          <w:p w14:paraId="1953E56D" w14:textId="77777777" w:rsidR="004946A1" w:rsidRPr="006F5377" w:rsidRDefault="004946A1" w:rsidP="00AE3A50">
            <w:pPr>
              <w:spacing w:before="118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429545D6" w14:textId="77777777" w:rsidR="004946A1" w:rsidRPr="006F5377" w:rsidRDefault="004946A1" w:rsidP="00AE3A50">
            <w:pPr>
              <w:spacing w:before="118"/>
              <w:ind w:left="328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45 puta</w:t>
            </w:r>
          </w:p>
        </w:tc>
        <w:tc>
          <w:tcPr>
            <w:tcW w:w="1659" w:type="dxa"/>
            <w:vAlign w:val="center"/>
          </w:tcPr>
          <w:p w14:paraId="73A50844" w14:textId="77777777" w:rsidR="004946A1" w:rsidRPr="006F5377" w:rsidRDefault="004946A1" w:rsidP="00AE3A50">
            <w:pPr>
              <w:spacing w:before="118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14BF8DA4" w14:textId="77777777" w:rsidTr="00AE3A50">
        <w:trPr>
          <w:trHeight w:val="505"/>
        </w:trPr>
        <w:tc>
          <w:tcPr>
            <w:tcW w:w="2134" w:type="dxa"/>
          </w:tcPr>
          <w:p w14:paraId="7FEC65F4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P.1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</w:t>
            </w:r>
          </w:p>
          <w:p w14:paraId="2B1031E3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Brazila/Gama)</w:t>
            </w:r>
          </w:p>
        </w:tc>
        <w:tc>
          <w:tcPr>
            <w:tcW w:w="1780" w:type="dxa"/>
            <w:vAlign w:val="center"/>
          </w:tcPr>
          <w:p w14:paraId="275688D7" w14:textId="77777777" w:rsidR="004946A1" w:rsidRPr="006F5377" w:rsidRDefault="004946A1" w:rsidP="00AE3A50">
            <w:pPr>
              <w:spacing w:before="118"/>
              <w:ind w:left="248" w:right="240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Kompletan        S-protein</w:t>
            </w:r>
            <w:r w:rsidRPr="006F5377">
              <w:rPr>
                <w:vertAlign w:val="superscript"/>
                <w:lang w:val="sr-Latn-RS"/>
              </w:rPr>
              <w:t>c</w:t>
            </w:r>
          </w:p>
        </w:tc>
        <w:tc>
          <w:tcPr>
            <w:tcW w:w="1843" w:type="dxa"/>
            <w:vAlign w:val="center"/>
          </w:tcPr>
          <w:p w14:paraId="3DCC5C80" w14:textId="77777777" w:rsidR="004946A1" w:rsidRPr="006F5377" w:rsidRDefault="004946A1" w:rsidP="00AE3A50">
            <w:pPr>
              <w:spacing w:before="118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64055D69" w14:textId="77777777" w:rsidR="004946A1" w:rsidRPr="006F5377" w:rsidRDefault="004946A1" w:rsidP="00AE3A50">
            <w:pPr>
              <w:spacing w:before="118"/>
              <w:ind w:left="328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418 puta</w:t>
            </w:r>
          </w:p>
        </w:tc>
        <w:tc>
          <w:tcPr>
            <w:tcW w:w="1659" w:type="dxa"/>
            <w:vAlign w:val="center"/>
          </w:tcPr>
          <w:p w14:paraId="3CDD66DA" w14:textId="77777777" w:rsidR="004946A1" w:rsidRPr="006F5377" w:rsidRDefault="004946A1" w:rsidP="00AE3A50">
            <w:pPr>
              <w:spacing w:before="118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6DAF1C3C" w14:textId="77777777" w:rsidTr="00AE3A50">
        <w:trPr>
          <w:trHeight w:val="758"/>
        </w:trPr>
        <w:tc>
          <w:tcPr>
            <w:tcW w:w="2134" w:type="dxa"/>
          </w:tcPr>
          <w:p w14:paraId="13A99B42" w14:textId="77777777" w:rsidR="004946A1" w:rsidRPr="006F5377" w:rsidRDefault="004946A1" w:rsidP="00AE3A50">
            <w:pPr>
              <w:spacing w:line="240" w:lineRule="exact"/>
              <w:ind w:left="129" w:hanging="31"/>
              <w:rPr>
                <w:lang w:val="sr-Latn-RS"/>
              </w:rPr>
            </w:pPr>
            <w:r w:rsidRPr="006F5377">
              <w:rPr>
                <w:lang w:val="sr-Latn-RS"/>
              </w:rPr>
              <w:t>B.1.427/B.1.429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Kalifornije/Ipsilon)</w:t>
            </w:r>
          </w:p>
        </w:tc>
        <w:tc>
          <w:tcPr>
            <w:tcW w:w="1780" w:type="dxa"/>
            <w:vAlign w:val="center"/>
          </w:tcPr>
          <w:p w14:paraId="6CB5DBCF" w14:textId="77777777" w:rsidR="004946A1" w:rsidRPr="006F5377" w:rsidRDefault="004946A1" w:rsidP="00AE3A50">
            <w:pPr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17BE942E" w14:textId="77777777" w:rsidR="004946A1" w:rsidRPr="006F5377" w:rsidRDefault="004946A1" w:rsidP="00AE3A50">
            <w:pPr>
              <w:ind w:left="248" w:right="238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L452R</w:t>
            </w:r>
          </w:p>
        </w:tc>
        <w:tc>
          <w:tcPr>
            <w:tcW w:w="1843" w:type="dxa"/>
            <w:vAlign w:val="center"/>
          </w:tcPr>
          <w:p w14:paraId="0547657B" w14:textId="77777777" w:rsidR="004946A1" w:rsidRPr="006F5377" w:rsidRDefault="004946A1" w:rsidP="00AE3A50">
            <w:pPr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1F0CDF13" w14:textId="77777777" w:rsidR="004946A1" w:rsidRPr="006F5377" w:rsidRDefault="004946A1" w:rsidP="00AE3A50">
            <w:pPr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4BD6A901" w14:textId="77777777" w:rsidR="004946A1" w:rsidRPr="006F5377" w:rsidRDefault="004946A1" w:rsidP="00AE3A50">
            <w:pPr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051E61AF" w14:textId="77777777" w:rsidR="004946A1" w:rsidRPr="006F5377" w:rsidRDefault="004946A1" w:rsidP="00AE3A50">
            <w:pPr>
              <w:ind w:left="330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59" w:type="dxa"/>
            <w:vAlign w:val="center"/>
          </w:tcPr>
          <w:p w14:paraId="799633A3" w14:textId="77777777" w:rsidR="004946A1" w:rsidRPr="006F5377" w:rsidRDefault="004946A1" w:rsidP="00AE3A50">
            <w:pPr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1247F5D8" w14:textId="77777777" w:rsidR="004946A1" w:rsidRPr="006F5377" w:rsidRDefault="004946A1" w:rsidP="00AE3A50">
            <w:pPr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1176D91C" w14:textId="77777777" w:rsidTr="00AE3A50">
        <w:trPr>
          <w:trHeight w:val="506"/>
        </w:trPr>
        <w:tc>
          <w:tcPr>
            <w:tcW w:w="2134" w:type="dxa"/>
          </w:tcPr>
          <w:p w14:paraId="71DB0F8C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B.1.526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</w:t>
            </w:r>
          </w:p>
          <w:p w14:paraId="7BF06178" w14:textId="77777777" w:rsidR="004946A1" w:rsidRPr="006F5377" w:rsidRDefault="004946A1" w:rsidP="00AE3A50">
            <w:pPr>
              <w:spacing w:before="1"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Njujorka/Jota)</w:t>
            </w:r>
            <w:r w:rsidRPr="006F5377">
              <w:rPr>
                <w:vertAlign w:val="superscript"/>
                <w:lang w:val="sr-Latn-RS"/>
              </w:rPr>
              <w:t>f</w:t>
            </w:r>
          </w:p>
        </w:tc>
        <w:tc>
          <w:tcPr>
            <w:tcW w:w="1780" w:type="dxa"/>
            <w:vAlign w:val="center"/>
          </w:tcPr>
          <w:p w14:paraId="4FD84349" w14:textId="77777777" w:rsidR="004946A1" w:rsidRPr="006F5377" w:rsidRDefault="004946A1" w:rsidP="00AE3A50">
            <w:pPr>
              <w:spacing w:before="121"/>
              <w:ind w:left="248" w:right="240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E484K</w:t>
            </w:r>
          </w:p>
        </w:tc>
        <w:tc>
          <w:tcPr>
            <w:tcW w:w="1843" w:type="dxa"/>
            <w:vAlign w:val="center"/>
          </w:tcPr>
          <w:p w14:paraId="369A29C0" w14:textId="77777777" w:rsidR="004946A1" w:rsidRPr="006F5377" w:rsidRDefault="004946A1" w:rsidP="00AE3A50">
            <w:pPr>
              <w:spacing w:before="121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5340899C" w14:textId="77777777" w:rsidR="004946A1" w:rsidRPr="006F5377" w:rsidRDefault="004946A1" w:rsidP="00AE3A50">
            <w:pPr>
              <w:spacing w:before="121"/>
              <w:ind w:left="328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25 puta</w:t>
            </w:r>
          </w:p>
        </w:tc>
        <w:tc>
          <w:tcPr>
            <w:tcW w:w="1659" w:type="dxa"/>
            <w:vAlign w:val="center"/>
          </w:tcPr>
          <w:p w14:paraId="6DEBFDDC" w14:textId="77777777" w:rsidR="004946A1" w:rsidRPr="006F5377" w:rsidRDefault="004946A1" w:rsidP="00AE3A50">
            <w:pPr>
              <w:spacing w:before="121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489C3E42" w14:textId="77777777" w:rsidTr="00AE3A50">
        <w:trPr>
          <w:trHeight w:val="506"/>
        </w:trPr>
        <w:tc>
          <w:tcPr>
            <w:tcW w:w="2134" w:type="dxa"/>
          </w:tcPr>
          <w:p w14:paraId="1773C823" w14:textId="77777777" w:rsidR="004946A1" w:rsidRPr="006F5377" w:rsidRDefault="004946A1" w:rsidP="00AE3A50">
            <w:pPr>
              <w:spacing w:line="246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B.1.617.1/B.1.617.3</w:t>
            </w:r>
          </w:p>
          <w:p w14:paraId="4FD1ACB2" w14:textId="77777777" w:rsidR="004946A1" w:rsidRPr="006F5377" w:rsidRDefault="004946A1" w:rsidP="00AE3A50">
            <w:pPr>
              <w:spacing w:line="240" w:lineRule="exact"/>
              <w:ind w:left="129" w:hanging="31"/>
              <w:rPr>
                <w:lang w:val="sr-Latn-RS"/>
              </w:rPr>
            </w:pPr>
            <w:r w:rsidRPr="006F5377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Indije/ Kapa)</w:t>
            </w:r>
          </w:p>
        </w:tc>
        <w:tc>
          <w:tcPr>
            <w:tcW w:w="1780" w:type="dxa"/>
            <w:vAlign w:val="center"/>
          </w:tcPr>
          <w:p w14:paraId="39DB1B88" w14:textId="77777777" w:rsidR="004946A1" w:rsidRPr="006F5377" w:rsidRDefault="004946A1" w:rsidP="00AE3A50">
            <w:pPr>
              <w:spacing w:before="121"/>
              <w:ind w:left="248" w:right="238" w:hanging="86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L452R+E484Q</w:t>
            </w:r>
          </w:p>
        </w:tc>
        <w:tc>
          <w:tcPr>
            <w:tcW w:w="1843" w:type="dxa"/>
            <w:vAlign w:val="center"/>
          </w:tcPr>
          <w:p w14:paraId="25BBF558" w14:textId="77777777" w:rsidR="004946A1" w:rsidRPr="006F5377" w:rsidRDefault="004946A1" w:rsidP="00AE3A50">
            <w:pPr>
              <w:spacing w:before="121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36BFE8A4" w14:textId="77777777" w:rsidR="004946A1" w:rsidRPr="006F5377" w:rsidRDefault="004946A1" w:rsidP="00AE3A50">
            <w:pPr>
              <w:spacing w:before="121"/>
              <w:ind w:left="328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7 puta</w:t>
            </w:r>
          </w:p>
        </w:tc>
        <w:tc>
          <w:tcPr>
            <w:tcW w:w="1659" w:type="dxa"/>
            <w:vAlign w:val="center"/>
          </w:tcPr>
          <w:p w14:paraId="7B4CB3D7" w14:textId="77777777" w:rsidR="004946A1" w:rsidRPr="006F5377" w:rsidRDefault="004946A1" w:rsidP="00AE3A50">
            <w:pPr>
              <w:spacing w:before="121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2696C55D" w14:textId="77777777" w:rsidTr="00AE3A50">
        <w:trPr>
          <w:trHeight w:val="505"/>
        </w:trPr>
        <w:tc>
          <w:tcPr>
            <w:tcW w:w="2134" w:type="dxa"/>
          </w:tcPr>
          <w:p w14:paraId="2D0D4D42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B.1.617.2/ AY.3</w:t>
            </w:r>
          </w:p>
          <w:p w14:paraId="7259AA4D" w14:textId="77777777" w:rsidR="004946A1" w:rsidRPr="006F5377" w:rsidRDefault="004946A1" w:rsidP="00AE3A50">
            <w:pPr>
              <w:spacing w:line="240" w:lineRule="exact"/>
              <w:ind w:left="129" w:hanging="31"/>
              <w:rPr>
                <w:lang w:val="sr-Latn-RS"/>
              </w:rPr>
            </w:pPr>
            <w:r w:rsidRPr="006F5377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Indije/ Delta)</w:t>
            </w:r>
          </w:p>
        </w:tc>
        <w:tc>
          <w:tcPr>
            <w:tcW w:w="1780" w:type="dxa"/>
            <w:vAlign w:val="center"/>
          </w:tcPr>
          <w:p w14:paraId="74E73731" w14:textId="77777777" w:rsidR="004946A1" w:rsidRPr="006F5377" w:rsidRDefault="004946A1" w:rsidP="00AE3A50">
            <w:pPr>
              <w:spacing w:before="121"/>
              <w:ind w:left="247" w:right="240" w:hanging="85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L452R+T478K</w:t>
            </w:r>
          </w:p>
        </w:tc>
        <w:tc>
          <w:tcPr>
            <w:tcW w:w="1843" w:type="dxa"/>
            <w:vAlign w:val="center"/>
          </w:tcPr>
          <w:p w14:paraId="653D504E" w14:textId="77777777" w:rsidR="004946A1" w:rsidRPr="006F5377" w:rsidRDefault="004946A1" w:rsidP="00AE3A50">
            <w:pPr>
              <w:spacing w:before="121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7C3EA3C3" w14:textId="77777777" w:rsidR="004946A1" w:rsidRPr="006F5377" w:rsidRDefault="004946A1" w:rsidP="00AE3A50">
            <w:pPr>
              <w:spacing w:before="121"/>
              <w:ind w:left="330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59" w:type="dxa"/>
            <w:vAlign w:val="center"/>
          </w:tcPr>
          <w:p w14:paraId="0A1D7178" w14:textId="77777777" w:rsidR="004946A1" w:rsidRPr="006F5377" w:rsidRDefault="004946A1" w:rsidP="00AE3A50">
            <w:pPr>
              <w:spacing w:before="121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01DF27F7" w14:textId="77777777" w:rsidTr="00AE3A50">
        <w:trPr>
          <w:trHeight w:val="758"/>
        </w:trPr>
        <w:tc>
          <w:tcPr>
            <w:tcW w:w="2134" w:type="dxa"/>
          </w:tcPr>
          <w:p w14:paraId="011E402E" w14:textId="77777777" w:rsidR="004946A1" w:rsidRPr="006F5377" w:rsidRDefault="004946A1" w:rsidP="00AE3A50">
            <w:pPr>
              <w:spacing w:line="240" w:lineRule="exact"/>
              <w:ind w:left="129" w:hanging="31"/>
              <w:rPr>
                <w:lang w:val="sr-Latn-RS"/>
              </w:rPr>
            </w:pPr>
            <w:r w:rsidRPr="006F5377">
              <w:rPr>
                <w:lang w:val="sr-Latn-RS"/>
              </w:rPr>
              <w:t>AY.1/AY.2</w:t>
            </w:r>
            <w:r w:rsidRPr="006F5377">
              <w:rPr>
                <w:vertAlign w:val="superscript"/>
                <w:lang w:val="sr-Latn-RS"/>
              </w:rPr>
              <w:t>g</w:t>
            </w:r>
            <w:r w:rsidRPr="006F5377">
              <w:rPr>
                <w:lang w:val="sr-Latn-RS"/>
              </w:rPr>
              <w:t xml:space="preserve">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Indije/Delta [+K417N])</w:t>
            </w:r>
          </w:p>
        </w:tc>
        <w:tc>
          <w:tcPr>
            <w:tcW w:w="1780" w:type="dxa"/>
            <w:vAlign w:val="center"/>
          </w:tcPr>
          <w:p w14:paraId="0090CB74" w14:textId="77777777" w:rsidR="004946A1" w:rsidRPr="006F5377" w:rsidRDefault="004946A1" w:rsidP="00AE3A50">
            <w:pPr>
              <w:spacing w:before="121"/>
              <w:ind w:left="612" w:right="80" w:hanging="450"/>
              <w:rPr>
                <w:lang w:val="sr-Latn-RS"/>
              </w:rPr>
            </w:pPr>
            <w:r w:rsidRPr="006F5377">
              <w:rPr>
                <w:lang w:val="sr-Latn-RS"/>
              </w:rPr>
              <w:t>K417N+L452R+T478K</w:t>
            </w:r>
            <w:r w:rsidRPr="006F5377">
              <w:rPr>
                <w:vertAlign w:val="superscript"/>
                <w:lang w:val="sr-Latn-RS"/>
              </w:rPr>
              <w:t>d</w:t>
            </w:r>
          </w:p>
        </w:tc>
        <w:tc>
          <w:tcPr>
            <w:tcW w:w="1843" w:type="dxa"/>
            <w:vAlign w:val="center"/>
          </w:tcPr>
          <w:p w14:paraId="4DD9D118" w14:textId="77777777" w:rsidR="004946A1" w:rsidRPr="006F5377" w:rsidRDefault="004946A1" w:rsidP="00AE3A50">
            <w:pPr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383774A6" w14:textId="77777777" w:rsidR="004946A1" w:rsidRPr="006F5377" w:rsidRDefault="004946A1" w:rsidP="00AE3A50">
            <w:pPr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4282D740" w14:textId="77777777" w:rsidR="004946A1" w:rsidRPr="006F5377" w:rsidRDefault="004946A1" w:rsidP="00AE3A50">
            <w:pPr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30888F03" w14:textId="77777777" w:rsidR="004946A1" w:rsidRPr="006F5377" w:rsidRDefault="004946A1" w:rsidP="00AE3A50">
            <w:pPr>
              <w:ind w:left="328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9 puta</w:t>
            </w:r>
          </w:p>
        </w:tc>
        <w:tc>
          <w:tcPr>
            <w:tcW w:w="1659" w:type="dxa"/>
            <w:vAlign w:val="center"/>
          </w:tcPr>
          <w:p w14:paraId="01E33AFD" w14:textId="77777777" w:rsidR="004946A1" w:rsidRPr="006F5377" w:rsidRDefault="004946A1" w:rsidP="00AE3A50">
            <w:pPr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055AA7AC" w14:textId="77777777" w:rsidR="004946A1" w:rsidRPr="006F5377" w:rsidRDefault="004946A1" w:rsidP="00AE3A50">
            <w:pPr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669DEF61" w14:textId="77777777" w:rsidTr="00AE3A50">
        <w:trPr>
          <w:trHeight w:val="760"/>
        </w:trPr>
        <w:tc>
          <w:tcPr>
            <w:tcW w:w="2134" w:type="dxa"/>
          </w:tcPr>
          <w:p w14:paraId="690CD4DC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B.1.621/B.1.621.1</w:t>
            </w:r>
          </w:p>
          <w:p w14:paraId="2C4ED7F7" w14:textId="77777777" w:rsidR="004946A1" w:rsidRPr="006F5377" w:rsidRDefault="004946A1" w:rsidP="00AE3A50">
            <w:pPr>
              <w:spacing w:line="240" w:lineRule="exact"/>
              <w:ind w:left="129"/>
              <w:rPr>
                <w:lang w:val="sr-Latn-RS"/>
              </w:rPr>
            </w:pPr>
            <w:r w:rsidRPr="006F5377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Kolumbije/Mi)</w:t>
            </w:r>
          </w:p>
        </w:tc>
        <w:tc>
          <w:tcPr>
            <w:tcW w:w="1780" w:type="dxa"/>
            <w:vAlign w:val="center"/>
          </w:tcPr>
          <w:p w14:paraId="67BFF2B9" w14:textId="77777777" w:rsidR="004946A1" w:rsidRPr="006F5377" w:rsidRDefault="004946A1" w:rsidP="00AE3A50">
            <w:pPr>
              <w:spacing w:before="121"/>
              <w:ind w:left="623" w:right="-100" w:hanging="461"/>
              <w:rPr>
                <w:lang w:val="sr-Latn-RS"/>
              </w:rPr>
            </w:pPr>
            <w:r w:rsidRPr="006F5377">
              <w:rPr>
                <w:lang w:val="sr-Latn-RS"/>
              </w:rPr>
              <w:t>R346K, E484K, N501Y</w:t>
            </w:r>
          </w:p>
        </w:tc>
        <w:tc>
          <w:tcPr>
            <w:tcW w:w="1843" w:type="dxa"/>
            <w:vAlign w:val="center"/>
          </w:tcPr>
          <w:p w14:paraId="49CF94CC" w14:textId="77777777" w:rsidR="004946A1" w:rsidRPr="006F5377" w:rsidRDefault="004946A1" w:rsidP="00AE3A50">
            <w:pPr>
              <w:spacing w:before="6"/>
              <w:jc w:val="center"/>
              <w:rPr>
                <w:b/>
                <w:sz w:val="21"/>
                <w:lang w:val="sr-Latn-RS"/>
              </w:rPr>
            </w:pPr>
          </w:p>
          <w:p w14:paraId="3B8C3E09" w14:textId="77777777" w:rsidR="004946A1" w:rsidRPr="006F5377" w:rsidRDefault="004946A1" w:rsidP="00AE3A50">
            <w:pPr>
              <w:spacing w:before="1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0E34B6A4" w14:textId="77777777" w:rsidR="004946A1" w:rsidRPr="006F5377" w:rsidRDefault="004946A1" w:rsidP="00AE3A50">
            <w:pPr>
              <w:spacing w:before="6"/>
              <w:jc w:val="center"/>
              <w:rPr>
                <w:b/>
                <w:sz w:val="21"/>
                <w:lang w:val="sr-Latn-RS"/>
              </w:rPr>
            </w:pPr>
          </w:p>
          <w:p w14:paraId="174F5D1D" w14:textId="77777777" w:rsidR="004946A1" w:rsidRPr="006F5377" w:rsidRDefault="004946A1" w:rsidP="00AE3A50">
            <w:pPr>
              <w:spacing w:before="1"/>
              <w:ind w:left="328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23 puta</w:t>
            </w:r>
          </w:p>
        </w:tc>
        <w:tc>
          <w:tcPr>
            <w:tcW w:w="1659" w:type="dxa"/>
            <w:vAlign w:val="center"/>
          </w:tcPr>
          <w:p w14:paraId="5AB3E977" w14:textId="77777777" w:rsidR="004946A1" w:rsidRPr="006F5377" w:rsidRDefault="004946A1" w:rsidP="00AE3A50">
            <w:pPr>
              <w:spacing w:before="6"/>
              <w:jc w:val="center"/>
              <w:rPr>
                <w:b/>
                <w:sz w:val="21"/>
                <w:lang w:val="sr-Latn-RS"/>
              </w:rPr>
            </w:pPr>
          </w:p>
          <w:p w14:paraId="43106275" w14:textId="77777777" w:rsidR="004946A1" w:rsidRPr="006F5377" w:rsidRDefault="004946A1" w:rsidP="00AE3A50">
            <w:pPr>
              <w:spacing w:before="1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4E9E295C" w14:textId="77777777" w:rsidTr="00AE3A50">
        <w:trPr>
          <w:trHeight w:val="506"/>
        </w:trPr>
        <w:tc>
          <w:tcPr>
            <w:tcW w:w="2134" w:type="dxa"/>
          </w:tcPr>
          <w:p w14:paraId="53F54403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C.37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</w:t>
            </w:r>
          </w:p>
          <w:p w14:paraId="033F16E3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6F5377">
              <w:rPr>
                <w:lang w:val="sr-Latn-RS"/>
              </w:rPr>
              <w:t>Perua/Lambda)</w:t>
            </w:r>
          </w:p>
        </w:tc>
        <w:tc>
          <w:tcPr>
            <w:tcW w:w="1780" w:type="dxa"/>
            <w:vAlign w:val="center"/>
          </w:tcPr>
          <w:p w14:paraId="265DB63E" w14:textId="77777777" w:rsidR="004946A1" w:rsidRPr="006F5377" w:rsidRDefault="004946A1" w:rsidP="00AE3A50">
            <w:pPr>
              <w:spacing w:before="121"/>
              <w:ind w:left="248" w:right="80"/>
              <w:rPr>
                <w:lang w:val="sr-Latn-RS"/>
              </w:rPr>
            </w:pPr>
            <w:r w:rsidRPr="006F5377">
              <w:rPr>
                <w:lang w:val="sr-Latn-RS"/>
              </w:rPr>
              <w:t>L452Q+F490S</w:t>
            </w:r>
          </w:p>
        </w:tc>
        <w:tc>
          <w:tcPr>
            <w:tcW w:w="1843" w:type="dxa"/>
            <w:vAlign w:val="center"/>
          </w:tcPr>
          <w:p w14:paraId="74252FB4" w14:textId="77777777" w:rsidR="004946A1" w:rsidRPr="006F5377" w:rsidRDefault="004946A1" w:rsidP="00AE3A50">
            <w:pPr>
              <w:spacing w:before="121"/>
              <w:ind w:left="361" w:right="35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61" w:type="dxa"/>
            <w:vAlign w:val="center"/>
          </w:tcPr>
          <w:p w14:paraId="51A412A9" w14:textId="77777777" w:rsidR="004946A1" w:rsidRPr="006F5377" w:rsidRDefault="004946A1" w:rsidP="00AE3A50">
            <w:pPr>
              <w:spacing w:before="121"/>
              <w:ind w:left="330" w:right="321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  <w:tc>
          <w:tcPr>
            <w:tcW w:w="1659" w:type="dxa"/>
            <w:vAlign w:val="center"/>
          </w:tcPr>
          <w:p w14:paraId="1E6CCA6B" w14:textId="77777777" w:rsidR="004946A1" w:rsidRPr="006F5377" w:rsidRDefault="004946A1" w:rsidP="00AE3A50">
            <w:pPr>
              <w:spacing w:before="121"/>
              <w:ind w:right="337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e</w:t>
            </w:r>
          </w:p>
        </w:tc>
      </w:tr>
      <w:tr w:rsidR="004946A1" w:rsidRPr="006F5377" w14:paraId="313B8CD0" w14:textId="77777777" w:rsidTr="00DB12CA">
        <w:trPr>
          <w:trHeight w:val="506"/>
        </w:trPr>
        <w:tc>
          <w:tcPr>
            <w:tcW w:w="2134" w:type="dxa"/>
            <w:vAlign w:val="center"/>
          </w:tcPr>
          <w:p w14:paraId="24A59AFF" w14:textId="77777777" w:rsidR="004946A1" w:rsidRPr="006F5377" w:rsidRDefault="004946A1" w:rsidP="00AE3A50">
            <w:pPr>
              <w:spacing w:line="240" w:lineRule="exact"/>
              <w:ind w:left="309" w:hanging="211"/>
              <w:rPr>
                <w:lang w:val="sr-Latn-RS"/>
              </w:rPr>
            </w:pPr>
            <w:r w:rsidRPr="00C7437F">
              <w:t>B.1.1.529/BA.1 (</w:t>
            </w:r>
            <w:r>
              <w:t>o</w:t>
            </w:r>
            <w:r w:rsidRPr="00C7437F">
              <w:t>mikron)</w:t>
            </w:r>
          </w:p>
        </w:tc>
        <w:tc>
          <w:tcPr>
            <w:tcW w:w="1780" w:type="dxa"/>
            <w:vAlign w:val="center"/>
          </w:tcPr>
          <w:p w14:paraId="0037E3AF" w14:textId="6FC7BA77" w:rsidR="004946A1" w:rsidRPr="006F5377" w:rsidRDefault="00ED3518" w:rsidP="00AE3A50">
            <w:pPr>
              <w:spacing w:before="121"/>
              <w:ind w:left="248" w:right="80"/>
              <w:rPr>
                <w:lang w:val="sr-Latn-RS"/>
              </w:rPr>
            </w:pPr>
            <w:r>
              <w:t>Kompletan</w:t>
            </w:r>
            <w:r w:rsidR="004946A1" w:rsidRPr="00C7437F">
              <w:t xml:space="preserve"> S protein</w:t>
            </w:r>
            <w:r w:rsidR="004946A1" w:rsidRPr="00985ECD">
              <w:rPr>
                <w:vertAlign w:val="superscript"/>
              </w:rPr>
              <w:t>h</w:t>
            </w:r>
          </w:p>
        </w:tc>
        <w:tc>
          <w:tcPr>
            <w:tcW w:w="1843" w:type="dxa"/>
            <w:vAlign w:val="center"/>
          </w:tcPr>
          <w:p w14:paraId="7B266924" w14:textId="77777777" w:rsidR="004946A1" w:rsidRPr="006F5377" w:rsidRDefault="004946A1" w:rsidP="00AE3A50">
            <w:pPr>
              <w:spacing w:before="121"/>
              <w:ind w:left="361" w:right="351"/>
              <w:jc w:val="center"/>
              <w:rPr>
                <w:lang w:val="sr-Latn-RS"/>
              </w:rPr>
            </w:pPr>
            <w:r w:rsidRPr="00C7437F">
              <w:t>&gt; 1013 puta</w:t>
            </w:r>
          </w:p>
        </w:tc>
        <w:tc>
          <w:tcPr>
            <w:tcW w:w="1661" w:type="dxa"/>
            <w:vAlign w:val="center"/>
          </w:tcPr>
          <w:p w14:paraId="0B9C8F9B" w14:textId="77777777" w:rsidR="004946A1" w:rsidRPr="006F5377" w:rsidRDefault="004946A1" w:rsidP="00AE3A50">
            <w:pPr>
              <w:spacing w:before="121"/>
              <w:ind w:left="330" w:right="321"/>
              <w:jc w:val="center"/>
              <w:rPr>
                <w:lang w:val="sr-Latn-RS"/>
              </w:rPr>
            </w:pPr>
            <w:r w:rsidRPr="00C7437F">
              <w:t>&gt; 1732 puta</w:t>
            </w:r>
          </w:p>
        </w:tc>
        <w:tc>
          <w:tcPr>
            <w:tcW w:w="1659" w:type="dxa"/>
            <w:vAlign w:val="center"/>
          </w:tcPr>
          <w:p w14:paraId="103DE309" w14:textId="77777777" w:rsidR="004946A1" w:rsidRPr="006F5377" w:rsidRDefault="004946A1" w:rsidP="00AE3A50">
            <w:pPr>
              <w:spacing w:before="121"/>
              <w:ind w:right="337"/>
              <w:jc w:val="center"/>
              <w:rPr>
                <w:lang w:val="sr-Latn-RS"/>
              </w:rPr>
            </w:pPr>
            <w:r w:rsidRPr="00C7437F">
              <w:t>&gt; 754 puta</w:t>
            </w:r>
          </w:p>
        </w:tc>
      </w:tr>
    </w:tbl>
    <w:p w14:paraId="5495D869" w14:textId="77777777" w:rsidR="004946A1" w:rsidRPr="00D00B37" w:rsidRDefault="004946A1" w:rsidP="004946A1">
      <w:pPr>
        <w:ind w:left="311" w:right="970"/>
        <w:jc w:val="both"/>
        <w:rPr>
          <w:lang w:val="sr-Latn-RS"/>
        </w:rPr>
      </w:pPr>
      <w:r w:rsidRPr="00D00B37">
        <w:rPr>
          <w:vertAlign w:val="superscript"/>
          <w:lang w:val="sr-Latn-RS"/>
        </w:rPr>
        <w:t>a</w:t>
      </w:r>
      <w:r w:rsidRPr="00D00B37">
        <w:rPr>
          <w:lang w:val="sr-Latn-RS"/>
        </w:rPr>
        <w:t xml:space="preserve"> Testiran je pseudotipizirani VLP koji eksprimira kompletni S-protein ove varijante. Utvrđene su sljedeće promjene u odnosu na divlji tip S-proteina: del69-70, del145, N501Y, A570D, D614G, P681H, T716I, S982A, D1118H.</w:t>
      </w:r>
    </w:p>
    <w:p w14:paraId="139C0D9D" w14:textId="77777777" w:rsidR="004946A1" w:rsidRPr="00D00B37" w:rsidRDefault="004946A1" w:rsidP="004946A1">
      <w:pPr>
        <w:spacing w:line="242" w:lineRule="auto"/>
        <w:ind w:left="311" w:right="970"/>
        <w:jc w:val="both"/>
        <w:rPr>
          <w:lang w:val="sr-Latn-RS"/>
        </w:rPr>
      </w:pPr>
      <w:r w:rsidRPr="00D00B37">
        <w:rPr>
          <w:vertAlign w:val="superscript"/>
          <w:lang w:val="sr-Latn-RS"/>
        </w:rPr>
        <w:t>b</w:t>
      </w:r>
      <w:r w:rsidRPr="00D00B37">
        <w:rPr>
          <w:lang w:val="sr-Latn-RS"/>
        </w:rPr>
        <w:t xml:space="preserve"> Testiran je pseudotipizirani VLP koji eksprimira kompletni S-protein ove varijante. Utvrđene su sljedeće promjene u odnosu na divlji tip S-proteina: D80Y, D215Y, del241-243, K417N, E484K, N501Y, D614G, A701V.</w:t>
      </w:r>
    </w:p>
    <w:p w14:paraId="64C2EEDD" w14:textId="77777777" w:rsidR="004946A1" w:rsidRPr="00D00B37" w:rsidRDefault="004946A1" w:rsidP="004946A1">
      <w:pPr>
        <w:ind w:left="311" w:right="970"/>
        <w:jc w:val="both"/>
        <w:rPr>
          <w:lang w:val="sr-Latn-RS"/>
        </w:rPr>
      </w:pPr>
      <w:r w:rsidRPr="00D00B37">
        <w:rPr>
          <w:vertAlign w:val="superscript"/>
          <w:lang w:val="sr-Latn-RS"/>
        </w:rPr>
        <w:t>c</w:t>
      </w:r>
      <w:r w:rsidRPr="00D00B37">
        <w:rPr>
          <w:lang w:val="sr-Latn-RS"/>
        </w:rPr>
        <w:t xml:space="preserve"> Testiran je pseudotipizirani VLP koji eksprimira kompletni S-protein ove varijante. Utvrđene su sljedeće promjene u odnosu na divlji tip S-proteina: L18F, T20N, P26S, D138Y, R190S, K417T, E484K, N501Y, D614G, H655Y, T1027I, V1176F</w:t>
      </w:r>
    </w:p>
    <w:p w14:paraId="25528248" w14:textId="77777777" w:rsidR="004946A1" w:rsidRPr="00D00B37" w:rsidRDefault="004946A1" w:rsidP="004946A1">
      <w:pPr>
        <w:ind w:left="311" w:right="970"/>
        <w:jc w:val="both"/>
        <w:rPr>
          <w:lang w:val="sr-Latn-RS"/>
        </w:rPr>
      </w:pPr>
      <w:r w:rsidRPr="00D00B37">
        <w:rPr>
          <w:vertAlign w:val="superscript"/>
          <w:lang w:val="sr-Latn-RS"/>
        </w:rPr>
        <w:t>d</w:t>
      </w:r>
      <w:r w:rsidRPr="00D00B37">
        <w:rPr>
          <w:lang w:val="sr-Latn-RS"/>
        </w:rPr>
        <w:t xml:space="preserve"> Za AY.1: Testiran je pseudotipizirani VLP koji kompletni S-protein ove varijante. Utvrđene su </w:t>
      </w:r>
      <w:r w:rsidRPr="00D00B37">
        <w:rPr>
          <w:lang w:val="sr-Latn-RS"/>
        </w:rPr>
        <w:lastRenderedPageBreak/>
        <w:t>sljedeće promjene u odnosu na divlji tip S-proteina: (T19R, G142D, E156G, F157-, F158-, K417N, L452R, T478K, D614G, P681R, D950N).</w:t>
      </w:r>
    </w:p>
    <w:p w14:paraId="695CD082" w14:textId="77777777" w:rsidR="004946A1" w:rsidRPr="00D00B37" w:rsidRDefault="004946A1" w:rsidP="004946A1">
      <w:pPr>
        <w:spacing w:line="203" w:lineRule="exact"/>
        <w:ind w:left="311" w:right="970"/>
        <w:jc w:val="both"/>
        <w:rPr>
          <w:lang w:val="sr-Latn-RS"/>
        </w:rPr>
      </w:pPr>
      <w:r w:rsidRPr="00D00B37">
        <w:rPr>
          <w:vertAlign w:val="superscript"/>
          <w:lang w:val="sr-Latn-RS"/>
        </w:rPr>
        <w:t>e</w:t>
      </w:r>
      <w:r w:rsidRPr="00D00B37">
        <w:rPr>
          <w:lang w:val="sr-Latn-RS"/>
        </w:rPr>
        <w:t xml:space="preserve"> Bez promjene: smanjenje osjetljivosti </w:t>
      </w:r>
      <w:r w:rsidRPr="00D00B37">
        <w:rPr>
          <w:lang w:val="es-ES"/>
        </w:rPr>
        <w:t>≤</w:t>
      </w:r>
      <w:r w:rsidRPr="00D00B37">
        <w:rPr>
          <w:lang w:val="sr-Latn-RS"/>
        </w:rPr>
        <w:t xml:space="preserve"> 5 puta.</w:t>
      </w:r>
    </w:p>
    <w:p w14:paraId="28B7E897" w14:textId="77777777" w:rsidR="004946A1" w:rsidRPr="00D00B37" w:rsidRDefault="004946A1" w:rsidP="004946A1">
      <w:pPr>
        <w:spacing w:line="208" w:lineRule="exact"/>
        <w:ind w:left="311"/>
        <w:rPr>
          <w:lang w:val="sr-Latn-RS"/>
        </w:rPr>
      </w:pPr>
      <w:r w:rsidRPr="00D00B37">
        <w:rPr>
          <w:vertAlign w:val="superscript"/>
          <w:lang w:val="sr-Latn-RS"/>
        </w:rPr>
        <w:t>f</w:t>
      </w:r>
      <w:r w:rsidRPr="00D00B37">
        <w:rPr>
          <w:lang w:val="sr-Latn-RS"/>
        </w:rPr>
        <w:t xml:space="preserve"> Ne sadrže svi izolati soja iz Njujorka supstituciju E484K (podatak iz februara 2021).</w:t>
      </w:r>
    </w:p>
    <w:p w14:paraId="3262A8C5" w14:textId="77777777" w:rsidR="004946A1" w:rsidRPr="00D00B37" w:rsidRDefault="004946A1" w:rsidP="004946A1">
      <w:pPr>
        <w:spacing w:line="210" w:lineRule="exact"/>
        <w:ind w:left="311"/>
        <w:rPr>
          <w:lang w:val="sr-Latn-RS"/>
        </w:rPr>
      </w:pPr>
      <w:r w:rsidRPr="00D00B37">
        <w:rPr>
          <w:vertAlign w:val="superscript"/>
          <w:lang w:val="sr-Latn-RS"/>
        </w:rPr>
        <w:t xml:space="preserve">g </w:t>
      </w:r>
      <w:r w:rsidRPr="00D00B37">
        <w:rPr>
          <w:lang w:val="sr-Latn-RS"/>
        </w:rPr>
        <w:t>Poznat kao „Delta plus”.</w:t>
      </w:r>
    </w:p>
    <w:p w14:paraId="0DF16516" w14:textId="77777777" w:rsidR="004946A1" w:rsidRPr="00D00B37" w:rsidRDefault="004946A1" w:rsidP="004946A1">
      <w:pPr>
        <w:spacing w:line="210" w:lineRule="exact"/>
        <w:ind w:left="311"/>
        <w:rPr>
          <w:lang w:val="sr-Latn-RS"/>
        </w:rPr>
      </w:pPr>
      <w:r w:rsidRPr="00D00B37">
        <w:rPr>
          <w:vertAlign w:val="superscript"/>
          <w:lang w:val="sr-Latn-RS"/>
        </w:rPr>
        <w:t>h</w:t>
      </w:r>
      <w:r w:rsidRPr="00D00B37">
        <w:rPr>
          <w:lang w:val="sr-Latn-RS"/>
        </w:rPr>
        <w:t xml:space="preserve"> Ispitivan je pseudotipizirani VLP koji eksprimira cjeli S protein ove varijante. Utvrđene su sljedeće promjene u odnosu na divlji tip S proteina: A67V, del69-70, T95I, G142D/del143-145, del211/L212I, ins214EPE, G339D, S371L, S373P, S375F, K417N, N440K, G446S, S477N, T478K, E484A, Q493R, G496S, Q498R, N501Y, Y505H, T547K, D614G, H655Y, N679K, P681H, N764K, D796Y, N856K, Q954H, N969K, L981F.</w:t>
      </w:r>
    </w:p>
    <w:p w14:paraId="00BFB677" w14:textId="77777777" w:rsidR="004946A1" w:rsidRPr="00D00B37" w:rsidRDefault="004946A1" w:rsidP="004946A1">
      <w:pPr>
        <w:spacing w:line="206" w:lineRule="exact"/>
        <w:ind w:left="311" w:right="1060"/>
        <w:jc w:val="both"/>
        <w:rPr>
          <w:lang w:val="sr-Latn-RS"/>
        </w:rPr>
      </w:pPr>
      <w:r w:rsidRPr="00D00B37">
        <w:rPr>
          <w:lang w:val="sr-Latn-RS"/>
        </w:rPr>
        <w:t xml:space="preserve">* Varijante od interesa/varijante koje izazivaju zabrinutost definisane su prema američkom Centaru za kontrolu i prevenciju bolesti (engl. </w:t>
      </w:r>
      <w:r w:rsidRPr="00D00B37">
        <w:rPr>
          <w:i/>
          <w:lang w:val="sr-Latn-RS"/>
        </w:rPr>
        <w:t>Centers for Disease Control and Prevention</w:t>
      </w:r>
      <w:r w:rsidRPr="00D00B37">
        <w:rPr>
          <w:lang w:val="sr-Latn-RS"/>
        </w:rPr>
        <w:t>, CDC, 2021)</w:t>
      </w:r>
    </w:p>
    <w:p w14:paraId="55C7B2EB" w14:textId="6CD53502" w:rsidR="004946A1" w:rsidRPr="00D00B37" w:rsidRDefault="004946A1" w:rsidP="004946A1">
      <w:pPr>
        <w:spacing w:line="206" w:lineRule="exact"/>
        <w:ind w:left="311"/>
        <w:rPr>
          <w:lang w:val="sr-Latn-RS"/>
        </w:rPr>
      </w:pPr>
      <w:r w:rsidRPr="00D00B37">
        <w:rPr>
          <w:lang w:val="sr-Latn-RS"/>
        </w:rPr>
        <w:t>{https:/</w:t>
      </w:r>
      <w:hyperlink r:id="rId13">
        <w:r w:rsidRPr="00D00B37">
          <w:rPr>
            <w:lang w:val="sr-Latn-RS"/>
          </w:rPr>
          <w:t>/www</w:t>
        </w:r>
      </w:hyperlink>
      <w:r w:rsidRPr="00D00B37">
        <w:rPr>
          <w:lang w:val="sr-Latn-RS"/>
        </w:rPr>
        <w:t>.</w:t>
      </w:r>
      <w:hyperlink r:id="rId14">
        <w:r w:rsidRPr="00D00B37">
          <w:rPr>
            <w:lang w:val="sr-Latn-RS"/>
          </w:rPr>
          <w:t>cdc.gov/coronavirus/2019-ncov/variants/variant-info.html}</w:t>
        </w:r>
      </w:hyperlink>
    </w:p>
    <w:p w14:paraId="6927CA58" w14:textId="77777777" w:rsidR="004946A1" w:rsidRPr="00AE2963" w:rsidRDefault="004946A1" w:rsidP="004946A1">
      <w:pPr>
        <w:pStyle w:val="BodyText"/>
        <w:spacing w:before="6"/>
        <w:rPr>
          <w:lang w:val="sr-Latn-RS"/>
        </w:rPr>
      </w:pPr>
    </w:p>
    <w:p w14:paraId="368A89A1" w14:textId="77777777" w:rsidR="004946A1" w:rsidRPr="006F5377" w:rsidRDefault="004946A1" w:rsidP="004946A1">
      <w:pPr>
        <w:spacing w:line="264" w:lineRule="auto"/>
        <w:ind w:left="311" w:right="1048"/>
        <w:jc w:val="both"/>
        <w:rPr>
          <w:lang w:val="sr-Latn-RS"/>
        </w:rPr>
      </w:pPr>
      <w:r w:rsidRPr="006F5377">
        <w:rPr>
          <w:lang w:val="sr-Latn-RS"/>
        </w:rPr>
        <w:t>Vid</w:t>
      </w:r>
      <w:r>
        <w:rPr>
          <w:lang w:val="sr-Latn-RS"/>
        </w:rPr>
        <w:t>j</w:t>
      </w:r>
      <w:r w:rsidRPr="006F5377">
        <w:rPr>
          <w:lang w:val="sr-Latn-RS"/>
        </w:rPr>
        <w:t>eti Tabelu 5 za sveobuhvatnu listu autentičnih varijanti virusa SARS-CoV-2 koje izazivaju zabrinutost/koje su od interesa, a koje su proc</w:t>
      </w:r>
      <w:r>
        <w:rPr>
          <w:lang w:val="sr-Latn-RS"/>
        </w:rPr>
        <w:t>ij</w:t>
      </w:r>
      <w:r w:rsidRPr="006F5377">
        <w:rPr>
          <w:lang w:val="sr-Latn-RS"/>
        </w:rPr>
        <w:t>enjene u pogledu os</w:t>
      </w:r>
      <w:r>
        <w:rPr>
          <w:lang w:val="sr-Latn-RS"/>
        </w:rPr>
        <w:t>j</w:t>
      </w:r>
      <w:r w:rsidRPr="006F5377">
        <w:rPr>
          <w:lang w:val="sr-Latn-RS"/>
        </w:rPr>
        <w:t>etljivosti na kasirivimab i imdevimab samostalno i u kombinaciji.</w:t>
      </w:r>
    </w:p>
    <w:p w14:paraId="1EC5F49C" w14:textId="6A53760A" w:rsidR="00ED3518" w:rsidRDefault="00ED3518" w:rsidP="004946A1">
      <w:pPr>
        <w:spacing w:line="264" w:lineRule="auto"/>
        <w:rPr>
          <w:lang w:val="sr-Latn-RS"/>
        </w:rPr>
      </w:pPr>
    </w:p>
    <w:p w14:paraId="7E7AB698" w14:textId="77777777" w:rsidR="00ED3518" w:rsidRPr="006F5377" w:rsidRDefault="00ED3518" w:rsidP="00ED3518">
      <w:pPr>
        <w:spacing w:before="78" w:after="2"/>
        <w:ind w:left="311" w:right="970"/>
        <w:jc w:val="both"/>
        <w:outlineLvl w:val="0"/>
        <w:rPr>
          <w:b/>
          <w:bCs/>
          <w:lang w:val="sr-Latn-RS"/>
        </w:rPr>
      </w:pPr>
      <w:r w:rsidRPr="006F5377">
        <w:rPr>
          <w:b/>
          <w:bCs/>
          <w:lang w:val="sr-Latn-RS"/>
        </w:rPr>
        <w:t xml:space="preserve">Tabela 5: Podaci o neutralizaciji autentičnih varijanti virusa SARS-CoV-2 </w:t>
      </w:r>
      <w:r w:rsidRPr="008D327C">
        <w:rPr>
          <w:b/>
          <w:bCs/>
          <w:lang w:val="sr-Latn-RS"/>
        </w:rPr>
        <w:t xml:space="preserve">koje izazivaju zabrinutost/koje su od interesa </w:t>
      </w:r>
      <w:r w:rsidRPr="006F5377">
        <w:rPr>
          <w:b/>
          <w:bCs/>
          <w:lang w:val="sr-Latn-RS"/>
        </w:rPr>
        <w:t xml:space="preserve">kod </w:t>
      </w:r>
      <w:r>
        <w:rPr>
          <w:b/>
          <w:bCs/>
          <w:lang w:val="sr-Latn-RS"/>
        </w:rPr>
        <w:t>primjen</w:t>
      </w:r>
      <w:r w:rsidRPr="006F5377">
        <w:rPr>
          <w:b/>
          <w:bCs/>
          <w:lang w:val="sr-Latn-RS"/>
        </w:rPr>
        <w:t>e kasirivimaba i imdevimaba samostalno ili u kombinaciji</w:t>
      </w:r>
      <w:r w:rsidRPr="006F5377" w:rsidDel="00C36452">
        <w:rPr>
          <w:b/>
          <w:bCs/>
          <w:lang w:val="sr-Latn-RS"/>
        </w:rPr>
        <w:t xml:space="preserve"> 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2215"/>
        <w:gridCol w:w="2328"/>
        <w:gridCol w:w="2328"/>
      </w:tblGrid>
      <w:tr w:rsidR="00ED3518" w:rsidRPr="007613FE" w14:paraId="72E53125" w14:textId="77777777" w:rsidTr="0053587C">
        <w:trPr>
          <w:trHeight w:val="757"/>
        </w:trPr>
        <w:tc>
          <w:tcPr>
            <w:tcW w:w="2204" w:type="dxa"/>
            <w:vAlign w:val="center"/>
          </w:tcPr>
          <w:p w14:paraId="44BBD3AA" w14:textId="77777777" w:rsidR="00ED3518" w:rsidRPr="006F5377" w:rsidRDefault="00ED3518" w:rsidP="0053587C">
            <w:pPr>
              <w:ind w:left="184" w:right="177"/>
              <w:jc w:val="center"/>
              <w:rPr>
                <w:b/>
                <w:bCs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Soj sa supstitucijom</w:t>
            </w:r>
          </w:p>
          <w:p w14:paraId="74B3F0B4" w14:textId="77777777" w:rsidR="00ED3518" w:rsidRPr="006F5377" w:rsidRDefault="00ED3518" w:rsidP="0053587C">
            <w:pPr>
              <w:ind w:left="184" w:right="177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S-proteina</w:t>
            </w:r>
          </w:p>
        </w:tc>
        <w:tc>
          <w:tcPr>
            <w:tcW w:w="2215" w:type="dxa"/>
            <w:vAlign w:val="center"/>
          </w:tcPr>
          <w:p w14:paraId="36262253" w14:textId="77777777" w:rsidR="00ED3518" w:rsidRPr="006F5377" w:rsidRDefault="00ED3518" w:rsidP="0053587C">
            <w:pPr>
              <w:spacing w:before="1"/>
              <w:ind w:left="121" w:right="114" w:firstLine="2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Smanjena os</w:t>
            </w:r>
            <w:r>
              <w:rPr>
                <w:b/>
                <w:bCs/>
                <w:lang w:val="sr-Latn-RS"/>
              </w:rPr>
              <w:t>j</w:t>
            </w:r>
            <w:r w:rsidRPr="006F5377">
              <w:rPr>
                <w:b/>
                <w:bCs/>
                <w:lang w:val="sr-Latn-RS"/>
              </w:rPr>
              <w:t>etljivost na kasirivimab i imdevimab</w:t>
            </w:r>
          </w:p>
          <w:p w14:paraId="6FFFAA95" w14:textId="77777777" w:rsidR="00ED3518" w:rsidRPr="006F5377" w:rsidRDefault="00ED3518" w:rsidP="0053587C">
            <w:pPr>
              <w:spacing w:line="252" w:lineRule="exact"/>
              <w:ind w:left="218" w:right="206" w:firstLine="69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u kombinaciji</w:t>
            </w:r>
          </w:p>
        </w:tc>
        <w:tc>
          <w:tcPr>
            <w:tcW w:w="2328" w:type="dxa"/>
            <w:vAlign w:val="center"/>
          </w:tcPr>
          <w:p w14:paraId="3E400D91" w14:textId="77777777" w:rsidR="00ED3518" w:rsidRPr="006F5377" w:rsidRDefault="00ED3518" w:rsidP="0053587C">
            <w:pPr>
              <w:spacing w:before="125"/>
              <w:ind w:left="213" w:right="84" w:hanging="108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Smanjena os</w:t>
            </w:r>
            <w:r>
              <w:rPr>
                <w:b/>
                <w:bCs/>
                <w:lang w:val="sr-Latn-RS"/>
              </w:rPr>
              <w:t>j</w:t>
            </w:r>
            <w:r w:rsidRPr="006F5377">
              <w:rPr>
                <w:b/>
                <w:bCs/>
                <w:lang w:val="sr-Latn-RS"/>
              </w:rPr>
              <w:t xml:space="preserve">etljivost na kasirivimab </w:t>
            </w:r>
            <w:r>
              <w:rPr>
                <w:b/>
                <w:bCs/>
                <w:lang w:val="sr-Latn-RS"/>
              </w:rPr>
              <w:t>primijen</w:t>
            </w:r>
            <w:r w:rsidRPr="006F5377">
              <w:rPr>
                <w:b/>
                <w:bCs/>
                <w:lang w:val="sr-Latn-RS"/>
              </w:rPr>
              <w:t>jen samostalno</w:t>
            </w:r>
          </w:p>
        </w:tc>
        <w:tc>
          <w:tcPr>
            <w:tcW w:w="2328" w:type="dxa"/>
            <w:vAlign w:val="center"/>
          </w:tcPr>
          <w:p w14:paraId="3A553BD5" w14:textId="77777777" w:rsidR="00ED3518" w:rsidRPr="006F5377" w:rsidRDefault="00ED3518" w:rsidP="0053587C">
            <w:pPr>
              <w:spacing w:before="125"/>
              <w:ind w:left="240" w:right="81" w:hanging="132"/>
              <w:jc w:val="center"/>
              <w:rPr>
                <w:b/>
                <w:lang w:val="sr-Latn-RS"/>
              </w:rPr>
            </w:pPr>
            <w:r w:rsidRPr="006F5377">
              <w:rPr>
                <w:b/>
                <w:bCs/>
                <w:lang w:val="sr-Latn-RS"/>
              </w:rPr>
              <w:t>Smanjena o</w:t>
            </w:r>
            <w:r>
              <w:rPr>
                <w:b/>
                <w:bCs/>
                <w:lang w:val="sr-Latn-RS"/>
              </w:rPr>
              <w:t>j</w:t>
            </w:r>
            <w:r w:rsidRPr="006F5377">
              <w:rPr>
                <w:b/>
                <w:bCs/>
                <w:lang w:val="sr-Latn-RS"/>
              </w:rPr>
              <w:t xml:space="preserve">setljivost na imdevimab </w:t>
            </w:r>
            <w:r>
              <w:rPr>
                <w:b/>
                <w:bCs/>
                <w:lang w:val="sr-Latn-RS"/>
              </w:rPr>
              <w:t>primijen</w:t>
            </w:r>
            <w:r w:rsidRPr="006F5377">
              <w:rPr>
                <w:b/>
                <w:bCs/>
                <w:lang w:val="sr-Latn-RS"/>
              </w:rPr>
              <w:t>jen samostalno</w:t>
            </w:r>
          </w:p>
        </w:tc>
      </w:tr>
      <w:tr w:rsidR="00ED3518" w:rsidRPr="006F5377" w14:paraId="2EE205E3" w14:textId="77777777" w:rsidTr="0053587C">
        <w:trPr>
          <w:trHeight w:val="505"/>
        </w:trPr>
        <w:tc>
          <w:tcPr>
            <w:tcW w:w="2204" w:type="dxa"/>
          </w:tcPr>
          <w:p w14:paraId="5D9B3F51" w14:textId="77777777" w:rsidR="00ED3518" w:rsidRPr="006F5377" w:rsidRDefault="00ED3518" w:rsidP="0053587C">
            <w:pPr>
              <w:spacing w:line="252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B.1.1.7</w:t>
            </w:r>
            <w:r>
              <w:rPr>
                <w:lang w:val="sr-Latn-RS"/>
              </w:rPr>
              <w:t xml:space="preserve"> </w:t>
            </w:r>
            <w:r w:rsidRPr="006F5377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Velike Britanije/Alfa)</w:t>
            </w:r>
          </w:p>
        </w:tc>
        <w:tc>
          <w:tcPr>
            <w:tcW w:w="2215" w:type="dxa"/>
          </w:tcPr>
          <w:p w14:paraId="27D8EF67" w14:textId="77777777" w:rsidR="00ED3518" w:rsidRPr="006F5377" w:rsidRDefault="00ED3518" w:rsidP="0053587C">
            <w:pPr>
              <w:spacing w:before="121"/>
              <w:ind w:left="684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2328" w:type="dxa"/>
          </w:tcPr>
          <w:p w14:paraId="48650840" w14:textId="77777777" w:rsidR="00ED3518" w:rsidRPr="006F5377" w:rsidRDefault="00ED3518" w:rsidP="0053587C">
            <w:pPr>
              <w:spacing w:before="121"/>
              <w:ind w:left="662" w:right="655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2328" w:type="dxa"/>
          </w:tcPr>
          <w:p w14:paraId="66FA642D" w14:textId="77777777" w:rsidR="00ED3518" w:rsidRPr="006F5377" w:rsidRDefault="00ED3518" w:rsidP="0053587C">
            <w:pPr>
              <w:spacing w:before="121"/>
              <w:ind w:right="669"/>
              <w:jc w:val="right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</w:tr>
      <w:tr w:rsidR="00ED3518" w:rsidRPr="006F5377" w14:paraId="679A8259" w14:textId="77777777" w:rsidTr="0053587C">
        <w:trPr>
          <w:trHeight w:val="506"/>
        </w:trPr>
        <w:tc>
          <w:tcPr>
            <w:tcW w:w="2204" w:type="dxa"/>
          </w:tcPr>
          <w:p w14:paraId="3008B2C0" w14:textId="77777777" w:rsidR="00ED3518" w:rsidRPr="006F5377" w:rsidRDefault="00ED3518" w:rsidP="0053587C">
            <w:pPr>
              <w:spacing w:line="252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B.1.351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 Južne Afrike/Beta)</w:t>
            </w:r>
          </w:p>
        </w:tc>
        <w:tc>
          <w:tcPr>
            <w:tcW w:w="2215" w:type="dxa"/>
          </w:tcPr>
          <w:p w14:paraId="58BE4F0F" w14:textId="77777777" w:rsidR="00ED3518" w:rsidRPr="006F5377" w:rsidRDefault="00ED3518" w:rsidP="0053587C">
            <w:pPr>
              <w:spacing w:before="121"/>
              <w:ind w:left="684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2328" w:type="dxa"/>
          </w:tcPr>
          <w:p w14:paraId="17EBCE17" w14:textId="77777777" w:rsidR="00ED3518" w:rsidRPr="006F5377" w:rsidRDefault="00ED3518" w:rsidP="0053587C">
            <w:pPr>
              <w:spacing w:before="121"/>
              <w:ind w:left="660" w:right="655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5 puta</w:t>
            </w:r>
          </w:p>
        </w:tc>
        <w:tc>
          <w:tcPr>
            <w:tcW w:w="2328" w:type="dxa"/>
          </w:tcPr>
          <w:p w14:paraId="4C4E0173" w14:textId="77777777" w:rsidR="00ED3518" w:rsidRPr="006F5377" w:rsidRDefault="00ED3518" w:rsidP="0053587C">
            <w:pPr>
              <w:spacing w:before="121"/>
              <w:ind w:right="669"/>
              <w:jc w:val="right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</w:tr>
      <w:tr w:rsidR="00ED3518" w:rsidRPr="006F5377" w14:paraId="32243A1D" w14:textId="77777777" w:rsidTr="0053587C">
        <w:trPr>
          <w:trHeight w:val="506"/>
        </w:trPr>
        <w:tc>
          <w:tcPr>
            <w:tcW w:w="2204" w:type="dxa"/>
          </w:tcPr>
          <w:p w14:paraId="2D878DEA" w14:textId="77777777" w:rsidR="00ED3518" w:rsidRPr="006F5377" w:rsidRDefault="00ED3518" w:rsidP="0053587C">
            <w:pPr>
              <w:spacing w:line="248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P.1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 iz</w:t>
            </w:r>
          </w:p>
          <w:p w14:paraId="445C0DF8" w14:textId="77777777" w:rsidR="00ED3518" w:rsidRPr="006F5377" w:rsidRDefault="00ED3518" w:rsidP="0053587C">
            <w:pPr>
              <w:spacing w:line="238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Brazila/Gama)</w:t>
            </w:r>
          </w:p>
        </w:tc>
        <w:tc>
          <w:tcPr>
            <w:tcW w:w="2215" w:type="dxa"/>
          </w:tcPr>
          <w:p w14:paraId="1A90B345" w14:textId="77777777" w:rsidR="00ED3518" w:rsidRPr="006F5377" w:rsidRDefault="00ED3518" w:rsidP="0053587C">
            <w:pPr>
              <w:spacing w:before="121"/>
              <w:ind w:left="684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2328" w:type="dxa"/>
          </w:tcPr>
          <w:p w14:paraId="3C3A1F2E" w14:textId="77777777" w:rsidR="00ED3518" w:rsidRPr="006F5377" w:rsidRDefault="00ED3518" w:rsidP="0053587C">
            <w:pPr>
              <w:spacing w:before="121"/>
              <w:ind w:left="660" w:right="655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371 put</w:t>
            </w:r>
          </w:p>
        </w:tc>
        <w:tc>
          <w:tcPr>
            <w:tcW w:w="2328" w:type="dxa"/>
          </w:tcPr>
          <w:p w14:paraId="1CCAFBA2" w14:textId="77777777" w:rsidR="00ED3518" w:rsidRPr="006F5377" w:rsidRDefault="00ED3518" w:rsidP="0053587C">
            <w:pPr>
              <w:spacing w:before="121"/>
              <w:ind w:right="669"/>
              <w:jc w:val="right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</w:tr>
      <w:tr w:rsidR="00ED3518" w:rsidRPr="006F5377" w14:paraId="0DBE53EC" w14:textId="77777777" w:rsidTr="0053587C">
        <w:trPr>
          <w:trHeight w:val="505"/>
        </w:trPr>
        <w:tc>
          <w:tcPr>
            <w:tcW w:w="2204" w:type="dxa"/>
          </w:tcPr>
          <w:p w14:paraId="32D63038" w14:textId="77777777" w:rsidR="00ED3518" w:rsidRPr="006F5377" w:rsidRDefault="00ED3518" w:rsidP="0053587C">
            <w:pPr>
              <w:spacing w:line="247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B.1.617.1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</w:t>
            </w:r>
          </w:p>
          <w:p w14:paraId="5E04AB56" w14:textId="77777777" w:rsidR="00ED3518" w:rsidRPr="006F5377" w:rsidRDefault="00ED3518" w:rsidP="0053587C">
            <w:pPr>
              <w:spacing w:before="1" w:line="238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iz Indije/Kapa)</w:t>
            </w:r>
          </w:p>
        </w:tc>
        <w:tc>
          <w:tcPr>
            <w:tcW w:w="2215" w:type="dxa"/>
          </w:tcPr>
          <w:p w14:paraId="742DD7A8" w14:textId="77777777" w:rsidR="00ED3518" w:rsidRPr="006F5377" w:rsidRDefault="00ED3518" w:rsidP="0053587C">
            <w:pPr>
              <w:spacing w:before="121"/>
              <w:ind w:left="684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2328" w:type="dxa"/>
          </w:tcPr>
          <w:p w14:paraId="1DB74AEF" w14:textId="77777777" w:rsidR="00ED3518" w:rsidRPr="006F5377" w:rsidRDefault="00ED3518" w:rsidP="0053587C">
            <w:pPr>
              <w:spacing w:before="121"/>
              <w:ind w:left="660" w:right="655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6 puta</w:t>
            </w:r>
          </w:p>
        </w:tc>
        <w:tc>
          <w:tcPr>
            <w:tcW w:w="2328" w:type="dxa"/>
          </w:tcPr>
          <w:p w14:paraId="1BC272E4" w14:textId="77777777" w:rsidR="00ED3518" w:rsidRPr="006F5377" w:rsidRDefault="00ED3518" w:rsidP="0053587C">
            <w:pPr>
              <w:spacing w:before="121"/>
              <w:ind w:right="669"/>
              <w:jc w:val="right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</w:tr>
      <w:tr w:rsidR="00ED3518" w:rsidRPr="006F5377" w14:paraId="5C3DE6CE" w14:textId="77777777" w:rsidTr="0053587C">
        <w:trPr>
          <w:trHeight w:val="506"/>
        </w:trPr>
        <w:tc>
          <w:tcPr>
            <w:tcW w:w="2204" w:type="dxa"/>
          </w:tcPr>
          <w:p w14:paraId="59A635F6" w14:textId="77777777" w:rsidR="00ED3518" w:rsidRPr="006F5377" w:rsidRDefault="00ED3518" w:rsidP="0053587C">
            <w:pPr>
              <w:spacing w:line="247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B.1.617.2 (por</w:t>
            </w:r>
            <w:r>
              <w:rPr>
                <w:lang w:val="sr-Latn-RS"/>
              </w:rPr>
              <w:t>ij</w:t>
            </w:r>
            <w:r w:rsidRPr="006F5377">
              <w:rPr>
                <w:lang w:val="sr-Latn-RS"/>
              </w:rPr>
              <w:t>eklom</w:t>
            </w:r>
          </w:p>
          <w:p w14:paraId="5871052B" w14:textId="77777777" w:rsidR="00ED3518" w:rsidRPr="006F5377" w:rsidRDefault="00ED3518" w:rsidP="0053587C">
            <w:pPr>
              <w:spacing w:before="2" w:line="238" w:lineRule="exact"/>
              <w:ind w:left="129" w:right="64"/>
              <w:rPr>
                <w:lang w:val="sr-Latn-RS"/>
              </w:rPr>
            </w:pPr>
            <w:r w:rsidRPr="006F5377">
              <w:rPr>
                <w:lang w:val="sr-Latn-RS"/>
              </w:rPr>
              <w:t>iz Indije/Delta)</w:t>
            </w:r>
          </w:p>
        </w:tc>
        <w:tc>
          <w:tcPr>
            <w:tcW w:w="2215" w:type="dxa"/>
          </w:tcPr>
          <w:p w14:paraId="02E0248E" w14:textId="77777777" w:rsidR="00ED3518" w:rsidRPr="006F5377" w:rsidRDefault="00ED3518" w:rsidP="0053587C">
            <w:pPr>
              <w:spacing w:before="121"/>
              <w:ind w:left="684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2328" w:type="dxa"/>
          </w:tcPr>
          <w:p w14:paraId="6BE71E92" w14:textId="77777777" w:rsidR="00ED3518" w:rsidRPr="006F5377" w:rsidRDefault="00ED3518" w:rsidP="0053587C">
            <w:pPr>
              <w:spacing w:before="121"/>
              <w:ind w:left="662" w:right="655"/>
              <w:jc w:val="center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2328" w:type="dxa"/>
          </w:tcPr>
          <w:p w14:paraId="1C8CAFB8" w14:textId="77777777" w:rsidR="00ED3518" w:rsidRPr="006F5377" w:rsidRDefault="00ED3518" w:rsidP="0053587C">
            <w:pPr>
              <w:spacing w:before="121"/>
              <w:ind w:right="669"/>
              <w:jc w:val="right"/>
              <w:rPr>
                <w:lang w:val="sr-Latn-RS"/>
              </w:rPr>
            </w:pPr>
            <w:r w:rsidRPr="006F5377">
              <w:rPr>
                <w:lang w:val="sr-Latn-RS"/>
              </w:rPr>
              <w:t>bez prom</w:t>
            </w:r>
            <w:r>
              <w:rPr>
                <w:lang w:val="sr-Latn-RS"/>
              </w:rPr>
              <w:t>j</w:t>
            </w:r>
            <w:r w:rsidRPr="006F5377">
              <w:rPr>
                <w:lang w:val="sr-Latn-RS"/>
              </w:rPr>
              <w:t>ene</w:t>
            </w:r>
            <w:r w:rsidRPr="006F5377">
              <w:rPr>
                <w:vertAlign w:val="superscript"/>
                <w:lang w:val="sr-Latn-RS"/>
              </w:rPr>
              <w:t>a</w:t>
            </w:r>
          </w:p>
        </w:tc>
      </w:tr>
    </w:tbl>
    <w:p w14:paraId="4DCC592F" w14:textId="77777777" w:rsidR="00ED3518" w:rsidRPr="006F5377" w:rsidRDefault="00ED3518" w:rsidP="00ED3518">
      <w:pPr>
        <w:ind w:left="311"/>
        <w:rPr>
          <w:sz w:val="18"/>
          <w:lang w:val="sr-Latn-RS"/>
        </w:rPr>
      </w:pPr>
      <w:r w:rsidRPr="006F5377">
        <w:rPr>
          <w:sz w:val="18"/>
          <w:szCs w:val="18"/>
          <w:vertAlign w:val="superscript"/>
          <w:lang w:val="sr-Latn-RS"/>
        </w:rPr>
        <w:t>a</w:t>
      </w:r>
      <w:r w:rsidRPr="006F5377">
        <w:rPr>
          <w:sz w:val="12"/>
          <w:lang w:val="sr-Latn-RS"/>
        </w:rPr>
        <w:t xml:space="preserve"> </w:t>
      </w:r>
      <w:r w:rsidRPr="006F5377">
        <w:rPr>
          <w:sz w:val="18"/>
          <w:lang w:val="sr-Latn-RS"/>
        </w:rPr>
        <w:t>Bez prom</w:t>
      </w:r>
      <w:r>
        <w:rPr>
          <w:sz w:val="18"/>
          <w:lang w:val="sr-Latn-RS"/>
        </w:rPr>
        <w:t>j</w:t>
      </w:r>
      <w:r w:rsidRPr="006F5377">
        <w:rPr>
          <w:sz w:val="18"/>
          <w:lang w:val="sr-Latn-RS"/>
        </w:rPr>
        <w:t>ene: smanjenje os</w:t>
      </w:r>
      <w:r>
        <w:rPr>
          <w:sz w:val="18"/>
          <w:lang w:val="sr-Latn-RS"/>
        </w:rPr>
        <w:t>j</w:t>
      </w:r>
      <w:r w:rsidRPr="006F5377">
        <w:rPr>
          <w:sz w:val="18"/>
          <w:lang w:val="sr-Latn-RS"/>
        </w:rPr>
        <w:t xml:space="preserve">etljivosti za </w:t>
      </w:r>
      <w:r w:rsidRPr="006F5377">
        <w:rPr>
          <w:sz w:val="18"/>
          <w:szCs w:val="18"/>
          <w:lang w:val="es-ES"/>
        </w:rPr>
        <w:t xml:space="preserve"> ≤ </w:t>
      </w:r>
      <w:r w:rsidRPr="006F5377">
        <w:rPr>
          <w:sz w:val="18"/>
          <w:lang w:val="sr-Latn-RS"/>
        </w:rPr>
        <w:t xml:space="preserve"> 5 puta.</w:t>
      </w:r>
    </w:p>
    <w:p w14:paraId="33862C94" w14:textId="77777777" w:rsidR="00ED3518" w:rsidRPr="00AE2963" w:rsidRDefault="00ED3518" w:rsidP="00ED3518">
      <w:pPr>
        <w:pStyle w:val="BodyText"/>
        <w:spacing w:before="11"/>
        <w:rPr>
          <w:sz w:val="25"/>
          <w:lang w:val="sr-Latn-RS"/>
        </w:rPr>
      </w:pPr>
    </w:p>
    <w:p w14:paraId="3D68EEB3" w14:textId="77777777" w:rsidR="00ED3518" w:rsidRPr="00AE2963" w:rsidRDefault="00ED3518" w:rsidP="00ED3518">
      <w:pPr>
        <w:pStyle w:val="BodyText"/>
        <w:ind w:left="311"/>
        <w:rPr>
          <w:lang w:val="sr-Latn-RS"/>
        </w:rPr>
      </w:pPr>
      <w:r w:rsidRPr="00AE2963">
        <w:rPr>
          <w:u w:val="single"/>
          <w:lang w:val="sr-Latn-RS"/>
        </w:rPr>
        <w:t>Klinička efikasnost</w:t>
      </w:r>
    </w:p>
    <w:p w14:paraId="7D9A270F" w14:textId="77777777" w:rsidR="00ED3518" w:rsidRPr="00AE2963" w:rsidRDefault="00ED3518" w:rsidP="00ED3518">
      <w:pPr>
        <w:pStyle w:val="BodyText"/>
        <w:spacing w:before="8"/>
        <w:rPr>
          <w:sz w:val="18"/>
          <w:lang w:val="sr-Latn-RS"/>
        </w:rPr>
      </w:pPr>
    </w:p>
    <w:p w14:paraId="1DD96915" w14:textId="77777777" w:rsidR="00ED3518" w:rsidRPr="006F5377" w:rsidRDefault="00ED3518" w:rsidP="00ED3518">
      <w:pPr>
        <w:spacing w:before="92"/>
        <w:ind w:left="311"/>
        <w:rPr>
          <w:i/>
          <w:lang w:val="sr-Latn-RS"/>
        </w:rPr>
      </w:pPr>
      <w:r w:rsidRPr="006F5377">
        <w:rPr>
          <w:i/>
          <w:iCs/>
          <w:lang w:val="sr-Latn-RS"/>
        </w:rPr>
        <w:t>L</w:t>
      </w:r>
      <w:r>
        <w:rPr>
          <w:i/>
          <w:iCs/>
          <w:lang w:val="sr-Latn-RS"/>
        </w:rPr>
        <w:t>ij</w:t>
      </w:r>
      <w:r w:rsidRPr="006F5377">
        <w:rPr>
          <w:i/>
          <w:iCs/>
          <w:lang w:val="sr-Latn-RS"/>
        </w:rPr>
        <w:t>ečenje bolesti COVID-19</w:t>
      </w:r>
    </w:p>
    <w:p w14:paraId="38A0FD35" w14:textId="77777777" w:rsidR="00ED3518" w:rsidRPr="006F5377" w:rsidRDefault="00ED3518" w:rsidP="00ED3518">
      <w:pPr>
        <w:rPr>
          <w:i/>
          <w:lang w:val="sr-Latn-RS"/>
        </w:rPr>
      </w:pPr>
    </w:p>
    <w:p w14:paraId="131EA509" w14:textId="77777777" w:rsidR="00ED3518" w:rsidRPr="006F5377" w:rsidRDefault="00ED3518" w:rsidP="00ED3518">
      <w:pPr>
        <w:ind w:left="311" w:right="1024"/>
        <w:jc w:val="both"/>
        <w:rPr>
          <w:lang w:val="sr-Latn-RS"/>
        </w:rPr>
      </w:pPr>
      <w:r w:rsidRPr="006F5377">
        <w:rPr>
          <w:lang w:val="sr-Latn-RS"/>
        </w:rPr>
        <w:t>COV-2067 je bilo randomizovano, dvostruko sl</w:t>
      </w:r>
      <w:r>
        <w:rPr>
          <w:lang w:val="sr-Latn-RS"/>
        </w:rPr>
        <w:t>ij</w:t>
      </w:r>
      <w:r w:rsidRPr="006F5377">
        <w:rPr>
          <w:lang w:val="sr-Latn-RS"/>
        </w:rPr>
        <w:t>epo, placebom kontrolisano kliničko ispitivanje u kojem su se kasirivimab i imdevimab proc</w:t>
      </w:r>
      <w:r>
        <w:rPr>
          <w:lang w:val="sr-Latn-RS"/>
        </w:rPr>
        <w:t>j</w:t>
      </w:r>
      <w:r w:rsidRPr="006F5377">
        <w:rPr>
          <w:lang w:val="sr-Latn-RS"/>
        </w:rPr>
        <w:t>enjivali u l</w:t>
      </w:r>
      <w:r>
        <w:rPr>
          <w:lang w:val="sr-Latn-RS"/>
        </w:rPr>
        <w:t>ij</w:t>
      </w:r>
      <w:r w:rsidRPr="006F5377">
        <w:rPr>
          <w:lang w:val="sr-Latn-RS"/>
        </w:rPr>
        <w:t>ečenju ispitanika sa bolešću COVID-19 (simptomatskih, kojima je virus SARS-CoV-2 utvrđen kvantitativnom lančanom reakcijom polimerazom uz reverznu transkripciju [RT-qPCR]) kojima nije bila potrebna suportivna terapija kiseonikom.</w:t>
      </w:r>
    </w:p>
    <w:p w14:paraId="19AE0863" w14:textId="77777777" w:rsidR="00ED3518" w:rsidRPr="006F5377" w:rsidRDefault="00ED3518" w:rsidP="00ED3518">
      <w:pPr>
        <w:jc w:val="both"/>
        <w:rPr>
          <w:lang w:val="sr-Latn-RS"/>
        </w:rPr>
      </w:pPr>
    </w:p>
    <w:p w14:paraId="448487B2" w14:textId="77777777" w:rsidR="00ED3518" w:rsidRPr="006F5377" w:rsidRDefault="00ED3518" w:rsidP="00ED3518">
      <w:pPr>
        <w:ind w:left="311" w:right="1004"/>
        <w:jc w:val="both"/>
        <w:rPr>
          <w:lang w:val="sr-Latn-RS"/>
        </w:rPr>
      </w:pPr>
      <w:r w:rsidRPr="006F5377">
        <w:rPr>
          <w:lang w:val="sr-Latn-RS"/>
        </w:rPr>
        <w:t>U kohorti 1 u faze 3 ovog ispitivanja, ispitanici koji prethodno nisu vakcinisani protiv virusa SARS-CoV-2 randomizovani su u roku od 7 dana od početka simptoma u grupu koja je primila jednu intravensku infuziju u dozi od 600 mg kasirivimaba i 600 mg imdevimaba (n = 1347), 1200 mg kasirivimaba i 1200 mg imdevimaba (n = 2036) ili placebo (n = 2009).</w:t>
      </w:r>
    </w:p>
    <w:p w14:paraId="2B568750" w14:textId="77777777" w:rsidR="00ED3518" w:rsidRPr="00AE2963" w:rsidRDefault="00ED3518" w:rsidP="00ED3518">
      <w:pPr>
        <w:pStyle w:val="BodyText"/>
        <w:rPr>
          <w:lang w:val="sr-Latn-RS"/>
        </w:rPr>
      </w:pPr>
    </w:p>
    <w:p w14:paraId="3191E520" w14:textId="77777777" w:rsidR="00ED3518" w:rsidRPr="006B2A03" w:rsidRDefault="00ED3518" w:rsidP="00ED3518">
      <w:pPr>
        <w:spacing w:before="1"/>
        <w:ind w:left="311" w:right="954"/>
        <w:jc w:val="both"/>
        <w:rPr>
          <w:lang w:val="sr-Latn-RS"/>
        </w:rPr>
      </w:pPr>
      <w:r w:rsidRPr="006B2A03">
        <w:rPr>
          <w:lang w:val="sr-Latn-RS"/>
        </w:rPr>
        <w:t>Ispitanici u kohorti 1 u fazi 3 imali su najmanje jedan, u protokolu ispitivanja naveden, faktor rizika za razvoj teškog oblika bolesti COVID-19 (oni su uključivali starost &gt; 50 godina, gojaznost definisanu kao BMI ≥ 30 kg/m</w:t>
      </w:r>
      <w:r w:rsidRPr="006B2A03">
        <w:rPr>
          <w:vertAlign w:val="superscript"/>
          <w:lang w:val="sr-Latn-RS"/>
        </w:rPr>
        <w:t>2</w:t>
      </w:r>
      <w:r w:rsidRPr="006B2A03">
        <w:rPr>
          <w:lang w:val="sr-Latn-RS"/>
        </w:rPr>
        <w:t xml:space="preserve">, kardiovaskularnu bolest, uključujući hipertenziju, hroničnu bolest pluća, uključujući astmu, dijabetes melitus tipa 1 i 2, hroničnu bolest bubrega, uključujući osobe na dijalizi, hroničnu bolest jetre, trudnoću i imunosupresiju). Medijana starosti bila je 50 godina (sa 13,1% ispitanika starosti od 65 </w:t>
      </w:r>
      <w:r w:rsidRPr="006B2A03">
        <w:rPr>
          <w:lang w:val="sr-Latn-RS"/>
        </w:rPr>
        <w:lastRenderedPageBreak/>
        <w:t>godina ili više), a 51,4% ispitanika bile su žene. Početne demografske karakteristike i osnovne karakteristike bolesti bile su dobro ujednačene između terapijskih grupa koje su primale kasirivimab i imdevimab i placebo.</w:t>
      </w:r>
    </w:p>
    <w:p w14:paraId="450FC707" w14:textId="77777777" w:rsidR="00ED3518" w:rsidRPr="006B2A03" w:rsidRDefault="00ED3518" w:rsidP="00ED3518">
      <w:pPr>
        <w:spacing w:before="10"/>
        <w:rPr>
          <w:sz w:val="21"/>
          <w:lang w:val="sr-Latn-RS"/>
        </w:rPr>
      </w:pPr>
    </w:p>
    <w:p w14:paraId="2F4EEE73" w14:textId="1EB76B6C" w:rsidR="00ED3518" w:rsidRPr="00D00B37" w:rsidRDefault="00ED3518" w:rsidP="00D00B37">
      <w:pPr>
        <w:ind w:left="311" w:right="945"/>
        <w:rPr>
          <w:lang w:val="sr-Latn-RS"/>
        </w:rPr>
      </w:pPr>
      <w:r w:rsidRPr="006B2A03">
        <w:rPr>
          <w:lang w:val="sr-Latn-RS"/>
        </w:rPr>
        <w:t>Primarni cilj ispitivanja bio je procenat ispitanika sa ≥ 1 hospitalizacije povezane sa bolešću COVID-19 ili smrću usled bilo kojeg uzroka do 29. dana.</w:t>
      </w:r>
    </w:p>
    <w:p w14:paraId="7E8BF8DD" w14:textId="77777777" w:rsidR="00ED3518" w:rsidRPr="00AE2963" w:rsidRDefault="00ED3518" w:rsidP="00ED3518">
      <w:pPr>
        <w:pStyle w:val="BodyText"/>
        <w:spacing w:before="11"/>
        <w:rPr>
          <w:sz w:val="21"/>
          <w:lang w:val="sr-Latn-RS"/>
        </w:rPr>
      </w:pPr>
    </w:p>
    <w:p w14:paraId="3FB5DA28" w14:textId="77777777" w:rsidR="00ED3518" w:rsidRPr="006B2A03" w:rsidRDefault="00ED3518" w:rsidP="00ED3518">
      <w:pPr>
        <w:ind w:left="311" w:right="970"/>
        <w:outlineLvl w:val="0"/>
        <w:rPr>
          <w:b/>
          <w:bCs/>
          <w:lang w:val="sr-Latn-RS"/>
        </w:rPr>
      </w:pPr>
      <w:r w:rsidRPr="006B2A03">
        <w:rPr>
          <w:b/>
          <w:bCs/>
          <w:lang w:val="sr-Latn-RS"/>
        </w:rPr>
        <w:t>Tabela 6: Sažetak rezultata u pogledu primarnog cilja ispitivanja iz faze 3 studije COV-2067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1710"/>
        <w:gridCol w:w="1620"/>
        <w:gridCol w:w="1710"/>
        <w:gridCol w:w="1710"/>
      </w:tblGrid>
      <w:tr w:rsidR="00ED3518" w:rsidRPr="006B2A03" w14:paraId="02B4EA98" w14:textId="77777777" w:rsidTr="0053587C">
        <w:trPr>
          <w:trHeight w:val="254"/>
        </w:trPr>
        <w:tc>
          <w:tcPr>
            <w:tcW w:w="2294" w:type="dxa"/>
            <w:vMerge w:val="restart"/>
          </w:tcPr>
          <w:p w14:paraId="3E7EF8D6" w14:textId="77777777" w:rsidR="00ED3518" w:rsidRPr="006B2A03" w:rsidRDefault="00ED3518" w:rsidP="0053587C">
            <w:pPr>
              <w:rPr>
                <w:sz w:val="20"/>
                <w:lang w:val="sr-Latn-RS"/>
              </w:rPr>
            </w:pPr>
          </w:p>
        </w:tc>
        <w:tc>
          <w:tcPr>
            <w:tcW w:w="1710" w:type="dxa"/>
          </w:tcPr>
          <w:p w14:paraId="281D0E73" w14:textId="77777777" w:rsidR="00ED3518" w:rsidRPr="006B2A03" w:rsidRDefault="00ED3518" w:rsidP="0053587C">
            <w:pPr>
              <w:spacing w:before="1" w:line="233" w:lineRule="exact"/>
              <w:ind w:left="318" w:right="256"/>
              <w:jc w:val="center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1200 mg IV</w:t>
            </w:r>
          </w:p>
        </w:tc>
        <w:tc>
          <w:tcPr>
            <w:tcW w:w="1620" w:type="dxa"/>
          </w:tcPr>
          <w:p w14:paraId="7DC00A0C" w14:textId="77777777" w:rsidR="00ED3518" w:rsidRPr="006B2A03" w:rsidRDefault="00ED3518" w:rsidP="0053587C">
            <w:pPr>
              <w:spacing w:before="1" w:line="233" w:lineRule="exact"/>
              <w:ind w:left="544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Placebo</w:t>
            </w:r>
          </w:p>
        </w:tc>
        <w:tc>
          <w:tcPr>
            <w:tcW w:w="1710" w:type="dxa"/>
          </w:tcPr>
          <w:p w14:paraId="4B4E5802" w14:textId="77777777" w:rsidR="00ED3518" w:rsidRPr="006B2A03" w:rsidRDefault="00ED3518" w:rsidP="0053587C">
            <w:pPr>
              <w:spacing w:before="1" w:line="233" w:lineRule="exact"/>
              <w:ind w:left="292" w:right="284"/>
              <w:jc w:val="center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2400 mg IV</w:t>
            </w:r>
          </w:p>
        </w:tc>
        <w:tc>
          <w:tcPr>
            <w:tcW w:w="1710" w:type="dxa"/>
          </w:tcPr>
          <w:p w14:paraId="17932310" w14:textId="77777777" w:rsidR="00ED3518" w:rsidRPr="006B2A03" w:rsidRDefault="00ED3518" w:rsidP="0053587C">
            <w:pPr>
              <w:spacing w:before="1" w:line="233" w:lineRule="exact"/>
              <w:ind w:right="531"/>
              <w:jc w:val="right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Placebo</w:t>
            </w:r>
          </w:p>
        </w:tc>
      </w:tr>
      <w:tr w:rsidR="00ED3518" w:rsidRPr="006B2A03" w14:paraId="2EB3DE08" w14:textId="77777777" w:rsidTr="0053587C">
        <w:trPr>
          <w:trHeight w:val="253"/>
        </w:trPr>
        <w:tc>
          <w:tcPr>
            <w:tcW w:w="2294" w:type="dxa"/>
            <w:vMerge/>
            <w:tcBorders>
              <w:top w:val="nil"/>
            </w:tcBorders>
          </w:tcPr>
          <w:p w14:paraId="71986B29" w14:textId="77777777" w:rsidR="00ED3518" w:rsidRPr="006B2A03" w:rsidRDefault="00ED3518" w:rsidP="0053587C">
            <w:pPr>
              <w:rPr>
                <w:sz w:val="2"/>
                <w:szCs w:val="2"/>
                <w:lang w:val="sr-Latn-RS"/>
              </w:rPr>
            </w:pPr>
          </w:p>
        </w:tc>
        <w:tc>
          <w:tcPr>
            <w:tcW w:w="1710" w:type="dxa"/>
          </w:tcPr>
          <w:p w14:paraId="7F53E899" w14:textId="77777777" w:rsidR="00ED3518" w:rsidRPr="006B2A03" w:rsidRDefault="00ED3518" w:rsidP="0053587C">
            <w:pPr>
              <w:spacing w:line="234" w:lineRule="exact"/>
              <w:ind w:left="288" w:right="284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n = 1192</w:t>
            </w:r>
          </w:p>
        </w:tc>
        <w:tc>
          <w:tcPr>
            <w:tcW w:w="1620" w:type="dxa"/>
          </w:tcPr>
          <w:p w14:paraId="510F2B4B" w14:textId="77777777" w:rsidR="00ED3518" w:rsidRPr="006B2A03" w:rsidRDefault="00ED3518" w:rsidP="0053587C">
            <w:pPr>
              <w:spacing w:line="234" w:lineRule="exact"/>
              <w:ind w:left="491"/>
              <w:rPr>
                <w:lang w:val="sr-Latn-RS"/>
              </w:rPr>
            </w:pPr>
            <w:r w:rsidRPr="006B2A03">
              <w:rPr>
                <w:lang w:val="sr-Latn-RS"/>
              </w:rPr>
              <w:t>n = 1193</w:t>
            </w:r>
          </w:p>
        </w:tc>
        <w:tc>
          <w:tcPr>
            <w:tcW w:w="1710" w:type="dxa"/>
          </w:tcPr>
          <w:p w14:paraId="4DFCC3DF" w14:textId="77777777" w:rsidR="00ED3518" w:rsidRPr="006B2A03" w:rsidRDefault="00ED3518" w:rsidP="0053587C">
            <w:pPr>
              <w:spacing w:line="234" w:lineRule="exact"/>
              <w:ind w:left="292" w:right="284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n = 1812</w:t>
            </w:r>
          </w:p>
        </w:tc>
        <w:tc>
          <w:tcPr>
            <w:tcW w:w="1710" w:type="dxa"/>
          </w:tcPr>
          <w:p w14:paraId="74F323DD" w14:textId="77777777" w:rsidR="00ED3518" w:rsidRPr="006B2A03" w:rsidRDefault="00ED3518" w:rsidP="0053587C">
            <w:pPr>
              <w:spacing w:line="234" w:lineRule="exact"/>
              <w:ind w:right="478"/>
              <w:jc w:val="right"/>
              <w:rPr>
                <w:lang w:val="sr-Latn-RS"/>
              </w:rPr>
            </w:pPr>
            <w:r w:rsidRPr="006B2A03">
              <w:rPr>
                <w:lang w:val="sr-Latn-RS"/>
              </w:rPr>
              <w:t>n = 1790</w:t>
            </w:r>
          </w:p>
        </w:tc>
      </w:tr>
      <w:tr w:rsidR="00ED3518" w:rsidRPr="006B2A03" w14:paraId="1A457C6D" w14:textId="77777777" w:rsidTr="0053587C">
        <w:trPr>
          <w:trHeight w:val="268"/>
        </w:trPr>
        <w:tc>
          <w:tcPr>
            <w:tcW w:w="9044" w:type="dxa"/>
            <w:gridSpan w:val="5"/>
          </w:tcPr>
          <w:p w14:paraId="45599F6A" w14:textId="77777777" w:rsidR="00ED3518" w:rsidRPr="006B2A03" w:rsidRDefault="00ED3518" w:rsidP="0053587C">
            <w:pPr>
              <w:spacing w:line="248" w:lineRule="exact"/>
              <w:ind w:left="107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 xml:space="preserve">Pacijenti </w:t>
            </w:r>
            <w:r w:rsidRPr="006B2A03">
              <w:rPr>
                <w:rFonts w:ascii="Calibri" w:hAnsi="Calibri"/>
                <w:b/>
                <w:bCs/>
                <w:lang w:val="sr-Latn-RS"/>
              </w:rPr>
              <w:t xml:space="preserve">u mFAS populaciji </w:t>
            </w:r>
            <w:r w:rsidRPr="006B2A03">
              <w:rPr>
                <w:b/>
                <w:bCs/>
                <w:lang w:val="sr-Latn-RS"/>
              </w:rPr>
              <w:t>sa ≥ 1 hospitalizacije povezane s bolešću COVID-19 ili smrtnim ishodom do 29. dana</w:t>
            </w:r>
          </w:p>
        </w:tc>
      </w:tr>
      <w:tr w:rsidR="00ED3518" w:rsidRPr="006B2A03" w14:paraId="0FC12266" w14:textId="77777777" w:rsidTr="0053587C">
        <w:trPr>
          <w:trHeight w:val="506"/>
        </w:trPr>
        <w:tc>
          <w:tcPr>
            <w:tcW w:w="2294" w:type="dxa"/>
          </w:tcPr>
          <w:p w14:paraId="76C3300B" w14:textId="77777777" w:rsidR="00ED3518" w:rsidRPr="006B2A03" w:rsidRDefault="00ED3518" w:rsidP="0053587C">
            <w:pPr>
              <w:spacing w:line="247" w:lineRule="exact"/>
              <w:ind w:left="107"/>
              <w:rPr>
                <w:lang w:val="sr-Latn-RS"/>
              </w:rPr>
            </w:pPr>
            <w:r w:rsidRPr="006B2A03">
              <w:rPr>
                <w:lang w:val="sr-Latn-RS"/>
              </w:rPr>
              <w:t>Smanjenje rizika</w:t>
            </w:r>
          </w:p>
        </w:tc>
        <w:tc>
          <w:tcPr>
            <w:tcW w:w="3330" w:type="dxa"/>
            <w:gridSpan w:val="2"/>
          </w:tcPr>
          <w:p w14:paraId="39171D05" w14:textId="77777777" w:rsidR="00ED3518" w:rsidRPr="006B2A03" w:rsidRDefault="00ED3518" w:rsidP="0053587C">
            <w:pPr>
              <w:spacing w:line="246" w:lineRule="exact"/>
              <w:ind w:left="1279" w:right="1272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72,5%</w:t>
            </w:r>
          </w:p>
          <w:p w14:paraId="46C10895" w14:textId="77777777" w:rsidR="00ED3518" w:rsidRPr="006B2A03" w:rsidRDefault="00ED3518" w:rsidP="0053587C">
            <w:pPr>
              <w:spacing w:line="240" w:lineRule="exact"/>
              <w:ind w:left="1279" w:right="897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(p &lt; 0,0001)</w:t>
            </w:r>
          </w:p>
        </w:tc>
        <w:tc>
          <w:tcPr>
            <w:tcW w:w="3420" w:type="dxa"/>
            <w:gridSpan w:val="2"/>
          </w:tcPr>
          <w:p w14:paraId="767305B5" w14:textId="77777777" w:rsidR="00ED3518" w:rsidRPr="006B2A03" w:rsidRDefault="00ED3518" w:rsidP="0053587C">
            <w:pPr>
              <w:spacing w:line="246" w:lineRule="exact"/>
              <w:ind w:left="1255" w:right="1245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70,9%</w:t>
            </w:r>
          </w:p>
          <w:p w14:paraId="35AED8D5" w14:textId="77777777" w:rsidR="00ED3518" w:rsidRPr="006B2A03" w:rsidRDefault="00ED3518" w:rsidP="0053587C">
            <w:pPr>
              <w:spacing w:line="240" w:lineRule="exact"/>
              <w:ind w:left="1255" w:right="991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(p &lt; 0,0001)</w:t>
            </w:r>
          </w:p>
        </w:tc>
      </w:tr>
      <w:tr w:rsidR="00ED3518" w:rsidRPr="006B2A03" w14:paraId="6CB58FD7" w14:textId="77777777" w:rsidTr="0053587C">
        <w:trPr>
          <w:trHeight w:val="505"/>
        </w:trPr>
        <w:tc>
          <w:tcPr>
            <w:tcW w:w="2294" w:type="dxa"/>
          </w:tcPr>
          <w:p w14:paraId="7F514D50" w14:textId="77777777" w:rsidR="00ED3518" w:rsidRPr="006B2A03" w:rsidRDefault="00ED3518" w:rsidP="0053587C">
            <w:pPr>
              <w:spacing w:line="246" w:lineRule="exact"/>
              <w:ind w:left="107"/>
              <w:jc w:val="both"/>
              <w:rPr>
                <w:lang w:val="sr-Latn-RS"/>
              </w:rPr>
            </w:pPr>
            <w:r w:rsidRPr="006B2A03">
              <w:rPr>
                <w:lang w:val="sr-Latn-RS"/>
              </w:rPr>
              <w:t>Broj pacijenata</w:t>
            </w:r>
          </w:p>
          <w:p w14:paraId="6D0FE0FC" w14:textId="77777777" w:rsidR="00ED3518" w:rsidRPr="006B2A03" w:rsidRDefault="00ED3518" w:rsidP="0053587C">
            <w:pPr>
              <w:spacing w:line="240" w:lineRule="exact"/>
              <w:ind w:left="107"/>
              <w:rPr>
                <w:lang w:val="sr-Latn-RS"/>
              </w:rPr>
            </w:pPr>
            <w:r w:rsidRPr="006B2A03">
              <w:rPr>
                <w:lang w:val="sr-Latn-RS"/>
              </w:rPr>
              <w:t>sa događajima</w:t>
            </w:r>
          </w:p>
        </w:tc>
        <w:tc>
          <w:tcPr>
            <w:tcW w:w="1710" w:type="dxa"/>
          </w:tcPr>
          <w:p w14:paraId="1537052E" w14:textId="77777777" w:rsidR="00ED3518" w:rsidRPr="006B2A03" w:rsidRDefault="00ED3518" w:rsidP="0053587C">
            <w:pPr>
              <w:spacing w:line="247" w:lineRule="exact"/>
              <w:ind w:left="290" w:right="284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11 (0,9%)</w:t>
            </w:r>
          </w:p>
        </w:tc>
        <w:tc>
          <w:tcPr>
            <w:tcW w:w="1620" w:type="dxa"/>
          </w:tcPr>
          <w:p w14:paraId="7ACE8342" w14:textId="77777777" w:rsidR="00ED3518" w:rsidRPr="006B2A03" w:rsidRDefault="00ED3518" w:rsidP="0053587C">
            <w:pPr>
              <w:spacing w:line="247" w:lineRule="exact"/>
              <w:ind w:left="469"/>
              <w:rPr>
                <w:lang w:val="sr-Latn-RS"/>
              </w:rPr>
            </w:pPr>
            <w:r w:rsidRPr="006B2A03">
              <w:rPr>
                <w:lang w:val="sr-Latn-RS"/>
              </w:rPr>
              <w:t>40 (3,4%)</w:t>
            </w:r>
          </w:p>
        </w:tc>
        <w:tc>
          <w:tcPr>
            <w:tcW w:w="1710" w:type="dxa"/>
          </w:tcPr>
          <w:p w14:paraId="5F8E7B1A" w14:textId="77777777" w:rsidR="00ED3518" w:rsidRPr="006B2A03" w:rsidRDefault="00ED3518" w:rsidP="0053587C">
            <w:pPr>
              <w:spacing w:line="247" w:lineRule="exact"/>
              <w:ind w:left="293" w:right="284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23 (1,3%)</w:t>
            </w:r>
          </w:p>
        </w:tc>
        <w:tc>
          <w:tcPr>
            <w:tcW w:w="1710" w:type="dxa"/>
          </w:tcPr>
          <w:p w14:paraId="781585A9" w14:textId="77777777" w:rsidR="00ED3518" w:rsidRPr="006B2A03" w:rsidRDefault="00ED3518" w:rsidP="0053587C">
            <w:pPr>
              <w:spacing w:line="247" w:lineRule="exact"/>
              <w:ind w:right="458"/>
              <w:jc w:val="right"/>
              <w:rPr>
                <w:lang w:val="sr-Latn-RS"/>
              </w:rPr>
            </w:pPr>
            <w:r w:rsidRPr="006B2A03">
              <w:rPr>
                <w:lang w:val="sr-Latn-RS"/>
              </w:rPr>
              <w:t>78 (4,4%)</w:t>
            </w:r>
          </w:p>
        </w:tc>
      </w:tr>
    </w:tbl>
    <w:p w14:paraId="0C5C173B" w14:textId="77777777" w:rsidR="00ED3518" w:rsidRPr="00ED3518" w:rsidRDefault="00ED3518" w:rsidP="00ED3518">
      <w:pPr>
        <w:ind w:left="311" w:right="970"/>
        <w:jc w:val="both"/>
        <w:rPr>
          <w:lang w:val="sr-Latn-RS"/>
        </w:rPr>
      </w:pPr>
      <w:r w:rsidRPr="00ED3518">
        <w:rPr>
          <w:lang w:val="sr-Latn-RS"/>
        </w:rPr>
        <w:t>mFAS: modifikovani kompletni skup podataka za analizu uključivao je ispitanike sa pozitivnim rezultatom RT-qPCR testa na virus SARS-CoV-2 iz nazofaringealnog brisa pri randomizaciji, i sa najmanje jednim faktorom rizika za težak oblik bolesti COVID-19.</w:t>
      </w:r>
    </w:p>
    <w:p w14:paraId="43F3EA1B" w14:textId="77777777" w:rsidR="00ED3518" w:rsidRPr="006B2A03" w:rsidRDefault="00ED3518" w:rsidP="00ED3518">
      <w:pPr>
        <w:spacing w:before="6"/>
        <w:rPr>
          <w:sz w:val="21"/>
          <w:lang w:val="sr-Latn-RS"/>
        </w:rPr>
      </w:pPr>
    </w:p>
    <w:p w14:paraId="7F68E612" w14:textId="10B253DE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 xml:space="preserve">Medijana vremena do povlačenja simptoma, kako je </w:t>
      </w:r>
      <w:r>
        <w:rPr>
          <w:lang w:val="sr-Latn-RS"/>
        </w:rPr>
        <w:t>zabi</w:t>
      </w:r>
      <w:r w:rsidRPr="006B2A03">
        <w:rPr>
          <w:lang w:val="sr-Latn-RS"/>
        </w:rPr>
        <w:t>l</w:t>
      </w:r>
      <w:r>
        <w:rPr>
          <w:lang w:val="sr-Latn-RS"/>
        </w:rPr>
        <w:t>j</w:t>
      </w:r>
      <w:r w:rsidRPr="006B2A03">
        <w:rPr>
          <w:lang w:val="sr-Latn-RS"/>
        </w:rPr>
        <w:t xml:space="preserve">eženo u dnevniku svakodnevnih simptoma specifičnim za ovo ispitivanje, smanjena je sa 13 dana kod </w:t>
      </w:r>
      <w:r>
        <w:rPr>
          <w:lang w:val="sr-Latn-RS"/>
        </w:rPr>
        <w:t>primjen</w:t>
      </w:r>
      <w:r w:rsidRPr="006B2A03">
        <w:rPr>
          <w:lang w:val="sr-Latn-RS"/>
        </w:rPr>
        <w:t>e placeba na 10 dana uz ob</w:t>
      </w:r>
      <w:r>
        <w:rPr>
          <w:lang w:val="sr-Latn-RS"/>
        </w:rPr>
        <w:t>j</w:t>
      </w:r>
      <w:r w:rsidRPr="006B2A03">
        <w:rPr>
          <w:lang w:val="sr-Latn-RS"/>
        </w:rPr>
        <w:t>e doze kasirivimaba i imdevimaba (p &lt; 0,0001).</w:t>
      </w:r>
    </w:p>
    <w:p w14:paraId="764F3FB0" w14:textId="77777777" w:rsidR="00ED3518" w:rsidRPr="006B2A03" w:rsidRDefault="00ED3518" w:rsidP="00ED3518">
      <w:pPr>
        <w:ind w:left="311" w:right="1482"/>
        <w:jc w:val="both"/>
        <w:rPr>
          <w:lang w:val="sr-Latn-RS"/>
        </w:rPr>
      </w:pPr>
    </w:p>
    <w:p w14:paraId="594B4C94" w14:textId="77777777" w:rsidR="00ED3518" w:rsidRPr="006B2A03" w:rsidRDefault="00ED3518" w:rsidP="00ED3518">
      <w:pPr>
        <w:spacing w:before="67"/>
        <w:ind w:left="311"/>
        <w:rPr>
          <w:i/>
          <w:lang w:val="sr-Latn-RS"/>
        </w:rPr>
      </w:pPr>
      <w:r w:rsidRPr="006B2A03">
        <w:rPr>
          <w:i/>
          <w:iCs/>
          <w:lang w:val="sr-Latn-RS"/>
        </w:rPr>
        <w:t>Prevencija bolesti COVID-19</w:t>
      </w:r>
    </w:p>
    <w:p w14:paraId="38C5BD88" w14:textId="77777777" w:rsidR="00ED3518" w:rsidRPr="00AE2963" w:rsidRDefault="00ED3518" w:rsidP="00ED3518">
      <w:pPr>
        <w:pStyle w:val="BodyText"/>
        <w:rPr>
          <w:i/>
          <w:lang w:val="sr-Latn-RS"/>
        </w:rPr>
      </w:pPr>
    </w:p>
    <w:p w14:paraId="1504D63D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COV-2069 je bilo randomizovano, dvostruko sl</w:t>
      </w:r>
      <w:r>
        <w:rPr>
          <w:lang w:val="sr-Latn-RS"/>
        </w:rPr>
        <w:t>ij</w:t>
      </w:r>
      <w:r w:rsidRPr="006B2A03">
        <w:rPr>
          <w:lang w:val="sr-Latn-RS"/>
        </w:rPr>
        <w:t>epo, placebom kontrolisano kliničko ispitivanje u kojem su se upoređivale su</w:t>
      </w:r>
      <w:r>
        <w:rPr>
          <w:lang w:val="sr-Latn-RS"/>
        </w:rPr>
        <w:t>b</w:t>
      </w:r>
      <w:r w:rsidRPr="006B2A03">
        <w:rPr>
          <w:lang w:val="sr-Latn-RS"/>
        </w:rPr>
        <w:t xml:space="preserve">kutano </w:t>
      </w:r>
      <w:r>
        <w:rPr>
          <w:lang w:val="sr-Latn-RS"/>
        </w:rPr>
        <w:t>primijen</w:t>
      </w:r>
      <w:r w:rsidRPr="006B2A03">
        <w:rPr>
          <w:lang w:val="sr-Latn-RS"/>
        </w:rPr>
        <w:t>jene doze</w:t>
      </w:r>
      <w:r>
        <w:rPr>
          <w:lang w:val="sr-Latn-RS"/>
        </w:rPr>
        <w:t xml:space="preserve"> </w:t>
      </w:r>
      <w:r w:rsidRPr="006B2A03">
        <w:rPr>
          <w:lang w:val="sr-Latn-RS"/>
        </w:rPr>
        <w:t>od 600 mg kasirivimaba i 600 mg imdevimaba u odnosu na placebo za prevenciju bolesti COVID-19 kod asimptomatskih kontakata u domaćinstvu simptomatskih osoba zaraženih virusom SARS-CoV-2 (indeksni slučajevi). Ispitanici nisu prethodno bili vakcinisani protiv virusa SARS-CoV-2.</w:t>
      </w:r>
    </w:p>
    <w:p w14:paraId="759B8EBD" w14:textId="77777777" w:rsidR="00ED3518" w:rsidRPr="006B2A03" w:rsidRDefault="00ED3518" w:rsidP="00ED3518">
      <w:pPr>
        <w:ind w:right="970"/>
        <w:jc w:val="both"/>
        <w:rPr>
          <w:lang w:val="sr-Latn-RS"/>
        </w:rPr>
      </w:pPr>
    </w:p>
    <w:p w14:paraId="6BBFEBC8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 xml:space="preserve">Ispitanici su bili randomizovani u odnosu 1 : 1 za </w:t>
      </w:r>
      <w:r>
        <w:rPr>
          <w:lang w:val="sr-Latn-RS"/>
        </w:rPr>
        <w:t>primjen</w:t>
      </w:r>
      <w:r w:rsidRPr="006B2A03">
        <w:rPr>
          <w:lang w:val="sr-Latn-RS"/>
        </w:rPr>
        <w:t>u kasirivimaba i imdevimaba ili placeba u roku od 96 sati od prikupljanja prvog uzorka od indeksnog slučaja koji je dao pozitivan rezultat (RT-qPCR metodom) na virus SARS-CoV-2.</w:t>
      </w:r>
    </w:p>
    <w:p w14:paraId="3CC55310" w14:textId="77777777" w:rsidR="00ED3518" w:rsidRPr="006B2A03" w:rsidRDefault="00ED3518" w:rsidP="00ED3518">
      <w:pPr>
        <w:spacing w:before="2"/>
        <w:ind w:right="970"/>
        <w:rPr>
          <w:lang w:val="sr-Latn-RS"/>
        </w:rPr>
      </w:pPr>
    </w:p>
    <w:p w14:paraId="79106CF1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Randomizovani ispitanici sa negativnim rezultatom RT-qPCR testa na SARS-CoV-2 na početku ispitivanja uključeni su u kohortu A, a oni sa pozitivnim rezultatom RT-qPCR testa na SARS-CoV-2 uključeni su u kohortu B.</w:t>
      </w:r>
    </w:p>
    <w:p w14:paraId="06305B7B" w14:textId="77777777" w:rsidR="00ED3518" w:rsidRPr="00AE2963" w:rsidRDefault="00ED3518" w:rsidP="00ED3518">
      <w:pPr>
        <w:pStyle w:val="BodyText"/>
        <w:spacing w:before="11"/>
        <w:ind w:right="970"/>
        <w:rPr>
          <w:sz w:val="21"/>
          <w:lang w:val="sr-Latn-RS"/>
        </w:rPr>
      </w:pPr>
    </w:p>
    <w:p w14:paraId="08322FF7" w14:textId="77777777" w:rsidR="00ED3518" w:rsidRPr="006B2A03" w:rsidRDefault="00ED3518" w:rsidP="00ED3518">
      <w:pPr>
        <w:spacing w:line="253" w:lineRule="exact"/>
        <w:ind w:left="311" w:right="970"/>
        <w:rPr>
          <w:i/>
          <w:lang w:val="sr-Latn-RS"/>
        </w:rPr>
      </w:pPr>
      <w:r w:rsidRPr="006B2A03">
        <w:rPr>
          <w:i/>
          <w:iCs/>
          <w:lang w:val="sr-Latn-RS"/>
        </w:rPr>
        <w:t>Kohorta A</w:t>
      </w:r>
    </w:p>
    <w:p w14:paraId="0866C5A4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Populacija za primarnu analizu uključivala je ispitanike koji na početku ispitivanja imali negativan nalaz RT-qPCR testa na SARS-CoV-2 i bili su seronegativni. U primarnu analizu efikasnosti nisu bili uključeni ispitanici koji su na početku ispitivanja bili seropozitivni ili čiji su nalazi seroloških testova bili neutvrđeni ili su nedostajali.</w:t>
      </w:r>
      <w:r w:rsidRPr="006B2A03" w:rsidDel="003C1BF8">
        <w:rPr>
          <w:lang w:val="sr-Latn-RS"/>
        </w:rPr>
        <w:t xml:space="preserve"> </w:t>
      </w:r>
    </w:p>
    <w:p w14:paraId="69B8CCD0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</w:p>
    <w:p w14:paraId="71963627" w14:textId="77777777" w:rsidR="00ED3518" w:rsidRPr="006B2A03" w:rsidRDefault="00ED3518" w:rsidP="00ED3518">
      <w:pPr>
        <w:spacing w:before="1"/>
        <w:ind w:left="311" w:right="970"/>
        <w:jc w:val="both"/>
        <w:rPr>
          <w:lang w:val="sr-Latn-RS"/>
        </w:rPr>
      </w:pPr>
      <w:r w:rsidRPr="006B2A03">
        <w:rPr>
          <w:lang w:val="es-ES"/>
        </w:rPr>
        <w:t xml:space="preserve">U populaciji za primarnu analizu na početku ispitivanja </w:t>
      </w:r>
      <w:r w:rsidRPr="006B2A03">
        <w:rPr>
          <w:lang w:val="sr-Latn-RS"/>
        </w:rPr>
        <w:t>medijana starosti iznosila je 44 godine (sa 9% ispitanika starosti od 65 ili više godina), a 54% ispitanika bile su žene. Početne demografske karakteristike i osnovne karakteristike bolesti bile su dobro ujednačene između terapijskih grupa koje su primale kasirivimab i imdevimab i placebo.</w:t>
      </w:r>
    </w:p>
    <w:p w14:paraId="2AA87A45" w14:textId="77777777" w:rsidR="00ED3518" w:rsidRPr="006B2A03" w:rsidRDefault="00ED3518" w:rsidP="00ED3518">
      <w:pPr>
        <w:spacing w:before="1"/>
        <w:ind w:left="311" w:right="970"/>
        <w:jc w:val="both"/>
        <w:rPr>
          <w:lang w:val="sr-Latn-RS"/>
        </w:rPr>
      </w:pPr>
    </w:p>
    <w:p w14:paraId="379477A1" w14:textId="1CC75C81" w:rsidR="002F67A1" w:rsidRDefault="00ED3518" w:rsidP="00BE221C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Primarni cilj ispitivanja bio je procenat ispitanika kod kojih se do 29. dana razvila simptomatska bolest COVID-19 potvrđena RT-qPCR testom. Došlo je do statistički značajnog smanjenja od razvoja bolesti COVID-19 za 81% pri l</w:t>
      </w:r>
      <w:r>
        <w:rPr>
          <w:lang w:val="sr-Latn-RS"/>
        </w:rPr>
        <w:t>ij</w:t>
      </w:r>
      <w:r w:rsidRPr="006B2A03">
        <w:rPr>
          <w:lang w:val="sr-Latn-RS"/>
        </w:rPr>
        <w:t>ečenju kasirivimabom i imdevimabom u poređenju sa placebom. U analizi os</w:t>
      </w:r>
      <w:r>
        <w:rPr>
          <w:lang w:val="sr-Latn-RS"/>
        </w:rPr>
        <w:t>j</w:t>
      </w:r>
      <w:r w:rsidRPr="006B2A03">
        <w:rPr>
          <w:lang w:val="sr-Latn-RS"/>
        </w:rPr>
        <w:t>etljivosti koja je obuhvatila sve ispitanike sa negativnim nalazom RT-qPCR testa na početku ispitivanja, nezavisno od početnog serološkog statusa, zab</w:t>
      </w:r>
      <w:r>
        <w:rPr>
          <w:lang w:val="sr-Latn-RS"/>
        </w:rPr>
        <w:t>i</w:t>
      </w:r>
      <w:r w:rsidRPr="006B2A03">
        <w:rPr>
          <w:lang w:val="sr-Latn-RS"/>
        </w:rPr>
        <w:t>l</w:t>
      </w:r>
      <w:r>
        <w:rPr>
          <w:lang w:val="sr-Latn-RS"/>
        </w:rPr>
        <w:t>j</w:t>
      </w:r>
      <w:r w:rsidRPr="006B2A03">
        <w:rPr>
          <w:lang w:val="sr-Latn-RS"/>
        </w:rPr>
        <w:t>eženo je statistički značajno smanjenje rizika od razvoja bolesti COVID-19 za 82% pri l</w:t>
      </w:r>
      <w:r>
        <w:rPr>
          <w:lang w:val="sr-Latn-RS"/>
        </w:rPr>
        <w:t>ij</w:t>
      </w:r>
      <w:r w:rsidRPr="006B2A03">
        <w:rPr>
          <w:lang w:val="sr-Latn-RS"/>
        </w:rPr>
        <w:t xml:space="preserve">ečenju kasirivimabom i imdevimabom u poređenju </w:t>
      </w:r>
      <w:r w:rsidRPr="006B2A03">
        <w:rPr>
          <w:lang w:val="sr-Latn-RS"/>
        </w:rPr>
        <w:lastRenderedPageBreak/>
        <w:t>sa placebom.</w:t>
      </w:r>
    </w:p>
    <w:p w14:paraId="27347EFB" w14:textId="77777777" w:rsidR="00480881" w:rsidRPr="006B2A03" w:rsidRDefault="00480881" w:rsidP="00BE221C">
      <w:pPr>
        <w:ind w:left="311" w:right="970"/>
        <w:jc w:val="both"/>
        <w:rPr>
          <w:lang w:val="sr-Latn-RS"/>
        </w:rPr>
      </w:pPr>
    </w:p>
    <w:p w14:paraId="660577E3" w14:textId="77777777" w:rsidR="00ED3518" w:rsidRPr="006B2A03" w:rsidRDefault="00ED3518" w:rsidP="00ED3518">
      <w:pPr>
        <w:ind w:left="311"/>
        <w:outlineLvl w:val="0"/>
        <w:rPr>
          <w:b/>
          <w:bCs/>
          <w:lang w:val="sr-Latn-RS"/>
        </w:rPr>
      </w:pPr>
      <w:r w:rsidRPr="006B2A03">
        <w:rPr>
          <w:b/>
          <w:bCs/>
          <w:lang w:val="sr-Latn-RS"/>
        </w:rPr>
        <w:t>Tabela 7: Primarna analiza studije COV-2069, kohorta A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2250"/>
        <w:gridCol w:w="1440"/>
      </w:tblGrid>
      <w:tr w:rsidR="00ED3518" w:rsidRPr="006B2A03" w14:paraId="3A192279" w14:textId="77777777" w:rsidTr="0053587C">
        <w:trPr>
          <w:trHeight w:val="1012"/>
        </w:trPr>
        <w:tc>
          <w:tcPr>
            <w:tcW w:w="5354" w:type="dxa"/>
          </w:tcPr>
          <w:p w14:paraId="7AD53AA5" w14:textId="77777777" w:rsidR="00ED3518" w:rsidRPr="006B2A03" w:rsidRDefault="00ED3518" w:rsidP="0053587C">
            <w:pPr>
              <w:rPr>
                <w:sz w:val="20"/>
                <w:lang w:val="sr-Latn-RS"/>
              </w:rPr>
            </w:pPr>
          </w:p>
        </w:tc>
        <w:tc>
          <w:tcPr>
            <w:tcW w:w="2250" w:type="dxa"/>
          </w:tcPr>
          <w:p w14:paraId="6137BD75" w14:textId="77777777" w:rsidR="00ED3518" w:rsidRPr="006B2A03" w:rsidRDefault="00ED3518" w:rsidP="0053587C">
            <w:pPr>
              <w:spacing w:line="237" w:lineRule="auto"/>
              <w:ind w:right="40"/>
              <w:jc w:val="center"/>
              <w:rPr>
                <w:lang w:val="sr-Latn-RS"/>
              </w:rPr>
            </w:pPr>
            <w:r w:rsidRPr="006B2A03">
              <w:rPr>
                <w:b/>
                <w:lang w:val="sr-Latn-RS"/>
              </w:rPr>
              <w:t>Kasirivimab i imdevimab</w:t>
            </w:r>
            <w:r w:rsidRPr="006B2A03">
              <w:rPr>
                <w:lang w:val="sr-Latn-RS"/>
              </w:rPr>
              <w:t xml:space="preserve"> (jednokratna doza</w:t>
            </w:r>
          </w:p>
          <w:p w14:paraId="326C128A" w14:textId="77777777" w:rsidR="00ED3518" w:rsidRPr="006B2A03" w:rsidRDefault="00ED3518" w:rsidP="0053587C">
            <w:pPr>
              <w:spacing w:before="3" w:line="238" w:lineRule="exact"/>
              <w:ind w:left="320" w:right="310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od 1200 mg)</w:t>
            </w:r>
          </w:p>
        </w:tc>
        <w:tc>
          <w:tcPr>
            <w:tcW w:w="1440" w:type="dxa"/>
          </w:tcPr>
          <w:p w14:paraId="770FF439" w14:textId="77777777" w:rsidR="00ED3518" w:rsidRPr="006B2A03" w:rsidRDefault="00ED3518" w:rsidP="0053587C">
            <w:pPr>
              <w:spacing w:line="251" w:lineRule="exact"/>
              <w:ind w:left="487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Placebo</w:t>
            </w:r>
          </w:p>
        </w:tc>
      </w:tr>
      <w:tr w:rsidR="00ED3518" w:rsidRPr="006B2A03" w14:paraId="116402E0" w14:textId="77777777" w:rsidTr="0053587C">
        <w:trPr>
          <w:trHeight w:val="253"/>
        </w:trPr>
        <w:tc>
          <w:tcPr>
            <w:tcW w:w="5354" w:type="dxa"/>
          </w:tcPr>
          <w:p w14:paraId="714C47DB" w14:textId="77777777" w:rsidR="00ED3518" w:rsidRPr="006B2A03" w:rsidRDefault="00ED3518" w:rsidP="0053587C">
            <w:pPr>
              <w:spacing w:line="234" w:lineRule="exact"/>
              <w:ind w:left="366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Populacija za primarnu analizu: seronegativna na početku</w:t>
            </w:r>
          </w:p>
        </w:tc>
        <w:tc>
          <w:tcPr>
            <w:tcW w:w="2250" w:type="dxa"/>
          </w:tcPr>
          <w:p w14:paraId="166D9CD7" w14:textId="77777777" w:rsidR="00ED3518" w:rsidRPr="006B2A03" w:rsidRDefault="00ED3518" w:rsidP="0053587C">
            <w:pPr>
              <w:spacing w:line="234" w:lineRule="exact"/>
              <w:ind w:left="741"/>
              <w:rPr>
                <w:lang w:val="sr-Latn-RS"/>
              </w:rPr>
            </w:pPr>
            <w:r w:rsidRPr="006B2A03">
              <w:rPr>
                <w:lang w:val="sr-Latn-RS"/>
              </w:rPr>
              <w:t>n = 753</w:t>
            </w:r>
          </w:p>
        </w:tc>
        <w:tc>
          <w:tcPr>
            <w:tcW w:w="1440" w:type="dxa"/>
          </w:tcPr>
          <w:p w14:paraId="06269663" w14:textId="77777777" w:rsidR="00ED3518" w:rsidRPr="006B2A03" w:rsidRDefault="00ED3518" w:rsidP="0053587C">
            <w:pPr>
              <w:spacing w:line="234" w:lineRule="exact"/>
              <w:ind w:left="516"/>
              <w:rPr>
                <w:lang w:val="sr-Latn-RS"/>
              </w:rPr>
            </w:pPr>
            <w:r w:rsidRPr="006B2A03">
              <w:rPr>
                <w:lang w:val="sr-Latn-RS"/>
              </w:rPr>
              <w:t>n = 752</w:t>
            </w:r>
          </w:p>
        </w:tc>
      </w:tr>
      <w:tr w:rsidR="00ED3518" w:rsidRPr="006B2A03" w14:paraId="52649644" w14:textId="77777777" w:rsidTr="0053587C">
        <w:trPr>
          <w:trHeight w:val="251"/>
        </w:trPr>
        <w:tc>
          <w:tcPr>
            <w:tcW w:w="9044" w:type="dxa"/>
            <w:gridSpan w:val="3"/>
          </w:tcPr>
          <w:p w14:paraId="44CEF39D" w14:textId="4670B672" w:rsidR="00ED3518" w:rsidRPr="006B2A03" w:rsidRDefault="002F67A1" w:rsidP="0053587C">
            <w:pPr>
              <w:spacing w:line="232" w:lineRule="exact"/>
              <w:ind w:left="107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   </w:t>
            </w:r>
            <w:r w:rsidR="00ED3518" w:rsidRPr="006B2A03">
              <w:rPr>
                <w:b/>
                <w:bCs/>
                <w:lang w:val="sr-Latn-RS"/>
              </w:rPr>
              <w:t>Rizik od bolesti COVID-19</w:t>
            </w:r>
          </w:p>
        </w:tc>
      </w:tr>
      <w:tr w:rsidR="00ED3518" w:rsidRPr="007613FE" w14:paraId="3C498772" w14:textId="77777777" w:rsidTr="0053587C">
        <w:trPr>
          <w:trHeight w:val="253"/>
        </w:trPr>
        <w:tc>
          <w:tcPr>
            <w:tcW w:w="9044" w:type="dxa"/>
            <w:gridSpan w:val="3"/>
          </w:tcPr>
          <w:p w14:paraId="77E58C6F" w14:textId="4104CF9B" w:rsidR="00ED3518" w:rsidRPr="006B2A03" w:rsidRDefault="00ED3518" w:rsidP="0053587C">
            <w:pPr>
              <w:spacing w:line="234" w:lineRule="exact"/>
              <w:ind w:left="270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Do 29. dana (primarni cilj istraživanja)</w:t>
            </w:r>
          </w:p>
        </w:tc>
      </w:tr>
      <w:tr w:rsidR="00ED3518" w:rsidRPr="006B2A03" w14:paraId="7E6AD884" w14:textId="77777777" w:rsidTr="0053587C">
        <w:trPr>
          <w:trHeight w:val="506"/>
        </w:trPr>
        <w:tc>
          <w:tcPr>
            <w:tcW w:w="5354" w:type="dxa"/>
          </w:tcPr>
          <w:p w14:paraId="6BDDE379" w14:textId="77777777" w:rsidR="00ED3518" w:rsidRPr="006B2A03" w:rsidRDefault="00ED3518" w:rsidP="0053587C">
            <w:pPr>
              <w:spacing w:line="246" w:lineRule="exact"/>
              <w:ind w:left="450"/>
              <w:rPr>
                <w:lang w:val="sr-Latn-RS"/>
              </w:rPr>
            </w:pPr>
            <w:r w:rsidRPr="006B2A03">
              <w:rPr>
                <w:lang w:val="sr-Latn-RS"/>
              </w:rPr>
              <w:t>Neprilagođeno smanjenje rizika</w:t>
            </w:r>
          </w:p>
          <w:p w14:paraId="3A6C889A" w14:textId="20301681" w:rsidR="00ED3518" w:rsidRPr="006B2A03" w:rsidRDefault="00ED3518" w:rsidP="0053587C">
            <w:pPr>
              <w:spacing w:line="240" w:lineRule="exact"/>
              <w:ind w:left="450"/>
              <w:rPr>
                <w:lang w:val="sr-Latn-RS"/>
              </w:rPr>
            </w:pPr>
            <w:r w:rsidRPr="006B2A03">
              <w:rPr>
                <w:lang w:val="sr-Latn-RS"/>
              </w:rPr>
              <w:t>(Prilagođeni odnos v</w:t>
            </w:r>
            <w:r w:rsidR="002F67A1">
              <w:rPr>
                <w:lang w:val="sr-Latn-RS"/>
              </w:rPr>
              <w:t>j</w:t>
            </w:r>
            <w:r w:rsidRPr="006B2A03">
              <w:rPr>
                <w:lang w:val="sr-Latn-RS"/>
              </w:rPr>
              <w:t>erovatnoća, p-vr</w:t>
            </w:r>
            <w:r w:rsidR="002F67A1">
              <w:rPr>
                <w:lang w:val="sr-Latn-RS"/>
              </w:rPr>
              <w:t>ij</w:t>
            </w:r>
            <w:r w:rsidRPr="006B2A03">
              <w:rPr>
                <w:lang w:val="sr-Latn-RS"/>
              </w:rPr>
              <w:t>ednost)</w:t>
            </w:r>
            <w:r w:rsidRPr="006B2A03"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3690" w:type="dxa"/>
            <w:gridSpan w:val="2"/>
          </w:tcPr>
          <w:p w14:paraId="70C1484B" w14:textId="77777777" w:rsidR="00ED3518" w:rsidRPr="006B2A03" w:rsidRDefault="00ED3518" w:rsidP="0053587C">
            <w:pPr>
              <w:spacing w:line="246" w:lineRule="exact"/>
              <w:ind w:left="1197" w:right="1024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81%</w:t>
            </w:r>
          </w:p>
          <w:p w14:paraId="41FF68F8" w14:textId="66585AB2" w:rsidR="00ED3518" w:rsidRPr="006B2A03" w:rsidRDefault="002F67A1" w:rsidP="0053587C">
            <w:pPr>
              <w:spacing w:line="240" w:lineRule="exact"/>
              <w:ind w:left="1197" w:right="1027"/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(0,17; p &lt; </w:t>
            </w:r>
            <w:r w:rsidR="00ED3518" w:rsidRPr="006B2A03">
              <w:rPr>
                <w:lang w:val="sr-Latn-RS"/>
              </w:rPr>
              <w:t>0,0001)</w:t>
            </w:r>
          </w:p>
        </w:tc>
      </w:tr>
      <w:tr w:rsidR="00ED3518" w:rsidRPr="006B2A03" w14:paraId="610C1F97" w14:textId="77777777" w:rsidTr="0053587C">
        <w:trPr>
          <w:trHeight w:val="251"/>
        </w:trPr>
        <w:tc>
          <w:tcPr>
            <w:tcW w:w="5354" w:type="dxa"/>
          </w:tcPr>
          <w:p w14:paraId="64014BC4" w14:textId="77777777" w:rsidR="00ED3518" w:rsidRPr="006B2A03" w:rsidRDefault="00ED3518" w:rsidP="0053587C">
            <w:pPr>
              <w:spacing w:line="232" w:lineRule="exact"/>
              <w:ind w:left="450"/>
              <w:rPr>
                <w:lang w:val="sr-Latn-RS"/>
              </w:rPr>
            </w:pPr>
            <w:r w:rsidRPr="006B2A03">
              <w:rPr>
                <w:lang w:val="sr-Latn-RS"/>
              </w:rPr>
              <w:t>Broj osoba sa događajima</w:t>
            </w:r>
          </w:p>
        </w:tc>
        <w:tc>
          <w:tcPr>
            <w:tcW w:w="2250" w:type="dxa"/>
          </w:tcPr>
          <w:p w14:paraId="20C49C4F" w14:textId="77777777" w:rsidR="00ED3518" w:rsidRPr="006B2A03" w:rsidRDefault="00ED3518" w:rsidP="0053587C">
            <w:pPr>
              <w:spacing w:line="232" w:lineRule="exact"/>
              <w:ind w:left="719"/>
              <w:rPr>
                <w:lang w:val="sr-Latn-RS"/>
              </w:rPr>
            </w:pPr>
            <w:r w:rsidRPr="006B2A03">
              <w:rPr>
                <w:lang w:val="sr-Latn-RS"/>
              </w:rPr>
              <w:t>11 (1,5%)</w:t>
            </w:r>
          </w:p>
        </w:tc>
        <w:tc>
          <w:tcPr>
            <w:tcW w:w="1440" w:type="dxa"/>
          </w:tcPr>
          <w:p w14:paraId="31AD5113" w14:textId="77777777" w:rsidR="00ED3518" w:rsidRPr="006B2A03" w:rsidRDefault="00ED3518" w:rsidP="0053587C">
            <w:pPr>
              <w:spacing w:line="232" w:lineRule="exact"/>
              <w:ind w:left="494"/>
              <w:rPr>
                <w:lang w:val="sr-Latn-RS"/>
              </w:rPr>
            </w:pPr>
            <w:r w:rsidRPr="006B2A03">
              <w:rPr>
                <w:lang w:val="sr-Latn-RS"/>
              </w:rPr>
              <w:t>59 (7,8%)</w:t>
            </w:r>
          </w:p>
        </w:tc>
      </w:tr>
    </w:tbl>
    <w:p w14:paraId="2924CDF5" w14:textId="77777777" w:rsidR="00ED3518" w:rsidRPr="002F67A1" w:rsidRDefault="00ED3518" w:rsidP="00ED3518">
      <w:pPr>
        <w:ind w:left="311" w:right="944"/>
        <w:jc w:val="both"/>
        <w:rPr>
          <w:lang w:val="sr-Latn-RS"/>
        </w:rPr>
      </w:pPr>
      <w:r w:rsidRPr="002F67A1">
        <w:rPr>
          <w:vertAlign w:val="superscript"/>
          <w:lang w:val="sr-Latn-RS"/>
        </w:rPr>
        <w:t>1</w:t>
      </w:r>
      <w:r w:rsidRPr="002F67A1">
        <w:rPr>
          <w:lang w:val="sr-Latn-RS"/>
        </w:rPr>
        <w:t xml:space="preserve"> Interval pouzdanosti (CI) sa p-vrijednošću se zasniva na odnosu vjerovatnoća (grupa koja je primala kasirivimab i imdevimab u poređenju sa grupom koja je primala placebo) uz primjenu modela logističke regresije sa fiksnim kategorijskim varijablama: terapijska grupa, starosna grupa (starost u godinama: &gt;= 12 do &lt; 50 i &gt;= 50) i region (SAD u poređenju sa regionom van SAD-a).</w:t>
      </w:r>
    </w:p>
    <w:p w14:paraId="03FDEB47" w14:textId="77777777" w:rsidR="00ED3518" w:rsidRPr="00AE2963" w:rsidRDefault="00ED3518" w:rsidP="00ED3518">
      <w:pPr>
        <w:pStyle w:val="BodyText"/>
        <w:spacing w:before="1"/>
        <w:rPr>
          <w:sz w:val="21"/>
          <w:lang w:val="sr-Latn-RS"/>
        </w:rPr>
      </w:pPr>
    </w:p>
    <w:p w14:paraId="3F37A9E8" w14:textId="77777777" w:rsidR="00ED3518" w:rsidRPr="006B2A03" w:rsidRDefault="00ED3518" w:rsidP="00ED3518">
      <w:pPr>
        <w:spacing w:line="252" w:lineRule="exact"/>
        <w:ind w:left="311"/>
        <w:rPr>
          <w:i/>
          <w:lang w:val="sr-Latn-RS"/>
        </w:rPr>
      </w:pPr>
      <w:r w:rsidRPr="006B2A03">
        <w:rPr>
          <w:i/>
          <w:iCs/>
          <w:lang w:val="sr-Latn-RS"/>
        </w:rPr>
        <w:t>Kohorta B</w:t>
      </w:r>
    </w:p>
    <w:p w14:paraId="557DFC13" w14:textId="77777777" w:rsidR="00ED3518" w:rsidRPr="006B2A03" w:rsidRDefault="00ED3518" w:rsidP="00ED3518">
      <w:pPr>
        <w:spacing w:before="1"/>
        <w:ind w:left="311" w:right="954"/>
        <w:jc w:val="both"/>
        <w:rPr>
          <w:lang w:val="sr-Latn-RS"/>
        </w:rPr>
      </w:pPr>
      <w:r w:rsidRPr="006B2A03">
        <w:rPr>
          <w:lang w:val="sr-Latn-RS"/>
        </w:rPr>
        <w:t>Populacija za primarnu analizu uključivala je asimptomatske ispitanike na početku ispitivanja imali pozitivan nalaz RT-qPCR testa na SARS-CoV-2 i bili su seronegativni.</w:t>
      </w:r>
    </w:p>
    <w:p w14:paraId="5D3C5A17" w14:textId="77777777" w:rsidR="00ED3518" w:rsidRPr="006B2A03" w:rsidRDefault="00ED3518" w:rsidP="00ED3518">
      <w:pPr>
        <w:ind w:left="311" w:right="1176"/>
        <w:jc w:val="both"/>
        <w:rPr>
          <w:lang w:val="sr-Latn-RS"/>
        </w:rPr>
      </w:pPr>
    </w:p>
    <w:p w14:paraId="6F59017D" w14:textId="77777777" w:rsidR="00ED3518" w:rsidRPr="006B2A03" w:rsidRDefault="00ED3518" w:rsidP="00ED3518">
      <w:pPr>
        <w:spacing w:before="1"/>
        <w:ind w:left="311" w:right="954"/>
        <w:jc w:val="both"/>
        <w:rPr>
          <w:lang w:val="sr-Latn-RS"/>
        </w:rPr>
      </w:pPr>
      <w:r w:rsidRPr="006B2A03">
        <w:rPr>
          <w:lang w:val="es-ES"/>
        </w:rPr>
        <w:t xml:space="preserve">U populaciji za primarnu analizu na početku ispitivanja </w:t>
      </w:r>
      <w:r w:rsidRPr="006B2A03">
        <w:rPr>
          <w:lang w:val="sr-Latn-RS"/>
        </w:rPr>
        <w:t>medijana starosti iznosila je 40 godina (sa 11% ispitanika starosti od 65 ili više godina), a 55% ispitanika bile su žene. Početne demografske karakteristike i osnovne karakteristike bolesti bile su dobro ujednačene između terapijskih grupa koje su primale kasirivimab i imdevimab i placebo.</w:t>
      </w:r>
    </w:p>
    <w:p w14:paraId="449B1025" w14:textId="77777777" w:rsidR="00ED3518" w:rsidRPr="006B2A03" w:rsidRDefault="00ED3518" w:rsidP="00ED3518">
      <w:pPr>
        <w:spacing w:before="1"/>
        <w:ind w:left="311" w:right="954"/>
        <w:jc w:val="both"/>
        <w:rPr>
          <w:lang w:val="sr-Latn-RS"/>
        </w:rPr>
      </w:pPr>
    </w:p>
    <w:p w14:paraId="0BC73F79" w14:textId="77777777" w:rsidR="00ED3518" w:rsidRPr="006B2A03" w:rsidRDefault="00ED3518" w:rsidP="00ED3518">
      <w:pPr>
        <w:ind w:left="311" w:right="987"/>
        <w:jc w:val="both"/>
        <w:rPr>
          <w:lang w:val="sr-Latn-RS"/>
        </w:rPr>
      </w:pPr>
      <w:r w:rsidRPr="006B2A03">
        <w:rPr>
          <w:lang w:val="sr-Latn-RS"/>
        </w:rPr>
        <w:t>Primarni cilj ispitivanja za efikasnost bio je procenat ispitanika kod kojih se do 29. dana razvila bolest COVID-19 potvrđena nalazom RT-qPCR testa. Zab</w:t>
      </w:r>
      <w:r>
        <w:rPr>
          <w:lang w:val="sr-Latn-RS"/>
        </w:rPr>
        <w:t>i</w:t>
      </w:r>
      <w:r w:rsidRPr="006B2A03">
        <w:rPr>
          <w:lang w:val="sr-Latn-RS"/>
        </w:rPr>
        <w:t>l</w:t>
      </w:r>
      <w:r>
        <w:rPr>
          <w:lang w:val="sr-Latn-RS"/>
        </w:rPr>
        <w:t>j</w:t>
      </w:r>
      <w:r w:rsidRPr="006B2A03">
        <w:rPr>
          <w:lang w:val="sr-Latn-RS"/>
        </w:rPr>
        <w:t>eženo je smanjenje rizika od razvoja bolesti COVID-19 za 31% pri l</w:t>
      </w:r>
      <w:r>
        <w:rPr>
          <w:lang w:val="sr-Latn-RS"/>
        </w:rPr>
        <w:t>ij</w:t>
      </w:r>
      <w:r w:rsidRPr="006B2A03">
        <w:rPr>
          <w:lang w:val="sr-Latn-RS"/>
        </w:rPr>
        <w:t>ečenju kasirivimabom i imdevimabom u poređenju sa placebom. U analizi os</w:t>
      </w:r>
      <w:r>
        <w:rPr>
          <w:lang w:val="sr-Latn-RS"/>
        </w:rPr>
        <w:t>j</w:t>
      </w:r>
      <w:r w:rsidRPr="006B2A03">
        <w:rPr>
          <w:lang w:val="sr-Latn-RS"/>
        </w:rPr>
        <w:t>etljivosti koja je obuhvatila sve ispitanike sa pozi</w:t>
      </w:r>
      <w:r>
        <w:rPr>
          <w:lang w:val="sr-Latn-RS"/>
        </w:rPr>
        <w:t>t</w:t>
      </w:r>
      <w:r w:rsidRPr="006B2A03">
        <w:rPr>
          <w:lang w:val="sr-Latn-RS"/>
        </w:rPr>
        <w:t>ivnim nalazom RT-qPCR testa na početku ispitivanja, nezavisno od početnog serološkog statusa, zab</w:t>
      </w:r>
      <w:r>
        <w:rPr>
          <w:lang w:val="sr-Latn-RS"/>
        </w:rPr>
        <w:t>i</w:t>
      </w:r>
      <w:r w:rsidRPr="006B2A03">
        <w:rPr>
          <w:lang w:val="sr-Latn-RS"/>
        </w:rPr>
        <w:t>l</w:t>
      </w:r>
      <w:r>
        <w:rPr>
          <w:lang w:val="sr-Latn-RS"/>
        </w:rPr>
        <w:t>j</w:t>
      </w:r>
      <w:r w:rsidRPr="006B2A03">
        <w:rPr>
          <w:lang w:val="sr-Latn-RS"/>
        </w:rPr>
        <w:t>eženo je statistički značajno smanjenje rizika od razvoja bolesti COVID-19 za 35% pri l</w:t>
      </w:r>
      <w:r>
        <w:rPr>
          <w:lang w:val="sr-Latn-RS"/>
        </w:rPr>
        <w:t>ij</w:t>
      </w:r>
      <w:r w:rsidRPr="006B2A03">
        <w:rPr>
          <w:lang w:val="sr-Latn-RS"/>
        </w:rPr>
        <w:t>ečenju kasirivimabom i imdevimabom u poređenju sa placebom.</w:t>
      </w:r>
    </w:p>
    <w:p w14:paraId="75DACB3D" w14:textId="77777777" w:rsidR="00ED3518" w:rsidRPr="00AE2963" w:rsidRDefault="00ED3518" w:rsidP="00ED3518">
      <w:pPr>
        <w:pStyle w:val="BodyText"/>
        <w:spacing w:before="4"/>
        <w:rPr>
          <w:lang w:val="sr-Latn-RS"/>
        </w:rPr>
      </w:pPr>
    </w:p>
    <w:p w14:paraId="65B3CB89" w14:textId="77777777" w:rsidR="00ED3518" w:rsidRPr="006B2A03" w:rsidRDefault="00ED3518" w:rsidP="00ED3518">
      <w:pPr>
        <w:ind w:left="311"/>
        <w:outlineLvl w:val="0"/>
        <w:rPr>
          <w:b/>
          <w:bCs/>
          <w:lang w:val="sr-Latn-RS"/>
        </w:rPr>
      </w:pPr>
      <w:r w:rsidRPr="006B2A03">
        <w:rPr>
          <w:b/>
          <w:bCs/>
          <w:lang w:val="sr-Latn-RS"/>
        </w:rPr>
        <w:t>Tabela 8: Primarna analiza studije COV-2069, kohorta B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1980"/>
        <w:gridCol w:w="1710"/>
      </w:tblGrid>
      <w:tr w:rsidR="00ED3518" w:rsidRPr="006B2A03" w14:paraId="5DB0592B" w14:textId="77777777" w:rsidTr="0053587C">
        <w:trPr>
          <w:trHeight w:val="1012"/>
        </w:trPr>
        <w:tc>
          <w:tcPr>
            <w:tcW w:w="5354" w:type="dxa"/>
          </w:tcPr>
          <w:p w14:paraId="3D9421A8" w14:textId="77777777" w:rsidR="00ED3518" w:rsidRPr="006B2A03" w:rsidRDefault="00ED3518" w:rsidP="0053587C">
            <w:pPr>
              <w:rPr>
                <w:sz w:val="20"/>
                <w:lang w:val="sr-Latn-RS"/>
              </w:rPr>
            </w:pPr>
          </w:p>
        </w:tc>
        <w:tc>
          <w:tcPr>
            <w:tcW w:w="1980" w:type="dxa"/>
          </w:tcPr>
          <w:p w14:paraId="76DC1088" w14:textId="77777777" w:rsidR="00ED3518" w:rsidRPr="006B2A03" w:rsidRDefault="00ED3518" w:rsidP="0053587C">
            <w:pPr>
              <w:spacing w:line="237" w:lineRule="auto"/>
              <w:ind w:left="-40" w:right="40"/>
              <w:jc w:val="center"/>
              <w:rPr>
                <w:lang w:val="sr-Latn-RS"/>
              </w:rPr>
            </w:pPr>
            <w:r w:rsidRPr="006B2A03">
              <w:rPr>
                <w:b/>
                <w:lang w:val="sr-Latn-RS"/>
              </w:rPr>
              <w:t>Kasirivimab i imdevimab</w:t>
            </w:r>
            <w:r w:rsidRPr="006B2A03">
              <w:rPr>
                <w:lang w:val="sr-Latn-RS"/>
              </w:rPr>
              <w:t xml:space="preserve"> (jednokratna doza</w:t>
            </w:r>
          </w:p>
          <w:p w14:paraId="73731DD3" w14:textId="77777777" w:rsidR="00ED3518" w:rsidRPr="006B2A03" w:rsidRDefault="00ED3518" w:rsidP="0053587C">
            <w:pPr>
              <w:spacing w:before="3" w:line="238" w:lineRule="exact"/>
              <w:ind w:left="158" w:right="155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od 1200 mg)</w:t>
            </w:r>
          </w:p>
        </w:tc>
        <w:tc>
          <w:tcPr>
            <w:tcW w:w="1710" w:type="dxa"/>
          </w:tcPr>
          <w:p w14:paraId="224C2190" w14:textId="77777777" w:rsidR="00ED3518" w:rsidRPr="006B2A03" w:rsidRDefault="00ED3518" w:rsidP="0053587C">
            <w:pPr>
              <w:spacing w:line="251" w:lineRule="exact"/>
              <w:ind w:left="320" w:right="316"/>
              <w:jc w:val="center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Placebo</w:t>
            </w:r>
          </w:p>
        </w:tc>
      </w:tr>
      <w:tr w:rsidR="00ED3518" w:rsidRPr="006B2A03" w14:paraId="020E91FC" w14:textId="77777777" w:rsidTr="0053587C">
        <w:trPr>
          <w:trHeight w:val="253"/>
        </w:trPr>
        <w:tc>
          <w:tcPr>
            <w:tcW w:w="5354" w:type="dxa"/>
          </w:tcPr>
          <w:p w14:paraId="5159A7E1" w14:textId="77777777" w:rsidR="00ED3518" w:rsidRPr="006B2A03" w:rsidRDefault="00ED3518" w:rsidP="0053587C">
            <w:pPr>
              <w:spacing w:line="234" w:lineRule="exact"/>
              <w:ind w:left="662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Populacija za primarnu analizu: seronegativna na početku</w:t>
            </w:r>
          </w:p>
        </w:tc>
        <w:tc>
          <w:tcPr>
            <w:tcW w:w="1980" w:type="dxa"/>
          </w:tcPr>
          <w:p w14:paraId="778A33BC" w14:textId="77777777" w:rsidR="00ED3518" w:rsidRPr="006B2A03" w:rsidRDefault="00ED3518" w:rsidP="0053587C">
            <w:pPr>
              <w:spacing w:line="234" w:lineRule="exact"/>
              <w:ind w:left="160" w:right="155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n = 100</w:t>
            </w:r>
          </w:p>
        </w:tc>
        <w:tc>
          <w:tcPr>
            <w:tcW w:w="1710" w:type="dxa"/>
          </w:tcPr>
          <w:p w14:paraId="0BEF9AB4" w14:textId="77777777" w:rsidR="00ED3518" w:rsidRPr="006B2A03" w:rsidRDefault="00ED3518" w:rsidP="0053587C">
            <w:pPr>
              <w:spacing w:line="234" w:lineRule="exact"/>
              <w:ind w:left="318" w:right="317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n = 104</w:t>
            </w:r>
          </w:p>
        </w:tc>
      </w:tr>
      <w:tr w:rsidR="00ED3518" w:rsidRPr="006B2A03" w14:paraId="04EC09FE" w14:textId="77777777" w:rsidTr="0053587C">
        <w:trPr>
          <w:trHeight w:val="251"/>
        </w:trPr>
        <w:tc>
          <w:tcPr>
            <w:tcW w:w="9044" w:type="dxa"/>
            <w:gridSpan w:val="3"/>
          </w:tcPr>
          <w:p w14:paraId="04031291" w14:textId="167B970A" w:rsidR="00ED3518" w:rsidRPr="006B2A03" w:rsidRDefault="002F67A1" w:rsidP="0053587C">
            <w:pPr>
              <w:spacing w:line="232" w:lineRule="exact"/>
              <w:ind w:left="107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   </w:t>
            </w:r>
            <w:r w:rsidR="00ED3518" w:rsidRPr="006B2A03">
              <w:rPr>
                <w:b/>
                <w:bCs/>
                <w:lang w:val="sr-Latn-RS"/>
              </w:rPr>
              <w:t>Rizik od bolesti COVID-19</w:t>
            </w:r>
          </w:p>
        </w:tc>
      </w:tr>
      <w:tr w:rsidR="00ED3518" w:rsidRPr="007613FE" w14:paraId="5A50BCC9" w14:textId="77777777" w:rsidTr="0053587C">
        <w:trPr>
          <w:trHeight w:val="253"/>
        </w:trPr>
        <w:tc>
          <w:tcPr>
            <w:tcW w:w="9044" w:type="dxa"/>
            <w:gridSpan w:val="3"/>
          </w:tcPr>
          <w:p w14:paraId="6E47FA0D" w14:textId="77777777" w:rsidR="00ED3518" w:rsidRPr="006B2A03" w:rsidRDefault="00ED3518" w:rsidP="0053587C">
            <w:pPr>
              <w:spacing w:line="234" w:lineRule="exact"/>
              <w:ind w:left="266"/>
              <w:rPr>
                <w:b/>
                <w:lang w:val="sr-Latn-RS"/>
              </w:rPr>
            </w:pPr>
            <w:r w:rsidRPr="006B2A03">
              <w:rPr>
                <w:b/>
                <w:bCs/>
                <w:lang w:val="sr-Latn-RS"/>
              </w:rPr>
              <w:t>Do 29. dana (primarni cilj istraživanja)</w:t>
            </w:r>
          </w:p>
        </w:tc>
      </w:tr>
      <w:tr w:rsidR="00ED3518" w:rsidRPr="006B2A03" w14:paraId="5FE71EFE" w14:textId="77777777" w:rsidTr="0053587C">
        <w:trPr>
          <w:trHeight w:val="506"/>
        </w:trPr>
        <w:tc>
          <w:tcPr>
            <w:tcW w:w="5354" w:type="dxa"/>
          </w:tcPr>
          <w:p w14:paraId="66674BE6" w14:textId="77777777" w:rsidR="00ED3518" w:rsidRPr="006B2A03" w:rsidRDefault="00ED3518" w:rsidP="0053587C">
            <w:pPr>
              <w:spacing w:line="246" w:lineRule="exact"/>
              <w:ind w:left="450"/>
              <w:rPr>
                <w:lang w:val="sr-Latn-RS"/>
              </w:rPr>
            </w:pPr>
            <w:r w:rsidRPr="006B2A03">
              <w:rPr>
                <w:lang w:val="sr-Latn-RS"/>
              </w:rPr>
              <w:t>Neprilagođeno smanjenje rizika</w:t>
            </w:r>
          </w:p>
          <w:p w14:paraId="23D7B170" w14:textId="42406224" w:rsidR="00ED3518" w:rsidRPr="006B2A03" w:rsidRDefault="00ED3518" w:rsidP="0053587C">
            <w:pPr>
              <w:spacing w:line="240" w:lineRule="exact"/>
              <w:ind w:left="453"/>
              <w:rPr>
                <w:lang w:val="sr-Latn-RS"/>
              </w:rPr>
            </w:pPr>
            <w:r w:rsidRPr="006B2A03">
              <w:rPr>
                <w:lang w:val="sr-Latn-RS"/>
              </w:rPr>
              <w:t>(Prilagođeni odnos v</w:t>
            </w:r>
            <w:r w:rsidR="002F67A1">
              <w:rPr>
                <w:lang w:val="sr-Latn-RS"/>
              </w:rPr>
              <w:t>j</w:t>
            </w:r>
            <w:r w:rsidRPr="006B2A03">
              <w:rPr>
                <w:lang w:val="sr-Latn-RS"/>
              </w:rPr>
              <w:t>erovatnoća, p-vr</w:t>
            </w:r>
            <w:r w:rsidR="002F67A1">
              <w:rPr>
                <w:lang w:val="sr-Latn-RS"/>
              </w:rPr>
              <w:t>ij</w:t>
            </w:r>
            <w:r w:rsidRPr="006B2A03">
              <w:rPr>
                <w:lang w:val="sr-Latn-RS"/>
              </w:rPr>
              <w:t>ednost)</w:t>
            </w:r>
            <w:r w:rsidRPr="006B2A03"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3690" w:type="dxa"/>
            <w:gridSpan w:val="2"/>
          </w:tcPr>
          <w:p w14:paraId="24BEEB55" w14:textId="77777777" w:rsidR="00ED3518" w:rsidRPr="006B2A03" w:rsidRDefault="00ED3518" w:rsidP="0053587C">
            <w:pPr>
              <w:spacing w:line="246" w:lineRule="exact"/>
              <w:ind w:left="938" w:right="932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31%</w:t>
            </w:r>
          </w:p>
          <w:p w14:paraId="4B56E6F5" w14:textId="77777777" w:rsidR="00ED3518" w:rsidRPr="006B2A03" w:rsidRDefault="00ED3518" w:rsidP="0053587C">
            <w:pPr>
              <w:spacing w:line="240" w:lineRule="exact"/>
              <w:ind w:left="940" w:right="932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(0,54; p = 0,0380)</w:t>
            </w:r>
          </w:p>
        </w:tc>
      </w:tr>
      <w:tr w:rsidR="00ED3518" w:rsidRPr="006B2A03" w14:paraId="7DAF13C7" w14:textId="77777777" w:rsidTr="0053587C">
        <w:trPr>
          <w:trHeight w:val="252"/>
        </w:trPr>
        <w:tc>
          <w:tcPr>
            <w:tcW w:w="5354" w:type="dxa"/>
          </w:tcPr>
          <w:p w14:paraId="409CD5E2" w14:textId="77777777" w:rsidR="00ED3518" w:rsidRPr="006B2A03" w:rsidRDefault="00ED3518" w:rsidP="0053587C">
            <w:pPr>
              <w:spacing w:line="232" w:lineRule="exact"/>
              <w:ind w:left="453"/>
              <w:rPr>
                <w:lang w:val="sr-Latn-RS"/>
              </w:rPr>
            </w:pPr>
            <w:r w:rsidRPr="006B2A03">
              <w:rPr>
                <w:lang w:val="sr-Latn-RS"/>
              </w:rPr>
              <w:t>Broj osoba sa događajima</w:t>
            </w:r>
          </w:p>
        </w:tc>
        <w:tc>
          <w:tcPr>
            <w:tcW w:w="1980" w:type="dxa"/>
          </w:tcPr>
          <w:p w14:paraId="5BC6103F" w14:textId="77777777" w:rsidR="00ED3518" w:rsidRPr="006B2A03" w:rsidRDefault="00ED3518" w:rsidP="0053587C">
            <w:pPr>
              <w:spacing w:line="232" w:lineRule="exact"/>
              <w:ind w:left="161" w:right="155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29 (29%)</w:t>
            </w:r>
          </w:p>
        </w:tc>
        <w:tc>
          <w:tcPr>
            <w:tcW w:w="1710" w:type="dxa"/>
          </w:tcPr>
          <w:p w14:paraId="586A3639" w14:textId="77777777" w:rsidR="00ED3518" w:rsidRPr="006B2A03" w:rsidRDefault="00ED3518" w:rsidP="0053587C">
            <w:pPr>
              <w:spacing w:line="232" w:lineRule="exact"/>
              <w:ind w:left="320" w:right="317"/>
              <w:jc w:val="center"/>
              <w:rPr>
                <w:lang w:val="sr-Latn-RS"/>
              </w:rPr>
            </w:pPr>
            <w:r w:rsidRPr="006B2A03">
              <w:rPr>
                <w:lang w:val="sr-Latn-RS"/>
              </w:rPr>
              <w:t>44 (42,3%)</w:t>
            </w:r>
          </w:p>
        </w:tc>
      </w:tr>
    </w:tbl>
    <w:p w14:paraId="4096A8C9" w14:textId="77777777" w:rsidR="00ED3518" w:rsidRPr="002F67A1" w:rsidRDefault="00ED3518" w:rsidP="00ED3518">
      <w:pPr>
        <w:ind w:left="311" w:right="944"/>
        <w:jc w:val="both"/>
        <w:rPr>
          <w:lang w:val="sr-Latn-RS"/>
        </w:rPr>
      </w:pPr>
      <w:r w:rsidRPr="002F67A1">
        <w:rPr>
          <w:vertAlign w:val="superscript"/>
          <w:lang w:val="sr-Latn-RS"/>
        </w:rPr>
        <w:t>1</w:t>
      </w:r>
      <w:r w:rsidRPr="002F67A1">
        <w:rPr>
          <w:lang w:val="sr-Latn-RS"/>
        </w:rPr>
        <w:t xml:space="preserve"> Interval pouzdanosti (CI) sa p-vrijednošću se zasniva na odnosu vjerovatnoća (grupa koja je primala kasirivimab i imdevimab u poređenju sa grupom koja je primala placebo) uz primjenu modela logističke regresije sa fiksnim kategorijskim varijablama: terapijska grupa, starosna grupa (starost u godinama: &gt;= 12 do &lt; 50 i &gt;= 50) i region (SAD u poređenju sa regionom van SAD-a).</w:t>
      </w:r>
    </w:p>
    <w:p w14:paraId="6ED60BA5" w14:textId="77777777" w:rsidR="00ED3518" w:rsidRPr="00AE2963" w:rsidRDefault="00ED3518" w:rsidP="00ED3518">
      <w:pPr>
        <w:pStyle w:val="BodyText"/>
        <w:spacing w:before="6"/>
        <w:rPr>
          <w:sz w:val="21"/>
          <w:lang w:val="sr-Latn-RS"/>
        </w:rPr>
      </w:pPr>
    </w:p>
    <w:p w14:paraId="2489B6F9" w14:textId="77777777" w:rsidR="00ED3518" w:rsidRPr="00AE2963" w:rsidRDefault="00ED3518" w:rsidP="00ED3518">
      <w:pPr>
        <w:pStyle w:val="Heading1"/>
        <w:tabs>
          <w:tab w:val="left" w:pos="1391"/>
          <w:tab w:val="left" w:pos="1392"/>
        </w:tabs>
        <w:rPr>
          <w:lang w:val="sr-Latn-RS"/>
        </w:rPr>
      </w:pPr>
      <w:r>
        <w:rPr>
          <w:lang w:val="sr-Latn-RS"/>
        </w:rPr>
        <w:t xml:space="preserve">5.2. </w:t>
      </w:r>
      <w:r w:rsidRPr="00AE2963">
        <w:rPr>
          <w:lang w:val="sr-Latn-RS"/>
        </w:rPr>
        <w:t>Farmakokinetički podaci</w:t>
      </w:r>
    </w:p>
    <w:p w14:paraId="523D3603" w14:textId="77777777" w:rsidR="00ED3518" w:rsidRPr="00AE2963" w:rsidRDefault="00ED3518" w:rsidP="00ED3518">
      <w:pPr>
        <w:pStyle w:val="BodyText"/>
        <w:spacing w:before="7"/>
        <w:rPr>
          <w:b/>
          <w:sz w:val="21"/>
          <w:lang w:val="sr-Latn-RS"/>
        </w:rPr>
      </w:pPr>
    </w:p>
    <w:p w14:paraId="114DFCD7" w14:textId="77777777" w:rsidR="00ED3518" w:rsidRPr="006B2A03" w:rsidRDefault="00ED3518" w:rsidP="00ED3518">
      <w:pPr>
        <w:spacing w:before="1"/>
        <w:ind w:left="311" w:right="970"/>
        <w:jc w:val="both"/>
        <w:rPr>
          <w:lang w:val="sr-Latn-RS"/>
        </w:rPr>
      </w:pPr>
      <w:r w:rsidRPr="006B2A03">
        <w:rPr>
          <w:lang w:val="sr-Latn-RS"/>
        </w:rPr>
        <w:t xml:space="preserve">I kasirivimab i imdevimab su pokazali linearnu farmakokinetiku proporcionalnu dozi, u rasponima </w:t>
      </w:r>
      <w:r w:rsidRPr="006B2A03">
        <w:rPr>
          <w:lang w:val="sr-Latn-RS"/>
        </w:rPr>
        <w:lastRenderedPageBreak/>
        <w:t>intravenskih (150 do 4000 mg svakog monoklonskog antit</w:t>
      </w:r>
      <w:r>
        <w:rPr>
          <w:lang w:val="sr-Latn-RS"/>
        </w:rPr>
        <w:t>ij</w:t>
      </w:r>
      <w:r w:rsidRPr="006B2A03">
        <w:rPr>
          <w:lang w:val="sr-Latn-RS"/>
        </w:rPr>
        <w:t>ela) i su</w:t>
      </w:r>
      <w:r>
        <w:rPr>
          <w:lang w:val="sr-Latn-RS"/>
        </w:rPr>
        <w:t>b</w:t>
      </w:r>
      <w:r w:rsidRPr="006B2A03">
        <w:rPr>
          <w:lang w:val="sr-Latn-RS"/>
        </w:rPr>
        <w:t>kutanih (300 i 600 mg svakog monoklonskog antit</w:t>
      </w:r>
      <w:r>
        <w:rPr>
          <w:lang w:val="sr-Latn-RS"/>
        </w:rPr>
        <w:t>ij</w:t>
      </w:r>
      <w:r w:rsidRPr="006B2A03">
        <w:rPr>
          <w:lang w:val="sr-Latn-RS"/>
        </w:rPr>
        <w:t>ela) doza koje su se ispitivale u kliničkim studijama.</w:t>
      </w:r>
    </w:p>
    <w:p w14:paraId="77E97F39" w14:textId="77777777" w:rsidR="00ED3518" w:rsidRPr="00AE2963" w:rsidRDefault="00ED3518" w:rsidP="00ED3518">
      <w:pPr>
        <w:pStyle w:val="BodyText"/>
        <w:spacing w:before="2"/>
        <w:rPr>
          <w:lang w:val="sr-Latn-RS"/>
        </w:rPr>
      </w:pPr>
    </w:p>
    <w:p w14:paraId="53C2939C" w14:textId="5DEABD1F" w:rsidR="00ED3518" w:rsidRPr="006B2A03" w:rsidRDefault="00ED3518" w:rsidP="00ED3518">
      <w:pPr>
        <w:spacing w:line="237" w:lineRule="auto"/>
        <w:ind w:left="311" w:right="918"/>
        <w:jc w:val="both"/>
        <w:rPr>
          <w:lang w:val="sr-Latn-RS"/>
        </w:rPr>
      </w:pPr>
      <w:r w:rsidRPr="006B2A03">
        <w:rPr>
          <w:lang w:val="sr-Latn-RS"/>
        </w:rPr>
        <w:t>Srednje vr</w:t>
      </w:r>
      <w:r>
        <w:rPr>
          <w:lang w:val="sr-Latn-RS"/>
        </w:rPr>
        <w:t>pij</w:t>
      </w:r>
      <w:r w:rsidRPr="006B2A03">
        <w:rPr>
          <w:lang w:val="sr-Latn-RS"/>
        </w:rPr>
        <w:t>ednosti vršne koncentracije (C</w:t>
      </w:r>
      <w:r w:rsidRPr="006B2A03">
        <w:rPr>
          <w:sz w:val="14"/>
          <w:lang w:val="sr-Latn-RS"/>
        </w:rPr>
        <w:t>max</w:t>
      </w:r>
      <w:r w:rsidRPr="006B2A03">
        <w:rPr>
          <w:lang w:val="sr-Latn-RS"/>
        </w:rPr>
        <w:t>), oblasti ispod krive kroz vr</w:t>
      </w:r>
      <w:r>
        <w:rPr>
          <w:lang w:val="sr-Latn-RS"/>
        </w:rPr>
        <w:t>ij</w:t>
      </w:r>
      <w:r w:rsidRPr="006B2A03">
        <w:rPr>
          <w:lang w:val="sr-Latn-RS"/>
        </w:rPr>
        <w:t>eme od 0 do 28 dana (AUC</w:t>
      </w:r>
      <w:r w:rsidRPr="006B2A03">
        <w:rPr>
          <w:sz w:val="14"/>
          <w:lang w:val="sr-Latn-RS"/>
        </w:rPr>
        <w:t>0-28</w:t>
      </w:r>
      <w:r w:rsidRPr="006B2A03">
        <w:rPr>
          <w:lang w:val="sr-Latn-RS"/>
        </w:rPr>
        <w:t xml:space="preserve">) i koncentracije 28 dana nakon </w:t>
      </w:r>
      <w:r>
        <w:rPr>
          <w:lang w:val="sr-Latn-RS"/>
        </w:rPr>
        <w:t>primjen</w:t>
      </w:r>
      <w:r w:rsidRPr="006B2A03">
        <w:rPr>
          <w:lang w:val="sr-Latn-RS"/>
        </w:rPr>
        <w:t>e doze (C</w:t>
      </w:r>
      <w:r w:rsidRPr="006B2A03">
        <w:rPr>
          <w:sz w:val="14"/>
          <w:lang w:val="sr-Latn-RS"/>
        </w:rPr>
        <w:t>28</w:t>
      </w:r>
      <w:r w:rsidRPr="006B2A03">
        <w:rPr>
          <w:lang w:val="sr-Latn-RS"/>
        </w:rPr>
        <w:t>) kasirivimaba i imdevimaba bile su uporedive nakon jedne intravenske doze od 1200 mg (600 mg svakog monoklonskog antit</w:t>
      </w:r>
      <w:r>
        <w:rPr>
          <w:lang w:val="sr-Latn-RS"/>
        </w:rPr>
        <w:t>ij</w:t>
      </w:r>
      <w:r w:rsidRPr="006B2A03">
        <w:rPr>
          <w:lang w:val="sr-Latn-RS"/>
        </w:rPr>
        <w:t>ela) (182,7 mg/</w:t>
      </w:r>
      <w:r w:rsidR="002B5637">
        <w:rPr>
          <w:lang w:val="sr-Latn-RS"/>
        </w:rPr>
        <w:t>l, 1754,9 mg/dan/l odnosno 37,9 mg/l</w:t>
      </w:r>
      <w:r w:rsidRPr="006B2A03">
        <w:rPr>
          <w:lang w:val="sr-Latn-RS"/>
        </w:rPr>
        <w:t>, za kasirivimab, i 1</w:t>
      </w:r>
      <w:r w:rsidR="002B5637">
        <w:rPr>
          <w:lang w:val="sr-Latn-RS"/>
        </w:rPr>
        <w:t>81,7 mg/l, 1600,8 mg/dan/l odnosno 27,3 mg/l</w:t>
      </w:r>
      <w:r w:rsidRPr="006B2A03">
        <w:rPr>
          <w:lang w:val="sr-Latn-RS"/>
        </w:rPr>
        <w:t>, za imdevimab), ili jedne su</w:t>
      </w:r>
      <w:r>
        <w:rPr>
          <w:lang w:val="sr-Latn-RS"/>
        </w:rPr>
        <w:t>b</w:t>
      </w:r>
      <w:r w:rsidRPr="006B2A03">
        <w:rPr>
          <w:lang w:val="sr-Latn-RS"/>
        </w:rPr>
        <w:t>kutane doze od 1200 mg (600 mg svakog monoklonskog antit</w:t>
      </w:r>
      <w:r>
        <w:rPr>
          <w:lang w:val="sr-Latn-RS"/>
        </w:rPr>
        <w:t>ij</w:t>
      </w:r>
      <w:r w:rsidR="002B5637">
        <w:rPr>
          <w:lang w:val="sr-Latn-RS"/>
        </w:rPr>
        <w:t>ela) (52,5 mg/l, 1121,7 mg/dan/l odnosno 30,5 mg/l za kasirivimab, i 49,2 mg/l, 1016,9 mg/dan/l odnosno 25,9 mg/l</w:t>
      </w:r>
      <w:r w:rsidRPr="006B2A03">
        <w:rPr>
          <w:lang w:val="sr-Latn-RS"/>
        </w:rPr>
        <w:t>, za imdevimab).</w:t>
      </w:r>
    </w:p>
    <w:p w14:paraId="6AA5A2B5" w14:textId="77777777" w:rsidR="00ED3518" w:rsidRPr="00AE2963" w:rsidRDefault="00ED3518" w:rsidP="00ED3518">
      <w:pPr>
        <w:pStyle w:val="BodyText"/>
        <w:rPr>
          <w:lang w:val="sr-Latn-RS"/>
        </w:rPr>
      </w:pPr>
    </w:p>
    <w:p w14:paraId="6F5FEE31" w14:textId="77777777" w:rsidR="00ED3518" w:rsidRPr="006B2A03" w:rsidRDefault="00ED3518" w:rsidP="00ED3518">
      <w:pPr>
        <w:ind w:left="311" w:right="950"/>
        <w:jc w:val="both"/>
        <w:rPr>
          <w:lang w:val="sr-Latn-RS"/>
        </w:rPr>
      </w:pPr>
      <w:r w:rsidRPr="006B2A03">
        <w:rPr>
          <w:lang w:val="sr-Latn-RS"/>
        </w:rPr>
        <w:t xml:space="preserve">Kod </w:t>
      </w:r>
      <w:r>
        <w:rPr>
          <w:lang w:val="sr-Latn-RS"/>
        </w:rPr>
        <w:t>primjen</w:t>
      </w:r>
      <w:r w:rsidRPr="006B2A03">
        <w:rPr>
          <w:lang w:val="sr-Latn-RS"/>
        </w:rPr>
        <w:t>e za profilaksu pr</w:t>
      </w:r>
      <w:r>
        <w:rPr>
          <w:lang w:val="sr-Latn-RS"/>
        </w:rPr>
        <w:t>ij</w:t>
      </w:r>
      <w:r w:rsidRPr="006B2A03">
        <w:rPr>
          <w:lang w:val="sr-Latn-RS"/>
        </w:rPr>
        <w:t>e izlaganja virusu, nakon intravenske i su</w:t>
      </w:r>
      <w:r>
        <w:rPr>
          <w:lang w:val="sr-Latn-RS"/>
        </w:rPr>
        <w:t>b</w:t>
      </w:r>
      <w:r w:rsidRPr="006B2A03">
        <w:rPr>
          <w:lang w:val="sr-Latn-RS"/>
        </w:rPr>
        <w:t>kutane m</w:t>
      </w:r>
      <w:r>
        <w:rPr>
          <w:lang w:val="sr-Latn-RS"/>
        </w:rPr>
        <w:t>j</w:t>
      </w:r>
      <w:r w:rsidRPr="006B2A03">
        <w:rPr>
          <w:lang w:val="sr-Latn-RS"/>
        </w:rPr>
        <w:t xml:space="preserve">esečne </w:t>
      </w:r>
      <w:r>
        <w:rPr>
          <w:lang w:val="sr-Latn-RS"/>
        </w:rPr>
        <w:t>primjen</w:t>
      </w:r>
      <w:r w:rsidRPr="006B2A03">
        <w:rPr>
          <w:lang w:val="sr-Latn-RS"/>
        </w:rPr>
        <w:t>e u dozi od 300 mg kasirivimaba i 300 mg imdevimaba nakon početne (udarne) doze od 600 mg kasirivimaba i 600 mg imdevimaba, medijane predviđenih serumskih koncentracija kasirivimaba i imdevimaba u stanju dinamičke ravnoteže slične su zab</w:t>
      </w:r>
      <w:r>
        <w:rPr>
          <w:lang w:val="sr-Latn-RS"/>
        </w:rPr>
        <w:t>i</w:t>
      </w:r>
      <w:r w:rsidRPr="006B2A03">
        <w:rPr>
          <w:lang w:val="sr-Latn-RS"/>
        </w:rPr>
        <w:t>l</w:t>
      </w:r>
      <w:r>
        <w:rPr>
          <w:lang w:val="sr-Latn-RS"/>
        </w:rPr>
        <w:t>j</w:t>
      </w:r>
      <w:r w:rsidRPr="006B2A03">
        <w:rPr>
          <w:lang w:val="sr-Latn-RS"/>
        </w:rPr>
        <w:t>eženim srednjim vr</w:t>
      </w:r>
      <w:r>
        <w:rPr>
          <w:lang w:val="sr-Latn-RS"/>
        </w:rPr>
        <w:t>ij</w:t>
      </w:r>
      <w:r w:rsidRPr="006B2A03">
        <w:rPr>
          <w:lang w:val="sr-Latn-RS"/>
        </w:rPr>
        <w:t xml:space="preserve">ednostima serumskih koncentracija 29. dana nakon </w:t>
      </w:r>
      <w:r>
        <w:rPr>
          <w:lang w:val="sr-Latn-RS"/>
        </w:rPr>
        <w:t>primjen</w:t>
      </w:r>
      <w:r w:rsidRPr="006B2A03">
        <w:rPr>
          <w:lang w:val="sr-Latn-RS"/>
        </w:rPr>
        <w:t>e jedne su</w:t>
      </w:r>
      <w:r>
        <w:rPr>
          <w:lang w:val="sr-Latn-RS"/>
        </w:rPr>
        <w:t>b</w:t>
      </w:r>
      <w:r w:rsidRPr="006B2A03">
        <w:rPr>
          <w:lang w:val="sr-Latn-RS"/>
        </w:rPr>
        <w:t>kutane doze kasirivimaba i imdevimaba od 1200 mg (600 mg kasirivimaba i 600 mg imdevimaba).</w:t>
      </w:r>
    </w:p>
    <w:p w14:paraId="4E41B1FB" w14:textId="77777777" w:rsidR="00ED3518" w:rsidRPr="00AE2963" w:rsidRDefault="00ED3518" w:rsidP="00ED3518">
      <w:pPr>
        <w:pStyle w:val="BodyText"/>
        <w:spacing w:before="4"/>
        <w:rPr>
          <w:sz w:val="24"/>
          <w:lang w:val="sr-Latn-RS"/>
        </w:rPr>
      </w:pPr>
    </w:p>
    <w:p w14:paraId="4955BE7A" w14:textId="77777777" w:rsidR="00ED3518" w:rsidRPr="006B2A03" w:rsidRDefault="00ED3518" w:rsidP="00ED3518">
      <w:pPr>
        <w:spacing w:line="252" w:lineRule="exact"/>
        <w:ind w:left="311"/>
        <w:jc w:val="both"/>
        <w:rPr>
          <w:lang w:val="sr-Latn-RS"/>
        </w:rPr>
      </w:pPr>
      <w:r>
        <w:rPr>
          <w:u w:val="single"/>
          <w:lang w:val="sr-Latn-RS"/>
        </w:rPr>
        <w:t>Re</w:t>
      </w:r>
      <w:r w:rsidRPr="006B2A03">
        <w:rPr>
          <w:u w:val="single"/>
          <w:lang w:val="sr-Latn-RS"/>
        </w:rPr>
        <w:t>sorpcija</w:t>
      </w:r>
    </w:p>
    <w:p w14:paraId="7979356B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 xml:space="preserve">Nakon </w:t>
      </w:r>
      <w:r>
        <w:rPr>
          <w:lang w:val="sr-Latn-RS"/>
        </w:rPr>
        <w:t>primjen</w:t>
      </w:r>
      <w:r w:rsidRPr="006B2A03">
        <w:rPr>
          <w:lang w:val="sr-Latn-RS"/>
        </w:rPr>
        <w:t>e jedne intravenske doze od 600 mg svakog monoklonskog antit</w:t>
      </w:r>
      <w:r>
        <w:rPr>
          <w:lang w:val="sr-Latn-RS"/>
        </w:rPr>
        <w:t>ij</w:t>
      </w:r>
      <w:r w:rsidRPr="006B2A03">
        <w:rPr>
          <w:lang w:val="sr-Latn-RS"/>
        </w:rPr>
        <w:t>ela kasirivimab i imdevimab, postižu vršnu koncentraciju u serumu na kraju infuzije. Proc</w:t>
      </w:r>
      <w:r>
        <w:rPr>
          <w:lang w:val="sr-Latn-RS"/>
        </w:rPr>
        <w:t>ij</w:t>
      </w:r>
      <w:r w:rsidRPr="006B2A03">
        <w:rPr>
          <w:lang w:val="sr-Latn-RS"/>
        </w:rPr>
        <w:t>enjena medijana (raspon) vremena do postizanja maksimalnih serumskih koncentracija kasirivimaba i imdevimaba (T</w:t>
      </w:r>
      <w:r w:rsidRPr="006B2A03">
        <w:rPr>
          <w:sz w:val="14"/>
          <w:lang w:val="sr-Latn-RS"/>
        </w:rPr>
        <w:t>max</w:t>
      </w:r>
      <w:r w:rsidRPr="006B2A03">
        <w:rPr>
          <w:lang w:val="sr-Latn-RS"/>
        </w:rPr>
        <w:t xml:space="preserve">) nakon </w:t>
      </w:r>
      <w:r>
        <w:rPr>
          <w:lang w:val="sr-Latn-RS"/>
        </w:rPr>
        <w:t>primjen</w:t>
      </w:r>
      <w:r w:rsidRPr="006B2A03">
        <w:rPr>
          <w:lang w:val="sr-Latn-RS"/>
        </w:rPr>
        <w:t>e jedne su</w:t>
      </w:r>
      <w:r>
        <w:rPr>
          <w:lang w:val="sr-Latn-RS"/>
        </w:rPr>
        <w:t>b</w:t>
      </w:r>
      <w:r w:rsidRPr="006B2A03">
        <w:rPr>
          <w:lang w:val="sr-Latn-RS"/>
        </w:rPr>
        <w:t>kutane doze od 600 mg svakog monoklonskog antit</w:t>
      </w:r>
      <w:r>
        <w:rPr>
          <w:lang w:val="sr-Latn-RS"/>
        </w:rPr>
        <w:t>ij</w:t>
      </w:r>
      <w:r w:rsidRPr="006B2A03">
        <w:rPr>
          <w:lang w:val="sr-Latn-RS"/>
        </w:rPr>
        <w:t>ela iznosi 6,7 (raspon 3,4 – 13,6) dana za kasirivimab i 6,6 (raspon 3,4 – 13,6) dana za imdevimab. Nakon jedne su</w:t>
      </w:r>
      <w:r>
        <w:rPr>
          <w:lang w:val="sr-Latn-RS"/>
        </w:rPr>
        <w:t>b</w:t>
      </w:r>
      <w:r w:rsidRPr="006B2A03">
        <w:rPr>
          <w:lang w:val="sr-Latn-RS"/>
        </w:rPr>
        <w:t>kutane doze od 600 mg svakog monoklonskog antit</w:t>
      </w:r>
      <w:r>
        <w:rPr>
          <w:lang w:val="sr-Latn-RS"/>
        </w:rPr>
        <w:t>ij</w:t>
      </w:r>
      <w:r w:rsidRPr="006B2A03">
        <w:rPr>
          <w:lang w:val="sr-Latn-RS"/>
        </w:rPr>
        <w:t>ela, proc</w:t>
      </w:r>
      <w:r>
        <w:rPr>
          <w:lang w:val="sr-Latn-RS"/>
        </w:rPr>
        <w:t>ij</w:t>
      </w:r>
      <w:r w:rsidRPr="006B2A03">
        <w:rPr>
          <w:lang w:val="sr-Latn-RS"/>
        </w:rPr>
        <w:t>enjena bioraspoloživost kasirivimaba iznosila je 71,8%, a imdevimaba 71,7%.</w:t>
      </w:r>
    </w:p>
    <w:p w14:paraId="3A0347AD" w14:textId="77777777" w:rsidR="00ED3518" w:rsidRPr="00AE2963" w:rsidRDefault="00ED3518" w:rsidP="00ED3518">
      <w:pPr>
        <w:pStyle w:val="BodyText"/>
        <w:spacing w:before="8"/>
        <w:rPr>
          <w:sz w:val="26"/>
          <w:lang w:val="sr-Latn-RS"/>
        </w:rPr>
      </w:pPr>
    </w:p>
    <w:p w14:paraId="2AE190CA" w14:textId="77777777" w:rsidR="00ED3518" w:rsidRPr="006B2A03" w:rsidRDefault="00ED3518" w:rsidP="00ED3518">
      <w:pPr>
        <w:spacing w:line="253" w:lineRule="exact"/>
        <w:ind w:left="311"/>
        <w:rPr>
          <w:lang w:val="sr-Latn-RS"/>
        </w:rPr>
      </w:pPr>
      <w:r w:rsidRPr="006B2A03">
        <w:rPr>
          <w:u w:val="single"/>
          <w:lang w:val="sr-Latn-RS"/>
        </w:rPr>
        <w:t>Distribucija</w:t>
      </w:r>
    </w:p>
    <w:p w14:paraId="2A7C602A" w14:textId="15E41D55" w:rsidR="00ED3518" w:rsidRPr="006B2A03" w:rsidRDefault="00ED3518" w:rsidP="00ED3518">
      <w:pPr>
        <w:spacing w:line="252" w:lineRule="exact"/>
        <w:ind w:left="311" w:right="970"/>
        <w:rPr>
          <w:lang w:val="sr-Latn-RS"/>
        </w:rPr>
      </w:pPr>
      <w:r w:rsidRPr="006B2A03">
        <w:rPr>
          <w:lang w:val="sr-Latn-RS"/>
        </w:rPr>
        <w:t>Ukupna zapremina distribucije proc</w:t>
      </w:r>
      <w:r>
        <w:rPr>
          <w:lang w:val="sr-Latn-RS"/>
        </w:rPr>
        <w:t>ij</w:t>
      </w:r>
      <w:r w:rsidRPr="006B2A03">
        <w:rPr>
          <w:lang w:val="sr-Latn-RS"/>
        </w:rPr>
        <w:t xml:space="preserve">enjena preko populacione farmakokinetičke analize iznosi 7,161 </w:t>
      </w:r>
      <w:r w:rsidR="002F67A1">
        <w:rPr>
          <w:lang w:val="sr-Latn-RS"/>
        </w:rPr>
        <w:t>l</w:t>
      </w:r>
      <w:r w:rsidRPr="006B2A03">
        <w:rPr>
          <w:lang w:val="sr-Latn-RS"/>
        </w:rPr>
        <w:t xml:space="preserve"> za kasirivimab i 7,425 </w:t>
      </w:r>
      <w:r w:rsidR="002F67A1">
        <w:rPr>
          <w:lang w:val="sr-Latn-RS"/>
        </w:rPr>
        <w:t>l</w:t>
      </w:r>
      <w:r w:rsidRPr="006B2A03">
        <w:rPr>
          <w:lang w:val="sr-Latn-RS"/>
        </w:rPr>
        <w:t xml:space="preserve"> za imdevimab.</w:t>
      </w:r>
    </w:p>
    <w:p w14:paraId="0081E961" w14:textId="77777777" w:rsidR="00ED3518" w:rsidRPr="006B2A03" w:rsidRDefault="00ED3518" w:rsidP="00ED3518">
      <w:pPr>
        <w:spacing w:before="9"/>
        <w:rPr>
          <w:sz w:val="26"/>
          <w:lang w:val="sr-Latn-RS"/>
        </w:rPr>
      </w:pPr>
    </w:p>
    <w:p w14:paraId="12E2D19C" w14:textId="77777777" w:rsidR="00ED3518" w:rsidRPr="006B2A03" w:rsidRDefault="00ED3518" w:rsidP="00ED3518">
      <w:pPr>
        <w:ind w:left="311"/>
        <w:rPr>
          <w:lang w:val="sr-Latn-RS"/>
        </w:rPr>
      </w:pPr>
      <w:r w:rsidRPr="006B2A03">
        <w:rPr>
          <w:u w:val="single"/>
          <w:lang w:val="sr-Latn-RS"/>
        </w:rPr>
        <w:t>Biotransformacija</w:t>
      </w:r>
    </w:p>
    <w:p w14:paraId="228FF6F6" w14:textId="77777777" w:rsidR="00ED3518" w:rsidRPr="006B2A03" w:rsidRDefault="00ED3518" w:rsidP="00ED3518">
      <w:pPr>
        <w:spacing w:before="73"/>
        <w:ind w:left="311" w:right="1079"/>
        <w:jc w:val="both"/>
        <w:rPr>
          <w:lang w:val="sr-Latn-RS"/>
        </w:rPr>
      </w:pPr>
      <w:r w:rsidRPr="006B2A03">
        <w:rPr>
          <w:lang w:val="sr-Latn-RS"/>
        </w:rPr>
        <w:t>Budući da su kasirivimab i imdevimab humana monoklonska IgG1 antit</w:t>
      </w:r>
      <w:r>
        <w:rPr>
          <w:lang w:val="sr-Latn-RS"/>
        </w:rPr>
        <w:t>ij</w:t>
      </w:r>
      <w:r w:rsidRPr="006B2A03">
        <w:rPr>
          <w:lang w:val="sr-Latn-RS"/>
        </w:rPr>
        <w:t>ela, očekuje se da će se kataboličkim putevima razgraditi u male peptide i aminokiseline na isti način kao i endogeni IgG.</w:t>
      </w:r>
    </w:p>
    <w:p w14:paraId="0801FD92" w14:textId="77777777" w:rsidR="00ED3518" w:rsidRPr="006B2A03" w:rsidRDefault="00ED3518" w:rsidP="00ED3518">
      <w:pPr>
        <w:spacing w:before="9"/>
        <w:rPr>
          <w:sz w:val="26"/>
          <w:lang w:val="sr-Latn-RS"/>
        </w:rPr>
      </w:pPr>
    </w:p>
    <w:p w14:paraId="4F697CBA" w14:textId="77777777" w:rsidR="00ED3518" w:rsidRPr="006B2A03" w:rsidRDefault="00ED3518" w:rsidP="00ED3518">
      <w:pPr>
        <w:spacing w:line="252" w:lineRule="exact"/>
        <w:ind w:left="311"/>
        <w:rPr>
          <w:lang w:val="sr-Latn-RS"/>
        </w:rPr>
      </w:pPr>
      <w:r w:rsidRPr="006B2A03">
        <w:rPr>
          <w:u w:val="single"/>
          <w:lang w:val="sr-Latn-RS"/>
        </w:rPr>
        <w:t>Eliminacija</w:t>
      </w:r>
    </w:p>
    <w:p w14:paraId="1CE2D3FC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Srednje vr</w:t>
      </w:r>
      <w:r>
        <w:rPr>
          <w:lang w:val="sr-Latn-RS"/>
        </w:rPr>
        <w:t>ij</w:t>
      </w:r>
      <w:r w:rsidRPr="006B2A03">
        <w:rPr>
          <w:lang w:val="sr-Latn-RS"/>
        </w:rPr>
        <w:t xml:space="preserve">ednosti (5.; 95. percentil) poluživota eliminacije iz seruma nakon </w:t>
      </w:r>
      <w:r>
        <w:rPr>
          <w:lang w:val="sr-Latn-RS"/>
        </w:rPr>
        <w:t>primjen</w:t>
      </w:r>
      <w:r w:rsidRPr="006B2A03">
        <w:rPr>
          <w:lang w:val="sr-Latn-RS"/>
        </w:rPr>
        <w:t>e doze od 600 mg svakog monoklonskog antit</w:t>
      </w:r>
      <w:r>
        <w:rPr>
          <w:lang w:val="sr-Latn-RS"/>
        </w:rPr>
        <w:t>ij</w:t>
      </w:r>
      <w:r w:rsidRPr="006B2A03">
        <w:rPr>
          <w:lang w:val="sr-Latn-RS"/>
        </w:rPr>
        <w:t>ela bile su 29,8 (16,4, 43,1) dana za kasirivimab i 26,2 (16,9, 35,6) dana za imdevimab.</w:t>
      </w:r>
    </w:p>
    <w:p w14:paraId="44EB35A0" w14:textId="77777777" w:rsidR="00ED3518" w:rsidRPr="006B2A03" w:rsidRDefault="00ED3518" w:rsidP="00ED3518">
      <w:pPr>
        <w:spacing w:before="9"/>
        <w:ind w:right="970"/>
        <w:rPr>
          <w:sz w:val="26"/>
          <w:lang w:val="sr-Latn-RS"/>
        </w:rPr>
      </w:pPr>
    </w:p>
    <w:p w14:paraId="0E75151E" w14:textId="77777777" w:rsidR="00ED3518" w:rsidRPr="006B2A03" w:rsidRDefault="00ED3518" w:rsidP="00ED3518">
      <w:pPr>
        <w:spacing w:line="252" w:lineRule="exact"/>
        <w:ind w:left="311" w:right="970"/>
        <w:rPr>
          <w:i/>
          <w:lang w:val="sr-Latn-RS"/>
        </w:rPr>
      </w:pPr>
      <w:r w:rsidRPr="006B2A03">
        <w:rPr>
          <w:i/>
          <w:iCs/>
          <w:lang w:val="sr-Latn-RS"/>
        </w:rPr>
        <w:t>Pedijatrijska populacija</w:t>
      </w:r>
    </w:p>
    <w:p w14:paraId="3CB7D925" w14:textId="0436FF38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Kod adolescentnih pacijenata sa bolešću COVID-19 (uzrasta od 12 ili više godina i sa t</w:t>
      </w:r>
      <w:r>
        <w:rPr>
          <w:lang w:val="sr-Latn-RS"/>
        </w:rPr>
        <w:t>j</w:t>
      </w:r>
      <w:r w:rsidRPr="006B2A03">
        <w:rPr>
          <w:lang w:val="sr-Latn-RS"/>
        </w:rPr>
        <w:t>elesnom masom od najmanje 40 kg u studiji COV-2067) koji su primili jednokratnu intravensku dozu od 1200 mg, srednja vr</w:t>
      </w:r>
      <w:r>
        <w:rPr>
          <w:lang w:val="sr-Latn-RS"/>
        </w:rPr>
        <w:t>ij</w:t>
      </w:r>
      <w:r w:rsidRPr="006B2A03">
        <w:rPr>
          <w:lang w:val="sr-Latn-RS"/>
        </w:rPr>
        <w:t xml:space="preserve">ednost koncentracije ± SD na kraju infuzije i nakon 28 dana nakon </w:t>
      </w:r>
      <w:r>
        <w:rPr>
          <w:lang w:val="sr-Latn-RS"/>
        </w:rPr>
        <w:t>primjen</w:t>
      </w:r>
      <w:r w:rsidRPr="006B2A03">
        <w:rPr>
          <w:lang w:val="sr-Latn-RS"/>
        </w:rPr>
        <w:t>e doze iznosila je 172 ± 96,9 mg/</w:t>
      </w:r>
      <w:r w:rsidR="002F67A1">
        <w:rPr>
          <w:lang w:val="sr-Latn-RS"/>
        </w:rPr>
        <w:t>l</w:t>
      </w:r>
      <w:r w:rsidRPr="006B2A03">
        <w:rPr>
          <w:lang w:val="sr-Latn-RS"/>
        </w:rPr>
        <w:t xml:space="preserve"> odnosno 54,3 ± 17,7 mg/</w:t>
      </w:r>
      <w:r w:rsidR="002F67A1">
        <w:rPr>
          <w:lang w:val="sr-Latn-RS"/>
        </w:rPr>
        <w:t>l</w:t>
      </w:r>
      <w:r w:rsidRPr="006B2A03">
        <w:rPr>
          <w:lang w:val="sr-Latn-RS"/>
        </w:rPr>
        <w:t xml:space="preserve"> za kasirivimab i 183 ± 101 mg/</w:t>
      </w:r>
      <w:r w:rsidR="002F67A1">
        <w:rPr>
          <w:lang w:val="sr-Latn-RS"/>
        </w:rPr>
        <w:t>l</w:t>
      </w:r>
      <w:r w:rsidRPr="006B2A03">
        <w:rPr>
          <w:lang w:val="sr-Latn-RS"/>
        </w:rPr>
        <w:t xml:space="preserve"> odnosno 45,3 ± 13,1 mg/</w:t>
      </w:r>
      <w:r w:rsidR="002F67A1">
        <w:rPr>
          <w:lang w:val="sr-Latn-RS"/>
        </w:rPr>
        <w:t>l</w:t>
      </w:r>
      <w:r w:rsidRPr="006B2A03">
        <w:rPr>
          <w:lang w:val="sr-Latn-RS"/>
        </w:rPr>
        <w:t xml:space="preserve"> za imdevimab.</w:t>
      </w:r>
    </w:p>
    <w:p w14:paraId="74123196" w14:textId="77777777" w:rsidR="00ED3518" w:rsidRPr="006B2A03" w:rsidRDefault="00ED3518" w:rsidP="00ED3518">
      <w:pPr>
        <w:ind w:right="970"/>
        <w:rPr>
          <w:lang w:val="sr-Latn-RS"/>
        </w:rPr>
      </w:pPr>
    </w:p>
    <w:p w14:paraId="79053CD4" w14:textId="334A8CD3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Kod adolescentnih pacijenata koji nisu bili zaraženi virusom SARS-CoV-2 (uzrasta 12 ili više godina i sa t</w:t>
      </w:r>
      <w:r>
        <w:rPr>
          <w:lang w:val="sr-Latn-RS"/>
        </w:rPr>
        <w:t>j</w:t>
      </w:r>
      <w:r w:rsidRPr="006B2A03">
        <w:rPr>
          <w:lang w:val="sr-Latn-RS"/>
        </w:rPr>
        <w:t>elesnom masom od najmanje 40 kg u COV-2069) koji su primili jednokratnu su</w:t>
      </w:r>
      <w:r>
        <w:rPr>
          <w:lang w:val="sr-Latn-RS"/>
        </w:rPr>
        <w:t>b</w:t>
      </w:r>
      <w:r w:rsidRPr="006B2A03">
        <w:rPr>
          <w:lang w:val="sr-Latn-RS"/>
        </w:rPr>
        <w:t>kutanu dozu od 1200 mg, srednja vr</w:t>
      </w:r>
      <w:r>
        <w:rPr>
          <w:lang w:val="sr-Latn-RS"/>
        </w:rPr>
        <w:t>ij</w:t>
      </w:r>
      <w:r w:rsidRPr="006B2A03">
        <w:rPr>
          <w:lang w:val="sr-Latn-RS"/>
        </w:rPr>
        <w:t xml:space="preserve">ednost koncentracije ± SD 28 dana nakon </w:t>
      </w:r>
      <w:r>
        <w:rPr>
          <w:lang w:val="sr-Latn-RS"/>
        </w:rPr>
        <w:t>primjen</w:t>
      </w:r>
      <w:r w:rsidRPr="006B2A03">
        <w:rPr>
          <w:lang w:val="sr-Latn-RS"/>
        </w:rPr>
        <w:t>e doze iznosila je 44,9 ± 14,7 mg/</w:t>
      </w:r>
      <w:r w:rsidR="002F67A1">
        <w:rPr>
          <w:lang w:val="sr-Latn-RS"/>
        </w:rPr>
        <w:t>l</w:t>
      </w:r>
      <w:r w:rsidRPr="006B2A03">
        <w:rPr>
          <w:lang w:val="sr-Latn-RS"/>
        </w:rPr>
        <w:t xml:space="preserve"> z</w:t>
      </w:r>
      <w:r w:rsidR="002F67A1">
        <w:rPr>
          <w:lang w:val="sr-Latn-RS"/>
        </w:rPr>
        <w:t>a kasirivimab i 36,5 ± 13,2 mg/l</w:t>
      </w:r>
      <w:r w:rsidRPr="006B2A03">
        <w:rPr>
          <w:lang w:val="sr-Latn-RS"/>
        </w:rPr>
        <w:t xml:space="preserve"> za imdevimab.</w:t>
      </w:r>
    </w:p>
    <w:p w14:paraId="58FB7C3D" w14:textId="77777777" w:rsidR="00ED3518" w:rsidRPr="006B2A03" w:rsidRDefault="00ED3518" w:rsidP="00ED3518">
      <w:pPr>
        <w:spacing w:before="1"/>
        <w:ind w:right="970"/>
        <w:rPr>
          <w:lang w:val="sr-Latn-RS"/>
        </w:rPr>
      </w:pPr>
    </w:p>
    <w:p w14:paraId="42DA074D" w14:textId="77777777" w:rsidR="00ED3518" w:rsidRPr="006B2A03" w:rsidRDefault="00ED3518" w:rsidP="00ED3518">
      <w:pPr>
        <w:ind w:left="311" w:right="970"/>
        <w:rPr>
          <w:lang w:val="sr-Latn-RS"/>
        </w:rPr>
      </w:pPr>
      <w:r w:rsidRPr="006B2A03">
        <w:rPr>
          <w:lang w:val="sr-Latn-RS"/>
        </w:rPr>
        <w:t>Farmakokinetika kasirivimaba i imdevimaba kod d</w:t>
      </w:r>
      <w:r>
        <w:rPr>
          <w:lang w:val="sr-Latn-RS"/>
        </w:rPr>
        <w:t>j</w:t>
      </w:r>
      <w:r w:rsidRPr="006B2A03">
        <w:rPr>
          <w:lang w:val="sr-Latn-RS"/>
        </w:rPr>
        <w:t xml:space="preserve">ece </w:t>
      </w:r>
      <w:r>
        <w:rPr>
          <w:lang w:val="sr-Latn-RS"/>
        </w:rPr>
        <w:t>ml</w:t>
      </w:r>
      <w:r w:rsidRPr="006B2A03">
        <w:rPr>
          <w:lang w:val="sr-Latn-RS"/>
        </w:rPr>
        <w:t>ađe od 12 godina nije još uvek utvrđena.</w:t>
      </w:r>
    </w:p>
    <w:p w14:paraId="4156F854" w14:textId="77777777" w:rsidR="00ED3518" w:rsidRDefault="00ED3518" w:rsidP="00ED3518">
      <w:pPr>
        <w:spacing w:line="252" w:lineRule="exact"/>
        <w:ind w:left="311" w:right="970"/>
        <w:rPr>
          <w:i/>
          <w:iCs/>
          <w:lang w:val="sr-Latn-RS"/>
        </w:rPr>
      </w:pPr>
    </w:p>
    <w:p w14:paraId="408182CF" w14:textId="77777777" w:rsidR="00ED3518" w:rsidRPr="006B2A03" w:rsidRDefault="00ED3518" w:rsidP="00ED3518">
      <w:pPr>
        <w:spacing w:line="252" w:lineRule="exact"/>
        <w:ind w:left="311" w:right="970"/>
        <w:rPr>
          <w:i/>
          <w:lang w:val="sr-Latn-RS"/>
        </w:rPr>
      </w:pPr>
      <w:r w:rsidRPr="006B2A03">
        <w:rPr>
          <w:i/>
          <w:iCs/>
          <w:lang w:val="sr-Latn-RS"/>
        </w:rPr>
        <w:t>Starije osobe</w:t>
      </w:r>
    </w:p>
    <w:p w14:paraId="4384264D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 xml:space="preserve">U populacionoj farmakokinetičkoj analizi, godine života (od 18 do 96 godina) nisu prepoznate kao </w:t>
      </w:r>
      <w:r w:rsidRPr="006B2A03">
        <w:rPr>
          <w:lang w:val="sr-Latn-RS"/>
        </w:rPr>
        <w:lastRenderedPageBreak/>
        <w:t>značajna kovarijabla koja utiče na farmakokinetiku kasirivimaba i imdevimaba.</w:t>
      </w:r>
    </w:p>
    <w:p w14:paraId="108DE9E1" w14:textId="77777777" w:rsidR="00EA6DA9" w:rsidRPr="006B2A03" w:rsidRDefault="00EA6DA9" w:rsidP="00ED3518">
      <w:pPr>
        <w:spacing w:before="4"/>
        <w:ind w:right="970"/>
        <w:jc w:val="both"/>
        <w:rPr>
          <w:sz w:val="24"/>
          <w:lang w:val="sr-Latn-RS"/>
        </w:rPr>
      </w:pPr>
    </w:p>
    <w:p w14:paraId="7E2DCE5F" w14:textId="77777777" w:rsidR="00ED3518" w:rsidRPr="006B2A03" w:rsidRDefault="00ED3518" w:rsidP="00ED3518">
      <w:pPr>
        <w:spacing w:before="1" w:line="252" w:lineRule="exact"/>
        <w:ind w:left="311" w:right="970"/>
        <w:jc w:val="both"/>
        <w:rPr>
          <w:i/>
          <w:lang w:val="sr-Latn-RS"/>
        </w:rPr>
      </w:pPr>
      <w:r w:rsidRPr="006B2A03">
        <w:rPr>
          <w:i/>
          <w:iCs/>
          <w:lang w:val="sr-Latn-RS"/>
        </w:rPr>
        <w:t>Oštećenje funkcije bubrega</w:t>
      </w:r>
    </w:p>
    <w:p w14:paraId="3E52FCAF" w14:textId="77777777" w:rsidR="00ED3518" w:rsidRPr="006B2A03" w:rsidRDefault="00ED3518" w:rsidP="00ED3518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Ne očekuje se da će se kasirivimab i imdevimab značajnije eliminisati putem bubrega zbog njihove mo</w:t>
      </w:r>
      <w:r>
        <w:rPr>
          <w:lang w:val="sr-Latn-RS"/>
        </w:rPr>
        <w:t>lek</w:t>
      </w:r>
      <w:r w:rsidRPr="006B2A03">
        <w:rPr>
          <w:lang w:val="sr-Latn-RS"/>
        </w:rPr>
        <w:t>ularne mase (veće od 69 kDa).</w:t>
      </w:r>
    </w:p>
    <w:p w14:paraId="10B4AE41" w14:textId="77777777" w:rsidR="00ED3518" w:rsidRPr="006B2A03" w:rsidRDefault="00ED3518" w:rsidP="00ED3518">
      <w:pPr>
        <w:spacing w:before="8"/>
        <w:ind w:right="970"/>
        <w:jc w:val="both"/>
        <w:rPr>
          <w:sz w:val="26"/>
          <w:lang w:val="sr-Latn-RS"/>
        </w:rPr>
      </w:pPr>
    </w:p>
    <w:p w14:paraId="7E8D9D92" w14:textId="77777777" w:rsidR="00ED3518" w:rsidRPr="006B2A03" w:rsidRDefault="00ED3518" w:rsidP="00ED3518">
      <w:pPr>
        <w:spacing w:line="252" w:lineRule="exact"/>
        <w:ind w:left="311" w:right="970"/>
        <w:jc w:val="both"/>
        <w:rPr>
          <w:i/>
          <w:lang w:val="sr-Latn-RS"/>
        </w:rPr>
      </w:pPr>
      <w:r w:rsidRPr="006B2A03">
        <w:rPr>
          <w:i/>
          <w:iCs/>
          <w:lang w:val="sr-Latn-RS"/>
        </w:rPr>
        <w:t>Oštećenje funkcije jetre</w:t>
      </w:r>
    </w:p>
    <w:p w14:paraId="19E2DF74" w14:textId="77777777" w:rsidR="00ED3518" w:rsidRPr="006B2A03" w:rsidRDefault="00ED3518" w:rsidP="00ED3518">
      <w:pPr>
        <w:spacing w:line="252" w:lineRule="exact"/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Ne očekuje se da će se kasirivimab i imdevimab značajnije eliminisati putem jetre.</w:t>
      </w:r>
    </w:p>
    <w:p w14:paraId="22978D2C" w14:textId="4226188B" w:rsidR="00ED3518" w:rsidRPr="00AE2963" w:rsidRDefault="00ED3518" w:rsidP="00ED3518">
      <w:pPr>
        <w:pStyle w:val="BodyText"/>
        <w:spacing w:before="8"/>
        <w:ind w:right="970"/>
        <w:rPr>
          <w:sz w:val="24"/>
          <w:lang w:val="sr-Latn-RS"/>
        </w:rPr>
      </w:pPr>
    </w:p>
    <w:p w14:paraId="2B0F8B81" w14:textId="77777777" w:rsidR="00ED3518" w:rsidRPr="00AE2963" w:rsidRDefault="00ED3518" w:rsidP="00ED3518">
      <w:pPr>
        <w:pStyle w:val="Heading1"/>
        <w:tabs>
          <w:tab w:val="left" w:pos="1391"/>
        </w:tabs>
        <w:spacing w:before="1"/>
        <w:ind w:left="311" w:right="970" w:firstLine="0"/>
        <w:rPr>
          <w:lang w:val="sr-Latn-RS"/>
        </w:rPr>
      </w:pPr>
      <w:r>
        <w:rPr>
          <w:lang w:val="sr-Latn-RS"/>
        </w:rPr>
        <w:t xml:space="preserve">5.3. </w:t>
      </w:r>
      <w:r w:rsidRPr="00AE2963">
        <w:rPr>
          <w:lang w:val="sr-Latn-RS"/>
        </w:rPr>
        <w:t>Pretklinički podaci o bezb</w:t>
      </w:r>
      <w:r>
        <w:rPr>
          <w:lang w:val="sr-Latn-RS"/>
        </w:rPr>
        <w:t>j</w:t>
      </w:r>
      <w:r w:rsidRPr="00AE2963">
        <w:rPr>
          <w:lang w:val="sr-Latn-RS"/>
        </w:rPr>
        <w:t xml:space="preserve">ednosti </w:t>
      </w:r>
    </w:p>
    <w:p w14:paraId="0E67A863" w14:textId="77777777" w:rsidR="00ED3518" w:rsidRPr="00AE2963" w:rsidRDefault="00ED3518" w:rsidP="00ED3518">
      <w:pPr>
        <w:pStyle w:val="BodyText"/>
        <w:spacing w:before="7"/>
        <w:ind w:right="970"/>
        <w:rPr>
          <w:b/>
          <w:sz w:val="21"/>
          <w:lang w:val="sr-Latn-RS"/>
        </w:rPr>
      </w:pPr>
    </w:p>
    <w:p w14:paraId="1A636F2D" w14:textId="77777777" w:rsidR="002F67A1" w:rsidRDefault="00ED3518" w:rsidP="002F67A1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Nisu sprovedena ispitivanja o ka</w:t>
      </w:r>
      <w:r w:rsidR="002F67A1">
        <w:rPr>
          <w:lang w:val="sr-Latn-RS"/>
        </w:rPr>
        <w:t>rcino</w:t>
      </w:r>
      <w:r w:rsidRPr="006B2A03">
        <w:rPr>
          <w:lang w:val="sr-Latn-RS"/>
        </w:rPr>
        <w:t>genosti, genotoksičnosti i reproduktivnoj toksičnosti sa kasirivimabom i imdevimabom. Ne očekuje se da antit</w:t>
      </w:r>
      <w:r>
        <w:rPr>
          <w:lang w:val="sr-Latn-RS"/>
        </w:rPr>
        <w:t>ij</w:t>
      </w:r>
      <w:r w:rsidRPr="006B2A03">
        <w:rPr>
          <w:lang w:val="sr-Latn-RS"/>
        </w:rPr>
        <w:t>ela kao što su kasirivimab i imdevimab imaju genotoksičan ili ka</w:t>
      </w:r>
      <w:r w:rsidR="002F67A1">
        <w:rPr>
          <w:lang w:val="sr-Latn-RS"/>
        </w:rPr>
        <w:t>rcinogeni</w:t>
      </w:r>
      <w:r w:rsidRPr="006B2A03">
        <w:rPr>
          <w:lang w:val="sr-Latn-RS"/>
        </w:rPr>
        <w:t xml:space="preserve"> potencijal. U studijama unakrsne reaktivnosti tkiva odraslih ljudi i majmuna i tkiva ljudskog fetusa sa kasirivimabom i imdevim</w:t>
      </w:r>
      <w:r w:rsidR="002F67A1">
        <w:rPr>
          <w:lang w:val="sr-Latn-RS"/>
        </w:rPr>
        <w:t>abom, nije otkriveno vezivanje.</w:t>
      </w:r>
    </w:p>
    <w:p w14:paraId="383E74F7" w14:textId="1DBDEE15" w:rsidR="00ED3518" w:rsidRPr="006B2A03" w:rsidRDefault="00ED3518" w:rsidP="002F67A1">
      <w:pPr>
        <w:ind w:left="311" w:right="970"/>
        <w:jc w:val="both"/>
        <w:rPr>
          <w:lang w:val="sr-Latn-RS"/>
        </w:rPr>
      </w:pPr>
      <w:r w:rsidRPr="006B2A03">
        <w:rPr>
          <w:lang w:val="sr-Latn-RS"/>
        </w:rPr>
        <w:t>U toksikološkoj studiji na makaki (</w:t>
      </w:r>
      <w:r w:rsidRPr="006B2A03">
        <w:rPr>
          <w:i/>
          <w:lang w:val="sr-Latn-RS"/>
        </w:rPr>
        <w:t>cinomolgus</w:t>
      </w:r>
      <w:r w:rsidRPr="006B2A03">
        <w:rPr>
          <w:lang w:val="sr-Latn-RS"/>
        </w:rPr>
        <w:t>) majmunima zab</w:t>
      </w:r>
      <w:r>
        <w:rPr>
          <w:lang w:val="sr-Latn-RS"/>
        </w:rPr>
        <w:t>i</w:t>
      </w:r>
      <w:r w:rsidRPr="006B2A03">
        <w:rPr>
          <w:lang w:val="sr-Latn-RS"/>
        </w:rPr>
        <w:t>l</w:t>
      </w:r>
      <w:r>
        <w:rPr>
          <w:lang w:val="sr-Latn-RS"/>
        </w:rPr>
        <w:t>j</w:t>
      </w:r>
      <w:r w:rsidRPr="006B2A03">
        <w:rPr>
          <w:lang w:val="sr-Latn-RS"/>
        </w:rPr>
        <w:t>eženi su nalazi na jetri koji nisu bili štetni (blagi prolazni porast nivoa AST i ALT).</w:t>
      </w:r>
    </w:p>
    <w:p w14:paraId="33C0CF74" w14:textId="17FA47AF" w:rsidR="00ED3518" w:rsidRDefault="00ED3518" w:rsidP="00ED3518">
      <w:pPr>
        <w:pStyle w:val="BodyText"/>
        <w:spacing w:before="4"/>
        <w:rPr>
          <w:sz w:val="20"/>
          <w:lang w:val="sr-Latn-RS"/>
        </w:rPr>
      </w:pPr>
    </w:p>
    <w:p w14:paraId="779CB92C" w14:textId="77777777" w:rsidR="00EA6DA9" w:rsidRPr="00AE2963" w:rsidRDefault="00EA6DA9" w:rsidP="00ED3518">
      <w:pPr>
        <w:pStyle w:val="BodyText"/>
        <w:spacing w:before="4"/>
        <w:rPr>
          <w:sz w:val="20"/>
          <w:lang w:val="sr-Latn-RS"/>
        </w:rPr>
      </w:pPr>
    </w:p>
    <w:p w14:paraId="06E3664B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6. </w:t>
      </w:r>
      <w:r w:rsidRPr="00AE2963">
        <w:rPr>
          <w:lang w:val="sr-Latn-RS"/>
        </w:rPr>
        <w:t>FARMACEUTSKI PODACI</w:t>
      </w:r>
    </w:p>
    <w:p w14:paraId="5CD7F3DB" w14:textId="77777777" w:rsidR="00ED3518" w:rsidRPr="00AE2963" w:rsidRDefault="00ED3518" w:rsidP="00ED3518">
      <w:pPr>
        <w:pStyle w:val="BodyText"/>
        <w:spacing w:before="1"/>
        <w:rPr>
          <w:b/>
          <w:lang w:val="sr-Latn-RS"/>
        </w:rPr>
      </w:pPr>
    </w:p>
    <w:p w14:paraId="63B303A1" w14:textId="77777777" w:rsidR="00ED3518" w:rsidRPr="003A734F" w:rsidRDefault="00ED3518" w:rsidP="00ED3518">
      <w:pPr>
        <w:tabs>
          <w:tab w:val="left" w:pos="851"/>
          <w:tab w:val="left" w:pos="852"/>
        </w:tabs>
        <w:rPr>
          <w:b/>
          <w:lang w:val="sr-Latn-RS"/>
        </w:rPr>
      </w:pPr>
      <w:r>
        <w:rPr>
          <w:b/>
          <w:bCs/>
          <w:lang w:val="sr-Latn-RS"/>
        </w:rPr>
        <w:t xml:space="preserve">     6.1. </w:t>
      </w:r>
      <w:r w:rsidRPr="003A734F">
        <w:rPr>
          <w:b/>
          <w:bCs/>
          <w:lang w:val="sr-Latn-RS"/>
        </w:rPr>
        <w:t>Lista pomoćnih supstanci</w:t>
      </w:r>
      <w:r>
        <w:rPr>
          <w:b/>
          <w:bCs/>
          <w:lang w:val="sr-Latn-RS"/>
        </w:rPr>
        <w:t xml:space="preserve"> (ekscipijenasa)</w:t>
      </w:r>
    </w:p>
    <w:p w14:paraId="659F26FB" w14:textId="77777777" w:rsidR="00ED3518" w:rsidRPr="00AE2963" w:rsidRDefault="00ED3518" w:rsidP="00ED3518">
      <w:pPr>
        <w:pStyle w:val="BodyText"/>
        <w:spacing w:before="7"/>
        <w:rPr>
          <w:b/>
          <w:sz w:val="21"/>
          <w:lang w:val="sr-Latn-RS"/>
        </w:rPr>
      </w:pPr>
    </w:p>
    <w:p w14:paraId="25A74FD0" w14:textId="77777777" w:rsidR="00ED3518" w:rsidRPr="00AE2963" w:rsidRDefault="00ED3518" w:rsidP="00ED3518">
      <w:pPr>
        <w:pStyle w:val="BodyText"/>
        <w:spacing w:line="252" w:lineRule="exact"/>
        <w:ind w:left="311"/>
        <w:rPr>
          <w:lang w:val="sr-Latn-RS"/>
        </w:rPr>
      </w:pPr>
      <w:r w:rsidRPr="00AE2963">
        <w:rPr>
          <w:lang w:val="sr-Latn-RS"/>
        </w:rPr>
        <w:t>L-histidin</w:t>
      </w:r>
    </w:p>
    <w:p w14:paraId="1EADB63B" w14:textId="77777777" w:rsidR="00ED3518" w:rsidRPr="00AE2963" w:rsidRDefault="00ED3518" w:rsidP="00ED3518">
      <w:pPr>
        <w:pStyle w:val="BodyText"/>
        <w:ind w:left="311" w:right="6027"/>
        <w:rPr>
          <w:lang w:val="sr-Latn-RS"/>
        </w:rPr>
      </w:pPr>
      <w:r w:rsidRPr="00AE2963">
        <w:rPr>
          <w:lang w:val="sr-Latn-RS"/>
        </w:rPr>
        <w:t>L-histidin monohidrohlorid monohidrat Polisorbat 80</w:t>
      </w:r>
    </w:p>
    <w:p w14:paraId="0934BCD8" w14:textId="77777777" w:rsidR="00ED3518" w:rsidRPr="00AE2963" w:rsidRDefault="00ED3518" w:rsidP="00ED3518">
      <w:pPr>
        <w:pStyle w:val="BodyText"/>
        <w:spacing w:line="252" w:lineRule="exact"/>
        <w:ind w:left="311"/>
        <w:rPr>
          <w:lang w:val="sr-Latn-RS"/>
        </w:rPr>
      </w:pPr>
      <w:r>
        <w:rPr>
          <w:lang w:val="sr-Latn-RS"/>
        </w:rPr>
        <w:t>S</w:t>
      </w:r>
      <w:r w:rsidRPr="00AE2963">
        <w:rPr>
          <w:lang w:val="sr-Latn-RS"/>
        </w:rPr>
        <w:t>aharoza</w:t>
      </w:r>
    </w:p>
    <w:p w14:paraId="473D61EA" w14:textId="77777777" w:rsidR="00ED3518" w:rsidRPr="00AE2963" w:rsidRDefault="00ED3518" w:rsidP="00ED3518">
      <w:pPr>
        <w:pStyle w:val="BodyText"/>
        <w:spacing w:line="252" w:lineRule="exact"/>
        <w:ind w:left="311"/>
        <w:rPr>
          <w:lang w:val="sr-Latn-RS"/>
        </w:rPr>
      </w:pPr>
      <w:r w:rsidRPr="00AE2963">
        <w:rPr>
          <w:lang w:val="sr-Latn-RS"/>
        </w:rPr>
        <w:t>Voda za injekcij</w:t>
      </w:r>
      <w:r>
        <w:rPr>
          <w:lang w:val="sr-Latn-RS"/>
        </w:rPr>
        <w:t>e</w:t>
      </w:r>
    </w:p>
    <w:p w14:paraId="18E237BC" w14:textId="77777777" w:rsidR="00ED3518" w:rsidRPr="00AE2963" w:rsidRDefault="00ED3518" w:rsidP="00ED3518">
      <w:pPr>
        <w:pStyle w:val="BodyText"/>
        <w:spacing w:before="5"/>
        <w:rPr>
          <w:lang w:val="sr-Latn-RS"/>
        </w:rPr>
      </w:pPr>
    </w:p>
    <w:p w14:paraId="3980E616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>6.2 Inkompatibilnosti</w:t>
      </w:r>
    </w:p>
    <w:p w14:paraId="2107BC13" w14:textId="77777777" w:rsidR="00ED3518" w:rsidRPr="00AE2963" w:rsidRDefault="00ED3518" w:rsidP="00ED3518">
      <w:pPr>
        <w:pStyle w:val="BodyText"/>
        <w:spacing w:before="7"/>
        <w:rPr>
          <w:b/>
          <w:sz w:val="21"/>
          <w:lang w:val="sr-Latn-RS"/>
        </w:rPr>
      </w:pPr>
    </w:p>
    <w:p w14:paraId="40C6F5D3" w14:textId="77777777" w:rsidR="00ED3518" w:rsidRDefault="00ED3518" w:rsidP="00ED3518">
      <w:pPr>
        <w:pStyle w:val="BodyText"/>
        <w:ind w:left="311" w:right="983"/>
        <w:jc w:val="both"/>
        <w:rPr>
          <w:lang w:val="sr-Latn-RS"/>
        </w:rPr>
      </w:pPr>
      <w:r w:rsidRPr="00AE2963">
        <w:rPr>
          <w:lang w:val="sr-Latn-RS"/>
        </w:rPr>
        <w:t xml:space="preserve">U odsustvu </w:t>
      </w:r>
      <w:r>
        <w:rPr>
          <w:lang w:val="sr-Latn-RS"/>
        </w:rPr>
        <w:t>ispitivanja</w:t>
      </w:r>
      <w:r w:rsidRPr="00AE2963">
        <w:rPr>
          <w:lang w:val="sr-Latn-RS"/>
        </w:rPr>
        <w:t xml:space="preserve"> kompatibilnosti, ovaj </w:t>
      </w:r>
      <w:r>
        <w:rPr>
          <w:lang w:val="sr-Latn-RS"/>
        </w:rPr>
        <w:t>lijek</w:t>
      </w:r>
      <w:r w:rsidRPr="00AE2963">
        <w:rPr>
          <w:lang w:val="sr-Latn-RS"/>
        </w:rPr>
        <w:t xml:space="preserve"> se ne sm</w:t>
      </w:r>
      <w:r>
        <w:rPr>
          <w:lang w:val="sr-Latn-RS"/>
        </w:rPr>
        <w:t>ij</w:t>
      </w:r>
      <w:r w:rsidRPr="00AE2963">
        <w:rPr>
          <w:lang w:val="sr-Latn-RS"/>
        </w:rPr>
        <w:t>e m</w:t>
      </w:r>
      <w:r>
        <w:rPr>
          <w:lang w:val="sr-Latn-RS"/>
        </w:rPr>
        <w:t>ij</w:t>
      </w:r>
      <w:r w:rsidRPr="00AE2963">
        <w:rPr>
          <w:lang w:val="sr-Latn-RS"/>
        </w:rPr>
        <w:t>ešati s</w:t>
      </w:r>
      <w:r>
        <w:rPr>
          <w:lang w:val="sr-Latn-RS"/>
        </w:rPr>
        <w:t>a</w:t>
      </w:r>
      <w:r w:rsidRPr="00AE2963">
        <w:rPr>
          <w:lang w:val="sr-Latn-RS"/>
        </w:rPr>
        <w:t xml:space="preserve"> drugim </w:t>
      </w:r>
      <w:r>
        <w:rPr>
          <w:lang w:val="sr-Latn-RS"/>
        </w:rPr>
        <w:t>ljekov</w:t>
      </w:r>
      <w:r w:rsidRPr="00AE2963">
        <w:rPr>
          <w:lang w:val="sr-Latn-RS"/>
        </w:rPr>
        <w:t>ima.</w:t>
      </w:r>
    </w:p>
    <w:p w14:paraId="2BD18016" w14:textId="77777777" w:rsidR="00ED3518" w:rsidRPr="00AE2963" w:rsidRDefault="00ED3518" w:rsidP="00ED3518">
      <w:pPr>
        <w:pStyle w:val="BodyText"/>
        <w:ind w:left="311" w:right="983"/>
        <w:jc w:val="both"/>
        <w:rPr>
          <w:lang w:val="sr-Latn-RS"/>
        </w:rPr>
      </w:pPr>
    </w:p>
    <w:p w14:paraId="1F2B9D11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spacing w:before="78"/>
        <w:rPr>
          <w:lang w:val="sr-Latn-RS"/>
        </w:rPr>
      </w:pPr>
      <w:r>
        <w:rPr>
          <w:lang w:val="sr-Latn-RS"/>
        </w:rPr>
        <w:t xml:space="preserve">6.3. </w:t>
      </w:r>
      <w:r w:rsidRPr="00AE2963">
        <w:rPr>
          <w:lang w:val="sr-Latn-RS"/>
        </w:rPr>
        <w:t>Rok upotrebe</w:t>
      </w:r>
    </w:p>
    <w:p w14:paraId="67355D2E" w14:textId="77777777" w:rsidR="00ED3518" w:rsidRPr="00AE2963" w:rsidRDefault="00ED3518" w:rsidP="00ED3518">
      <w:pPr>
        <w:pStyle w:val="BodyText"/>
        <w:spacing w:before="7"/>
        <w:rPr>
          <w:b/>
          <w:sz w:val="21"/>
          <w:lang w:val="sr-Latn-RS"/>
        </w:rPr>
      </w:pPr>
    </w:p>
    <w:p w14:paraId="05449CE9" w14:textId="77777777" w:rsidR="00ED3518" w:rsidRPr="00AE2963" w:rsidRDefault="00ED3518" w:rsidP="00ED3518">
      <w:pPr>
        <w:pStyle w:val="BodyText"/>
        <w:ind w:left="311"/>
        <w:rPr>
          <w:lang w:val="sr-Latn-RS"/>
        </w:rPr>
      </w:pPr>
      <w:r w:rsidRPr="00AE2963">
        <w:rPr>
          <w:lang w:val="sr-Latn-RS"/>
        </w:rPr>
        <w:t>Neotvorena bočica: 2 godine</w:t>
      </w:r>
    </w:p>
    <w:p w14:paraId="3444390A" w14:textId="77777777" w:rsidR="00ED3518" w:rsidRPr="00AE2963" w:rsidRDefault="00ED3518" w:rsidP="00ED3518">
      <w:pPr>
        <w:pStyle w:val="BodyText"/>
        <w:rPr>
          <w:lang w:val="sr-Latn-RS"/>
        </w:rPr>
      </w:pPr>
    </w:p>
    <w:p w14:paraId="384CF66C" w14:textId="77777777" w:rsidR="00ED3518" w:rsidRPr="00AE2963" w:rsidRDefault="00ED3518" w:rsidP="00ED3518">
      <w:pPr>
        <w:pStyle w:val="BodyText"/>
        <w:ind w:left="311" w:right="970"/>
        <w:jc w:val="both"/>
        <w:rPr>
          <w:lang w:val="sr-Latn-RS"/>
        </w:rPr>
      </w:pPr>
      <w:r w:rsidRPr="00AE2963">
        <w:rPr>
          <w:u w:val="single"/>
          <w:lang w:val="sr-Latn-RS"/>
        </w:rPr>
        <w:t>Zajedno upakovane</w:t>
      </w:r>
      <w:r>
        <w:rPr>
          <w:u w:val="single"/>
          <w:lang w:val="sr-Latn-RS"/>
        </w:rPr>
        <w:t xml:space="preserve"> višedozne</w:t>
      </w:r>
      <w:r w:rsidRPr="00AE2963">
        <w:rPr>
          <w:u w:val="single"/>
          <w:lang w:val="sr-Latn-RS"/>
        </w:rPr>
        <w:t xml:space="preserve"> bočice od 1332 mg</w:t>
      </w:r>
    </w:p>
    <w:p w14:paraId="7B965324" w14:textId="77777777" w:rsidR="00ED3518" w:rsidRPr="00AE2963" w:rsidRDefault="00ED3518" w:rsidP="00ED3518">
      <w:pPr>
        <w:pStyle w:val="BodyText"/>
        <w:spacing w:before="1"/>
        <w:ind w:right="970"/>
        <w:jc w:val="both"/>
        <w:rPr>
          <w:sz w:val="14"/>
          <w:lang w:val="sr-Latn-RS"/>
        </w:rPr>
      </w:pPr>
    </w:p>
    <w:p w14:paraId="510077F9" w14:textId="72D7F57B" w:rsidR="00ED3518" w:rsidRPr="00AE2963" w:rsidRDefault="00ED3518" w:rsidP="00ED3518">
      <w:pPr>
        <w:pStyle w:val="BodyText"/>
        <w:spacing w:before="92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 xml:space="preserve">Nakon </w:t>
      </w:r>
      <w:r>
        <w:rPr>
          <w:lang w:val="sr-Latn-RS"/>
        </w:rPr>
        <w:t>prvog uvođenja igle u bočicu</w:t>
      </w:r>
      <w:r w:rsidRPr="00AE2963">
        <w:rPr>
          <w:lang w:val="sr-Latn-RS"/>
        </w:rPr>
        <w:t>: Ako se ne iskoristi odmah, proizvod u bočici se može čuvati do 16 s</w:t>
      </w:r>
      <w:r w:rsidR="002F67A1">
        <w:rPr>
          <w:lang w:val="sr-Latn-RS"/>
        </w:rPr>
        <w:t>ati na sobnoj temperaturi do 25</w:t>
      </w:r>
      <w:r w:rsidRPr="00AE2963">
        <w:rPr>
          <w:lang w:val="sr-Latn-RS"/>
        </w:rPr>
        <w:t xml:space="preserve">°C ili u frižideru (na 2 </w:t>
      </w:r>
      <w:r w:rsidR="008579C3" w:rsidRPr="008579C3">
        <w:rPr>
          <w:lang w:val="sr-Latn-RS"/>
        </w:rPr>
        <w:t xml:space="preserve">°C </w:t>
      </w:r>
      <w:r w:rsidRPr="00AE2963">
        <w:rPr>
          <w:lang w:val="sr-Latn-RS"/>
        </w:rPr>
        <w:t>do 8 °C) najduže 48 sati. Izvan tih perioda i uslova, skladištenje tokom upotrebe predstavlja odgovornost korisnika.</w:t>
      </w:r>
    </w:p>
    <w:p w14:paraId="1A077AE1" w14:textId="77777777" w:rsidR="00ED3518" w:rsidRPr="00AE2963" w:rsidRDefault="00ED3518" w:rsidP="00ED3518">
      <w:pPr>
        <w:pStyle w:val="BodyText"/>
        <w:spacing w:before="10"/>
        <w:ind w:right="970"/>
        <w:jc w:val="both"/>
        <w:rPr>
          <w:sz w:val="21"/>
          <w:lang w:val="sr-Latn-RS"/>
        </w:rPr>
      </w:pPr>
    </w:p>
    <w:p w14:paraId="2C01C109" w14:textId="77777777" w:rsidR="00ED3518" w:rsidRPr="00AE2963" w:rsidRDefault="00ED3518" w:rsidP="00ED3518">
      <w:pPr>
        <w:pStyle w:val="BodyText"/>
        <w:ind w:left="311" w:right="970"/>
        <w:jc w:val="both"/>
        <w:rPr>
          <w:lang w:val="sr-Latn-RS"/>
        </w:rPr>
      </w:pPr>
      <w:r w:rsidRPr="00AE2963">
        <w:rPr>
          <w:u w:val="single"/>
          <w:lang w:val="sr-Latn-RS"/>
        </w:rPr>
        <w:t xml:space="preserve">Razblažen rastvor za intravensku </w:t>
      </w:r>
      <w:r>
        <w:rPr>
          <w:u w:val="single"/>
          <w:lang w:val="sr-Latn-RS"/>
        </w:rPr>
        <w:t>primjen</w:t>
      </w:r>
      <w:r w:rsidRPr="00AE2963">
        <w:rPr>
          <w:u w:val="single"/>
          <w:lang w:val="sr-Latn-RS"/>
        </w:rPr>
        <w:t>u</w:t>
      </w:r>
    </w:p>
    <w:p w14:paraId="5A57520E" w14:textId="77777777" w:rsidR="00ED3518" w:rsidRPr="00AE2963" w:rsidRDefault="00ED3518" w:rsidP="00ED3518">
      <w:pPr>
        <w:pStyle w:val="BodyText"/>
        <w:spacing w:before="1"/>
        <w:ind w:right="970"/>
        <w:jc w:val="both"/>
        <w:rPr>
          <w:sz w:val="14"/>
          <w:lang w:val="sr-Latn-RS"/>
        </w:rPr>
      </w:pPr>
    </w:p>
    <w:p w14:paraId="62F3D07B" w14:textId="6093AE5B" w:rsidR="00ED3518" w:rsidRPr="00172477" w:rsidRDefault="00ED3518" w:rsidP="00ED3518">
      <w:pPr>
        <w:spacing w:before="91"/>
        <w:ind w:left="311" w:right="1047"/>
        <w:jc w:val="both"/>
        <w:rPr>
          <w:color w:val="1F2023"/>
          <w:lang w:val="sr-Latn-RS"/>
        </w:rPr>
      </w:pPr>
      <w:r w:rsidRPr="00172477">
        <w:rPr>
          <w:lang w:val="sr-Latn-RS"/>
        </w:rPr>
        <w:t>Rastvor u bočici potrebno je razblažiti pr</w:t>
      </w:r>
      <w:r>
        <w:rPr>
          <w:lang w:val="sr-Latn-RS"/>
        </w:rPr>
        <w:t>ij</w:t>
      </w:r>
      <w:r w:rsidRPr="00172477">
        <w:rPr>
          <w:lang w:val="sr-Latn-RS"/>
        </w:rPr>
        <w:t xml:space="preserve">e </w:t>
      </w:r>
      <w:r>
        <w:rPr>
          <w:lang w:val="sr-Latn-RS"/>
        </w:rPr>
        <w:t>primjen</w:t>
      </w:r>
      <w:r w:rsidRPr="00172477">
        <w:rPr>
          <w:lang w:val="sr-Latn-RS"/>
        </w:rPr>
        <w:t>e. Pripre</w:t>
      </w:r>
      <w:r>
        <w:rPr>
          <w:lang w:val="sr-Latn-RS"/>
        </w:rPr>
        <w:t>ml</w:t>
      </w:r>
      <w:r w:rsidRPr="00172477">
        <w:rPr>
          <w:lang w:val="sr-Latn-RS"/>
        </w:rPr>
        <w:t xml:space="preserve">jeni rastvor za infuziju je predviđen za trenutnu </w:t>
      </w:r>
      <w:r>
        <w:rPr>
          <w:lang w:val="sr-Latn-RS"/>
        </w:rPr>
        <w:t>primjen</w:t>
      </w:r>
      <w:r w:rsidRPr="00172477">
        <w:rPr>
          <w:lang w:val="sr-Latn-RS"/>
        </w:rPr>
        <w:t xml:space="preserve">u bez odlaganja. Hemijska i fizička stabilnost </w:t>
      </w:r>
      <w:r>
        <w:rPr>
          <w:lang w:val="sr-Latn-RS"/>
        </w:rPr>
        <w:t>lijek</w:t>
      </w:r>
      <w:r w:rsidRPr="00172477">
        <w:rPr>
          <w:lang w:val="sr-Latn-RS"/>
        </w:rPr>
        <w:t xml:space="preserve">a prilikom upotrebe pokazana je tokom 20 sati na sobnoj temperaturi (do 25°C) i 72 sata na temperaturi od 2°C do 8°C. </w:t>
      </w:r>
      <w:r w:rsidRPr="00172477">
        <w:rPr>
          <w:color w:val="1F2023"/>
          <w:lang w:val="sr-Latn-RS"/>
        </w:rPr>
        <w:t>S mikrobiološke tačke gledišta, pripre</w:t>
      </w:r>
      <w:r>
        <w:rPr>
          <w:color w:val="1F2023"/>
          <w:lang w:val="sr-Latn-RS"/>
        </w:rPr>
        <w:t>ml</w:t>
      </w:r>
      <w:r w:rsidRPr="00172477">
        <w:rPr>
          <w:color w:val="1F2023"/>
          <w:lang w:val="sr-Latn-RS"/>
        </w:rPr>
        <w:t>jeni rastvor za infuziju treba odmah upotr</w:t>
      </w:r>
      <w:r w:rsidR="00604192">
        <w:rPr>
          <w:color w:val="1F2023"/>
          <w:lang w:val="sr-Latn-RS"/>
        </w:rPr>
        <w:t>ij</w:t>
      </w:r>
      <w:r w:rsidRPr="00172477">
        <w:rPr>
          <w:color w:val="1F2023"/>
          <w:lang w:val="sr-Latn-RS"/>
        </w:rPr>
        <w:t>ebiti. Ukoliko se ne upotr</w:t>
      </w:r>
      <w:r w:rsidR="00604192">
        <w:rPr>
          <w:color w:val="1F2023"/>
          <w:lang w:val="sr-Latn-RS"/>
        </w:rPr>
        <w:t>ij</w:t>
      </w:r>
      <w:r w:rsidRPr="00172477">
        <w:rPr>
          <w:color w:val="1F2023"/>
          <w:lang w:val="sr-Latn-RS"/>
        </w:rPr>
        <w:t>ebi odmah, vr</w:t>
      </w:r>
      <w:r>
        <w:rPr>
          <w:color w:val="1F2023"/>
          <w:lang w:val="sr-Latn-RS"/>
        </w:rPr>
        <w:t>ij</w:t>
      </w:r>
      <w:r w:rsidRPr="00172477">
        <w:rPr>
          <w:color w:val="1F2023"/>
          <w:lang w:val="sr-Latn-RS"/>
        </w:rPr>
        <w:t xml:space="preserve">eme i uslovi čuvanja do </w:t>
      </w:r>
      <w:r>
        <w:rPr>
          <w:color w:val="1F2023"/>
          <w:lang w:val="sr-Latn-RS"/>
        </w:rPr>
        <w:t>primjen</w:t>
      </w:r>
      <w:r w:rsidRPr="00172477">
        <w:rPr>
          <w:color w:val="1F2023"/>
          <w:lang w:val="sr-Latn-RS"/>
        </w:rPr>
        <w:t xml:space="preserve">e </w:t>
      </w:r>
      <w:r>
        <w:rPr>
          <w:color w:val="1F2023"/>
          <w:lang w:val="sr-Latn-RS"/>
        </w:rPr>
        <w:t>lijek</w:t>
      </w:r>
      <w:r w:rsidRPr="00172477">
        <w:rPr>
          <w:color w:val="1F2023"/>
          <w:lang w:val="sr-Latn-RS"/>
        </w:rPr>
        <w:t>a jesu odgovornost korisnika. Pripre</w:t>
      </w:r>
      <w:r>
        <w:rPr>
          <w:color w:val="1F2023"/>
          <w:lang w:val="sr-Latn-RS"/>
        </w:rPr>
        <w:t>ml</w:t>
      </w:r>
      <w:r w:rsidRPr="00172477">
        <w:rPr>
          <w:color w:val="1F2023"/>
          <w:lang w:val="sr-Latn-RS"/>
        </w:rPr>
        <w:t xml:space="preserve">jeni </w:t>
      </w:r>
      <w:r>
        <w:rPr>
          <w:color w:val="1F2023"/>
          <w:lang w:val="sr-Latn-RS"/>
        </w:rPr>
        <w:t>lijek</w:t>
      </w:r>
      <w:r w:rsidRPr="00172477">
        <w:rPr>
          <w:color w:val="1F2023"/>
          <w:lang w:val="sr-Latn-RS"/>
        </w:rPr>
        <w:t xml:space="preserve"> ne bi sm</w:t>
      </w:r>
      <w:r>
        <w:rPr>
          <w:color w:val="1F2023"/>
          <w:lang w:val="sr-Latn-RS"/>
        </w:rPr>
        <w:t>i</w:t>
      </w:r>
      <w:r w:rsidRPr="00172477">
        <w:rPr>
          <w:color w:val="1F2023"/>
          <w:lang w:val="sr-Latn-RS"/>
        </w:rPr>
        <w:t>o da bude duže od 24 sata na temperaturi od 2</w:t>
      </w:r>
      <w:r w:rsidRPr="00172477">
        <w:rPr>
          <w:lang w:val="sr-Latn-RS"/>
        </w:rPr>
        <w:t>°C</w:t>
      </w:r>
      <w:r w:rsidRPr="00172477">
        <w:rPr>
          <w:color w:val="1F2023"/>
          <w:lang w:val="sr-Latn-RS"/>
        </w:rPr>
        <w:t xml:space="preserve"> do 8°C, osim ukoliko je razblaživanje sprovedeno u kontrolisanim i validiranim aseptičnim uslovima. </w:t>
      </w:r>
      <w:r w:rsidRPr="00172477">
        <w:rPr>
          <w:lang w:val="sr-Latn-RS"/>
        </w:rPr>
        <w:t>Ako se kesa za intravensku infuziju čuva u frižideru, pr</w:t>
      </w:r>
      <w:r>
        <w:rPr>
          <w:lang w:val="sr-Latn-RS"/>
        </w:rPr>
        <w:t>ij</w:t>
      </w:r>
      <w:r w:rsidRPr="00172477">
        <w:rPr>
          <w:lang w:val="sr-Latn-RS"/>
        </w:rPr>
        <w:t xml:space="preserve">e </w:t>
      </w:r>
      <w:r>
        <w:rPr>
          <w:lang w:val="sr-Latn-RS"/>
        </w:rPr>
        <w:t>primjen</w:t>
      </w:r>
      <w:r w:rsidRPr="00172477">
        <w:rPr>
          <w:lang w:val="sr-Latn-RS"/>
        </w:rPr>
        <w:t>e treba sačekati približno 30 minuta da dostigne sobnu temperaturu.</w:t>
      </w:r>
    </w:p>
    <w:p w14:paraId="158CB196" w14:textId="77777777" w:rsidR="00480881" w:rsidRPr="00AE2963" w:rsidRDefault="00480881" w:rsidP="00ED3518">
      <w:pPr>
        <w:pStyle w:val="BodyText"/>
        <w:spacing w:before="1"/>
        <w:jc w:val="both"/>
        <w:rPr>
          <w:lang w:val="sr-Latn-RS"/>
        </w:rPr>
      </w:pPr>
    </w:p>
    <w:p w14:paraId="7D4BD16A" w14:textId="77777777" w:rsidR="00ED3518" w:rsidRPr="00AE2963" w:rsidRDefault="00ED3518" w:rsidP="00ED3518">
      <w:pPr>
        <w:pStyle w:val="BodyText"/>
        <w:ind w:left="311"/>
        <w:jc w:val="both"/>
        <w:rPr>
          <w:lang w:val="sr-Latn-RS"/>
        </w:rPr>
      </w:pPr>
      <w:r w:rsidRPr="00AE2963">
        <w:rPr>
          <w:u w:val="single"/>
          <w:lang w:val="sr-Latn-RS"/>
        </w:rPr>
        <w:t>Čuvanje špriceva za su</w:t>
      </w:r>
      <w:r>
        <w:rPr>
          <w:u w:val="single"/>
          <w:lang w:val="sr-Latn-RS"/>
        </w:rPr>
        <w:t>b</w:t>
      </w:r>
      <w:r w:rsidRPr="00AE2963">
        <w:rPr>
          <w:u w:val="single"/>
          <w:lang w:val="sr-Latn-RS"/>
        </w:rPr>
        <w:t xml:space="preserve">kutanu </w:t>
      </w:r>
      <w:r>
        <w:rPr>
          <w:u w:val="single"/>
          <w:lang w:val="sr-Latn-RS"/>
        </w:rPr>
        <w:t>primjen</w:t>
      </w:r>
      <w:r w:rsidRPr="00AE2963">
        <w:rPr>
          <w:u w:val="single"/>
          <w:lang w:val="sr-Latn-RS"/>
        </w:rPr>
        <w:t>u</w:t>
      </w:r>
    </w:p>
    <w:p w14:paraId="60ADD926" w14:textId="77777777" w:rsidR="00ED3518" w:rsidRPr="00AE2963" w:rsidRDefault="00ED3518" w:rsidP="00ED3518">
      <w:pPr>
        <w:pStyle w:val="BodyText"/>
        <w:spacing w:before="1"/>
        <w:jc w:val="both"/>
        <w:rPr>
          <w:sz w:val="14"/>
          <w:lang w:val="sr-Latn-RS"/>
        </w:rPr>
      </w:pPr>
    </w:p>
    <w:p w14:paraId="08707A93" w14:textId="77777777" w:rsidR="00ED3518" w:rsidRPr="00172477" w:rsidRDefault="00ED3518" w:rsidP="00ED3518">
      <w:pPr>
        <w:spacing w:before="91"/>
        <w:ind w:left="311" w:right="1047"/>
        <w:jc w:val="both"/>
        <w:rPr>
          <w:lang w:val="sr-Latn-RS"/>
        </w:rPr>
      </w:pPr>
      <w:r w:rsidRPr="00172477">
        <w:rPr>
          <w:lang w:val="sr-Latn-RS"/>
        </w:rPr>
        <w:t>Pripre</w:t>
      </w:r>
      <w:r>
        <w:rPr>
          <w:lang w:val="sr-Latn-RS"/>
        </w:rPr>
        <w:t>ml</w:t>
      </w:r>
      <w:r w:rsidRPr="00172477">
        <w:rPr>
          <w:lang w:val="sr-Latn-RS"/>
        </w:rPr>
        <w:t xml:space="preserve">jene špriceve treba odmah </w:t>
      </w:r>
      <w:r>
        <w:rPr>
          <w:lang w:val="sr-Latn-RS"/>
        </w:rPr>
        <w:t>primijen</w:t>
      </w:r>
      <w:r w:rsidRPr="00172477">
        <w:rPr>
          <w:lang w:val="sr-Latn-RS"/>
        </w:rPr>
        <w:t xml:space="preserve">iti. Postoje podaci o hemijskoj i fizičkoj stabilnosti </w:t>
      </w:r>
      <w:r>
        <w:rPr>
          <w:lang w:val="sr-Latn-RS"/>
        </w:rPr>
        <w:t>lijek</w:t>
      </w:r>
      <w:r w:rsidRPr="00172477">
        <w:rPr>
          <w:lang w:val="sr-Latn-RS"/>
        </w:rPr>
        <w:t xml:space="preserve">a </w:t>
      </w:r>
      <w:r w:rsidRPr="00172477">
        <w:rPr>
          <w:lang w:val="sr-Latn-RS"/>
        </w:rPr>
        <w:lastRenderedPageBreak/>
        <w:t>prilikom upotrebe tokom 24 sata na sobnoj temperaturi (do 25°C ) i 72 sata na temperaturi od 2°C do 8°C. Ukoliko se ne upotr</w:t>
      </w:r>
      <w:r>
        <w:rPr>
          <w:lang w:val="sr-Latn-RS"/>
        </w:rPr>
        <w:t>ij</w:t>
      </w:r>
      <w:r w:rsidRPr="00172477">
        <w:rPr>
          <w:lang w:val="sr-Latn-RS"/>
        </w:rPr>
        <w:t xml:space="preserve">ebi odmah, </w:t>
      </w:r>
      <w:r w:rsidRPr="00172477">
        <w:rPr>
          <w:color w:val="1F2023"/>
          <w:lang w:val="sr-Latn-RS"/>
        </w:rPr>
        <w:t>vr</w:t>
      </w:r>
      <w:r>
        <w:rPr>
          <w:color w:val="1F2023"/>
          <w:lang w:val="sr-Latn-RS"/>
        </w:rPr>
        <w:t>ij</w:t>
      </w:r>
      <w:r w:rsidRPr="00172477">
        <w:rPr>
          <w:color w:val="1F2023"/>
          <w:lang w:val="sr-Latn-RS"/>
        </w:rPr>
        <w:t xml:space="preserve">eme i uslovi čuvanja do </w:t>
      </w:r>
      <w:r>
        <w:rPr>
          <w:color w:val="1F2023"/>
          <w:lang w:val="sr-Latn-RS"/>
        </w:rPr>
        <w:t>primjen</w:t>
      </w:r>
      <w:r w:rsidRPr="00172477">
        <w:rPr>
          <w:color w:val="1F2023"/>
          <w:lang w:val="sr-Latn-RS"/>
        </w:rPr>
        <w:t xml:space="preserve">e </w:t>
      </w:r>
      <w:r>
        <w:rPr>
          <w:color w:val="1F2023"/>
          <w:lang w:val="sr-Latn-RS"/>
        </w:rPr>
        <w:t>lijek</w:t>
      </w:r>
      <w:r w:rsidRPr="00172477">
        <w:rPr>
          <w:color w:val="1F2023"/>
          <w:lang w:val="sr-Latn-RS"/>
        </w:rPr>
        <w:t xml:space="preserve">a </w:t>
      </w:r>
      <w:r w:rsidRPr="00172477">
        <w:rPr>
          <w:lang w:val="sr-Latn-RS"/>
        </w:rPr>
        <w:t>jesu odgovornost korisnika</w:t>
      </w:r>
      <w:r w:rsidRPr="00172477">
        <w:rPr>
          <w:color w:val="1F2023"/>
          <w:lang w:val="sr-Latn-RS"/>
        </w:rPr>
        <w:t>. Pripre</w:t>
      </w:r>
      <w:r>
        <w:rPr>
          <w:color w:val="1F2023"/>
          <w:lang w:val="sr-Latn-RS"/>
        </w:rPr>
        <w:t>ml</w:t>
      </w:r>
      <w:r w:rsidRPr="00172477">
        <w:rPr>
          <w:color w:val="1F2023"/>
          <w:lang w:val="sr-Latn-RS"/>
        </w:rPr>
        <w:t xml:space="preserve">jeni </w:t>
      </w:r>
      <w:r>
        <w:rPr>
          <w:color w:val="1F2023"/>
          <w:lang w:val="sr-Latn-RS"/>
        </w:rPr>
        <w:t>lijek</w:t>
      </w:r>
      <w:r w:rsidRPr="00172477">
        <w:rPr>
          <w:color w:val="1F2023"/>
          <w:lang w:val="sr-Latn-RS"/>
        </w:rPr>
        <w:t xml:space="preserve"> ne bi sm</w:t>
      </w:r>
      <w:r>
        <w:rPr>
          <w:color w:val="1F2023"/>
          <w:lang w:val="sr-Latn-RS"/>
        </w:rPr>
        <w:t>i</w:t>
      </w:r>
      <w:r w:rsidRPr="00172477">
        <w:rPr>
          <w:color w:val="1F2023"/>
          <w:lang w:val="sr-Latn-RS"/>
        </w:rPr>
        <w:t>o da bude duže od 24 sata na temperaturi od 2</w:t>
      </w:r>
      <w:r w:rsidRPr="00172477">
        <w:rPr>
          <w:lang w:val="sr-Latn-RS"/>
        </w:rPr>
        <w:t>°C</w:t>
      </w:r>
      <w:r w:rsidRPr="00172477">
        <w:rPr>
          <w:color w:val="1F2023"/>
          <w:lang w:val="sr-Latn-RS"/>
        </w:rPr>
        <w:t xml:space="preserve"> do 8°C, osim ukoliko je </w:t>
      </w:r>
      <w:r w:rsidRPr="00172477">
        <w:rPr>
          <w:lang w:val="sr-Latn-RS"/>
        </w:rPr>
        <w:t>priprema sprovedena u kontrolisanim i validiranim aseptičnim uslovima. Ako se špricevi čuvaju u frižideru, pr</w:t>
      </w:r>
      <w:r>
        <w:rPr>
          <w:lang w:val="sr-Latn-RS"/>
        </w:rPr>
        <w:t>ij</w:t>
      </w:r>
      <w:r w:rsidRPr="00172477">
        <w:rPr>
          <w:lang w:val="sr-Latn-RS"/>
        </w:rPr>
        <w:t xml:space="preserve">e </w:t>
      </w:r>
      <w:r>
        <w:rPr>
          <w:lang w:val="sr-Latn-RS"/>
        </w:rPr>
        <w:t>primjen</w:t>
      </w:r>
      <w:r w:rsidRPr="00172477">
        <w:rPr>
          <w:lang w:val="sr-Latn-RS"/>
        </w:rPr>
        <w:t>e treba sačekati približno 10-15 minuta da dostignu sobnu temperaturu.</w:t>
      </w:r>
    </w:p>
    <w:p w14:paraId="5E1AFEDD" w14:textId="77777777" w:rsidR="00ED3518" w:rsidRPr="00AE2963" w:rsidRDefault="00ED3518" w:rsidP="00ED3518">
      <w:pPr>
        <w:pStyle w:val="BodyText"/>
        <w:spacing w:before="3"/>
        <w:jc w:val="both"/>
        <w:rPr>
          <w:lang w:val="sr-Latn-RS"/>
        </w:rPr>
      </w:pPr>
    </w:p>
    <w:p w14:paraId="4CB05D98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6.4. </w:t>
      </w:r>
      <w:r w:rsidRPr="00AE2963">
        <w:rPr>
          <w:lang w:val="sr-Latn-RS"/>
        </w:rPr>
        <w:t>Posebne m</w:t>
      </w:r>
      <w:r>
        <w:rPr>
          <w:lang w:val="sr-Latn-RS"/>
        </w:rPr>
        <w:t>j</w:t>
      </w:r>
      <w:r w:rsidRPr="00AE2963">
        <w:rPr>
          <w:lang w:val="sr-Latn-RS"/>
        </w:rPr>
        <w:t>ere opreza pri čuvanju</w:t>
      </w:r>
      <w:r>
        <w:rPr>
          <w:lang w:val="sr-Latn-RS"/>
        </w:rPr>
        <w:t xml:space="preserve"> lijeka</w:t>
      </w:r>
    </w:p>
    <w:p w14:paraId="25036CFB" w14:textId="77777777" w:rsidR="00ED3518" w:rsidRPr="00AE2963" w:rsidRDefault="00ED3518" w:rsidP="00ED3518">
      <w:pPr>
        <w:pStyle w:val="BodyText"/>
        <w:spacing w:before="5"/>
        <w:rPr>
          <w:b/>
          <w:sz w:val="26"/>
          <w:lang w:val="sr-Latn-RS"/>
        </w:rPr>
      </w:pPr>
    </w:p>
    <w:p w14:paraId="0F78AE15" w14:textId="3B97270E" w:rsidR="00ED3518" w:rsidRDefault="00ED3518" w:rsidP="00ED3518">
      <w:pPr>
        <w:pStyle w:val="BodyText"/>
        <w:spacing w:line="266" w:lineRule="auto"/>
        <w:ind w:left="311" w:right="6860"/>
        <w:rPr>
          <w:lang w:val="sr-Latn-RS"/>
        </w:rPr>
      </w:pPr>
      <w:r>
        <w:rPr>
          <w:lang w:val="sr-Latn-RS"/>
        </w:rPr>
        <w:t>Čuvati</w:t>
      </w:r>
      <w:r w:rsidRPr="00AE2963">
        <w:rPr>
          <w:lang w:val="sr-Latn-RS"/>
        </w:rPr>
        <w:t xml:space="preserve"> u frižideru (2</w:t>
      </w:r>
      <w:r w:rsidR="00604192" w:rsidRPr="00AE2963">
        <w:rPr>
          <w:lang w:val="sr-Latn-RS"/>
        </w:rPr>
        <w:t xml:space="preserve">°C </w:t>
      </w:r>
      <w:r w:rsidR="00604192">
        <w:rPr>
          <w:lang w:val="sr-Latn-RS"/>
        </w:rPr>
        <w:t xml:space="preserve">- </w:t>
      </w:r>
      <w:r w:rsidRPr="00AE2963">
        <w:rPr>
          <w:lang w:val="sr-Latn-RS"/>
        </w:rPr>
        <w:t xml:space="preserve">8 °C). </w:t>
      </w:r>
    </w:p>
    <w:p w14:paraId="23BB0764" w14:textId="77777777" w:rsidR="00ED3518" w:rsidRPr="00AE2963" w:rsidRDefault="00ED3518" w:rsidP="00ED3518">
      <w:pPr>
        <w:pStyle w:val="BodyText"/>
        <w:spacing w:line="266" w:lineRule="auto"/>
        <w:ind w:left="311" w:right="6860"/>
        <w:rPr>
          <w:lang w:val="sr-Latn-RS"/>
        </w:rPr>
      </w:pPr>
      <w:r>
        <w:rPr>
          <w:lang w:val="sr-Latn-RS"/>
        </w:rPr>
        <w:t>Ne zamrzavati</w:t>
      </w:r>
      <w:r w:rsidRPr="00AE2963">
        <w:rPr>
          <w:lang w:val="sr-Latn-RS"/>
        </w:rPr>
        <w:t>.</w:t>
      </w:r>
    </w:p>
    <w:p w14:paraId="59173DCD" w14:textId="77777777" w:rsidR="00ED3518" w:rsidRPr="00AE2963" w:rsidRDefault="00ED3518" w:rsidP="00ED3518">
      <w:pPr>
        <w:pStyle w:val="BodyText"/>
        <w:spacing w:line="251" w:lineRule="exact"/>
        <w:ind w:left="311"/>
        <w:rPr>
          <w:lang w:val="sr-Latn-RS"/>
        </w:rPr>
      </w:pPr>
      <w:r>
        <w:rPr>
          <w:lang w:val="sr-Latn-RS"/>
        </w:rPr>
        <w:t>Ne mućkati</w:t>
      </w:r>
      <w:r w:rsidRPr="00AE2963">
        <w:rPr>
          <w:lang w:val="sr-Latn-RS"/>
        </w:rPr>
        <w:t>.</w:t>
      </w:r>
    </w:p>
    <w:p w14:paraId="6BAABD55" w14:textId="56C017D6" w:rsidR="00ED3518" w:rsidRDefault="00ED3518" w:rsidP="00ED3518">
      <w:pPr>
        <w:pStyle w:val="BodyText"/>
        <w:spacing w:before="28"/>
        <w:ind w:left="311"/>
        <w:rPr>
          <w:lang w:val="sr-Latn-RS"/>
        </w:rPr>
      </w:pPr>
      <w:r w:rsidRPr="00AE2963">
        <w:rPr>
          <w:lang w:val="sr-Latn-RS"/>
        </w:rPr>
        <w:t>Bočice čuva</w:t>
      </w:r>
      <w:r>
        <w:rPr>
          <w:lang w:val="sr-Latn-RS"/>
        </w:rPr>
        <w:t>ti</w:t>
      </w:r>
      <w:r w:rsidRPr="00AE2963">
        <w:rPr>
          <w:lang w:val="sr-Latn-RS"/>
        </w:rPr>
        <w:t xml:space="preserve"> u originalnom kartonskom pakovanju </w:t>
      </w:r>
      <w:r>
        <w:rPr>
          <w:lang w:val="sr-Latn-RS"/>
        </w:rPr>
        <w:t>radi zaštite</w:t>
      </w:r>
      <w:r w:rsidRPr="00AE2963">
        <w:rPr>
          <w:lang w:val="sr-Latn-RS"/>
        </w:rPr>
        <w:t xml:space="preserve"> od sv</w:t>
      </w:r>
      <w:r>
        <w:rPr>
          <w:lang w:val="sr-Latn-RS"/>
        </w:rPr>
        <w:t>j</w:t>
      </w:r>
      <w:r w:rsidRPr="00AE2963">
        <w:rPr>
          <w:lang w:val="sr-Latn-RS"/>
        </w:rPr>
        <w:t>etlosti.</w:t>
      </w:r>
    </w:p>
    <w:p w14:paraId="225F5126" w14:textId="77777777" w:rsidR="002F67A1" w:rsidRPr="00AE2963" w:rsidRDefault="002F67A1" w:rsidP="00D33711">
      <w:pPr>
        <w:pStyle w:val="BodyText"/>
        <w:ind w:left="311"/>
        <w:rPr>
          <w:lang w:val="sr-Latn-RS"/>
        </w:rPr>
      </w:pPr>
    </w:p>
    <w:p w14:paraId="102E5A3F" w14:textId="77777777" w:rsidR="00ED3518" w:rsidRPr="00AE2963" w:rsidRDefault="00ED3518" w:rsidP="00D33711">
      <w:pPr>
        <w:pStyle w:val="BodyText"/>
        <w:ind w:left="311"/>
        <w:rPr>
          <w:lang w:val="sr-Latn-RS"/>
        </w:rPr>
      </w:pPr>
      <w:r w:rsidRPr="00AE2963">
        <w:rPr>
          <w:lang w:val="sr-Latn-RS"/>
        </w:rPr>
        <w:t xml:space="preserve">Za uslove čuvanja nakon razblaživanja </w:t>
      </w:r>
      <w:r>
        <w:rPr>
          <w:lang w:val="sr-Latn-RS"/>
        </w:rPr>
        <w:t>lijek</w:t>
      </w:r>
      <w:r w:rsidRPr="00AE2963">
        <w:rPr>
          <w:lang w:val="sr-Latn-RS"/>
        </w:rPr>
        <w:t>a vid</w:t>
      </w:r>
      <w:r>
        <w:rPr>
          <w:lang w:val="sr-Latn-RS"/>
        </w:rPr>
        <w:t>j</w:t>
      </w:r>
      <w:r w:rsidRPr="00AE2963">
        <w:rPr>
          <w:lang w:val="sr-Latn-RS"/>
        </w:rPr>
        <w:t xml:space="preserve">eti </w:t>
      </w:r>
      <w:r>
        <w:rPr>
          <w:lang w:val="sr-Latn-RS"/>
        </w:rPr>
        <w:t>dio</w:t>
      </w:r>
      <w:r w:rsidRPr="00AE2963">
        <w:rPr>
          <w:lang w:val="sr-Latn-RS"/>
        </w:rPr>
        <w:t xml:space="preserve"> 6.3.</w:t>
      </w:r>
    </w:p>
    <w:p w14:paraId="5D48D9CF" w14:textId="77777777" w:rsidR="00ED3518" w:rsidRPr="00AE2963" w:rsidRDefault="00ED3518" w:rsidP="00ED3518">
      <w:pPr>
        <w:pStyle w:val="BodyText"/>
        <w:spacing w:before="6"/>
        <w:rPr>
          <w:sz w:val="24"/>
          <w:lang w:val="sr-Latn-RS"/>
        </w:rPr>
      </w:pPr>
    </w:p>
    <w:p w14:paraId="4ED8B982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>6.5. Vrsta</w:t>
      </w:r>
      <w:r w:rsidRPr="00AE2963">
        <w:rPr>
          <w:lang w:val="sr-Latn-RS"/>
        </w:rPr>
        <w:t xml:space="preserve"> i sadržaj </w:t>
      </w:r>
      <w:r>
        <w:rPr>
          <w:lang w:val="sr-Latn-RS"/>
        </w:rPr>
        <w:t>pakovanja</w:t>
      </w:r>
    </w:p>
    <w:p w14:paraId="6B518BDD" w14:textId="77777777" w:rsidR="00ED3518" w:rsidRPr="00AE2963" w:rsidRDefault="00ED3518" w:rsidP="00ED3518">
      <w:pPr>
        <w:pStyle w:val="BodyText"/>
        <w:spacing w:before="5"/>
        <w:rPr>
          <w:b/>
          <w:sz w:val="26"/>
          <w:lang w:val="sr-Latn-RS"/>
        </w:rPr>
      </w:pPr>
    </w:p>
    <w:p w14:paraId="326F7CBF" w14:textId="77777777" w:rsidR="00ED3518" w:rsidRPr="00AE2963" w:rsidRDefault="00ED3518" w:rsidP="00ED3518">
      <w:pPr>
        <w:pStyle w:val="BodyText"/>
        <w:spacing w:before="1"/>
        <w:ind w:left="311" w:right="970"/>
        <w:rPr>
          <w:lang w:val="sr-Latn-RS"/>
        </w:rPr>
      </w:pPr>
      <w:r>
        <w:rPr>
          <w:lang w:val="sr-Latn-RS"/>
        </w:rPr>
        <w:t>Lijek</w:t>
      </w:r>
      <w:r w:rsidRPr="00AE2963">
        <w:rPr>
          <w:lang w:val="sr-Latn-RS"/>
        </w:rPr>
        <w:t xml:space="preserve"> Ronapreve se isporučuje u providnim bočicama od stakla tipa 1</w:t>
      </w:r>
      <w:r>
        <w:rPr>
          <w:lang w:val="sr-Latn-RS"/>
        </w:rPr>
        <w:t>, zapremine</w:t>
      </w:r>
      <w:r w:rsidRPr="00AE2963">
        <w:rPr>
          <w:lang w:val="sr-Latn-RS"/>
        </w:rPr>
        <w:t xml:space="preserve"> od 20 </w:t>
      </w:r>
      <w:r>
        <w:rPr>
          <w:lang w:val="sr-Latn-RS"/>
        </w:rPr>
        <w:t>ml</w:t>
      </w:r>
      <w:r w:rsidRPr="00AE2963">
        <w:rPr>
          <w:lang w:val="sr-Latn-RS"/>
        </w:rPr>
        <w:t>.</w:t>
      </w:r>
    </w:p>
    <w:p w14:paraId="7A116EBE" w14:textId="77777777" w:rsidR="00ED3518" w:rsidRPr="00AE2963" w:rsidRDefault="00ED3518" w:rsidP="00ED3518">
      <w:pPr>
        <w:pStyle w:val="BodyText"/>
        <w:ind w:right="970"/>
        <w:rPr>
          <w:lang w:val="sr-Latn-RS"/>
        </w:rPr>
      </w:pPr>
    </w:p>
    <w:p w14:paraId="09D27A8B" w14:textId="77777777" w:rsidR="00ED3518" w:rsidRDefault="00ED3518" w:rsidP="00ED3518">
      <w:pPr>
        <w:pStyle w:val="BodyText"/>
        <w:spacing w:line="266" w:lineRule="auto"/>
        <w:ind w:left="311" w:right="970"/>
        <w:jc w:val="both"/>
        <w:rPr>
          <w:u w:val="single"/>
          <w:lang w:val="sr-Latn-RS"/>
        </w:rPr>
      </w:pPr>
      <w:r>
        <w:rPr>
          <w:u w:val="single"/>
          <w:lang w:val="sr-Latn-RS"/>
        </w:rPr>
        <w:t>Lijek</w:t>
      </w:r>
      <w:r w:rsidRPr="00AE2963">
        <w:rPr>
          <w:u w:val="single"/>
          <w:lang w:val="sr-Latn-RS"/>
        </w:rPr>
        <w:t>a Ronapreve</w:t>
      </w:r>
      <w:r>
        <w:rPr>
          <w:u w:val="single"/>
          <w:lang w:val="sr-Latn-RS"/>
        </w:rPr>
        <w:t>,</w:t>
      </w:r>
      <w:r w:rsidRPr="00AE2963">
        <w:rPr>
          <w:u w:val="single"/>
          <w:lang w:val="sr-Latn-RS"/>
        </w:rPr>
        <w:t xml:space="preserve"> 120 mg/</w:t>
      </w:r>
      <w:r>
        <w:rPr>
          <w:u w:val="single"/>
          <w:lang w:val="sr-Latn-RS"/>
        </w:rPr>
        <w:t>ml</w:t>
      </w:r>
      <w:r w:rsidRPr="00AE2963">
        <w:rPr>
          <w:u w:val="single"/>
          <w:lang w:val="sr-Latn-RS"/>
        </w:rPr>
        <w:t>+ 120 mg/</w:t>
      </w:r>
      <w:r>
        <w:rPr>
          <w:u w:val="single"/>
          <w:lang w:val="sr-Latn-RS"/>
        </w:rPr>
        <w:t>ml</w:t>
      </w:r>
      <w:r w:rsidRPr="00AE2963">
        <w:rPr>
          <w:u w:val="single"/>
          <w:lang w:val="sr-Latn-RS"/>
        </w:rPr>
        <w:t xml:space="preserve"> rastvor za injekciju/infuziju</w:t>
      </w:r>
      <w:r>
        <w:rPr>
          <w:u w:val="single"/>
          <w:lang w:val="sr-Latn-RS"/>
        </w:rPr>
        <w:t>, višedozne bočice</w:t>
      </w:r>
    </w:p>
    <w:p w14:paraId="6AB3E25D" w14:textId="77777777" w:rsidR="00ED3518" w:rsidRPr="00AE2963" w:rsidRDefault="00ED3518" w:rsidP="00ED3518">
      <w:pPr>
        <w:pStyle w:val="BodyText"/>
        <w:spacing w:line="266" w:lineRule="auto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>Svako kartonsko pakovanje sadrži po 1 bočicu svakog antit</w:t>
      </w:r>
      <w:r>
        <w:rPr>
          <w:lang w:val="sr-Latn-RS"/>
        </w:rPr>
        <w:t>ij</w:t>
      </w:r>
      <w:r w:rsidRPr="00AE2963">
        <w:rPr>
          <w:lang w:val="sr-Latn-RS"/>
        </w:rPr>
        <w:t>ela:</w:t>
      </w:r>
    </w:p>
    <w:p w14:paraId="11FFE8A6" w14:textId="77777777" w:rsidR="00ED3518" w:rsidRPr="00AE2963" w:rsidRDefault="00ED3518" w:rsidP="00ED3518">
      <w:pPr>
        <w:pStyle w:val="BodyText"/>
        <w:spacing w:line="224" w:lineRule="exact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>Pakovanje od dv</w:t>
      </w:r>
      <w:r>
        <w:rPr>
          <w:lang w:val="sr-Latn-RS"/>
        </w:rPr>
        <w:t>ij</w:t>
      </w:r>
      <w:r w:rsidRPr="00AE2963">
        <w:rPr>
          <w:lang w:val="sr-Latn-RS"/>
        </w:rPr>
        <w:t xml:space="preserve">e bočice </w:t>
      </w:r>
      <w:r>
        <w:rPr>
          <w:lang w:val="sr-Latn-RS"/>
        </w:rPr>
        <w:t xml:space="preserve">zapremine </w:t>
      </w:r>
      <w:r w:rsidRPr="00AE2963">
        <w:rPr>
          <w:lang w:val="sr-Latn-RS"/>
        </w:rPr>
        <w:t xml:space="preserve">od 20 </w:t>
      </w:r>
      <w:r>
        <w:rPr>
          <w:lang w:val="sr-Latn-RS"/>
        </w:rPr>
        <w:t xml:space="preserve">ml </w:t>
      </w:r>
      <w:r w:rsidRPr="00AE2963">
        <w:rPr>
          <w:lang w:val="sr-Latn-RS"/>
        </w:rPr>
        <w:t>od stakla tipa I</w:t>
      </w:r>
      <w:r>
        <w:rPr>
          <w:lang w:val="sr-Latn-RS"/>
        </w:rPr>
        <w:t>,</w:t>
      </w:r>
      <w:r w:rsidRPr="00AE2963">
        <w:rPr>
          <w:lang w:val="sr-Latn-RS"/>
        </w:rPr>
        <w:t xml:space="preserve"> sa </w:t>
      </w:r>
      <w:r>
        <w:rPr>
          <w:lang w:val="sr-Latn-RS"/>
        </w:rPr>
        <w:t>čepom</w:t>
      </w:r>
      <w:r w:rsidRPr="00AE2963">
        <w:rPr>
          <w:lang w:val="sr-Latn-RS"/>
        </w:rPr>
        <w:t xml:space="preserve"> od butil gume</w:t>
      </w:r>
      <w:r>
        <w:rPr>
          <w:lang w:val="sr-Latn-RS"/>
        </w:rPr>
        <w:t xml:space="preserve">, </w:t>
      </w:r>
      <w:r w:rsidRPr="00AE2963">
        <w:rPr>
          <w:lang w:val="sr-Latn-RS"/>
        </w:rPr>
        <w:t xml:space="preserve">koje sadrži jednu bočicu od 11,1 </w:t>
      </w:r>
      <w:r>
        <w:rPr>
          <w:lang w:val="sr-Latn-RS"/>
        </w:rPr>
        <w:t xml:space="preserve">ml </w:t>
      </w:r>
      <w:r w:rsidRPr="00AE2963">
        <w:rPr>
          <w:lang w:val="sr-Latn-RS"/>
        </w:rPr>
        <w:t>rastvora od 1332 mg kasirivimaba i jedn</w:t>
      </w:r>
      <w:r>
        <w:rPr>
          <w:lang w:val="sr-Latn-RS"/>
        </w:rPr>
        <w:t>u</w:t>
      </w:r>
      <w:r w:rsidRPr="00AE2963">
        <w:rPr>
          <w:lang w:val="sr-Latn-RS"/>
        </w:rPr>
        <w:t xml:space="preserve"> bočic</w:t>
      </w:r>
      <w:r>
        <w:rPr>
          <w:lang w:val="sr-Latn-RS"/>
        </w:rPr>
        <w:t>u</w:t>
      </w:r>
      <w:r w:rsidRPr="00AE2963">
        <w:rPr>
          <w:lang w:val="sr-Latn-RS"/>
        </w:rPr>
        <w:t xml:space="preserve"> sa 11,1 </w:t>
      </w:r>
      <w:r>
        <w:rPr>
          <w:lang w:val="sr-Latn-RS"/>
        </w:rPr>
        <w:t xml:space="preserve">ml </w:t>
      </w:r>
      <w:r w:rsidRPr="00AE2963">
        <w:rPr>
          <w:lang w:val="sr-Latn-RS"/>
        </w:rPr>
        <w:t>rastvora od 1332 mg imdevimaba.</w:t>
      </w:r>
    </w:p>
    <w:p w14:paraId="218CDA22" w14:textId="77777777" w:rsidR="00ED3518" w:rsidRPr="00AE2963" w:rsidRDefault="00ED3518" w:rsidP="00ED3518">
      <w:pPr>
        <w:pStyle w:val="BodyText"/>
        <w:spacing w:before="5"/>
        <w:ind w:right="970"/>
        <w:rPr>
          <w:lang w:val="sr-Latn-RS"/>
        </w:rPr>
      </w:pPr>
    </w:p>
    <w:p w14:paraId="33991C2D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ind w:right="970"/>
        <w:rPr>
          <w:lang w:val="sr-Latn-RS"/>
        </w:rPr>
      </w:pPr>
      <w:r>
        <w:rPr>
          <w:lang w:val="sr-Latn-RS"/>
        </w:rPr>
        <w:t xml:space="preserve">6.6. </w:t>
      </w:r>
      <w:r w:rsidRPr="00AE2963">
        <w:rPr>
          <w:lang w:val="sr-Latn-RS"/>
        </w:rPr>
        <w:t>Posebne m</w:t>
      </w:r>
      <w:r>
        <w:rPr>
          <w:lang w:val="sr-Latn-RS"/>
        </w:rPr>
        <w:t>j</w:t>
      </w:r>
      <w:r w:rsidRPr="00AE2963">
        <w:rPr>
          <w:lang w:val="sr-Latn-RS"/>
        </w:rPr>
        <w:t xml:space="preserve">ere opreza pri odlaganju materijala koji treba odbaciti nakon </w:t>
      </w:r>
      <w:r>
        <w:rPr>
          <w:lang w:val="sr-Latn-RS"/>
        </w:rPr>
        <w:t>primjen</w:t>
      </w:r>
      <w:r w:rsidRPr="00AE2963">
        <w:rPr>
          <w:lang w:val="sr-Latn-RS"/>
        </w:rPr>
        <w:t>e l</w:t>
      </w:r>
      <w:r>
        <w:rPr>
          <w:lang w:val="sr-Latn-RS"/>
        </w:rPr>
        <w:t>ij</w:t>
      </w:r>
      <w:r w:rsidRPr="00AE2963">
        <w:rPr>
          <w:lang w:val="sr-Latn-RS"/>
        </w:rPr>
        <w:t xml:space="preserve">eka (i druga uputstva za rukovanje </w:t>
      </w:r>
      <w:r>
        <w:rPr>
          <w:lang w:val="sr-Latn-RS"/>
        </w:rPr>
        <w:t>lijeko</w:t>
      </w:r>
      <w:r w:rsidRPr="00AE2963">
        <w:rPr>
          <w:lang w:val="sr-Latn-RS"/>
        </w:rPr>
        <w:t>m)</w:t>
      </w:r>
    </w:p>
    <w:p w14:paraId="13DAAB50" w14:textId="77777777" w:rsidR="00ED3518" w:rsidRPr="00AE2963" w:rsidRDefault="00ED3518" w:rsidP="00ED3518">
      <w:pPr>
        <w:pStyle w:val="BodyText"/>
        <w:spacing w:before="7"/>
        <w:ind w:right="970"/>
        <w:rPr>
          <w:b/>
          <w:sz w:val="21"/>
          <w:lang w:val="sr-Latn-RS"/>
        </w:rPr>
      </w:pPr>
    </w:p>
    <w:p w14:paraId="46EAE20C" w14:textId="77777777" w:rsidR="00ED3518" w:rsidRPr="00AE2963" w:rsidRDefault="00ED3518" w:rsidP="00ED3518">
      <w:pPr>
        <w:pStyle w:val="BodyText"/>
        <w:ind w:left="311" w:right="970"/>
        <w:rPr>
          <w:lang w:val="sr-Latn-RS"/>
        </w:rPr>
      </w:pPr>
      <w:r w:rsidRPr="00AE2963">
        <w:rPr>
          <w:u w:val="single"/>
          <w:lang w:val="sr-Latn-RS"/>
        </w:rPr>
        <w:t xml:space="preserve">Priprema </w:t>
      </w:r>
      <w:r>
        <w:rPr>
          <w:u w:val="single"/>
          <w:lang w:val="sr-Latn-RS"/>
        </w:rPr>
        <w:t>lijek</w:t>
      </w:r>
      <w:r w:rsidRPr="00AE2963">
        <w:rPr>
          <w:u w:val="single"/>
          <w:lang w:val="sr-Latn-RS"/>
        </w:rPr>
        <w:t>a Ronapreve za intravensku infuziju</w:t>
      </w:r>
    </w:p>
    <w:p w14:paraId="3BEEB2DD" w14:textId="77777777" w:rsidR="00ED3518" w:rsidRPr="00AE2963" w:rsidRDefault="00ED3518" w:rsidP="00ED3518">
      <w:pPr>
        <w:pStyle w:val="BodyText"/>
        <w:spacing w:before="1"/>
        <w:ind w:right="970"/>
        <w:rPr>
          <w:sz w:val="14"/>
          <w:lang w:val="sr-Latn-RS"/>
        </w:rPr>
      </w:pPr>
    </w:p>
    <w:p w14:paraId="4F508D38" w14:textId="77777777" w:rsidR="00ED3518" w:rsidRPr="00172477" w:rsidRDefault="00ED3518" w:rsidP="00ED3518">
      <w:pPr>
        <w:spacing w:before="91"/>
        <w:ind w:left="311" w:right="970"/>
        <w:rPr>
          <w:lang w:val="sr-Latn-RS"/>
        </w:rPr>
      </w:pPr>
      <w:r>
        <w:rPr>
          <w:lang w:val="sr-Latn-RS"/>
        </w:rPr>
        <w:t>Lijek</w:t>
      </w:r>
      <w:r w:rsidRPr="00172477">
        <w:rPr>
          <w:lang w:val="sr-Latn-RS"/>
        </w:rPr>
        <w:t xml:space="preserve"> Ronapreve treba da pripremi zdravstveni radnik uz upotrebu aseptične tehnike:</w:t>
      </w:r>
    </w:p>
    <w:p w14:paraId="60467B61" w14:textId="77777777" w:rsidR="00ED3518" w:rsidRPr="00172477" w:rsidRDefault="00ED3518" w:rsidP="00ED3518">
      <w:pPr>
        <w:numPr>
          <w:ilvl w:val="0"/>
          <w:numId w:val="8"/>
        </w:numPr>
        <w:tabs>
          <w:tab w:val="left" w:pos="738"/>
          <w:tab w:val="left" w:pos="739"/>
        </w:tabs>
        <w:spacing w:before="73"/>
        <w:ind w:right="970"/>
        <w:jc w:val="both"/>
        <w:rPr>
          <w:lang w:val="sr-Latn-RS"/>
        </w:rPr>
      </w:pPr>
      <w:r w:rsidRPr="00172477">
        <w:rPr>
          <w:lang w:val="sr-Latn-RS"/>
        </w:rPr>
        <w:t>Izvadite bočice sa kasirivimabom i imdevimabom iz frižidera i sačekajte približno 20 minuta pr</w:t>
      </w:r>
      <w:r>
        <w:rPr>
          <w:lang w:val="sr-Latn-RS"/>
        </w:rPr>
        <w:t>ij</w:t>
      </w:r>
      <w:r w:rsidRPr="00172477">
        <w:rPr>
          <w:lang w:val="sr-Latn-RS"/>
        </w:rPr>
        <w:t>e pripreme da dostignu sobnu temperaturu.</w:t>
      </w:r>
    </w:p>
    <w:p w14:paraId="0AF81082" w14:textId="77777777" w:rsidR="00ED3518" w:rsidRPr="00172477" w:rsidRDefault="00ED3518" w:rsidP="00ED3518">
      <w:pPr>
        <w:numPr>
          <w:ilvl w:val="1"/>
          <w:numId w:val="8"/>
        </w:numPr>
        <w:tabs>
          <w:tab w:val="left" w:pos="1163"/>
          <w:tab w:val="left" w:pos="1164"/>
        </w:tabs>
        <w:spacing w:before="1" w:line="252" w:lineRule="exact"/>
        <w:ind w:right="970"/>
        <w:jc w:val="both"/>
        <w:rPr>
          <w:lang w:val="sr-Latn-RS"/>
        </w:rPr>
      </w:pPr>
      <w:r w:rsidRPr="00172477">
        <w:rPr>
          <w:lang w:val="sr-Latn-RS"/>
        </w:rPr>
        <w:t>Ne izlažite ih direktnoj toploti.</w:t>
      </w:r>
    </w:p>
    <w:p w14:paraId="699DFDA7" w14:textId="77777777" w:rsidR="00ED3518" w:rsidRPr="00172477" w:rsidRDefault="00ED3518" w:rsidP="00ED3518">
      <w:pPr>
        <w:numPr>
          <w:ilvl w:val="1"/>
          <w:numId w:val="8"/>
        </w:numPr>
        <w:tabs>
          <w:tab w:val="left" w:pos="1163"/>
          <w:tab w:val="left" w:pos="1164"/>
        </w:tabs>
        <w:spacing w:line="252" w:lineRule="exact"/>
        <w:ind w:right="970"/>
        <w:jc w:val="both"/>
        <w:rPr>
          <w:lang w:val="sr-Latn-RS"/>
        </w:rPr>
      </w:pPr>
      <w:r w:rsidRPr="00172477">
        <w:rPr>
          <w:lang w:val="sr-Latn-RS"/>
        </w:rPr>
        <w:t>Ne mućkajte bočice.</w:t>
      </w:r>
    </w:p>
    <w:p w14:paraId="6D18D2DF" w14:textId="77777777" w:rsidR="00ED3518" w:rsidRPr="00172477" w:rsidRDefault="00ED3518" w:rsidP="00ED3518">
      <w:pPr>
        <w:numPr>
          <w:ilvl w:val="0"/>
          <w:numId w:val="8"/>
        </w:numPr>
        <w:tabs>
          <w:tab w:val="left" w:pos="738"/>
          <w:tab w:val="left" w:pos="739"/>
        </w:tabs>
        <w:spacing w:before="1"/>
        <w:ind w:right="970"/>
        <w:jc w:val="both"/>
        <w:rPr>
          <w:lang w:val="sr-Latn-RS"/>
        </w:rPr>
      </w:pPr>
      <w:r w:rsidRPr="00172477">
        <w:rPr>
          <w:lang w:val="sr-Latn-RS"/>
        </w:rPr>
        <w:t>Pr</w:t>
      </w:r>
      <w:r>
        <w:rPr>
          <w:lang w:val="sr-Latn-RS"/>
        </w:rPr>
        <w:t>ij</w:t>
      </w:r>
      <w:r w:rsidRPr="00172477">
        <w:rPr>
          <w:lang w:val="sr-Latn-RS"/>
        </w:rPr>
        <w:t xml:space="preserve">e </w:t>
      </w:r>
      <w:r>
        <w:rPr>
          <w:lang w:val="sr-Latn-RS"/>
        </w:rPr>
        <w:t>primjen</w:t>
      </w:r>
      <w:r w:rsidRPr="00172477">
        <w:rPr>
          <w:lang w:val="sr-Latn-RS"/>
        </w:rPr>
        <w:t>e, vizuelno pregledajte bočice sa kasirivimabom i imdevimabom da biste utvrdili da li sadrže vidljive čestice i jesu li prom</w:t>
      </w:r>
      <w:r>
        <w:rPr>
          <w:lang w:val="sr-Latn-RS"/>
        </w:rPr>
        <w:t>ij</w:t>
      </w:r>
      <w:r w:rsidRPr="00172477">
        <w:rPr>
          <w:lang w:val="sr-Latn-RS"/>
        </w:rPr>
        <w:t>enile boju. Ako se bilo šta od toga prim</w:t>
      </w:r>
      <w:r>
        <w:rPr>
          <w:lang w:val="sr-Latn-RS"/>
        </w:rPr>
        <w:t>ij</w:t>
      </w:r>
      <w:r w:rsidRPr="00172477">
        <w:rPr>
          <w:lang w:val="sr-Latn-RS"/>
        </w:rPr>
        <w:t>eti, bočica se mora baciti i zam</w:t>
      </w:r>
      <w:r>
        <w:rPr>
          <w:lang w:val="sr-Latn-RS"/>
        </w:rPr>
        <w:t>ij</w:t>
      </w:r>
      <w:r w:rsidRPr="00172477">
        <w:rPr>
          <w:lang w:val="sr-Latn-RS"/>
        </w:rPr>
        <w:t>eniti novom bočicom.</w:t>
      </w:r>
    </w:p>
    <w:p w14:paraId="6C5EA1BB" w14:textId="77777777" w:rsidR="00ED3518" w:rsidRPr="00172477" w:rsidRDefault="00ED3518" w:rsidP="00ED3518">
      <w:pPr>
        <w:numPr>
          <w:ilvl w:val="1"/>
          <w:numId w:val="8"/>
        </w:numPr>
        <w:tabs>
          <w:tab w:val="left" w:pos="1163"/>
          <w:tab w:val="left" w:pos="1164"/>
        </w:tabs>
        <w:spacing w:line="252" w:lineRule="exact"/>
        <w:ind w:right="970" w:hanging="426"/>
        <w:jc w:val="both"/>
        <w:rPr>
          <w:lang w:val="sr-Latn-RS"/>
        </w:rPr>
      </w:pPr>
      <w:r w:rsidRPr="00172477">
        <w:rPr>
          <w:lang w:val="sr-Latn-RS"/>
        </w:rPr>
        <w:t>Rastvor za svaku bočicu treba da bude bistar do blago opalescentan, bezbojan do bl</w:t>
      </w:r>
      <w:r>
        <w:rPr>
          <w:lang w:val="sr-Latn-RS"/>
        </w:rPr>
        <w:t>ij</w:t>
      </w:r>
      <w:r w:rsidRPr="00172477">
        <w:rPr>
          <w:lang w:val="sr-Latn-RS"/>
        </w:rPr>
        <w:t>edo žut.</w:t>
      </w:r>
    </w:p>
    <w:p w14:paraId="056F725B" w14:textId="45F877B4" w:rsidR="00ED3518" w:rsidRPr="00172477" w:rsidRDefault="00ED3518" w:rsidP="00ED3518">
      <w:pPr>
        <w:numPr>
          <w:ilvl w:val="0"/>
          <w:numId w:val="8"/>
        </w:numPr>
        <w:tabs>
          <w:tab w:val="left" w:pos="738"/>
          <w:tab w:val="left" w:pos="739"/>
        </w:tabs>
        <w:ind w:right="970"/>
        <w:jc w:val="both"/>
        <w:rPr>
          <w:lang w:val="sr-Latn-RS"/>
        </w:rPr>
      </w:pPr>
      <w:r w:rsidRPr="00172477">
        <w:rPr>
          <w:lang w:val="sr-Latn-RS"/>
        </w:rPr>
        <w:t>Uzmite napunjenu kesu za inf</w:t>
      </w:r>
      <w:r w:rsidR="00777FF1">
        <w:rPr>
          <w:lang w:val="sr-Latn-RS"/>
        </w:rPr>
        <w:t xml:space="preserve">uziju [napravljenu od polivinil </w:t>
      </w:r>
      <w:r w:rsidRPr="00172477">
        <w:rPr>
          <w:lang w:val="sr-Latn-RS"/>
        </w:rPr>
        <w:t xml:space="preserve">hlorida (PVC) ili poliolefina (PO)] koja sadrži 50 </w:t>
      </w:r>
      <w:r>
        <w:rPr>
          <w:lang w:val="sr-Latn-RS"/>
        </w:rPr>
        <w:t>ml</w:t>
      </w:r>
      <w:r w:rsidRPr="00172477">
        <w:rPr>
          <w:lang w:val="sr-Latn-RS"/>
        </w:rPr>
        <w:t xml:space="preserve">, 100 </w:t>
      </w:r>
      <w:r>
        <w:rPr>
          <w:lang w:val="sr-Latn-RS"/>
        </w:rPr>
        <w:t>ml</w:t>
      </w:r>
      <w:r w:rsidRPr="00172477">
        <w:rPr>
          <w:lang w:val="sr-Latn-RS"/>
        </w:rPr>
        <w:t xml:space="preserve">, 150 </w:t>
      </w:r>
      <w:r>
        <w:rPr>
          <w:lang w:val="sr-Latn-RS"/>
        </w:rPr>
        <w:t>ml</w:t>
      </w:r>
      <w:r w:rsidRPr="00172477">
        <w:rPr>
          <w:lang w:val="sr-Latn-RS"/>
        </w:rPr>
        <w:t xml:space="preserve"> ili 250 </w:t>
      </w:r>
      <w:r>
        <w:rPr>
          <w:lang w:val="sr-Latn-RS"/>
        </w:rPr>
        <w:t>ml</w:t>
      </w:r>
      <w:r w:rsidR="00597EA9">
        <w:rPr>
          <w:lang w:val="sr-Latn-RS"/>
        </w:rPr>
        <w:t xml:space="preserve"> 0,9%-tnog rastvora natrijum </w:t>
      </w:r>
      <w:r w:rsidRPr="00172477">
        <w:rPr>
          <w:lang w:val="sr-Latn-RS"/>
        </w:rPr>
        <w:t>hlorida za injekciju ili 5%-tnog rastvora dekstroze za injekciju.</w:t>
      </w:r>
    </w:p>
    <w:p w14:paraId="1F82C46F" w14:textId="7F000916" w:rsidR="00ED3518" w:rsidRPr="00172477" w:rsidRDefault="00ED3518" w:rsidP="00ED3518">
      <w:pPr>
        <w:numPr>
          <w:ilvl w:val="0"/>
          <w:numId w:val="8"/>
        </w:numPr>
        <w:tabs>
          <w:tab w:val="left" w:pos="739"/>
        </w:tabs>
        <w:ind w:right="970"/>
        <w:jc w:val="both"/>
        <w:rPr>
          <w:lang w:val="sr-Latn-RS"/>
        </w:rPr>
      </w:pPr>
      <w:r w:rsidRPr="00172477">
        <w:rPr>
          <w:lang w:val="sr-Latn-RS"/>
        </w:rPr>
        <w:t>Koristeći sterilan špric i iglu, izvucite odgovarajuću zapreminu kasirivimaba i imdevimaba iz njihovih bočica i ubrizgajte u unapr</w:t>
      </w:r>
      <w:r>
        <w:rPr>
          <w:lang w:val="sr-Latn-RS"/>
        </w:rPr>
        <w:t>ij</w:t>
      </w:r>
      <w:r w:rsidRPr="00172477">
        <w:rPr>
          <w:lang w:val="sr-Latn-RS"/>
        </w:rPr>
        <w:t>ed napunjenu kesu za infuziju koja s</w:t>
      </w:r>
      <w:r w:rsidR="00597EA9">
        <w:rPr>
          <w:lang w:val="sr-Latn-RS"/>
        </w:rPr>
        <w:t xml:space="preserve">adrži 0,9%-tni rastvor natrijum </w:t>
      </w:r>
      <w:r w:rsidRPr="00172477">
        <w:rPr>
          <w:lang w:val="sr-Latn-RS"/>
        </w:rPr>
        <w:t>hlorida za injekciju ili 5%-tnog rastvora dekstroze za injekciju (vid</w:t>
      </w:r>
      <w:r>
        <w:rPr>
          <w:lang w:val="sr-Latn-RS"/>
        </w:rPr>
        <w:t>j</w:t>
      </w:r>
      <w:r w:rsidRPr="00172477">
        <w:rPr>
          <w:lang w:val="sr-Latn-RS"/>
        </w:rPr>
        <w:t xml:space="preserve">eti </w:t>
      </w:r>
      <w:r>
        <w:rPr>
          <w:lang w:val="sr-Latn-RS"/>
        </w:rPr>
        <w:t>dio</w:t>
      </w:r>
      <w:r w:rsidRPr="00172477">
        <w:rPr>
          <w:lang w:val="sr-Latn-RS"/>
        </w:rPr>
        <w:t xml:space="preserve"> 4.2, Tabelu 1).</w:t>
      </w:r>
    </w:p>
    <w:p w14:paraId="76B692B7" w14:textId="77777777" w:rsidR="00ED3518" w:rsidRPr="00172477" w:rsidRDefault="00ED3518" w:rsidP="00ED3518">
      <w:pPr>
        <w:numPr>
          <w:ilvl w:val="0"/>
          <w:numId w:val="8"/>
        </w:numPr>
        <w:tabs>
          <w:tab w:val="left" w:pos="739"/>
        </w:tabs>
        <w:spacing w:line="252" w:lineRule="exact"/>
        <w:ind w:right="970"/>
        <w:jc w:val="both"/>
        <w:rPr>
          <w:lang w:val="sr-Latn-RS"/>
        </w:rPr>
      </w:pPr>
      <w:r w:rsidRPr="00172477">
        <w:rPr>
          <w:lang w:val="sr-Latn-RS"/>
        </w:rPr>
        <w:t>Lagano prom</w:t>
      </w:r>
      <w:r>
        <w:rPr>
          <w:lang w:val="sr-Latn-RS"/>
        </w:rPr>
        <w:t>ij</w:t>
      </w:r>
      <w:r w:rsidRPr="00172477">
        <w:rPr>
          <w:lang w:val="sr-Latn-RS"/>
        </w:rPr>
        <w:t>ešajte sadržaj kese za infuziju tako što ćete je okrenuti. Ne mućkajte.</w:t>
      </w:r>
    </w:p>
    <w:p w14:paraId="55275FC1" w14:textId="77777777" w:rsidR="00ED3518" w:rsidRPr="00172477" w:rsidRDefault="00ED3518" w:rsidP="00ED3518">
      <w:pPr>
        <w:numPr>
          <w:ilvl w:val="0"/>
          <w:numId w:val="8"/>
        </w:numPr>
        <w:tabs>
          <w:tab w:val="left" w:pos="739"/>
        </w:tabs>
        <w:spacing w:before="2"/>
        <w:ind w:right="970"/>
        <w:jc w:val="both"/>
        <w:rPr>
          <w:lang w:val="sr-Latn-RS"/>
        </w:rPr>
      </w:pPr>
      <w:r>
        <w:rPr>
          <w:lang w:val="sr-Latn-RS"/>
        </w:rPr>
        <w:t xml:space="preserve">Lijek </w:t>
      </w:r>
      <w:r w:rsidRPr="00172477">
        <w:rPr>
          <w:lang w:val="sr-Latn-RS"/>
        </w:rPr>
        <w:t xml:space="preserve">Ronapreve ne sadrži konzervanse i stoga razblaženi rastvor za infuziju treba odmah </w:t>
      </w:r>
      <w:r>
        <w:rPr>
          <w:lang w:val="sr-Latn-RS"/>
        </w:rPr>
        <w:t>primijen</w:t>
      </w:r>
      <w:r w:rsidRPr="00172477">
        <w:rPr>
          <w:lang w:val="sr-Latn-RS"/>
        </w:rPr>
        <w:t>iti.</w:t>
      </w:r>
    </w:p>
    <w:p w14:paraId="44416F8F" w14:textId="77777777" w:rsidR="00480881" w:rsidRPr="00AE2963" w:rsidRDefault="00480881" w:rsidP="00ED3518">
      <w:pPr>
        <w:pStyle w:val="BodyText"/>
        <w:spacing w:before="11"/>
        <w:ind w:right="970"/>
        <w:rPr>
          <w:sz w:val="21"/>
          <w:lang w:val="sr-Latn-RS"/>
        </w:rPr>
      </w:pPr>
    </w:p>
    <w:p w14:paraId="7BD93C9A" w14:textId="77777777" w:rsidR="00ED3518" w:rsidRPr="00AE2963" w:rsidRDefault="00ED3518" w:rsidP="00ED3518">
      <w:pPr>
        <w:pStyle w:val="BodyText"/>
        <w:ind w:left="311" w:right="970"/>
        <w:rPr>
          <w:lang w:val="sr-Latn-RS"/>
        </w:rPr>
      </w:pPr>
      <w:r>
        <w:rPr>
          <w:u w:val="single"/>
          <w:lang w:val="sr-Latn-RS"/>
        </w:rPr>
        <w:t>Primjen</w:t>
      </w:r>
      <w:r w:rsidRPr="00AE2963">
        <w:rPr>
          <w:u w:val="single"/>
          <w:lang w:val="sr-Latn-RS"/>
        </w:rPr>
        <w:t xml:space="preserve">a </w:t>
      </w:r>
      <w:r>
        <w:rPr>
          <w:u w:val="single"/>
          <w:lang w:val="sr-Latn-RS"/>
        </w:rPr>
        <w:t>lijek</w:t>
      </w:r>
      <w:r w:rsidRPr="00AE2963">
        <w:rPr>
          <w:u w:val="single"/>
          <w:lang w:val="sr-Latn-RS"/>
        </w:rPr>
        <w:t>a Ronapreve intravenskom infuzijom</w:t>
      </w:r>
    </w:p>
    <w:p w14:paraId="57F6D0DC" w14:textId="77777777" w:rsidR="00ED3518" w:rsidRPr="00AE2963" w:rsidRDefault="00ED3518" w:rsidP="00ED3518">
      <w:pPr>
        <w:pStyle w:val="BodyText"/>
        <w:spacing w:before="1"/>
        <w:ind w:right="970"/>
        <w:rPr>
          <w:lang w:val="sr-Latn-RS"/>
        </w:rPr>
      </w:pPr>
    </w:p>
    <w:p w14:paraId="32B77DEF" w14:textId="77777777" w:rsidR="00ED3518" w:rsidRPr="00AE2963" w:rsidRDefault="00ED3518" w:rsidP="00ED3518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line="269" w:lineRule="exact"/>
        <w:ind w:right="970"/>
        <w:rPr>
          <w:lang w:val="sr-Latn-RS"/>
        </w:rPr>
      </w:pPr>
      <w:r w:rsidRPr="00AE2963">
        <w:rPr>
          <w:lang w:val="sr-Latn-RS"/>
        </w:rPr>
        <w:t>Prikupite preporučene materijale za infuziju:</w:t>
      </w:r>
    </w:p>
    <w:p w14:paraId="446716E3" w14:textId="2B30444F" w:rsidR="00ED3518" w:rsidRPr="008D327C" w:rsidRDefault="00ED3518" w:rsidP="00ED3518">
      <w:pPr>
        <w:tabs>
          <w:tab w:val="left" w:pos="1164"/>
        </w:tabs>
        <w:spacing w:line="261" w:lineRule="exact"/>
        <w:ind w:left="720" w:right="970"/>
        <w:rPr>
          <w:lang w:val="sr-Latn-RS"/>
        </w:rPr>
      </w:pPr>
      <w:r>
        <w:t xml:space="preserve">-       </w:t>
      </w:r>
      <w:r w:rsidR="00777FF1">
        <w:rPr>
          <w:lang w:val="sr-Latn-RS"/>
        </w:rPr>
        <w:t xml:space="preserve">Set za infuziju </w:t>
      </w:r>
      <w:proofErr w:type="gramStart"/>
      <w:r w:rsidR="00777FF1">
        <w:rPr>
          <w:lang w:val="sr-Latn-RS"/>
        </w:rPr>
        <w:t>od</w:t>
      </w:r>
      <w:proofErr w:type="gramEnd"/>
      <w:r w:rsidR="00777FF1">
        <w:rPr>
          <w:lang w:val="sr-Latn-RS"/>
        </w:rPr>
        <w:t xml:space="preserve"> polivinil </w:t>
      </w:r>
      <w:r w:rsidRPr="008D327C">
        <w:rPr>
          <w:lang w:val="sr-Latn-RS"/>
        </w:rPr>
        <w:t>hlorida (PVC), PVC-a obloženog poletilenom (PE) ili poliuretana (PU)</w:t>
      </w:r>
    </w:p>
    <w:p w14:paraId="41E5CCDE" w14:textId="77777777" w:rsidR="00ED3518" w:rsidRPr="008D327C" w:rsidRDefault="00ED3518" w:rsidP="00ED3518">
      <w:pPr>
        <w:tabs>
          <w:tab w:val="left" w:pos="1164"/>
        </w:tabs>
        <w:spacing w:before="2" w:line="225" w:lineRule="auto"/>
        <w:ind w:left="630" w:right="970"/>
        <w:rPr>
          <w:lang w:val="sr-Latn-RS"/>
        </w:rPr>
      </w:pPr>
      <w:r>
        <w:t xml:space="preserve">  -         </w:t>
      </w:r>
      <w:r w:rsidRPr="008D327C">
        <w:rPr>
          <w:lang w:val="sr-Latn-RS"/>
        </w:rPr>
        <w:t>Ugrađeni ili pričvršćen filter od 0,2 μm do 5 μm od polietersulfona, polisulfona ili poliamida, za intravensku primjenu.</w:t>
      </w:r>
    </w:p>
    <w:p w14:paraId="27F148A7" w14:textId="77777777" w:rsidR="00ED3518" w:rsidRPr="00AE2963" w:rsidRDefault="00ED3518" w:rsidP="00ED3518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before="2" w:line="269" w:lineRule="exact"/>
        <w:ind w:right="970"/>
        <w:rPr>
          <w:lang w:val="sr-Latn-RS"/>
        </w:rPr>
      </w:pPr>
      <w:r w:rsidRPr="00AE2963">
        <w:rPr>
          <w:lang w:val="sr-Latn-RS"/>
        </w:rPr>
        <w:lastRenderedPageBreak/>
        <w:t>Pričvrstite set za infuziju na intravensku kesu.</w:t>
      </w:r>
    </w:p>
    <w:p w14:paraId="6E7CE6A3" w14:textId="77777777" w:rsidR="00ED3518" w:rsidRPr="00AE2963" w:rsidRDefault="00ED3518" w:rsidP="00ED3518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line="269" w:lineRule="exact"/>
        <w:ind w:right="970"/>
        <w:rPr>
          <w:lang w:val="sr-Latn-RS"/>
        </w:rPr>
      </w:pPr>
      <w:r w:rsidRPr="00AE2963">
        <w:rPr>
          <w:lang w:val="sr-Latn-RS"/>
        </w:rPr>
        <w:t>Pripremite set za infuziju.</w:t>
      </w:r>
    </w:p>
    <w:p w14:paraId="6BB73246" w14:textId="77777777" w:rsidR="002F67A1" w:rsidRDefault="00ED3518" w:rsidP="00ED3518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ind w:right="970"/>
        <w:jc w:val="both"/>
        <w:rPr>
          <w:lang w:val="sr-Latn-RS"/>
        </w:rPr>
      </w:pPr>
      <w:r>
        <w:rPr>
          <w:lang w:val="sr-Latn-RS"/>
        </w:rPr>
        <w:t>Primijen</w:t>
      </w:r>
      <w:r w:rsidRPr="0093586F">
        <w:rPr>
          <w:lang w:val="sr-Latn-RS"/>
        </w:rPr>
        <w:t xml:space="preserve">ite sav rastvor za infuziju koji se nalazi u kesi uz pomoć pumpe ili </w:t>
      </w:r>
      <w:r w:rsidRPr="007D3B0A">
        <w:rPr>
          <w:lang w:val="sr-Latn-RS"/>
        </w:rPr>
        <w:t>gravitacij</w:t>
      </w:r>
      <w:r>
        <w:rPr>
          <w:lang w:val="sr-Latn-RS"/>
        </w:rPr>
        <w:t>skom metodom</w:t>
      </w:r>
      <w:r w:rsidRPr="007D3B0A">
        <w:rPr>
          <w:lang w:val="sr-Latn-RS"/>
        </w:rPr>
        <w:t xml:space="preserve"> kroz intravensku liniju koja sadrži sterilan, </w:t>
      </w:r>
      <w:r>
        <w:rPr>
          <w:lang w:val="sr-Latn-RS"/>
        </w:rPr>
        <w:t>ugrađen</w:t>
      </w:r>
      <w:r w:rsidRPr="007D3B0A">
        <w:rPr>
          <w:lang w:val="sr-Latn-RS"/>
        </w:rPr>
        <w:t xml:space="preserve"> ili </w:t>
      </w:r>
      <w:r>
        <w:rPr>
          <w:lang w:val="sr-Latn-RS"/>
        </w:rPr>
        <w:t xml:space="preserve">pričvršćen </w:t>
      </w:r>
      <w:r w:rsidRPr="007D3B0A">
        <w:rPr>
          <w:lang w:val="sr-Latn-RS"/>
        </w:rPr>
        <w:t xml:space="preserve">polietersulfonski, polisulfonski ili poliamidni filter od 0,2 do 5 μm za intravensku </w:t>
      </w:r>
      <w:r>
        <w:rPr>
          <w:lang w:val="sr-Latn-RS"/>
        </w:rPr>
        <w:t>primjen</w:t>
      </w:r>
      <w:r w:rsidRPr="007D3B0A">
        <w:rPr>
          <w:lang w:val="sr-Latn-RS"/>
        </w:rPr>
        <w:t>u.</w:t>
      </w:r>
      <w:r>
        <w:rPr>
          <w:lang w:val="sr-Latn-RS"/>
        </w:rPr>
        <w:t xml:space="preserve"> </w:t>
      </w:r>
    </w:p>
    <w:p w14:paraId="48A8EF5A" w14:textId="3ADA34DA" w:rsidR="00ED3518" w:rsidRPr="007D3B0A" w:rsidRDefault="00ED3518" w:rsidP="00ED3518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ind w:right="970"/>
        <w:jc w:val="both"/>
        <w:rPr>
          <w:lang w:val="sr-Latn-RS"/>
        </w:rPr>
      </w:pPr>
      <w:r w:rsidRPr="007D3B0A">
        <w:rPr>
          <w:lang w:val="sr-Latn-RS"/>
        </w:rPr>
        <w:t>Pripre</w:t>
      </w:r>
      <w:r>
        <w:rPr>
          <w:lang w:val="sr-Latn-RS"/>
        </w:rPr>
        <w:t>ml</w:t>
      </w:r>
      <w:r w:rsidRPr="007D3B0A">
        <w:rPr>
          <w:lang w:val="sr-Latn-RS"/>
        </w:rPr>
        <w:t xml:space="preserve">jeni rastvor za infuziju ne treba davati istovremeno sa bilo kojim drugim </w:t>
      </w:r>
      <w:r>
        <w:rPr>
          <w:lang w:val="sr-Latn-RS"/>
        </w:rPr>
        <w:t>lijeko</w:t>
      </w:r>
      <w:r w:rsidRPr="007D3B0A">
        <w:rPr>
          <w:lang w:val="sr-Latn-RS"/>
        </w:rPr>
        <w:t xml:space="preserve">m. </w:t>
      </w:r>
      <w:r>
        <w:rPr>
          <w:lang w:val="sr-Latn-RS"/>
        </w:rPr>
        <w:t>Nije poznata k</w:t>
      </w:r>
      <w:r w:rsidRPr="007D3B0A">
        <w:rPr>
          <w:lang w:val="sr-Latn-RS"/>
        </w:rPr>
        <w:t xml:space="preserve">ompatibilnost injekcije kasirivimaba i imdevimaba sa intravenskim rastvorima i </w:t>
      </w:r>
      <w:r>
        <w:rPr>
          <w:lang w:val="sr-Latn-RS"/>
        </w:rPr>
        <w:t>ljekov</w:t>
      </w:r>
      <w:r w:rsidRPr="007D3B0A">
        <w:rPr>
          <w:lang w:val="sr-Latn-RS"/>
        </w:rPr>
        <w:t>ima koji nisu 0,9%</w:t>
      </w:r>
      <w:r>
        <w:rPr>
          <w:lang w:val="sr-Latn-RS"/>
        </w:rPr>
        <w:t>-tni rastvor</w:t>
      </w:r>
      <w:r w:rsidR="000072D1">
        <w:rPr>
          <w:lang w:val="sr-Latn-RS"/>
        </w:rPr>
        <w:t xml:space="preserve"> natrijum </w:t>
      </w:r>
      <w:r w:rsidRPr="007D3B0A">
        <w:rPr>
          <w:lang w:val="sr-Latn-RS"/>
        </w:rPr>
        <w:t>hlorid</w:t>
      </w:r>
      <w:r>
        <w:rPr>
          <w:lang w:val="sr-Latn-RS"/>
        </w:rPr>
        <w:t xml:space="preserve">a </w:t>
      </w:r>
      <w:r w:rsidRPr="007D3B0A">
        <w:rPr>
          <w:lang w:val="sr-Latn-RS"/>
        </w:rPr>
        <w:t>za injekcije ili 5%</w:t>
      </w:r>
      <w:r>
        <w:rPr>
          <w:lang w:val="sr-Latn-RS"/>
        </w:rPr>
        <w:t>-tni rastvor</w:t>
      </w:r>
      <w:r w:rsidRPr="007D3B0A">
        <w:rPr>
          <w:lang w:val="sr-Latn-RS"/>
        </w:rPr>
        <w:t xml:space="preserve"> dekstroz</w:t>
      </w:r>
      <w:r>
        <w:rPr>
          <w:lang w:val="sr-Latn-RS"/>
        </w:rPr>
        <w:t>e</w:t>
      </w:r>
      <w:r w:rsidRPr="007D3B0A">
        <w:rPr>
          <w:lang w:val="sr-Latn-RS"/>
        </w:rPr>
        <w:t xml:space="preserve"> za injekcije.</w:t>
      </w:r>
    </w:p>
    <w:p w14:paraId="13F33E84" w14:textId="123F6EFD" w:rsidR="00ED3518" w:rsidRPr="007D3B0A" w:rsidRDefault="00ED3518" w:rsidP="00ED3518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ind w:right="970"/>
        <w:jc w:val="both"/>
        <w:rPr>
          <w:lang w:val="sr-Latn-RS"/>
        </w:rPr>
      </w:pPr>
      <w:r>
        <w:rPr>
          <w:lang w:val="sr-Latn-RS"/>
        </w:rPr>
        <w:t>Nakon završetka</w:t>
      </w:r>
      <w:r w:rsidRPr="007D3B0A">
        <w:rPr>
          <w:lang w:val="sr-Latn-RS"/>
        </w:rPr>
        <w:t xml:space="preserve"> infuzije</w:t>
      </w:r>
      <w:r>
        <w:rPr>
          <w:lang w:val="sr-Latn-RS"/>
        </w:rPr>
        <w:t>,</w:t>
      </w:r>
      <w:r w:rsidRPr="007D3B0A">
        <w:rPr>
          <w:lang w:val="sr-Latn-RS"/>
        </w:rPr>
        <w:t xml:space="preserve"> isperite c</w:t>
      </w:r>
      <w:r>
        <w:rPr>
          <w:lang w:val="sr-Latn-RS"/>
        </w:rPr>
        <w:t>ij</w:t>
      </w:r>
      <w:r w:rsidRPr="007D3B0A">
        <w:rPr>
          <w:lang w:val="sr-Latn-RS"/>
        </w:rPr>
        <w:t>evi 0,9%</w:t>
      </w:r>
      <w:r>
        <w:rPr>
          <w:lang w:val="sr-Latn-RS"/>
        </w:rPr>
        <w:t>-tnim rastvorom</w:t>
      </w:r>
      <w:r w:rsidRPr="007D3B0A">
        <w:rPr>
          <w:lang w:val="sr-Latn-RS"/>
        </w:rPr>
        <w:t xml:space="preserve"> natri</w:t>
      </w:r>
      <w:r w:rsidR="0020586D">
        <w:rPr>
          <w:lang w:val="sr-Latn-RS"/>
        </w:rPr>
        <w:t xml:space="preserve">jum </w:t>
      </w:r>
      <w:r w:rsidRPr="007D3B0A">
        <w:rPr>
          <w:lang w:val="sr-Latn-RS"/>
        </w:rPr>
        <w:t>hlorid</w:t>
      </w:r>
      <w:r>
        <w:rPr>
          <w:lang w:val="sr-Latn-RS"/>
        </w:rPr>
        <w:t xml:space="preserve">a </w:t>
      </w:r>
      <w:r w:rsidRPr="007D3B0A">
        <w:rPr>
          <w:lang w:val="sr-Latn-RS"/>
        </w:rPr>
        <w:t>za injekcij</w:t>
      </w:r>
      <w:r>
        <w:rPr>
          <w:lang w:val="sr-Latn-RS"/>
        </w:rPr>
        <w:t>e</w:t>
      </w:r>
      <w:r w:rsidRPr="007D3B0A">
        <w:rPr>
          <w:lang w:val="sr-Latn-RS"/>
        </w:rPr>
        <w:t xml:space="preserve"> ili 5%</w:t>
      </w:r>
      <w:r>
        <w:rPr>
          <w:lang w:val="sr-Latn-RS"/>
        </w:rPr>
        <w:t>-tnim rastvorom</w:t>
      </w:r>
      <w:r w:rsidRPr="007D3B0A">
        <w:rPr>
          <w:lang w:val="sr-Latn-RS"/>
        </w:rPr>
        <w:t xml:space="preserve"> dekstroz</w:t>
      </w:r>
      <w:r>
        <w:rPr>
          <w:lang w:val="sr-Latn-RS"/>
        </w:rPr>
        <w:t>e</w:t>
      </w:r>
      <w:r w:rsidRPr="007D3B0A">
        <w:rPr>
          <w:lang w:val="sr-Latn-RS"/>
        </w:rPr>
        <w:t xml:space="preserve"> za injekcije kako biste bili sigurni da je data potrebna doza.</w:t>
      </w:r>
    </w:p>
    <w:p w14:paraId="75B21A3A" w14:textId="77777777" w:rsidR="00ED3518" w:rsidRPr="007D3B0A" w:rsidRDefault="00ED3518" w:rsidP="00ED3518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line="268" w:lineRule="exact"/>
        <w:ind w:right="970"/>
        <w:jc w:val="both"/>
        <w:rPr>
          <w:lang w:val="sr-Latn-RS"/>
        </w:rPr>
      </w:pPr>
      <w:r w:rsidRPr="007D3B0A">
        <w:rPr>
          <w:lang w:val="sr-Latn-RS"/>
        </w:rPr>
        <w:t>Osobe treba pratiti nakon intravenske infuzije u skladu sa lokalnom medicinskom praksom.</w:t>
      </w:r>
    </w:p>
    <w:p w14:paraId="4CA51FD3" w14:textId="77777777" w:rsidR="00ED3518" w:rsidRPr="00AE2963" w:rsidRDefault="00ED3518" w:rsidP="00ED3518">
      <w:pPr>
        <w:pStyle w:val="BodyText"/>
        <w:spacing w:before="8"/>
        <w:ind w:right="970"/>
        <w:rPr>
          <w:sz w:val="21"/>
          <w:lang w:val="sr-Latn-RS"/>
        </w:rPr>
      </w:pPr>
    </w:p>
    <w:p w14:paraId="75C2CC1F" w14:textId="77777777" w:rsidR="00ED3518" w:rsidRPr="00AE2963" w:rsidRDefault="00ED3518" w:rsidP="00ED3518">
      <w:pPr>
        <w:pStyle w:val="BodyText"/>
        <w:ind w:left="311" w:right="970"/>
        <w:rPr>
          <w:lang w:val="sr-Latn-RS"/>
        </w:rPr>
      </w:pPr>
      <w:r w:rsidRPr="00AE2963">
        <w:rPr>
          <w:u w:val="single"/>
          <w:lang w:val="sr-Latn-RS"/>
        </w:rPr>
        <w:t xml:space="preserve">Priprema </w:t>
      </w:r>
      <w:r>
        <w:rPr>
          <w:u w:val="single"/>
          <w:lang w:val="sr-Latn-RS"/>
        </w:rPr>
        <w:t>lijek</w:t>
      </w:r>
      <w:r w:rsidRPr="00AE2963">
        <w:rPr>
          <w:u w:val="single"/>
          <w:lang w:val="sr-Latn-RS"/>
        </w:rPr>
        <w:t>a Ronapreve za su</w:t>
      </w:r>
      <w:r>
        <w:rPr>
          <w:u w:val="single"/>
          <w:lang w:val="sr-Latn-RS"/>
        </w:rPr>
        <w:t>b</w:t>
      </w:r>
      <w:r w:rsidRPr="00AE2963">
        <w:rPr>
          <w:u w:val="single"/>
          <w:lang w:val="sr-Latn-RS"/>
        </w:rPr>
        <w:t>kutanu injekciju</w:t>
      </w:r>
    </w:p>
    <w:p w14:paraId="0A379C89" w14:textId="77777777" w:rsidR="00ED3518" w:rsidRPr="0093586F" w:rsidRDefault="00ED3518" w:rsidP="00ED3518">
      <w:pPr>
        <w:spacing w:before="91" w:line="242" w:lineRule="auto"/>
        <w:ind w:left="311" w:right="970"/>
        <w:jc w:val="both"/>
        <w:rPr>
          <w:lang w:val="sr-Latn-RS"/>
        </w:rPr>
      </w:pPr>
      <w:r w:rsidRPr="0093586F">
        <w:rPr>
          <w:lang w:val="sr-Latn-RS"/>
        </w:rPr>
        <w:t>Izvadite bočice sa kasirivimabom i imdevimabom iz frižidera i sačekajte približno 20 minuta pr</w:t>
      </w:r>
      <w:r>
        <w:rPr>
          <w:lang w:val="sr-Latn-RS"/>
        </w:rPr>
        <w:t>ij</w:t>
      </w:r>
      <w:r w:rsidRPr="0093586F">
        <w:rPr>
          <w:lang w:val="sr-Latn-RS"/>
        </w:rPr>
        <w:t>e pripreme</w:t>
      </w:r>
      <w:r w:rsidRPr="0093586F" w:rsidDel="00597984">
        <w:rPr>
          <w:lang w:val="sr-Latn-RS"/>
        </w:rPr>
        <w:t xml:space="preserve"> </w:t>
      </w:r>
      <w:r w:rsidRPr="0093586F">
        <w:rPr>
          <w:lang w:val="sr-Latn-RS"/>
        </w:rPr>
        <w:t>da dostignu sobnu temperaturu.</w:t>
      </w:r>
    </w:p>
    <w:p w14:paraId="127CE214" w14:textId="77777777" w:rsidR="00ED3518" w:rsidRPr="0093586F" w:rsidRDefault="00ED3518" w:rsidP="00ED3518">
      <w:pPr>
        <w:ind w:left="311" w:right="970"/>
        <w:jc w:val="both"/>
        <w:rPr>
          <w:lang w:val="sr-Latn-RS"/>
        </w:rPr>
      </w:pPr>
      <w:r w:rsidRPr="0093586F">
        <w:rPr>
          <w:lang w:val="sr-Latn-RS"/>
        </w:rPr>
        <w:t xml:space="preserve">Nemojte izlagati bočice direktnoj toploti. </w:t>
      </w:r>
    </w:p>
    <w:p w14:paraId="5BF9D67B" w14:textId="77777777" w:rsidR="00ED3518" w:rsidRPr="0093586F" w:rsidRDefault="00ED3518" w:rsidP="00ED3518">
      <w:pPr>
        <w:ind w:left="311" w:right="970"/>
        <w:jc w:val="both"/>
        <w:rPr>
          <w:b/>
          <w:lang w:val="sr-Latn-RS"/>
        </w:rPr>
      </w:pPr>
      <w:r w:rsidRPr="0093586F">
        <w:rPr>
          <w:lang w:val="sr-Latn-RS"/>
        </w:rPr>
        <w:t>Ne mućkajte bočice</w:t>
      </w:r>
      <w:r w:rsidRPr="0093586F">
        <w:rPr>
          <w:b/>
          <w:bCs/>
          <w:lang w:val="sr-Latn-RS"/>
        </w:rPr>
        <w:t>.</w:t>
      </w:r>
    </w:p>
    <w:p w14:paraId="1AA615E3" w14:textId="77777777" w:rsidR="00ED3518" w:rsidRPr="0093586F" w:rsidRDefault="00ED3518" w:rsidP="00ED3518">
      <w:pPr>
        <w:spacing w:before="7"/>
        <w:ind w:right="970"/>
        <w:jc w:val="both"/>
        <w:rPr>
          <w:b/>
          <w:sz w:val="21"/>
          <w:lang w:val="sr-Latn-RS"/>
        </w:rPr>
      </w:pPr>
    </w:p>
    <w:p w14:paraId="70A259D6" w14:textId="77777777" w:rsidR="00ED3518" w:rsidRPr="0093586F" w:rsidRDefault="00ED3518" w:rsidP="00ED3518">
      <w:pPr>
        <w:ind w:left="311" w:right="970"/>
        <w:jc w:val="both"/>
        <w:rPr>
          <w:lang w:val="sr-Latn-RS"/>
        </w:rPr>
      </w:pPr>
      <w:r w:rsidRPr="0093586F">
        <w:rPr>
          <w:lang w:val="sr-Latn-RS"/>
        </w:rPr>
        <w:t>Pr</w:t>
      </w:r>
      <w:r>
        <w:rPr>
          <w:lang w:val="sr-Latn-RS"/>
        </w:rPr>
        <w:t>ij</w:t>
      </w:r>
      <w:r w:rsidRPr="0093586F">
        <w:rPr>
          <w:lang w:val="sr-Latn-RS"/>
        </w:rPr>
        <w:t xml:space="preserve">e </w:t>
      </w:r>
      <w:r>
        <w:rPr>
          <w:lang w:val="sr-Latn-RS"/>
        </w:rPr>
        <w:t>primjen</w:t>
      </w:r>
      <w:r w:rsidRPr="0093586F">
        <w:rPr>
          <w:lang w:val="sr-Latn-RS"/>
        </w:rPr>
        <w:t>e, vizuelno pregledajte bočice sa kasirivimabom i imdevimabom da biste utvrdili da li sadrže vidljive čestice i jesu li prom</w:t>
      </w:r>
      <w:r>
        <w:rPr>
          <w:lang w:val="sr-Latn-RS"/>
        </w:rPr>
        <w:t>ij</w:t>
      </w:r>
      <w:r w:rsidRPr="0093586F">
        <w:rPr>
          <w:lang w:val="sr-Latn-RS"/>
        </w:rPr>
        <w:t>enile boju. Ako se bilo šta od toga prim</w:t>
      </w:r>
      <w:r>
        <w:rPr>
          <w:lang w:val="sr-Latn-RS"/>
        </w:rPr>
        <w:t>ij</w:t>
      </w:r>
      <w:r w:rsidRPr="0093586F">
        <w:rPr>
          <w:lang w:val="sr-Latn-RS"/>
        </w:rPr>
        <w:t>eti, bočica se mora baciti i zam</w:t>
      </w:r>
      <w:r>
        <w:rPr>
          <w:lang w:val="sr-Latn-RS"/>
        </w:rPr>
        <w:t>ij</w:t>
      </w:r>
      <w:r w:rsidRPr="0093586F">
        <w:rPr>
          <w:lang w:val="sr-Latn-RS"/>
        </w:rPr>
        <w:t>eniti novom bočicom. Rastvor za svaku bočicu treba da bude bistar do blago opalescentan, bezbojan do bl</w:t>
      </w:r>
      <w:r>
        <w:rPr>
          <w:lang w:val="sr-Latn-RS"/>
        </w:rPr>
        <w:t>ij</w:t>
      </w:r>
      <w:r w:rsidRPr="0093586F">
        <w:rPr>
          <w:lang w:val="sr-Latn-RS"/>
        </w:rPr>
        <w:t>edo žut.</w:t>
      </w:r>
    </w:p>
    <w:p w14:paraId="1F5D65AC" w14:textId="77777777" w:rsidR="00ED3518" w:rsidRPr="00AE2963" w:rsidRDefault="00ED3518" w:rsidP="00ED3518">
      <w:pPr>
        <w:pStyle w:val="BodyText"/>
        <w:spacing w:before="1"/>
        <w:rPr>
          <w:lang w:val="sr-Latn-RS"/>
        </w:rPr>
      </w:pPr>
    </w:p>
    <w:p w14:paraId="5D1245EF" w14:textId="77777777" w:rsidR="00ED3518" w:rsidRPr="007D3B0A" w:rsidRDefault="00ED3518" w:rsidP="00ED3518">
      <w:pPr>
        <w:pStyle w:val="ListParagraph"/>
        <w:numPr>
          <w:ilvl w:val="0"/>
          <w:numId w:val="3"/>
        </w:numPr>
        <w:tabs>
          <w:tab w:val="left" w:pos="739"/>
        </w:tabs>
        <w:spacing w:line="237" w:lineRule="auto"/>
        <w:ind w:right="970"/>
        <w:jc w:val="both"/>
        <w:rPr>
          <w:lang w:val="sr-Latn-RS"/>
        </w:rPr>
      </w:pPr>
      <w:r>
        <w:rPr>
          <w:lang w:val="sr-Latn-RS"/>
        </w:rPr>
        <w:t xml:space="preserve">Lijek </w:t>
      </w:r>
      <w:r w:rsidRPr="007D3B0A">
        <w:rPr>
          <w:lang w:val="sr-Latn-RS"/>
        </w:rPr>
        <w:t>Ronapreve treba pripremiti pomoću odgovarajućeg broja špriceva (</w:t>
      </w:r>
      <w:r>
        <w:rPr>
          <w:lang w:val="sr-Latn-RS"/>
        </w:rPr>
        <w:t>vidjeti</w:t>
      </w:r>
      <w:r w:rsidRPr="007D3B0A">
        <w:rPr>
          <w:lang w:val="sr-Latn-RS"/>
        </w:rPr>
        <w:t xml:space="preserve"> </w:t>
      </w:r>
      <w:r>
        <w:rPr>
          <w:lang w:val="sr-Latn-RS"/>
        </w:rPr>
        <w:t>dio</w:t>
      </w:r>
      <w:r w:rsidRPr="007D3B0A">
        <w:rPr>
          <w:lang w:val="sr-Latn-RS"/>
        </w:rPr>
        <w:t xml:space="preserve"> 4.2, </w:t>
      </w:r>
      <w:r>
        <w:rPr>
          <w:lang w:val="sr-Latn-RS"/>
        </w:rPr>
        <w:t>T</w:t>
      </w:r>
      <w:r w:rsidRPr="007D3B0A">
        <w:rPr>
          <w:lang w:val="sr-Latn-RS"/>
        </w:rPr>
        <w:t xml:space="preserve">abelu 2). Nabavite polipropilenske špriceve od 3 </w:t>
      </w:r>
      <w:r>
        <w:rPr>
          <w:lang w:val="sr-Latn-RS"/>
        </w:rPr>
        <w:t>ml</w:t>
      </w:r>
      <w:r w:rsidRPr="007D3B0A">
        <w:rPr>
          <w:lang w:val="sr-Latn-RS"/>
        </w:rPr>
        <w:t xml:space="preserve"> ili 5 </w:t>
      </w:r>
      <w:r>
        <w:rPr>
          <w:lang w:val="sr-Latn-RS"/>
        </w:rPr>
        <w:t>ml</w:t>
      </w:r>
      <w:r w:rsidRPr="007D3B0A">
        <w:rPr>
          <w:lang w:val="sr-Latn-RS"/>
        </w:rPr>
        <w:t xml:space="preserve"> sa </w:t>
      </w:r>
      <w:r>
        <w:rPr>
          <w:lang w:val="sr-Latn-RS"/>
        </w:rPr>
        <w:t>L</w:t>
      </w:r>
      <w:r w:rsidRPr="007D3B0A">
        <w:rPr>
          <w:lang w:val="sr-Latn-RS"/>
        </w:rPr>
        <w:t>uer spojnicom i igle za transfer veličine 2</w:t>
      </w:r>
      <w:r>
        <w:rPr>
          <w:lang w:val="sr-Latn-RS"/>
        </w:rPr>
        <w:t>1G</w:t>
      </w:r>
      <w:r w:rsidRPr="007D3B0A">
        <w:rPr>
          <w:lang w:val="sr-Latn-RS"/>
        </w:rPr>
        <w:t>.</w:t>
      </w:r>
    </w:p>
    <w:p w14:paraId="2111C27C" w14:textId="77777777" w:rsidR="00ED3518" w:rsidRDefault="00ED3518" w:rsidP="00ED3518">
      <w:pPr>
        <w:pStyle w:val="ListParagraph"/>
        <w:numPr>
          <w:ilvl w:val="0"/>
          <w:numId w:val="3"/>
        </w:numPr>
        <w:tabs>
          <w:tab w:val="left" w:pos="739"/>
        </w:tabs>
        <w:spacing w:before="3" w:line="237" w:lineRule="auto"/>
        <w:ind w:right="970"/>
        <w:jc w:val="both"/>
        <w:rPr>
          <w:lang w:val="sr-Latn-RS"/>
        </w:rPr>
      </w:pPr>
      <w:r w:rsidRPr="007D3B0A">
        <w:rPr>
          <w:lang w:val="sr-Latn-RS"/>
        </w:rPr>
        <w:t xml:space="preserve">Pomoću sterilne igle i šprica izvucite odgovarajuću zapreminu kasirivimaba i imdevimaba iz </w:t>
      </w:r>
      <w:r>
        <w:rPr>
          <w:lang w:val="sr-Latn-RS"/>
        </w:rPr>
        <w:t>njihovih</w:t>
      </w:r>
      <w:r w:rsidRPr="007D3B0A">
        <w:rPr>
          <w:lang w:val="sr-Latn-RS"/>
        </w:rPr>
        <w:t xml:space="preserve"> bočic</w:t>
      </w:r>
      <w:r>
        <w:rPr>
          <w:lang w:val="sr-Latn-RS"/>
        </w:rPr>
        <w:t>a</w:t>
      </w:r>
      <w:r w:rsidRPr="007D3B0A">
        <w:rPr>
          <w:lang w:val="sr-Latn-RS"/>
        </w:rPr>
        <w:t xml:space="preserve"> u svaki špric (</w:t>
      </w:r>
      <w:r>
        <w:rPr>
          <w:lang w:val="sr-Latn-RS"/>
        </w:rPr>
        <w:t>vidjeti</w:t>
      </w:r>
      <w:r w:rsidRPr="007D3B0A">
        <w:rPr>
          <w:lang w:val="sr-Latn-RS"/>
        </w:rPr>
        <w:t xml:space="preserve"> </w:t>
      </w:r>
      <w:r>
        <w:rPr>
          <w:lang w:val="sr-Latn-RS"/>
        </w:rPr>
        <w:t>dio</w:t>
      </w:r>
      <w:r w:rsidRPr="007D3B0A">
        <w:rPr>
          <w:lang w:val="sr-Latn-RS"/>
        </w:rPr>
        <w:t xml:space="preserve"> 4.2, </w:t>
      </w:r>
      <w:r>
        <w:rPr>
          <w:lang w:val="sr-Latn-RS"/>
        </w:rPr>
        <w:t>T</w:t>
      </w:r>
      <w:r w:rsidRPr="007D3B0A">
        <w:rPr>
          <w:lang w:val="sr-Latn-RS"/>
        </w:rPr>
        <w:t xml:space="preserve">abelu 2), i to ukupno 4 šprica za </w:t>
      </w:r>
      <w:r>
        <w:rPr>
          <w:lang w:val="sr-Latn-RS"/>
        </w:rPr>
        <w:t>ukupnu kombinovanu dozu od 1200 mg</w:t>
      </w:r>
      <w:r w:rsidRPr="007D3B0A">
        <w:rPr>
          <w:lang w:val="sr-Latn-RS"/>
        </w:rPr>
        <w:t xml:space="preserve"> i ukupno 2 šprica za </w:t>
      </w:r>
      <w:r>
        <w:rPr>
          <w:lang w:val="sr-Latn-RS"/>
        </w:rPr>
        <w:t>ukupnu kombinovanu dozu od 600 mg</w:t>
      </w:r>
      <w:r w:rsidRPr="007D3B0A">
        <w:rPr>
          <w:lang w:val="sr-Latn-RS"/>
        </w:rPr>
        <w:t xml:space="preserve">. Čuvajte ostatak proizvoda kako je navedeno u </w:t>
      </w:r>
      <w:r>
        <w:rPr>
          <w:lang w:val="sr-Latn-RS"/>
        </w:rPr>
        <w:t>dijelu</w:t>
      </w:r>
      <w:r w:rsidRPr="007D3B0A">
        <w:rPr>
          <w:lang w:val="sr-Latn-RS"/>
        </w:rPr>
        <w:t xml:space="preserve"> 6.3.</w:t>
      </w:r>
    </w:p>
    <w:p w14:paraId="415ECEA9" w14:textId="77777777" w:rsidR="00ED3518" w:rsidRPr="0011072C" w:rsidRDefault="00ED3518" w:rsidP="00ED3518">
      <w:pPr>
        <w:pStyle w:val="ListParagraph"/>
        <w:numPr>
          <w:ilvl w:val="0"/>
          <w:numId w:val="3"/>
        </w:numPr>
        <w:tabs>
          <w:tab w:val="left" w:pos="739"/>
        </w:tabs>
        <w:spacing w:before="3" w:line="237" w:lineRule="auto"/>
        <w:ind w:right="970"/>
        <w:jc w:val="both"/>
        <w:rPr>
          <w:lang w:val="sr-Latn-RS"/>
        </w:rPr>
      </w:pPr>
      <w:r w:rsidRPr="0011072C">
        <w:rPr>
          <w:lang w:val="sr-Latn-RS"/>
        </w:rPr>
        <w:t>Zam</w:t>
      </w:r>
      <w:r>
        <w:rPr>
          <w:lang w:val="sr-Latn-RS"/>
        </w:rPr>
        <w:t>ij</w:t>
      </w:r>
      <w:r w:rsidRPr="0011072C">
        <w:rPr>
          <w:lang w:val="sr-Latn-RS"/>
        </w:rPr>
        <w:t>enite iglu za transfer veličine 21</w:t>
      </w:r>
      <w:r>
        <w:rPr>
          <w:lang w:val="sr-Latn-RS"/>
        </w:rPr>
        <w:t>G</w:t>
      </w:r>
      <w:r w:rsidRPr="0011072C">
        <w:rPr>
          <w:lang w:val="sr-Latn-RS"/>
        </w:rPr>
        <w:t xml:space="preserve"> iglom </w:t>
      </w:r>
      <w:r>
        <w:rPr>
          <w:lang w:val="sr-Latn-RS"/>
        </w:rPr>
        <w:t xml:space="preserve">za subkutanu injekciju </w:t>
      </w:r>
      <w:r w:rsidRPr="0011072C">
        <w:rPr>
          <w:lang w:val="sr-Latn-RS"/>
        </w:rPr>
        <w:t>veličine 25</w:t>
      </w:r>
      <w:r>
        <w:rPr>
          <w:lang w:val="sr-Latn-RS"/>
        </w:rPr>
        <w:t>G</w:t>
      </w:r>
      <w:r w:rsidRPr="0011072C">
        <w:rPr>
          <w:lang w:val="sr-Latn-RS"/>
        </w:rPr>
        <w:t xml:space="preserve"> ili 27</w:t>
      </w:r>
      <w:r>
        <w:rPr>
          <w:lang w:val="sr-Latn-RS"/>
        </w:rPr>
        <w:t>G</w:t>
      </w:r>
      <w:r w:rsidRPr="0011072C">
        <w:rPr>
          <w:lang w:val="sr-Latn-RS"/>
        </w:rPr>
        <w:t>.</w:t>
      </w:r>
    </w:p>
    <w:p w14:paraId="6D2B0B66" w14:textId="77777777" w:rsidR="00ED3518" w:rsidRPr="003E0597" w:rsidRDefault="00ED3518" w:rsidP="00ED3518">
      <w:pPr>
        <w:pStyle w:val="ListParagraph"/>
        <w:numPr>
          <w:ilvl w:val="0"/>
          <w:numId w:val="3"/>
        </w:numPr>
        <w:spacing w:before="3" w:line="237" w:lineRule="auto"/>
        <w:ind w:right="970"/>
        <w:jc w:val="both"/>
        <w:rPr>
          <w:lang w:val="sr-Latn-RS"/>
        </w:rPr>
      </w:pPr>
      <w:r w:rsidRPr="00327511">
        <w:rPr>
          <w:lang w:val="sr-Latn-RS"/>
        </w:rPr>
        <w:t>Ovaj proizvod ne sadrži konzervanse i zato pripre</w:t>
      </w:r>
      <w:r>
        <w:rPr>
          <w:lang w:val="sr-Latn-RS"/>
        </w:rPr>
        <w:t>ml</w:t>
      </w:r>
      <w:r w:rsidRPr="00327511">
        <w:rPr>
          <w:lang w:val="sr-Latn-RS"/>
        </w:rPr>
        <w:t xml:space="preserve">jene špriceve treba </w:t>
      </w:r>
      <w:r>
        <w:rPr>
          <w:lang w:val="sr-Latn-RS"/>
        </w:rPr>
        <w:t>primijen</w:t>
      </w:r>
      <w:r w:rsidRPr="00327511">
        <w:rPr>
          <w:lang w:val="sr-Latn-RS"/>
        </w:rPr>
        <w:t xml:space="preserve">iti odmah. Ako neposredna </w:t>
      </w:r>
      <w:r>
        <w:rPr>
          <w:lang w:val="sr-Latn-RS"/>
        </w:rPr>
        <w:t>primjen</w:t>
      </w:r>
      <w:r w:rsidRPr="00327511">
        <w:rPr>
          <w:lang w:val="sr-Latn-RS"/>
        </w:rPr>
        <w:t>a nije moguća, pripre</w:t>
      </w:r>
      <w:r>
        <w:rPr>
          <w:lang w:val="sr-Latn-RS"/>
        </w:rPr>
        <w:t>ml</w:t>
      </w:r>
      <w:r w:rsidRPr="00327511">
        <w:rPr>
          <w:lang w:val="sr-Latn-RS"/>
        </w:rPr>
        <w:t>jene špriceve sa kasirivimabom i imdevimabom čuvajte na temperaturi od</w:t>
      </w:r>
      <w:r w:rsidRPr="007A485C">
        <w:rPr>
          <w:lang w:val="sr-Latn-RS"/>
        </w:rPr>
        <w:t xml:space="preserve"> 2ºC</w:t>
      </w:r>
      <w:r w:rsidRPr="003E0597">
        <w:rPr>
          <w:lang w:val="sr-Latn-RS"/>
        </w:rPr>
        <w:t xml:space="preserve"> do 8ºC ne duže od 72 sata i na sobnoj temperaturi do 25°C ne duže od 24 sata. Ako su u frižideru, ostavite špriceve približno 10-15 minuta pr</w:t>
      </w:r>
      <w:r>
        <w:rPr>
          <w:lang w:val="sr-Latn-RS"/>
        </w:rPr>
        <w:t>ij</w:t>
      </w:r>
      <w:r w:rsidRPr="003E0597">
        <w:rPr>
          <w:lang w:val="sr-Latn-RS"/>
        </w:rPr>
        <w:t>e pripreme da dostignu sobnu temperaturu.</w:t>
      </w:r>
    </w:p>
    <w:p w14:paraId="27613860" w14:textId="77777777" w:rsidR="00ED3518" w:rsidRPr="00AE2963" w:rsidRDefault="00ED3518" w:rsidP="00ED3518">
      <w:pPr>
        <w:pStyle w:val="BodyText"/>
        <w:spacing w:before="11"/>
        <w:ind w:right="970"/>
        <w:jc w:val="both"/>
        <w:rPr>
          <w:sz w:val="21"/>
          <w:lang w:val="sr-Latn-RS"/>
        </w:rPr>
      </w:pPr>
    </w:p>
    <w:p w14:paraId="57BC7924" w14:textId="77777777" w:rsidR="00ED3518" w:rsidRPr="00AE2963" w:rsidRDefault="00ED3518" w:rsidP="00ED3518">
      <w:pPr>
        <w:pStyle w:val="BodyText"/>
        <w:ind w:left="311" w:right="970"/>
        <w:jc w:val="both"/>
        <w:rPr>
          <w:lang w:val="sr-Latn-RS"/>
        </w:rPr>
      </w:pPr>
      <w:r>
        <w:rPr>
          <w:u w:val="single"/>
          <w:lang w:val="sr-Latn-RS"/>
        </w:rPr>
        <w:t>Primjen</w:t>
      </w:r>
      <w:r w:rsidRPr="00AE2963">
        <w:rPr>
          <w:u w:val="single"/>
          <w:lang w:val="sr-Latn-RS"/>
        </w:rPr>
        <w:t xml:space="preserve">a </w:t>
      </w:r>
      <w:r>
        <w:rPr>
          <w:u w:val="single"/>
          <w:lang w:val="sr-Latn-RS"/>
        </w:rPr>
        <w:t>lijek</w:t>
      </w:r>
      <w:r w:rsidRPr="00AE2963">
        <w:rPr>
          <w:u w:val="single"/>
          <w:lang w:val="sr-Latn-RS"/>
        </w:rPr>
        <w:t>a Ronapreve su</w:t>
      </w:r>
      <w:r>
        <w:rPr>
          <w:u w:val="single"/>
          <w:lang w:val="sr-Latn-RS"/>
        </w:rPr>
        <w:t>b</w:t>
      </w:r>
      <w:r w:rsidRPr="00AE2963">
        <w:rPr>
          <w:u w:val="single"/>
          <w:lang w:val="sr-Latn-RS"/>
        </w:rPr>
        <w:t>kutanom injekcijom</w:t>
      </w:r>
    </w:p>
    <w:p w14:paraId="748031BE" w14:textId="77777777" w:rsidR="00ED3518" w:rsidRPr="00AE2963" w:rsidRDefault="00ED3518" w:rsidP="00ED3518">
      <w:pPr>
        <w:pStyle w:val="BodyText"/>
        <w:spacing w:before="1"/>
        <w:ind w:right="970"/>
        <w:jc w:val="both"/>
        <w:rPr>
          <w:lang w:val="sr-Latn-RS"/>
        </w:rPr>
      </w:pPr>
    </w:p>
    <w:p w14:paraId="750133CA" w14:textId="77777777" w:rsidR="00ED3518" w:rsidRPr="0093586F" w:rsidRDefault="00ED3518" w:rsidP="00ED3518">
      <w:pPr>
        <w:numPr>
          <w:ilvl w:val="0"/>
          <w:numId w:val="9"/>
        </w:numPr>
        <w:tabs>
          <w:tab w:val="left" w:pos="671"/>
          <w:tab w:val="left" w:pos="672"/>
        </w:tabs>
        <w:ind w:left="671" w:right="970" w:hanging="360"/>
        <w:jc w:val="both"/>
        <w:rPr>
          <w:lang w:val="sr-Latn-RS"/>
        </w:rPr>
      </w:pPr>
      <w:r w:rsidRPr="0093586F">
        <w:rPr>
          <w:lang w:val="sr-Latn-RS"/>
        </w:rPr>
        <w:t xml:space="preserve">Za </w:t>
      </w:r>
      <w:r>
        <w:rPr>
          <w:lang w:val="sr-Latn-RS"/>
        </w:rPr>
        <w:t>primjen</w:t>
      </w:r>
      <w:r w:rsidRPr="0093586F">
        <w:rPr>
          <w:lang w:val="sr-Latn-RS"/>
        </w:rPr>
        <w:t xml:space="preserve">u </w:t>
      </w:r>
      <w:r>
        <w:rPr>
          <w:lang w:val="sr-Latn-RS"/>
        </w:rPr>
        <w:t>lijek</w:t>
      </w:r>
      <w:r w:rsidRPr="0093586F">
        <w:rPr>
          <w:lang w:val="sr-Latn-RS"/>
        </w:rPr>
        <w:t>a Ronapreve u dozi od 1200 mg (600 mg kasirivimaba i 600 mg imdevimaba), uzmite 4 šprica (vid</w:t>
      </w:r>
      <w:r>
        <w:rPr>
          <w:lang w:val="sr-Latn-RS"/>
        </w:rPr>
        <w:t>j</w:t>
      </w:r>
      <w:r w:rsidRPr="0093586F">
        <w:rPr>
          <w:lang w:val="sr-Latn-RS"/>
        </w:rPr>
        <w:t xml:space="preserve">eti </w:t>
      </w:r>
      <w:r>
        <w:rPr>
          <w:lang w:val="sr-Latn-RS"/>
        </w:rPr>
        <w:t>dio</w:t>
      </w:r>
      <w:r w:rsidRPr="0093586F">
        <w:rPr>
          <w:lang w:val="sr-Latn-RS"/>
        </w:rPr>
        <w:t xml:space="preserve"> 4.2, Tabelu 2) i pripremite ih za su</w:t>
      </w:r>
      <w:r>
        <w:rPr>
          <w:lang w:val="sr-Latn-RS"/>
        </w:rPr>
        <w:t>b</w:t>
      </w:r>
      <w:r w:rsidRPr="0093586F">
        <w:rPr>
          <w:lang w:val="sr-Latn-RS"/>
        </w:rPr>
        <w:t>kutane injekcije.</w:t>
      </w:r>
    </w:p>
    <w:p w14:paraId="4A2CD0A2" w14:textId="77777777" w:rsidR="00ED3518" w:rsidRPr="0093586F" w:rsidRDefault="00ED3518" w:rsidP="00ED3518">
      <w:pPr>
        <w:numPr>
          <w:ilvl w:val="0"/>
          <w:numId w:val="9"/>
        </w:numPr>
        <w:tabs>
          <w:tab w:val="left" w:pos="671"/>
          <w:tab w:val="left" w:pos="672"/>
        </w:tabs>
        <w:ind w:left="671" w:right="970" w:hanging="360"/>
        <w:jc w:val="both"/>
        <w:rPr>
          <w:lang w:val="sr-Latn-RS"/>
        </w:rPr>
      </w:pPr>
      <w:r w:rsidRPr="0093586F">
        <w:rPr>
          <w:lang w:val="sr-Latn-RS"/>
        </w:rPr>
        <w:t xml:space="preserve">Za </w:t>
      </w:r>
      <w:r>
        <w:rPr>
          <w:lang w:val="sr-Latn-RS"/>
        </w:rPr>
        <w:t>primjen</w:t>
      </w:r>
      <w:r w:rsidRPr="0093586F">
        <w:rPr>
          <w:lang w:val="sr-Latn-RS"/>
        </w:rPr>
        <w:t xml:space="preserve">u </w:t>
      </w:r>
      <w:r>
        <w:rPr>
          <w:lang w:val="sr-Latn-RS"/>
        </w:rPr>
        <w:t>lijek</w:t>
      </w:r>
      <w:r w:rsidRPr="0093586F">
        <w:rPr>
          <w:lang w:val="sr-Latn-RS"/>
        </w:rPr>
        <w:t>a Ronapreve u dozi od 600 mg (300 mg kasirivimaba i 300 mg imdevimaba), uzmite 2 šprica (vid</w:t>
      </w:r>
      <w:r>
        <w:rPr>
          <w:lang w:val="sr-Latn-RS"/>
        </w:rPr>
        <w:t>j</w:t>
      </w:r>
      <w:r w:rsidRPr="0093586F">
        <w:rPr>
          <w:lang w:val="sr-Latn-RS"/>
        </w:rPr>
        <w:t xml:space="preserve">eti </w:t>
      </w:r>
      <w:r>
        <w:rPr>
          <w:lang w:val="sr-Latn-RS"/>
        </w:rPr>
        <w:t>dio</w:t>
      </w:r>
      <w:r w:rsidRPr="0093586F">
        <w:rPr>
          <w:lang w:val="sr-Latn-RS"/>
        </w:rPr>
        <w:t xml:space="preserve"> 4.2, Tabelu 2) i pripremite ih za su</w:t>
      </w:r>
      <w:r>
        <w:rPr>
          <w:lang w:val="sr-Latn-RS"/>
        </w:rPr>
        <w:t>b</w:t>
      </w:r>
      <w:r w:rsidRPr="0093586F">
        <w:rPr>
          <w:lang w:val="sr-Latn-RS"/>
        </w:rPr>
        <w:t>kutane injekcije.</w:t>
      </w:r>
    </w:p>
    <w:p w14:paraId="7AD3229C" w14:textId="7868F195" w:rsidR="00ED3518" w:rsidRPr="004473A3" w:rsidRDefault="00ED3518" w:rsidP="00ED3518">
      <w:pPr>
        <w:numPr>
          <w:ilvl w:val="0"/>
          <w:numId w:val="9"/>
        </w:numPr>
        <w:tabs>
          <w:tab w:val="left" w:pos="671"/>
          <w:tab w:val="left" w:pos="672"/>
        </w:tabs>
        <w:ind w:right="970"/>
        <w:jc w:val="both"/>
        <w:rPr>
          <w:lang w:val="sr-Latn-RS"/>
        </w:rPr>
      </w:pPr>
      <w:r w:rsidRPr="0093586F">
        <w:rPr>
          <w:lang w:val="sr-Latn-RS"/>
        </w:rPr>
        <w:t>Zbog zapremine, su</w:t>
      </w:r>
      <w:r>
        <w:rPr>
          <w:lang w:val="sr-Latn-RS"/>
        </w:rPr>
        <w:t>b</w:t>
      </w:r>
      <w:r w:rsidRPr="0093586F">
        <w:rPr>
          <w:lang w:val="sr-Latn-RS"/>
        </w:rPr>
        <w:t xml:space="preserve">kutane injekcije treba </w:t>
      </w:r>
      <w:r>
        <w:rPr>
          <w:lang w:val="sr-Latn-RS"/>
        </w:rPr>
        <w:t>primijen</w:t>
      </w:r>
      <w:r w:rsidRPr="0093586F">
        <w:rPr>
          <w:lang w:val="sr-Latn-RS"/>
        </w:rPr>
        <w:t>iti jednu za drugom na različitim m</w:t>
      </w:r>
      <w:r>
        <w:rPr>
          <w:lang w:val="sr-Latn-RS"/>
        </w:rPr>
        <w:t>j</w:t>
      </w:r>
      <w:r w:rsidRPr="0093586F">
        <w:rPr>
          <w:lang w:val="sr-Latn-RS"/>
        </w:rPr>
        <w:t>estima na t</w:t>
      </w:r>
      <w:r>
        <w:rPr>
          <w:lang w:val="sr-Latn-RS"/>
        </w:rPr>
        <w:t>ij</w:t>
      </w:r>
      <w:r w:rsidRPr="0093586F">
        <w:rPr>
          <w:lang w:val="sr-Latn-RS"/>
        </w:rPr>
        <w:t>elu (u gornji d</w:t>
      </w:r>
      <w:r>
        <w:rPr>
          <w:lang w:val="sr-Latn-RS"/>
        </w:rPr>
        <w:t>i</w:t>
      </w:r>
      <w:r w:rsidRPr="0093586F">
        <w:rPr>
          <w:lang w:val="sr-Latn-RS"/>
        </w:rPr>
        <w:t>o butina, spoljašnji d</w:t>
      </w:r>
      <w:r>
        <w:rPr>
          <w:lang w:val="sr-Latn-RS"/>
        </w:rPr>
        <w:t>i</w:t>
      </w:r>
      <w:r w:rsidRPr="0093586F">
        <w:rPr>
          <w:lang w:val="sr-Latn-RS"/>
        </w:rPr>
        <w:t>o nadlaktice ili abdomen, izb</w:t>
      </w:r>
      <w:r>
        <w:rPr>
          <w:lang w:val="sr-Latn-RS"/>
        </w:rPr>
        <w:t>j</w:t>
      </w:r>
      <w:r w:rsidRPr="0093586F">
        <w:rPr>
          <w:lang w:val="sr-Latn-RS"/>
        </w:rPr>
        <w:t>egavajući pred</w:t>
      </w:r>
      <w:r>
        <w:rPr>
          <w:lang w:val="sr-Latn-RS"/>
        </w:rPr>
        <w:t>i</w:t>
      </w:r>
      <w:r w:rsidRPr="0093586F">
        <w:rPr>
          <w:lang w:val="sr-Latn-RS"/>
        </w:rPr>
        <w:t>o od 5 cm oko pupka i pred</w:t>
      </w:r>
      <w:r>
        <w:rPr>
          <w:lang w:val="sr-Latn-RS"/>
        </w:rPr>
        <w:t>i</w:t>
      </w:r>
      <w:r w:rsidRPr="0093586F">
        <w:rPr>
          <w:lang w:val="sr-Latn-RS"/>
        </w:rPr>
        <w:t>o struka).</w:t>
      </w:r>
    </w:p>
    <w:p w14:paraId="1D582D06" w14:textId="77777777" w:rsidR="00480881" w:rsidRPr="00AE2963" w:rsidRDefault="00480881" w:rsidP="00ED3518">
      <w:pPr>
        <w:pStyle w:val="BodyText"/>
        <w:spacing w:before="8"/>
        <w:rPr>
          <w:sz w:val="21"/>
          <w:lang w:val="sr-Latn-RS"/>
        </w:rPr>
      </w:pPr>
    </w:p>
    <w:p w14:paraId="0C316D5E" w14:textId="77777777" w:rsidR="00ED3518" w:rsidRPr="00AE2963" w:rsidRDefault="00ED3518" w:rsidP="00ED3518">
      <w:pPr>
        <w:pStyle w:val="BodyText"/>
        <w:ind w:left="311"/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FD4B2D" wp14:editId="2039DC36">
                <wp:simplePos x="0" y="0"/>
                <wp:positionH relativeFrom="page">
                  <wp:posOffset>896620</wp:posOffset>
                </wp:positionH>
                <wp:positionV relativeFrom="paragraph">
                  <wp:posOffset>145415</wp:posOffset>
                </wp:positionV>
                <wp:extent cx="488950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A8D7" id="Rectangle 5" o:spid="_x0000_s1026" style="position:absolute;margin-left:70.6pt;margin-top:11.45pt;width:38.5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Pr="00AE2963">
        <w:rPr>
          <w:lang w:val="sr-Latn-RS"/>
        </w:rPr>
        <w:t>Odlaganje</w:t>
      </w:r>
    </w:p>
    <w:p w14:paraId="5F3D580F" w14:textId="77777777" w:rsidR="00ED3518" w:rsidRPr="00AE2963" w:rsidRDefault="00ED3518" w:rsidP="00ED3518">
      <w:pPr>
        <w:pStyle w:val="BodyText"/>
        <w:spacing w:before="1"/>
        <w:rPr>
          <w:sz w:val="14"/>
          <w:lang w:val="sr-Latn-RS"/>
        </w:rPr>
      </w:pPr>
    </w:p>
    <w:p w14:paraId="4F681808" w14:textId="77777777" w:rsidR="00ED3518" w:rsidRPr="00AE2963" w:rsidRDefault="00ED3518" w:rsidP="00ED3518">
      <w:pPr>
        <w:pStyle w:val="BodyText"/>
        <w:spacing w:before="92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Svu neiskorišćenu količinu </w:t>
      </w:r>
      <w:r>
        <w:rPr>
          <w:lang w:val="sr-Latn-RS"/>
        </w:rPr>
        <w:t>lijek</w:t>
      </w:r>
      <w:r w:rsidRPr="007D3B0A">
        <w:rPr>
          <w:lang w:val="sr-Latn-RS"/>
        </w:rPr>
        <w:t xml:space="preserve">a ili otpadnog materijala </w:t>
      </w:r>
      <w:r w:rsidRPr="00956517">
        <w:rPr>
          <w:lang w:val="sr-Latn-RS"/>
        </w:rPr>
        <w:t>nakon njegove upotrebe treba ukloniti, u</w:t>
      </w:r>
      <w:r>
        <w:rPr>
          <w:lang w:val="sr-Latn-RS"/>
        </w:rPr>
        <w:t xml:space="preserve"> </w:t>
      </w:r>
      <w:r w:rsidRPr="00956517">
        <w:rPr>
          <w:lang w:val="sr-Latn-RS"/>
        </w:rPr>
        <w:t>skladu sa važećim propisima</w:t>
      </w:r>
      <w:r w:rsidRPr="007D3B0A">
        <w:rPr>
          <w:lang w:val="sr-Latn-RS"/>
        </w:rPr>
        <w:t>.</w:t>
      </w:r>
    </w:p>
    <w:p w14:paraId="676EC9EA" w14:textId="77777777" w:rsidR="00ED3518" w:rsidRPr="00AE2963" w:rsidRDefault="00ED3518" w:rsidP="00ED3518">
      <w:pPr>
        <w:pStyle w:val="BodyText"/>
        <w:spacing w:before="29" w:line="264" w:lineRule="auto"/>
        <w:ind w:left="311" w:right="970"/>
        <w:jc w:val="both"/>
        <w:rPr>
          <w:lang w:val="sr-Latn-RS"/>
        </w:rPr>
      </w:pPr>
      <w:r w:rsidRPr="00AE2963">
        <w:rPr>
          <w:lang w:val="sr-Latn-RS"/>
        </w:rPr>
        <w:t>Potrebno je strogo se pridržavati sl</w:t>
      </w:r>
      <w:r>
        <w:rPr>
          <w:lang w:val="sr-Latn-RS"/>
        </w:rPr>
        <w:t>j</w:t>
      </w:r>
      <w:r w:rsidRPr="00AE2963">
        <w:rPr>
          <w:lang w:val="sr-Latn-RS"/>
        </w:rPr>
        <w:t xml:space="preserve">edećih </w:t>
      </w:r>
      <w:r>
        <w:rPr>
          <w:lang w:val="sr-Latn-RS"/>
        </w:rPr>
        <w:t>uputstava za</w:t>
      </w:r>
      <w:r w:rsidRPr="00AE2963">
        <w:rPr>
          <w:lang w:val="sr-Latn-RS"/>
        </w:rPr>
        <w:t xml:space="preserve"> upotreb</w:t>
      </w:r>
      <w:r>
        <w:rPr>
          <w:lang w:val="sr-Latn-RS"/>
        </w:rPr>
        <w:t>u</w:t>
      </w:r>
      <w:r w:rsidRPr="00AE2963">
        <w:rPr>
          <w:lang w:val="sr-Latn-RS"/>
        </w:rPr>
        <w:t xml:space="preserve"> i odlaganj</w:t>
      </w:r>
      <w:r>
        <w:rPr>
          <w:lang w:val="sr-Latn-RS"/>
        </w:rPr>
        <w:t>e</w:t>
      </w:r>
      <w:r w:rsidRPr="00AE2963">
        <w:rPr>
          <w:lang w:val="sr-Latn-RS"/>
        </w:rPr>
        <w:t xml:space="preserve"> špriceva i ostalih medicinskih oštrih predmeta:</w:t>
      </w:r>
    </w:p>
    <w:p w14:paraId="2044FC23" w14:textId="77777777" w:rsidR="00ED3518" w:rsidRPr="00AE2963" w:rsidRDefault="00ED3518" w:rsidP="00ED3518">
      <w:pPr>
        <w:pStyle w:val="ListParagraph"/>
        <w:numPr>
          <w:ilvl w:val="0"/>
          <w:numId w:val="2"/>
        </w:numPr>
        <w:tabs>
          <w:tab w:val="left" w:pos="743"/>
          <w:tab w:val="left" w:pos="744"/>
        </w:tabs>
        <w:spacing w:before="3"/>
        <w:ind w:right="970" w:hanging="433"/>
        <w:jc w:val="both"/>
        <w:rPr>
          <w:lang w:val="sr-Latn-RS"/>
        </w:rPr>
      </w:pPr>
      <w:r w:rsidRPr="00AE2963">
        <w:rPr>
          <w:lang w:val="sr-Latn-RS"/>
        </w:rPr>
        <w:t>Igle i špriceve nikada ne treba ponovo koristiti.</w:t>
      </w:r>
    </w:p>
    <w:p w14:paraId="1189944C" w14:textId="66A50CCF" w:rsidR="00ED3518" w:rsidRPr="00AE2963" w:rsidRDefault="00ED3518" w:rsidP="00ED3518">
      <w:pPr>
        <w:pStyle w:val="ListParagraph"/>
        <w:numPr>
          <w:ilvl w:val="0"/>
          <w:numId w:val="2"/>
        </w:numPr>
        <w:tabs>
          <w:tab w:val="left" w:pos="743"/>
          <w:tab w:val="left" w:pos="744"/>
        </w:tabs>
        <w:spacing w:before="28"/>
        <w:ind w:right="970" w:hanging="433"/>
        <w:jc w:val="both"/>
        <w:rPr>
          <w:lang w:val="sr-Latn-RS"/>
        </w:rPr>
      </w:pPr>
      <w:r w:rsidRPr="00AE2963">
        <w:rPr>
          <w:lang w:val="sr-Latn-RS"/>
        </w:rPr>
        <w:t>Stavite sve upotrebljene igle i špriceve u posudu za oštre predmete (</w:t>
      </w:r>
      <w:r w:rsidR="004473A3">
        <w:rPr>
          <w:lang w:val="sr-Latn-RS"/>
        </w:rPr>
        <w:t xml:space="preserve">neprobojnu </w:t>
      </w:r>
      <w:r w:rsidRPr="00AE2963">
        <w:rPr>
          <w:lang w:val="sr-Latn-RS"/>
        </w:rPr>
        <w:t xml:space="preserve">posudu za </w:t>
      </w:r>
      <w:r w:rsidRPr="00AE2963">
        <w:rPr>
          <w:lang w:val="sr-Latn-RS"/>
        </w:rPr>
        <w:lastRenderedPageBreak/>
        <w:t>jednokratnu upotrebu).</w:t>
      </w:r>
    </w:p>
    <w:p w14:paraId="660AE952" w14:textId="67635261" w:rsidR="00ED3518" w:rsidRDefault="00ED3518" w:rsidP="00ED3518">
      <w:pPr>
        <w:pStyle w:val="BodyText"/>
        <w:spacing w:before="1"/>
        <w:rPr>
          <w:sz w:val="20"/>
          <w:lang w:val="sr-Latn-RS"/>
        </w:rPr>
      </w:pPr>
    </w:p>
    <w:p w14:paraId="685C50BE" w14:textId="77777777" w:rsidR="00480881" w:rsidRPr="00AE2963" w:rsidRDefault="00480881" w:rsidP="00ED3518">
      <w:pPr>
        <w:pStyle w:val="BodyText"/>
        <w:spacing w:before="1"/>
        <w:rPr>
          <w:sz w:val="20"/>
          <w:lang w:val="sr-Latn-RS"/>
        </w:rPr>
      </w:pPr>
    </w:p>
    <w:p w14:paraId="4BA5D417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7. </w:t>
      </w:r>
      <w:r w:rsidRPr="00AE2963">
        <w:rPr>
          <w:lang w:val="sr-Latn-RS"/>
        </w:rPr>
        <w:t xml:space="preserve">NOSILAC DOZVOLE </w:t>
      </w:r>
    </w:p>
    <w:p w14:paraId="33C66660" w14:textId="77777777" w:rsidR="00ED3518" w:rsidRPr="00AE2963" w:rsidRDefault="00ED3518" w:rsidP="00ED3518">
      <w:pPr>
        <w:pStyle w:val="BodyText"/>
        <w:spacing w:before="7"/>
        <w:rPr>
          <w:b/>
          <w:sz w:val="21"/>
          <w:lang w:val="sr-Latn-RS"/>
        </w:rPr>
      </w:pPr>
    </w:p>
    <w:p w14:paraId="5D52398E" w14:textId="52EED305" w:rsidR="00ED3518" w:rsidRPr="009971C0" w:rsidRDefault="00ED3518" w:rsidP="00ED3518">
      <w:pPr>
        <w:pStyle w:val="BodyText"/>
        <w:spacing w:before="7"/>
        <w:ind w:left="310"/>
        <w:jc w:val="both"/>
        <w:rPr>
          <w:color w:val="000000" w:themeColor="text1"/>
          <w:lang w:val="sr-Latn-RS"/>
        </w:rPr>
      </w:pPr>
      <w:r w:rsidRPr="009971C0">
        <w:rPr>
          <w:color w:val="000000" w:themeColor="text1"/>
          <w:lang w:val="sr-Latn-RS"/>
        </w:rPr>
        <w:t>„Hoffmann-La Roche L</w:t>
      </w:r>
      <w:r>
        <w:rPr>
          <w:color w:val="000000" w:themeColor="text1"/>
          <w:lang w:val="sr-Latn-RS"/>
        </w:rPr>
        <w:t>TD</w:t>
      </w:r>
      <w:r w:rsidRPr="009971C0">
        <w:rPr>
          <w:color w:val="000000" w:themeColor="text1"/>
          <w:lang w:val="sr-Latn-RS"/>
        </w:rPr>
        <w:t>“ dio stranog društva Podgorica</w:t>
      </w:r>
    </w:p>
    <w:p w14:paraId="09269899" w14:textId="3CEE4D4F" w:rsidR="00ED3518" w:rsidRPr="00797F56" w:rsidRDefault="00ED3518" w:rsidP="004473A3">
      <w:pPr>
        <w:pStyle w:val="BodyText"/>
        <w:spacing w:before="7"/>
        <w:ind w:left="310"/>
        <w:jc w:val="both"/>
        <w:rPr>
          <w:color w:val="000000" w:themeColor="text1"/>
          <w:lang w:val="sr-Latn-RS"/>
        </w:rPr>
      </w:pPr>
      <w:r>
        <w:rPr>
          <w:color w:val="000000" w:themeColor="text1"/>
          <w:lang w:val="sr-Latn-RS"/>
        </w:rPr>
        <w:t xml:space="preserve">ul. </w:t>
      </w:r>
      <w:r w:rsidR="004473A3">
        <w:rPr>
          <w:color w:val="000000" w:themeColor="text1"/>
          <w:lang w:val="sr-Latn-RS"/>
        </w:rPr>
        <w:t xml:space="preserve">Cetinjska 11, </w:t>
      </w:r>
      <w:r w:rsidRPr="009971C0">
        <w:rPr>
          <w:color w:val="000000" w:themeColor="text1"/>
          <w:lang w:val="sr-Latn-RS"/>
        </w:rPr>
        <w:t>81000 Podgorica, Crna Gora</w:t>
      </w:r>
    </w:p>
    <w:p w14:paraId="28B8EABE" w14:textId="009F353B" w:rsidR="00ED3518" w:rsidRDefault="00ED3518" w:rsidP="00ED3518">
      <w:pPr>
        <w:pStyle w:val="BodyText"/>
        <w:spacing w:before="6"/>
        <w:rPr>
          <w:sz w:val="20"/>
          <w:lang w:val="sr-Latn-RS"/>
        </w:rPr>
      </w:pPr>
    </w:p>
    <w:p w14:paraId="76C9CE87" w14:textId="77777777" w:rsidR="00480881" w:rsidRPr="00AE2963" w:rsidRDefault="00480881" w:rsidP="00ED3518">
      <w:pPr>
        <w:pStyle w:val="BodyText"/>
        <w:spacing w:before="6"/>
        <w:rPr>
          <w:sz w:val="20"/>
          <w:lang w:val="sr-Latn-RS"/>
        </w:rPr>
      </w:pPr>
    </w:p>
    <w:p w14:paraId="59124799" w14:textId="77777777" w:rsidR="00ED3518" w:rsidRDefault="00ED3518" w:rsidP="00ED3518">
      <w:pPr>
        <w:pStyle w:val="Heading1"/>
        <w:tabs>
          <w:tab w:val="left" w:pos="851"/>
          <w:tab w:val="left" w:pos="852"/>
        </w:tabs>
      </w:pPr>
      <w:r>
        <w:rPr>
          <w:lang w:val="sr-Latn-RS"/>
        </w:rPr>
        <w:t xml:space="preserve">8. </w:t>
      </w:r>
      <w:r w:rsidRPr="00786071">
        <w:t>BROJ DOZVOLE</w:t>
      </w:r>
      <w:r>
        <w:t xml:space="preserve"> ZA STAVLJANJE LIJEKA U PROMET</w:t>
      </w:r>
    </w:p>
    <w:p w14:paraId="2D51AAD9" w14:textId="543CB1C9" w:rsidR="00ED3518" w:rsidRDefault="004473A3" w:rsidP="00ED3518">
      <w:pPr>
        <w:pStyle w:val="BodyText"/>
        <w:spacing w:before="2"/>
        <w:rPr>
          <w:sz w:val="25"/>
          <w:lang w:val="sr-Latn-RS"/>
        </w:rPr>
      </w:pPr>
      <w:r>
        <w:rPr>
          <w:sz w:val="25"/>
          <w:lang w:val="sr-Latn-RS"/>
        </w:rPr>
        <w:t xml:space="preserve">       </w:t>
      </w:r>
    </w:p>
    <w:p w14:paraId="377D543F" w14:textId="5B2A49EC" w:rsidR="004473A3" w:rsidRPr="004473A3" w:rsidRDefault="004473A3" w:rsidP="00ED3518">
      <w:pPr>
        <w:pStyle w:val="BodyText"/>
        <w:spacing w:before="2"/>
        <w:rPr>
          <w:lang w:val="sr-Latn-RS"/>
        </w:rPr>
      </w:pPr>
      <w:r>
        <w:rPr>
          <w:sz w:val="25"/>
          <w:lang w:val="sr-Latn-RS"/>
        </w:rPr>
        <w:t xml:space="preserve">      </w:t>
      </w:r>
      <w:r w:rsidRPr="004473A3">
        <w:rPr>
          <w:lang w:val="sr-Latn-RS"/>
        </w:rPr>
        <w:t>2030/22/1237 – 654</w:t>
      </w:r>
    </w:p>
    <w:p w14:paraId="705440A6" w14:textId="4CAB5A95" w:rsidR="004473A3" w:rsidRDefault="004473A3" w:rsidP="00ED3518">
      <w:pPr>
        <w:pStyle w:val="BodyText"/>
        <w:spacing w:before="2"/>
        <w:rPr>
          <w:sz w:val="25"/>
          <w:lang w:val="sr-Latn-RS"/>
        </w:rPr>
      </w:pPr>
    </w:p>
    <w:p w14:paraId="64BED361" w14:textId="77777777" w:rsidR="00480881" w:rsidRPr="00AE2963" w:rsidRDefault="00480881" w:rsidP="00ED3518">
      <w:pPr>
        <w:pStyle w:val="BodyText"/>
        <w:spacing w:before="2"/>
        <w:rPr>
          <w:sz w:val="25"/>
          <w:lang w:val="sr-Latn-RS"/>
        </w:rPr>
      </w:pPr>
    </w:p>
    <w:p w14:paraId="311420BF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9. </w:t>
      </w:r>
      <w:r w:rsidRPr="00786071">
        <w:t xml:space="preserve">DATUM </w:t>
      </w:r>
      <w:r>
        <w:t xml:space="preserve">PRVE </w:t>
      </w:r>
      <w:r w:rsidRPr="00786071">
        <w:t>DOZVOLE</w:t>
      </w:r>
      <w:r>
        <w:t>/OBNOVE DOZVOLE ZA STAVLJANJE LIJEKA U PROMET</w:t>
      </w:r>
    </w:p>
    <w:p w14:paraId="6C391806" w14:textId="77777777" w:rsidR="00ED3518" w:rsidRPr="00AE2963" w:rsidRDefault="00ED3518" w:rsidP="00ED3518">
      <w:pPr>
        <w:pStyle w:val="BodyText"/>
        <w:spacing w:before="3"/>
        <w:rPr>
          <w:b/>
          <w:sz w:val="26"/>
          <w:lang w:val="sr-Latn-RS"/>
        </w:rPr>
      </w:pPr>
    </w:p>
    <w:p w14:paraId="655B99CF" w14:textId="69F15EE8" w:rsidR="00ED3518" w:rsidRPr="00AE2963" w:rsidRDefault="004473A3" w:rsidP="00ED3518">
      <w:pPr>
        <w:pStyle w:val="BodyText"/>
        <w:ind w:left="311"/>
        <w:rPr>
          <w:lang w:val="sr-Latn-RS"/>
        </w:rPr>
      </w:pPr>
      <w:r>
        <w:rPr>
          <w:lang w:val="sr-Latn-RS"/>
        </w:rPr>
        <w:t>22.06.2022. godine</w:t>
      </w:r>
    </w:p>
    <w:p w14:paraId="06288F51" w14:textId="6D1ABEC4" w:rsidR="00ED3518" w:rsidRDefault="00ED3518" w:rsidP="00ED3518">
      <w:pPr>
        <w:pStyle w:val="BodyText"/>
        <w:spacing w:before="2"/>
        <w:rPr>
          <w:sz w:val="25"/>
          <w:lang w:val="sr-Latn-RS"/>
        </w:rPr>
      </w:pPr>
    </w:p>
    <w:p w14:paraId="36155659" w14:textId="77777777" w:rsidR="00480881" w:rsidRPr="00AE2963" w:rsidRDefault="00480881" w:rsidP="00ED3518">
      <w:pPr>
        <w:pStyle w:val="BodyText"/>
        <w:spacing w:before="2"/>
        <w:rPr>
          <w:sz w:val="25"/>
          <w:lang w:val="sr-Latn-RS"/>
        </w:rPr>
      </w:pPr>
    </w:p>
    <w:p w14:paraId="5D0EC63B" w14:textId="77777777" w:rsidR="00ED3518" w:rsidRPr="00AE2963" w:rsidRDefault="00ED3518" w:rsidP="00ED3518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10. </w:t>
      </w:r>
      <w:r w:rsidRPr="00AE2963">
        <w:rPr>
          <w:lang w:val="sr-Latn-RS"/>
        </w:rPr>
        <w:t>DATUM REVIZIJE TEKSTA</w:t>
      </w:r>
    </w:p>
    <w:p w14:paraId="1AD79AEE" w14:textId="77777777" w:rsidR="00ED3518" w:rsidRPr="00AE2963" w:rsidRDefault="00ED3518" w:rsidP="00ED3518">
      <w:pPr>
        <w:pStyle w:val="BodyText"/>
        <w:rPr>
          <w:b/>
          <w:sz w:val="24"/>
          <w:lang w:val="sr-Latn-RS"/>
        </w:rPr>
      </w:pPr>
    </w:p>
    <w:p w14:paraId="5C5F599A" w14:textId="1FE149A0" w:rsidR="00ED3518" w:rsidRPr="00A73166" w:rsidRDefault="00ED3518" w:rsidP="00ED3518">
      <w:pPr>
        <w:pStyle w:val="BodyText"/>
        <w:spacing w:before="6"/>
        <w:rPr>
          <w:lang w:val="sr-Latn-RS"/>
        </w:rPr>
      </w:pPr>
      <w:r w:rsidRPr="00A73166">
        <w:rPr>
          <w:lang w:val="sr-Latn-RS"/>
        </w:rPr>
        <w:t xml:space="preserve">       </w:t>
      </w:r>
      <w:bookmarkStart w:id="0" w:name="_GoBack"/>
      <w:r w:rsidR="00A73166" w:rsidRPr="00A73166">
        <w:rPr>
          <w:lang w:val="sr-Latn-RS"/>
        </w:rPr>
        <w:t>Decembar, 2024. godine</w:t>
      </w:r>
      <w:bookmarkEnd w:id="0"/>
    </w:p>
    <w:p w14:paraId="3DCF0A44" w14:textId="15FE4621" w:rsidR="00AA07A9" w:rsidRPr="00AE2963" w:rsidRDefault="00AA07A9" w:rsidP="00ED3518">
      <w:pPr>
        <w:spacing w:before="78" w:after="2"/>
        <w:ind w:right="970"/>
        <w:jc w:val="both"/>
        <w:outlineLvl w:val="0"/>
        <w:rPr>
          <w:lang w:val="sr-Latn-RS"/>
        </w:rPr>
      </w:pPr>
    </w:p>
    <w:sectPr w:rsidR="00AA07A9" w:rsidRPr="00AE2963">
      <w:pgSz w:w="11910" w:h="16840"/>
      <w:pgMar w:top="1040" w:right="480" w:bottom="1080" w:left="110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28111" w14:textId="77777777" w:rsidR="00463D2D" w:rsidRDefault="00463D2D">
      <w:r>
        <w:separator/>
      </w:r>
    </w:p>
  </w:endnote>
  <w:endnote w:type="continuationSeparator" w:id="0">
    <w:p w14:paraId="33CB47EE" w14:textId="77777777" w:rsidR="00463D2D" w:rsidRDefault="0046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DC41" w14:textId="73C687AB" w:rsidR="00EA6DA9" w:rsidRPr="00B23F69" w:rsidRDefault="00EA6DA9" w:rsidP="00EA6DA9">
    <w:pPr>
      <w:pStyle w:val="Footer"/>
      <w:jc w:val="center"/>
    </w:pPr>
    <w:r w:rsidRPr="00B23F69">
      <w:fldChar w:fldCharType="begin"/>
    </w:r>
    <w:r w:rsidRPr="00B23F69">
      <w:instrText xml:space="preserve"> PAGE </w:instrText>
    </w:r>
    <w:r w:rsidRPr="00B23F69">
      <w:fldChar w:fldCharType="separate"/>
    </w:r>
    <w:r w:rsidR="00A73166">
      <w:rPr>
        <w:noProof/>
      </w:rPr>
      <w:t>16</w:t>
    </w:r>
    <w:r w:rsidRPr="00B23F69">
      <w:fldChar w:fldCharType="end"/>
    </w:r>
    <w:r w:rsidRPr="00B23F69">
      <w:t xml:space="preserve"> / </w:t>
    </w:r>
    <w:fldSimple w:instr=" NUMPAGES ">
      <w:r w:rsidR="00A73166">
        <w:rPr>
          <w:noProof/>
        </w:rPr>
        <w:t>16</w:t>
      </w:r>
    </w:fldSimple>
  </w:p>
  <w:p w14:paraId="31A92353" w14:textId="59D4E79D" w:rsidR="00EA6DA9" w:rsidRDefault="00EA6DA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FF30" w14:textId="77777777" w:rsidR="00463D2D" w:rsidRDefault="00463D2D">
      <w:r>
        <w:separator/>
      </w:r>
    </w:p>
  </w:footnote>
  <w:footnote w:type="continuationSeparator" w:id="0">
    <w:p w14:paraId="23D4E796" w14:textId="77777777" w:rsidR="00463D2D" w:rsidRDefault="0046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1DD7"/>
    <w:multiLevelType w:val="hybridMultilevel"/>
    <w:tmpl w:val="0CC40CB8"/>
    <w:lvl w:ilvl="0" w:tplc="4A4A4C26">
      <w:start w:val="1"/>
      <w:numFmt w:val="decimal"/>
      <w:lvlText w:val="%1."/>
      <w:lvlJc w:val="left"/>
      <w:pPr>
        <w:ind w:left="73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CB61B5E">
      <w:numFmt w:val="bullet"/>
      <w:lvlText w:val="-"/>
      <w:lvlJc w:val="left"/>
      <w:pPr>
        <w:ind w:left="11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3DC1F62">
      <w:numFmt w:val="bullet"/>
      <w:lvlText w:val="•"/>
      <w:lvlJc w:val="left"/>
      <w:pPr>
        <w:ind w:left="2178" w:hanging="428"/>
      </w:pPr>
      <w:rPr>
        <w:rFonts w:hint="default"/>
        <w:lang w:val="en-US" w:eastAsia="en-US" w:bidi="ar-SA"/>
      </w:rPr>
    </w:lvl>
    <w:lvl w:ilvl="3" w:tplc="75A83658">
      <w:numFmt w:val="bullet"/>
      <w:lvlText w:val="•"/>
      <w:lvlJc w:val="left"/>
      <w:pPr>
        <w:ind w:left="3196" w:hanging="428"/>
      </w:pPr>
      <w:rPr>
        <w:rFonts w:hint="default"/>
        <w:lang w:val="en-US" w:eastAsia="en-US" w:bidi="ar-SA"/>
      </w:rPr>
    </w:lvl>
    <w:lvl w:ilvl="4" w:tplc="60DC5AE0">
      <w:numFmt w:val="bullet"/>
      <w:lvlText w:val="•"/>
      <w:lvlJc w:val="left"/>
      <w:pPr>
        <w:ind w:left="4215" w:hanging="428"/>
      </w:pPr>
      <w:rPr>
        <w:rFonts w:hint="default"/>
        <w:lang w:val="en-US" w:eastAsia="en-US" w:bidi="ar-SA"/>
      </w:rPr>
    </w:lvl>
    <w:lvl w:ilvl="5" w:tplc="9EE2C93E">
      <w:numFmt w:val="bullet"/>
      <w:lvlText w:val="•"/>
      <w:lvlJc w:val="left"/>
      <w:pPr>
        <w:ind w:left="5233" w:hanging="428"/>
      </w:pPr>
      <w:rPr>
        <w:rFonts w:hint="default"/>
        <w:lang w:val="en-US" w:eastAsia="en-US" w:bidi="ar-SA"/>
      </w:rPr>
    </w:lvl>
    <w:lvl w:ilvl="6" w:tplc="0D5A820A">
      <w:numFmt w:val="bullet"/>
      <w:lvlText w:val="•"/>
      <w:lvlJc w:val="left"/>
      <w:pPr>
        <w:ind w:left="6252" w:hanging="428"/>
      </w:pPr>
      <w:rPr>
        <w:rFonts w:hint="default"/>
        <w:lang w:val="en-US" w:eastAsia="en-US" w:bidi="ar-SA"/>
      </w:rPr>
    </w:lvl>
    <w:lvl w:ilvl="7" w:tplc="47A29C7A">
      <w:numFmt w:val="bullet"/>
      <w:lvlText w:val="•"/>
      <w:lvlJc w:val="left"/>
      <w:pPr>
        <w:ind w:left="7270" w:hanging="428"/>
      </w:pPr>
      <w:rPr>
        <w:rFonts w:hint="default"/>
        <w:lang w:val="en-US" w:eastAsia="en-US" w:bidi="ar-SA"/>
      </w:rPr>
    </w:lvl>
    <w:lvl w:ilvl="8" w:tplc="7A0E0CD4">
      <w:numFmt w:val="bullet"/>
      <w:lvlText w:val="•"/>
      <w:lvlJc w:val="left"/>
      <w:pPr>
        <w:ind w:left="8289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20E111BC"/>
    <w:multiLevelType w:val="hybridMultilevel"/>
    <w:tmpl w:val="0C6A9900"/>
    <w:lvl w:ilvl="0" w:tplc="24C0427A">
      <w:start w:val="1"/>
      <w:numFmt w:val="decimal"/>
      <w:lvlText w:val="%1."/>
      <w:lvlJc w:val="left"/>
      <w:pPr>
        <w:ind w:left="6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92E60C0">
      <w:numFmt w:val="bullet"/>
      <w:lvlText w:val="-"/>
      <w:lvlJc w:val="left"/>
      <w:pPr>
        <w:ind w:left="11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EC024A2">
      <w:numFmt w:val="bullet"/>
      <w:lvlText w:val="•"/>
      <w:lvlJc w:val="left"/>
      <w:pPr>
        <w:ind w:left="2178" w:hanging="428"/>
      </w:pPr>
      <w:rPr>
        <w:rFonts w:hint="default"/>
        <w:lang w:val="en-US" w:eastAsia="en-US" w:bidi="ar-SA"/>
      </w:rPr>
    </w:lvl>
    <w:lvl w:ilvl="3" w:tplc="A0BE1926">
      <w:numFmt w:val="bullet"/>
      <w:lvlText w:val="•"/>
      <w:lvlJc w:val="left"/>
      <w:pPr>
        <w:ind w:left="3196" w:hanging="428"/>
      </w:pPr>
      <w:rPr>
        <w:rFonts w:hint="default"/>
        <w:lang w:val="en-US" w:eastAsia="en-US" w:bidi="ar-SA"/>
      </w:rPr>
    </w:lvl>
    <w:lvl w:ilvl="4" w:tplc="16B0DF00">
      <w:numFmt w:val="bullet"/>
      <w:lvlText w:val="•"/>
      <w:lvlJc w:val="left"/>
      <w:pPr>
        <w:ind w:left="4215" w:hanging="428"/>
      </w:pPr>
      <w:rPr>
        <w:rFonts w:hint="default"/>
        <w:lang w:val="en-US" w:eastAsia="en-US" w:bidi="ar-SA"/>
      </w:rPr>
    </w:lvl>
    <w:lvl w:ilvl="5" w:tplc="AD788322">
      <w:numFmt w:val="bullet"/>
      <w:lvlText w:val="•"/>
      <w:lvlJc w:val="left"/>
      <w:pPr>
        <w:ind w:left="5233" w:hanging="428"/>
      </w:pPr>
      <w:rPr>
        <w:rFonts w:hint="default"/>
        <w:lang w:val="en-US" w:eastAsia="en-US" w:bidi="ar-SA"/>
      </w:rPr>
    </w:lvl>
    <w:lvl w:ilvl="6" w:tplc="4B66DAFA">
      <w:numFmt w:val="bullet"/>
      <w:lvlText w:val="•"/>
      <w:lvlJc w:val="left"/>
      <w:pPr>
        <w:ind w:left="6252" w:hanging="428"/>
      </w:pPr>
      <w:rPr>
        <w:rFonts w:hint="default"/>
        <w:lang w:val="en-US" w:eastAsia="en-US" w:bidi="ar-SA"/>
      </w:rPr>
    </w:lvl>
    <w:lvl w:ilvl="7" w:tplc="3184E2B0">
      <w:numFmt w:val="bullet"/>
      <w:lvlText w:val="•"/>
      <w:lvlJc w:val="left"/>
      <w:pPr>
        <w:ind w:left="7270" w:hanging="428"/>
      </w:pPr>
      <w:rPr>
        <w:rFonts w:hint="default"/>
        <w:lang w:val="en-US" w:eastAsia="en-US" w:bidi="ar-SA"/>
      </w:rPr>
    </w:lvl>
    <w:lvl w:ilvl="8" w:tplc="0EAEA05C">
      <w:numFmt w:val="bullet"/>
      <w:lvlText w:val="•"/>
      <w:lvlJc w:val="left"/>
      <w:pPr>
        <w:ind w:left="8289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2FA9217F"/>
    <w:multiLevelType w:val="hybridMultilevel"/>
    <w:tmpl w:val="72B637D6"/>
    <w:lvl w:ilvl="0" w:tplc="77B2704C">
      <w:start w:val="1"/>
      <w:numFmt w:val="decimal"/>
      <w:lvlText w:val="%1."/>
      <w:lvlJc w:val="left"/>
      <w:pPr>
        <w:ind w:left="7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B6A10E4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3EE68714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AC444CDE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63E49C3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3ADA327A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D40A109E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C10A16F6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 w:tplc="3250A0D0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CB655F"/>
    <w:multiLevelType w:val="multilevel"/>
    <w:tmpl w:val="C2CC815C"/>
    <w:lvl w:ilvl="0">
      <w:start w:val="1"/>
      <w:numFmt w:val="decimal"/>
      <w:lvlText w:val="%1."/>
      <w:lvlJc w:val="left"/>
      <w:pPr>
        <w:ind w:left="87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1" w:hanging="5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B52ABD"/>
    <w:multiLevelType w:val="hybridMultilevel"/>
    <w:tmpl w:val="9B6045A2"/>
    <w:lvl w:ilvl="0" w:tplc="A84271CC">
      <w:start w:val="1"/>
      <w:numFmt w:val="decimal"/>
      <w:lvlText w:val="%1."/>
      <w:lvlJc w:val="left"/>
      <w:pPr>
        <w:ind w:left="7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6826B8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61128502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FEB655C4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9752A584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6BF0307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CFCA1800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16DE8E14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 w:tplc="0F9AF57A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BE60254"/>
    <w:multiLevelType w:val="multilevel"/>
    <w:tmpl w:val="F1D05BD4"/>
    <w:lvl w:ilvl="0">
      <w:start w:val="1"/>
      <w:numFmt w:val="decimal"/>
      <w:lvlText w:val="%1."/>
      <w:lvlJc w:val="left"/>
      <w:pPr>
        <w:ind w:left="87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1" w:hanging="5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34662F"/>
    <w:multiLevelType w:val="hybridMultilevel"/>
    <w:tmpl w:val="AAA05B74"/>
    <w:lvl w:ilvl="0" w:tplc="027E0BBC">
      <w:start w:val="7"/>
      <w:numFmt w:val="decimal"/>
      <w:lvlText w:val="%1."/>
      <w:lvlJc w:val="left"/>
      <w:pPr>
        <w:ind w:left="851" w:hanging="5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82D8F602">
      <w:numFmt w:val="bullet"/>
      <w:lvlText w:val="•"/>
      <w:lvlJc w:val="left"/>
      <w:pPr>
        <w:ind w:left="1806" w:hanging="540"/>
      </w:pPr>
      <w:rPr>
        <w:rFonts w:hint="default"/>
        <w:lang w:val="en-US" w:eastAsia="en-US" w:bidi="ar-SA"/>
      </w:rPr>
    </w:lvl>
    <w:lvl w:ilvl="2" w:tplc="43602F9C">
      <w:numFmt w:val="bullet"/>
      <w:lvlText w:val="•"/>
      <w:lvlJc w:val="left"/>
      <w:pPr>
        <w:ind w:left="2753" w:hanging="540"/>
      </w:pPr>
      <w:rPr>
        <w:rFonts w:hint="default"/>
        <w:lang w:val="en-US" w:eastAsia="en-US" w:bidi="ar-SA"/>
      </w:rPr>
    </w:lvl>
    <w:lvl w:ilvl="3" w:tplc="F4B208D6">
      <w:numFmt w:val="bullet"/>
      <w:lvlText w:val="•"/>
      <w:lvlJc w:val="left"/>
      <w:pPr>
        <w:ind w:left="3699" w:hanging="540"/>
      </w:pPr>
      <w:rPr>
        <w:rFonts w:hint="default"/>
        <w:lang w:val="en-US" w:eastAsia="en-US" w:bidi="ar-SA"/>
      </w:rPr>
    </w:lvl>
    <w:lvl w:ilvl="4" w:tplc="7DD824E2">
      <w:numFmt w:val="bullet"/>
      <w:lvlText w:val="•"/>
      <w:lvlJc w:val="left"/>
      <w:pPr>
        <w:ind w:left="4646" w:hanging="540"/>
      </w:pPr>
      <w:rPr>
        <w:rFonts w:hint="default"/>
        <w:lang w:val="en-US" w:eastAsia="en-US" w:bidi="ar-SA"/>
      </w:rPr>
    </w:lvl>
    <w:lvl w:ilvl="5" w:tplc="5964E166">
      <w:numFmt w:val="bullet"/>
      <w:lvlText w:val="•"/>
      <w:lvlJc w:val="left"/>
      <w:pPr>
        <w:ind w:left="5593" w:hanging="540"/>
      </w:pPr>
      <w:rPr>
        <w:rFonts w:hint="default"/>
        <w:lang w:val="en-US" w:eastAsia="en-US" w:bidi="ar-SA"/>
      </w:rPr>
    </w:lvl>
    <w:lvl w:ilvl="6" w:tplc="C04842F2">
      <w:numFmt w:val="bullet"/>
      <w:lvlText w:val="•"/>
      <w:lvlJc w:val="left"/>
      <w:pPr>
        <w:ind w:left="6539" w:hanging="540"/>
      </w:pPr>
      <w:rPr>
        <w:rFonts w:hint="default"/>
        <w:lang w:val="en-US" w:eastAsia="en-US" w:bidi="ar-SA"/>
      </w:rPr>
    </w:lvl>
    <w:lvl w:ilvl="7" w:tplc="91F845EA">
      <w:numFmt w:val="bullet"/>
      <w:lvlText w:val="•"/>
      <w:lvlJc w:val="left"/>
      <w:pPr>
        <w:ind w:left="7486" w:hanging="540"/>
      </w:pPr>
      <w:rPr>
        <w:rFonts w:hint="default"/>
        <w:lang w:val="en-US" w:eastAsia="en-US" w:bidi="ar-SA"/>
      </w:rPr>
    </w:lvl>
    <w:lvl w:ilvl="8" w:tplc="9154A79E">
      <w:numFmt w:val="bullet"/>
      <w:lvlText w:val="•"/>
      <w:lvlJc w:val="left"/>
      <w:pPr>
        <w:ind w:left="8433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6E1E3488"/>
    <w:multiLevelType w:val="hybridMultilevel"/>
    <w:tmpl w:val="F5BCAE7A"/>
    <w:lvl w:ilvl="0" w:tplc="2528E9B4">
      <w:numFmt w:val="bullet"/>
      <w:lvlText w:val="•"/>
      <w:lvlJc w:val="left"/>
      <w:pPr>
        <w:ind w:left="743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532F3B2">
      <w:numFmt w:val="bullet"/>
      <w:lvlText w:val="•"/>
      <w:lvlJc w:val="left"/>
      <w:pPr>
        <w:ind w:left="1698" w:hanging="432"/>
      </w:pPr>
      <w:rPr>
        <w:rFonts w:hint="default"/>
        <w:lang w:val="en-US" w:eastAsia="en-US" w:bidi="ar-SA"/>
      </w:rPr>
    </w:lvl>
    <w:lvl w:ilvl="2" w:tplc="A54A8A3C">
      <w:numFmt w:val="bullet"/>
      <w:lvlText w:val="•"/>
      <w:lvlJc w:val="left"/>
      <w:pPr>
        <w:ind w:left="2657" w:hanging="432"/>
      </w:pPr>
      <w:rPr>
        <w:rFonts w:hint="default"/>
        <w:lang w:val="en-US" w:eastAsia="en-US" w:bidi="ar-SA"/>
      </w:rPr>
    </w:lvl>
    <w:lvl w:ilvl="3" w:tplc="80E69B72">
      <w:numFmt w:val="bullet"/>
      <w:lvlText w:val="•"/>
      <w:lvlJc w:val="left"/>
      <w:pPr>
        <w:ind w:left="3615" w:hanging="432"/>
      </w:pPr>
      <w:rPr>
        <w:rFonts w:hint="default"/>
        <w:lang w:val="en-US" w:eastAsia="en-US" w:bidi="ar-SA"/>
      </w:rPr>
    </w:lvl>
    <w:lvl w:ilvl="4" w:tplc="0524702C">
      <w:numFmt w:val="bullet"/>
      <w:lvlText w:val="•"/>
      <w:lvlJc w:val="left"/>
      <w:pPr>
        <w:ind w:left="4574" w:hanging="432"/>
      </w:pPr>
      <w:rPr>
        <w:rFonts w:hint="default"/>
        <w:lang w:val="en-US" w:eastAsia="en-US" w:bidi="ar-SA"/>
      </w:rPr>
    </w:lvl>
    <w:lvl w:ilvl="5" w:tplc="CBDE7D38">
      <w:numFmt w:val="bullet"/>
      <w:lvlText w:val="•"/>
      <w:lvlJc w:val="left"/>
      <w:pPr>
        <w:ind w:left="5533" w:hanging="432"/>
      </w:pPr>
      <w:rPr>
        <w:rFonts w:hint="default"/>
        <w:lang w:val="en-US" w:eastAsia="en-US" w:bidi="ar-SA"/>
      </w:rPr>
    </w:lvl>
    <w:lvl w:ilvl="6" w:tplc="40DCB3E2">
      <w:numFmt w:val="bullet"/>
      <w:lvlText w:val="•"/>
      <w:lvlJc w:val="left"/>
      <w:pPr>
        <w:ind w:left="6491" w:hanging="432"/>
      </w:pPr>
      <w:rPr>
        <w:rFonts w:hint="default"/>
        <w:lang w:val="en-US" w:eastAsia="en-US" w:bidi="ar-SA"/>
      </w:rPr>
    </w:lvl>
    <w:lvl w:ilvl="7" w:tplc="8DAA4D92">
      <w:numFmt w:val="bullet"/>
      <w:lvlText w:val="•"/>
      <w:lvlJc w:val="left"/>
      <w:pPr>
        <w:ind w:left="7450" w:hanging="432"/>
      </w:pPr>
      <w:rPr>
        <w:rFonts w:hint="default"/>
        <w:lang w:val="en-US" w:eastAsia="en-US" w:bidi="ar-SA"/>
      </w:rPr>
    </w:lvl>
    <w:lvl w:ilvl="8" w:tplc="5FEA0E34">
      <w:numFmt w:val="bullet"/>
      <w:lvlText w:val="•"/>
      <w:lvlJc w:val="left"/>
      <w:pPr>
        <w:ind w:left="8409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6FAB333A"/>
    <w:multiLevelType w:val="hybridMultilevel"/>
    <w:tmpl w:val="C50A9D52"/>
    <w:lvl w:ilvl="0" w:tplc="EBF6D66E">
      <w:numFmt w:val="bullet"/>
      <w:lvlText w:val=""/>
      <w:lvlJc w:val="left"/>
      <w:pPr>
        <w:ind w:left="73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4CE206">
      <w:numFmt w:val="bullet"/>
      <w:lvlText w:val="o"/>
      <w:lvlJc w:val="left"/>
      <w:pPr>
        <w:ind w:left="1163" w:hanging="428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1FED942">
      <w:numFmt w:val="bullet"/>
      <w:lvlText w:val="•"/>
      <w:lvlJc w:val="left"/>
      <w:pPr>
        <w:ind w:left="2178" w:hanging="428"/>
      </w:pPr>
      <w:rPr>
        <w:rFonts w:hint="default"/>
        <w:lang w:val="en-US" w:eastAsia="en-US" w:bidi="ar-SA"/>
      </w:rPr>
    </w:lvl>
    <w:lvl w:ilvl="3" w:tplc="4468D81A">
      <w:numFmt w:val="bullet"/>
      <w:lvlText w:val="•"/>
      <w:lvlJc w:val="left"/>
      <w:pPr>
        <w:ind w:left="3196" w:hanging="428"/>
      </w:pPr>
      <w:rPr>
        <w:rFonts w:hint="default"/>
        <w:lang w:val="en-US" w:eastAsia="en-US" w:bidi="ar-SA"/>
      </w:rPr>
    </w:lvl>
    <w:lvl w:ilvl="4" w:tplc="DB1EBBF4">
      <w:numFmt w:val="bullet"/>
      <w:lvlText w:val="•"/>
      <w:lvlJc w:val="left"/>
      <w:pPr>
        <w:ind w:left="4215" w:hanging="428"/>
      </w:pPr>
      <w:rPr>
        <w:rFonts w:hint="default"/>
        <w:lang w:val="en-US" w:eastAsia="en-US" w:bidi="ar-SA"/>
      </w:rPr>
    </w:lvl>
    <w:lvl w:ilvl="5" w:tplc="119026A2">
      <w:numFmt w:val="bullet"/>
      <w:lvlText w:val="•"/>
      <w:lvlJc w:val="left"/>
      <w:pPr>
        <w:ind w:left="5233" w:hanging="428"/>
      </w:pPr>
      <w:rPr>
        <w:rFonts w:hint="default"/>
        <w:lang w:val="en-US" w:eastAsia="en-US" w:bidi="ar-SA"/>
      </w:rPr>
    </w:lvl>
    <w:lvl w:ilvl="6" w:tplc="6BC27AC0">
      <w:numFmt w:val="bullet"/>
      <w:lvlText w:val="•"/>
      <w:lvlJc w:val="left"/>
      <w:pPr>
        <w:ind w:left="6252" w:hanging="428"/>
      </w:pPr>
      <w:rPr>
        <w:rFonts w:hint="default"/>
        <w:lang w:val="en-US" w:eastAsia="en-US" w:bidi="ar-SA"/>
      </w:rPr>
    </w:lvl>
    <w:lvl w:ilvl="7" w:tplc="7716EC32">
      <w:numFmt w:val="bullet"/>
      <w:lvlText w:val="•"/>
      <w:lvlJc w:val="left"/>
      <w:pPr>
        <w:ind w:left="7270" w:hanging="428"/>
      </w:pPr>
      <w:rPr>
        <w:rFonts w:hint="default"/>
        <w:lang w:val="en-US" w:eastAsia="en-US" w:bidi="ar-SA"/>
      </w:rPr>
    </w:lvl>
    <w:lvl w:ilvl="8" w:tplc="F6826ACA">
      <w:numFmt w:val="bullet"/>
      <w:lvlText w:val="•"/>
      <w:lvlJc w:val="left"/>
      <w:pPr>
        <w:ind w:left="8289" w:hanging="428"/>
      </w:pPr>
      <w:rPr>
        <w:rFonts w:hint="default"/>
        <w:lang w:val="en-US" w:eastAsia="en-US" w:bidi="ar-SA"/>
      </w:rPr>
    </w:lvl>
  </w:abstractNum>
  <w:abstractNum w:abstractNumId="9" w15:restartNumberingAfterBreak="0">
    <w:nsid w:val="710924D3"/>
    <w:multiLevelType w:val="hybridMultilevel"/>
    <w:tmpl w:val="FA02CAE0"/>
    <w:lvl w:ilvl="0" w:tplc="9356F89C">
      <w:numFmt w:val="bullet"/>
      <w:lvlText w:val=""/>
      <w:lvlJc w:val="left"/>
      <w:pPr>
        <w:ind w:left="73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F49A14">
      <w:numFmt w:val="bullet"/>
      <w:lvlText w:val="o"/>
      <w:lvlJc w:val="left"/>
      <w:pPr>
        <w:ind w:left="1058" w:hanging="428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AF0C32A">
      <w:numFmt w:val="bullet"/>
      <w:lvlText w:val="•"/>
      <w:lvlJc w:val="left"/>
      <w:pPr>
        <w:ind w:left="2178" w:hanging="428"/>
      </w:pPr>
      <w:rPr>
        <w:rFonts w:hint="default"/>
        <w:lang w:val="en-US" w:eastAsia="en-US" w:bidi="ar-SA"/>
      </w:rPr>
    </w:lvl>
    <w:lvl w:ilvl="3" w:tplc="AA82B0E0">
      <w:numFmt w:val="bullet"/>
      <w:lvlText w:val="•"/>
      <w:lvlJc w:val="left"/>
      <w:pPr>
        <w:ind w:left="3196" w:hanging="428"/>
      </w:pPr>
      <w:rPr>
        <w:rFonts w:hint="default"/>
        <w:lang w:val="en-US" w:eastAsia="en-US" w:bidi="ar-SA"/>
      </w:rPr>
    </w:lvl>
    <w:lvl w:ilvl="4" w:tplc="052816D6">
      <w:numFmt w:val="bullet"/>
      <w:lvlText w:val="•"/>
      <w:lvlJc w:val="left"/>
      <w:pPr>
        <w:ind w:left="4215" w:hanging="428"/>
      </w:pPr>
      <w:rPr>
        <w:rFonts w:hint="default"/>
        <w:lang w:val="en-US" w:eastAsia="en-US" w:bidi="ar-SA"/>
      </w:rPr>
    </w:lvl>
    <w:lvl w:ilvl="5" w:tplc="94D05AF4">
      <w:numFmt w:val="bullet"/>
      <w:lvlText w:val="•"/>
      <w:lvlJc w:val="left"/>
      <w:pPr>
        <w:ind w:left="5233" w:hanging="428"/>
      </w:pPr>
      <w:rPr>
        <w:rFonts w:hint="default"/>
        <w:lang w:val="en-US" w:eastAsia="en-US" w:bidi="ar-SA"/>
      </w:rPr>
    </w:lvl>
    <w:lvl w:ilvl="6" w:tplc="DA08E204">
      <w:numFmt w:val="bullet"/>
      <w:lvlText w:val="•"/>
      <w:lvlJc w:val="left"/>
      <w:pPr>
        <w:ind w:left="6252" w:hanging="428"/>
      </w:pPr>
      <w:rPr>
        <w:rFonts w:hint="default"/>
        <w:lang w:val="en-US" w:eastAsia="en-US" w:bidi="ar-SA"/>
      </w:rPr>
    </w:lvl>
    <w:lvl w:ilvl="7" w:tplc="6BA407DA">
      <w:numFmt w:val="bullet"/>
      <w:lvlText w:val="•"/>
      <w:lvlJc w:val="left"/>
      <w:pPr>
        <w:ind w:left="7270" w:hanging="428"/>
      </w:pPr>
      <w:rPr>
        <w:rFonts w:hint="default"/>
        <w:lang w:val="en-US" w:eastAsia="en-US" w:bidi="ar-SA"/>
      </w:rPr>
    </w:lvl>
    <w:lvl w:ilvl="8" w:tplc="B330DD3E">
      <w:numFmt w:val="bullet"/>
      <w:lvlText w:val="•"/>
      <w:lvlJc w:val="left"/>
      <w:pPr>
        <w:ind w:left="8289" w:hanging="428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A9"/>
    <w:rsid w:val="000062BB"/>
    <w:rsid w:val="000072D1"/>
    <w:rsid w:val="00044457"/>
    <w:rsid w:val="000718FC"/>
    <w:rsid w:val="00096FEC"/>
    <w:rsid w:val="000C03C2"/>
    <w:rsid w:val="000C5A3B"/>
    <w:rsid w:val="000C7564"/>
    <w:rsid w:val="001005E1"/>
    <w:rsid w:val="001055C8"/>
    <w:rsid w:val="001065A7"/>
    <w:rsid w:val="00122D4A"/>
    <w:rsid w:val="00141D6A"/>
    <w:rsid w:val="00171214"/>
    <w:rsid w:val="00172477"/>
    <w:rsid w:val="001D03A1"/>
    <w:rsid w:val="001D04D4"/>
    <w:rsid w:val="001E6B74"/>
    <w:rsid w:val="0020586D"/>
    <w:rsid w:val="0022124D"/>
    <w:rsid w:val="00242CA0"/>
    <w:rsid w:val="002A3DBE"/>
    <w:rsid w:val="002B5637"/>
    <w:rsid w:val="002D620A"/>
    <w:rsid w:val="002F67A1"/>
    <w:rsid w:val="003076DA"/>
    <w:rsid w:val="003206D7"/>
    <w:rsid w:val="00321174"/>
    <w:rsid w:val="00341EBD"/>
    <w:rsid w:val="0037527B"/>
    <w:rsid w:val="003A734F"/>
    <w:rsid w:val="003E65F1"/>
    <w:rsid w:val="003F462C"/>
    <w:rsid w:val="00432D64"/>
    <w:rsid w:val="00443A25"/>
    <w:rsid w:val="004473A3"/>
    <w:rsid w:val="00463D2D"/>
    <w:rsid w:val="00480881"/>
    <w:rsid w:val="004919D6"/>
    <w:rsid w:val="004946A1"/>
    <w:rsid w:val="00494969"/>
    <w:rsid w:val="004D1203"/>
    <w:rsid w:val="004E4EB7"/>
    <w:rsid w:val="004F2332"/>
    <w:rsid w:val="00507562"/>
    <w:rsid w:val="0053587C"/>
    <w:rsid w:val="005601E7"/>
    <w:rsid w:val="00597EA9"/>
    <w:rsid w:val="005B100A"/>
    <w:rsid w:val="005C5658"/>
    <w:rsid w:val="00604192"/>
    <w:rsid w:val="006411E4"/>
    <w:rsid w:val="00666796"/>
    <w:rsid w:val="006A7465"/>
    <w:rsid w:val="006B2A03"/>
    <w:rsid w:val="006F35DE"/>
    <w:rsid w:val="006F5377"/>
    <w:rsid w:val="006F5A6A"/>
    <w:rsid w:val="006F786E"/>
    <w:rsid w:val="007453AE"/>
    <w:rsid w:val="007613FE"/>
    <w:rsid w:val="00777FF1"/>
    <w:rsid w:val="00797F56"/>
    <w:rsid w:val="007A2B29"/>
    <w:rsid w:val="007D2B93"/>
    <w:rsid w:val="007E2276"/>
    <w:rsid w:val="008579C3"/>
    <w:rsid w:val="00882CBC"/>
    <w:rsid w:val="00893621"/>
    <w:rsid w:val="00895BAD"/>
    <w:rsid w:val="008B32B3"/>
    <w:rsid w:val="008C4E61"/>
    <w:rsid w:val="008D10FE"/>
    <w:rsid w:val="008D327C"/>
    <w:rsid w:val="008E76C9"/>
    <w:rsid w:val="0093586F"/>
    <w:rsid w:val="00951828"/>
    <w:rsid w:val="00971229"/>
    <w:rsid w:val="009D6D7C"/>
    <w:rsid w:val="00A60451"/>
    <w:rsid w:val="00A63FF4"/>
    <w:rsid w:val="00A71A64"/>
    <w:rsid w:val="00A725E7"/>
    <w:rsid w:val="00A73166"/>
    <w:rsid w:val="00A737EA"/>
    <w:rsid w:val="00A74D3B"/>
    <w:rsid w:val="00A8004E"/>
    <w:rsid w:val="00A83762"/>
    <w:rsid w:val="00AA07A9"/>
    <w:rsid w:val="00AE2425"/>
    <w:rsid w:val="00AE2963"/>
    <w:rsid w:val="00AE3A50"/>
    <w:rsid w:val="00AF2481"/>
    <w:rsid w:val="00B0611C"/>
    <w:rsid w:val="00B121AB"/>
    <w:rsid w:val="00B17797"/>
    <w:rsid w:val="00B73BF1"/>
    <w:rsid w:val="00B92D39"/>
    <w:rsid w:val="00B94782"/>
    <w:rsid w:val="00BC4048"/>
    <w:rsid w:val="00BC6F01"/>
    <w:rsid w:val="00BD405E"/>
    <w:rsid w:val="00BE221C"/>
    <w:rsid w:val="00BE22C8"/>
    <w:rsid w:val="00BE701E"/>
    <w:rsid w:val="00C766D7"/>
    <w:rsid w:val="00C87375"/>
    <w:rsid w:val="00C90D83"/>
    <w:rsid w:val="00CC6806"/>
    <w:rsid w:val="00D00B37"/>
    <w:rsid w:val="00D16E09"/>
    <w:rsid w:val="00D33711"/>
    <w:rsid w:val="00D3468E"/>
    <w:rsid w:val="00D410BF"/>
    <w:rsid w:val="00DA5966"/>
    <w:rsid w:val="00DB12CA"/>
    <w:rsid w:val="00DC2AC8"/>
    <w:rsid w:val="00DE2971"/>
    <w:rsid w:val="00E50526"/>
    <w:rsid w:val="00EA6DA9"/>
    <w:rsid w:val="00ED3518"/>
    <w:rsid w:val="00EE05E5"/>
    <w:rsid w:val="00EE422B"/>
    <w:rsid w:val="00F46F3C"/>
    <w:rsid w:val="00F57316"/>
    <w:rsid w:val="00F72A79"/>
    <w:rsid w:val="00FA1082"/>
    <w:rsid w:val="00FA7CB8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542EC"/>
  <w15:docId w15:val="{06A836CA-7041-400E-AF3A-75C18A46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1" w:hanging="5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51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5B10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FE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93621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797F5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6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7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6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7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dc.gov/coronavirus/2019-ncov/variants/variant-inf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nmed.me" TargetMode="External"/><Relationship Id="rId14" Type="http://schemas.openxmlformats.org/officeDocument/2006/relationships/hyperlink" Target="http://www.cdc.gov/coronavirus/2019-ncov/variants/variant-in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Jankovic, Milana {MWJF~Belgrade}</dc:creator>
  <cp:lastModifiedBy>Jovana Jovanovic</cp:lastModifiedBy>
  <cp:revision>6</cp:revision>
  <cp:lastPrinted>2022-06-29T12:11:00Z</cp:lastPrinted>
  <dcterms:created xsi:type="dcterms:W3CDTF">2024-11-11T14:43:00Z</dcterms:created>
  <dcterms:modified xsi:type="dcterms:W3CDTF">2024-12-06T07:21:00Z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