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E0802" w14:textId="77777777" w:rsidR="002510A5" w:rsidRPr="00E04F74" w:rsidRDefault="002510A5" w:rsidP="001076FF">
      <w:pPr>
        <w:jc w:val="center"/>
        <w:rPr>
          <w:b/>
          <w:bCs/>
          <w:iCs/>
          <w:sz w:val="22"/>
          <w:szCs w:val="22"/>
          <w:u w:val="single"/>
          <w:lang w:val="sr-Latn-RS"/>
        </w:rPr>
      </w:pPr>
      <w:r w:rsidRPr="00E04F74">
        <w:rPr>
          <w:b/>
          <w:bCs/>
          <w:iCs/>
          <w:sz w:val="22"/>
          <w:szCs w:val="22"/>
          <w:u w:val="single"/>
          <w:lang w:val="sr-Latn-RS"/>
        </w:rPr>
        <w:t>SAŽETAK KARAKTERISTIKA LIJEKA</w:t>
      </w:r>
    </w:p>
    <w:p w14:paraId="058E0803" w14:textId="77777777" w:rsidR="003C17AB" w:rsidRPr="00E04F74" w:rsidRDefault="003C17AB" w:rsidP="001076FF">
      <w:pPr>
        <w:tabs>
          <w:tab w:val="left" w:pos="540"/>
          <w:tab w:val="left" w:pos="569"/>
        </w:tabs>
        <w:rPr>
          <w:noProof/>
          <w:sz w:val="22"/>
          <w:szCs w:val="22"/>
          <w:lang w:val="sr-Latn-RS"/>
        </w:rPr>
      </w:pPr>
    </w:p>
    <w:p w14:paraId="058E0804" w14:textId="77777777" w:rsidR="00C37FD7" w:rsidRPr="00E04F74" w:rsidRDefault="00C37FD7" w:rsidP="001076FF">
      <w:pPr>
        <w:tabs>
          <w:tab w:val="left" w:pos="540"/>
          <w:tab w:val="left" w:pos="569"/>
        </w:tabs>
        <w:rPr>
          <w:bCs/>
          <w:sz w:val="22"/>
          <w:szCs w:val="22"/>
          <w:lang w:val="sr-Latn-RS"/>
        </w:rPr>
      </w:pPr>
    </w:p>
    <w:p w14:paraId="058E0805" w14:textId="77777777" w:rsidR="00411B4B" w:rsidRPr="00E04F74" w:rsidRDefault="00411B4B" w:rsidP="001076FF">
      <w:pPr>
        <w:tabs>
          <w:tab w:val="left" w:pos="540"/>
          <w:tab w:val="left" w:pos="569"/>
        </w:tabs>
        <w:rPr>
          <w:b/>
          <w:bCs/>
          <w:sz w:val="22"/>
          <w:szCs w:val="22"/>
          <w:lang w:val="sr-Latn-RS"/>
        </w:rPr>
      </w:pPr>
      <w:r w:rsidRPr="00E04F74">
        <w:rPr>
          <w:b/>
          <w:bCs/>
          <w:sz w:val="22"/>
          <w:szCs w:val="22"/>
          <w:lang w:val="sr-Latn-RS"/>
        </w:rPr>
        <w:t>1.</w:t>
      </w:r>
      <w:r w:rsidR="00F5167F" w:rsidRPr="00E04F74">
        <w:rPr>
          <w:b/>
          <w:bCs/>
          <w:sz w:val="22"/>
          <w:szCs w:val="22"/>
          <w:lang w:val="sr-Latn-RS"/>
        </w:rPr>
        <w:tab/>
      </w:r>
      <w:r w:rsidR="002846DB" w:rsidRPr="00E04F74">
        <w:rPr>
          <w:b/>
          <w:bCs/>
          <w:sz w:val="22"/>
          <w:szCs w:val="22"/>
          <w:lang w:val="sr-Latn-RS"/>
        </w:rPr>
        <w:t xml:space="preserve">NAZIV </w:t>
      </w:r>
      <w:r w:rsidRPr="00E04F74">
        <w:rPr>
          <w:b/>
          <w:bCs/>
          <w:sz w:val="22"/>
          <w:szCs w:val="22"/>
          <w:lang w:val="sr-Latn-RS"/>
        </w:rPr>
        <w:t>LIJEKA</w:t>
      </w:r>
    </w:p>
    <w:p w14:paraId="058E0806" w14:textId="77777777" w:rsidR="00EC2532" w:rsidRPr="00E04F74" w:rsidRDefault="00EC2532" w:rsidP="001076FF">
      <w:pPr>
        <w:rPr>
          <w:sz w:val="22"/>
          <w:szCs w:val="22"/>
          <w:lang w:val="sr-Latn-RS"/>
        </w:rPr>
      </w:pPr>
    </w:p>
    <w:p w14:paraId="058E0807" w14:textId="0D5926FB" w:rsidR="002D7EFD" w:rsidRPr="00E04F74" w:rsidRDefault="002D7EFD" w:rsidP="001076FF">
      <w:pPr>
        <w:rPr>
          <w:sz w:val="22"/>
          <w:szCs w:val="22"/>
          <w:lang w:val="sr-Latn-RS"/>
        </w:rPr>
      </w:pPr>
      <w:r w:rsidRPr="00E04F74">
        <w:rPr>
          <w:sz w:val="22"/>
          <w:szCs w:val="22"/>
          <w:lang w:val="sr-Latn-RS"/>
        </w:rPr>
        <w:t xml:space="preserve">KIVEXA, </w:t>
      </w:r>
      <w:r w:rsidR="0016256C" w:rsidRPr="00E04F74">
        <w:rPr>
          <w:sz w:val="22"/>
          <w:szCs w:val="22"/>
          <w:lang w:val="sr-Latn-RS"/>
        </w:rPr>
        <w:t>3</w:t>
      </w:r>
      <w:r w:rsidRPr="00E04F74">
        <w:rPr>
          <w:sz w:val="22"/>
          <w:szCs w:val="22"/>
          <w:lang w:val="sr-Latn-RS"/>
        </w:rPr>
        <w:t>00</w:t>
      </w:r>
      <w:r w:rsidR="00146E69" w:rsidRPr="00E04F74">
        <w:rPr>
          <w:sz w:val="22"/>
          <w:szCs w:val="22"/>
          <w:lang w:val="sr-Latn-RS"/>
        </w:rPr>
        <w:t xml:space="preserve"> </w:t>
      </w:r>
      <w:r w:rsidRPr="00E04F74">
        <w:rPr>
          <w:sz w:val="22"/>
          <w:szCs w:val="22"/>
          <w:lang w:val="sr-Latn-RS"/>
        </w:rPr>
        <w:t xml:space="preserve">mg + </w:t>
      </w:r>
      <w:r w:rsidR="0016256C" w:rsidRPr="00E04F74">
        <w:rPr>
          <w:sz w:val="22"/>
          <w:szCs w:val="22"/>
          <w:lang w:val="sr-Latn-RS"/>
        </w:rPr>
        <w:t>6</w:t>
      </w:r>
      <w:r w:rsidRPr="00E04F74">
        <w:rPr>
          <w:sz w:val="22"/>
          <w:szCs w:val="22"/>
          <w:lang w:val="sr-Latn-RS"/>
        </w:rPr>
        <w:t>00</w:t>
      </w:r>
      <w:r w:rsidR="00146E69" w:rsidRPr="00E04F74">
        <w:rPr>
          <w:sz w:val="22"/>
          <w:szCs w:val="22"/>
          <w:lang w:val="sr-Latn-RS"/>
        </w:rPr>
        <w:t xml:space="preserve"> </w:t>
      </w:r>
      <w:r w:rsidRPr="00E04F74">
        <w:rPr>
          <w:sz w:val="22"/>
          <w:szCs w:val="22"/>
          <w:lang w:val="sr-Latn-RS"/>
        </w:rPr>
        <w:t>mg, film tableta</w:t>
      </w:r>
    </w:p>
    <w:p w14:paraId="4E760F25" w14:textId="77777777" w:rsidR="001076FF" w:rsidRPr="00E04F74" w:rsidRDefault="001076FF" w:rsidP="001076FF">
      <w:pPr>
        <w:rPr>
          <w:sz w:val="22"/>
          <w:szCs w:val="22"/>
          <w:lang w:val="sr-Latn-RS"/>
        </w:rPr>
      </w:pPr>
    </w:p>
    <w:p w14:paraId="058E0808" w14:textId="2EA8E413" w:rsidR="002D7EFD" w:rsidRPr="00E04F74" w:rsidRDefault="002D7EFD" w:rsidP="001076FF">
      <w:pPr>
        <w:rPr>
          <w:sz w:val="22"/>
          <w:szCs w:val="22"/>
          <w:lang w:val="sr-Latn-RS"/>
        </w:rPr>
      </w:pPr>
      <w:r w:rsidRPr="00E04F74">
        <w:rPr>
          <w:sz w:val="22"/>
          <w:szCs w:val="22"/>
          <w:lang w:val="sr-Latn-RS"/>
        </w:rPr>
        <w:t xml:space="preserve">INN: </w:t>
      </w:r>
      <w:r w:rsidR="00C47CAA" w:rsidRPr="00E04F74">
        <w:rPr>
          <w:sz w:val="22"/>
          <w:szCs w:val="22"/>
          <w:lang w:val="sr-Latn-RS"/>
        </w:rPr>
        <w:t>lamivudin</w:t>
      </w:r>
      <w:r w:rsidR="0016256C" w:rsidRPr="00E04F74">
        <w:rPr>
          <w:sz w:val="22"/>
          <w:szCs w:val="22"/>
          <w:lang w:val="sr-Latn-RS"/>
        </w:rPr>
        <w:t>, abakavir</w:t>
      </w:r>
    </w:p>
    <w:p w14:paraId="058E0809" w14:textId="5D697CDA" w:rsidR="00530BD7" w:rsidRPr="00E04F74" w:rsidRDefault="00530BD7" w:rsidP="001076FF">
      <w:pPr>
        <w:rPr>
          <w:bCs/>
          <w:sz w:val="22"/>
          <w:szCs w:val="22"/>
          <w:lang w:val="sr-Latn-RS"/>
        </w:rPr>
      </w:pPr>
    </w:p>
    <w:p w14:paraId="32E7A6D7" w14:textId="77777777" w:rsidR="001076FF" w:rsidRPr="00E04F74" w:rsidRDefault="001076FF" w:rsidP="001076FF">
      <w:pPr>
        <w:rPr>
          <w:bCs/>
          <w:sz w:val="22"/>
          <w:szCs w:val="22"/>
          <w:lang w:val="sr-Latn-RS"/>
        </w:rPr>
      </w:pPr>
    </w:p>
    <w:p w14:paraId="058E080A" w14:textId="77777777" w:rsidR="00411B4B" w:rsidRPr="00E04F74" w:rsidRDefault="00411B4B" w:rsidP="001076FF">
      <w:pPr>
        <w:tabs>
          <w:tab w:val="left" w:pos="540"/>
          <w:tab w:val="left" w:pos="569"/>
        </w:tabs>
        <w:rPr>
          <w:b/>
          <w:bCs/>
          <w:sz w:val="22"/>
          <w:szCs w:val="22"/>
          <w:lang w:val="sr-Latn-RS"/>
        </w:rPr>
      </w:pPr>
      <w:r w:rsidRPr="00E04F74">
        <w:rPr>
          <w:b/>
          <w:bCs/>
          <w:sz w:val="22"/>
          <w:szCs w:val="22"/>
          <w:lang w:val="sr-Latn-RS"/>
        </w:rPr>
        <w:t xml:space="preserve">2. </w:t>
      </w:r>
      <w:r w:rsidR="00F5167F" w:rsidRPr="00E04F74">
        <w:rPr>
          <w:b/>
          <w:bCs/>
          <w:sz w:val="22"/>
          <w:szCs w:val="22"/>
          <w:lang w:val="sr-Latn-RS"/>
        </w:rPr>
        <w:tab/>
      </w:r>
      <w:r w:rsidRPr="00E04F74">
        <w:rPr>
          <w:b/>
          <w:bCs/>
          <w:sz w:val="22"/>
          <w:szCs w:val="22"/>
          <w:lang w:val="sr-Latn-RS"/>
        </w:rPr>
        <w:t>KVALITATIVNI I KVANTITATIVNI SASTAV</w:t>
      </w:r>
    </w:p>
    <w:p w14:paraId="058E080B" w14:textId="77777777" w:rsidR="005A0B2E" w:rsidRPr="00E04F74" w:rsidRDefault="005A0B2E" w:rsidP="001076FF">
      <w:pPr>
        <w:rPr>
          <w:sz w:val="22"/>
          <w:szCs w:val="22"/>
          <w:lang w:val="sr-Latn-RS"/>
        </w:rPr>
      </w:pPr>
    </w:p>
    <w:p w14:paraId="058E080C" w14:textId="4909F881" w:rsidR="002D7EFD" w:rsidRPr="00E04F74" w:rsidRDefault="002D7EFD" w:rsidP="00946B2E">
      <w:pPr>
        <w:pStyle w:val="Header"/>
        <w:tabs>
          <w:tab w:val="left" w:pos="284"/>
        </w:tabs>
        <w:jc w:val="both"/>
        <w:rPr>
          <w:sz w:val="22"/>
          <w:szCs w:val="22"/>
          <w:lang w:val="sr-Latn-RS"/>
        </w:rPr>
      </w:pPr>
      <w:r w:rsidRPr="00E04F74">
        <w:rPr>
          <w:sz w:val="22"/>
          <w:szCs w:val="22"/>
          <w:lang w:val="sr-Latn-RS"/>
        </w:rPr>
        <w:t>Jedna film tableta lijeka KIVEXA sadrži 600 mg abakavira (u obliku abakavir sulfata)</w:t>
      </w:r>
      <w:r w:rsidR="00C47CAA" w:rsidRPr="00E04F74">
        <w:rPr>
          <w:sz w:val="22"/>
          <w:szCs w:val="22"/>
          <w:lang w:val="sr-Latn-RS"/>
        </w:rPr>
        <w:t xml:space="preserve"> i 300 mg lamivudina</w:t>
      </w:r>
      <w:r w:rsidRPr="00E04F74">
        <w:rPr>
          <w:sz w:val="22"/>
          <w:szCs w:val="22"/>
          <w:lang w:val="sr-Latn-RS"/>
        </w:rPr>
        <w:t>.</w:t>
      </w:r>
    </w:p>
    <w:p w14:paraId="058E080D" w14:textId="77777777" w:rsidR="002D7EFD" w:rsidRPr="00E04F74" w:rsidRDefault="002D7EFD" w:rsidP="00946B2E">
      <w:pPr>
        <w:jc w:val="both"/>
        <w:rPr>
          <w:sz w:val="22"/>
          <w:szCs w:val="22"/>
          <w:lang w:val="sr-Latn-RS"/>
        </w:rPr>
      </w:pPr>
    </w:p>
    <w:p w14:paraId="058E080E" w14:textId="58B9A907" w:rsidR="002D7EFD" w:rsidRPr="00E04F74" w:rsidRDefault="002D7EFD" w:rsidP="00946B2E">
      <w:pPr>
        <w:jc w:val="both"/>
        <w:rPr>
          <w:sz w:val="22"/>
          <w:szCs w:val="22"/>
          <w:lang w:val="sr-Latn-RS"/>
        </w:rPr>
      </w:pPr>
      <w:r w:rsidRPr="00E04F74">
        <w:rPr>
          <w:sz w:val="22"/>
          <w:szCs w:val="22"/>
          <w:lang w:val="sr-Latn-RS"/>
        </w:rPr>
        <w:t>Pomoćne supstance sa potvrđenim dejstvom: boja: Sunset yellow (E110) - 1.7 mg/tableta</w:t>
      </w:r>
      <w:r w:rsidR="001076FF" w:rsidRPr="00E04F74">
        <w:rPr>
          <w:sz w:val="22"/>
          <w:szCs w:val="22"/>
          <w:lang w:val="sr-Latn-RS"/>
        </w:rPr>
        <w:t>.</w:t>
      </w:r>
    </w:p>
    <w:p w14:paraId="058E080F" w14:textId="77777777" w:rsidR="002D7EFD" w:rsidRPr="00E04F74" w:rsidRDefault="002D7EFD" w:rsidP="00946B2E">
      <w:pPr>
        <w:jc w:val="both"/>
        <w:rPr>
          <w:sz w:val="22"/>
          <w:szCs w:val="22"/>
          <w:lang w:val="sr-Latn-RS"/>
        </w:rPr>
      </w:pPr>
    </w:p>
    <w:p w14:paraId="058E0810" w14:textId="77777777" w:rsidR="0003793F" w:rsidRPr="00E04F74" w:rsidRDefault="0003793F" w:rsidP="00946B2E">
      <w:pPr>
        <w:jc w:val="both"/>
        <w:rPr>
          <w:sz w:val="22"/>
          <w:szCs w:val="22"/>
          <w:lang w:val="sr-Latn-RS"/>
        </w:rPr>
      </w:pPr>
      <w:r w:rsidRPr="00E04F74">
        <w:rPr>
          <w:sz w:val="22"/>
          <w:szCs w:val="22"/>
          <w:lang w:val="sr-Latn-RS"/>
        </w:rPr>
        <w:t>Za spisak svih ekscipijenasa, pogledati dio 6.1.</w:t>
      </w:r>
    </w:p>
    <w:p w14:paraId="058E0811" w14:textId="20F576D4" w:rsidR="00C37FD7" w:rsidRPr="00E04F74" w:rsidRDefault="00C37FD7" w:rsidP="00946B2E">
      <w:pPr>
        <w:jc w:val="both"/>
        <w:rPr>
          <w:sz w:val="22"/>
          <w:szCs w:val="22"/>
          <w:lang w:val="sr-Latn-RS"/>
        </w:rPr>
      </w:pPr>
    </w:p>
    <w:p w14:paraId="03DC73DE" w14:textId="77777777" w:rsidR="001076FF" w:rsidRPr="00E04F74" w:rsidRDefault="001076FF" w:rsidP="00946B2E">
      <w:pPr>
        <w:jc w:val="both"/>
        <w:rPr>
          <w:sz w:val="22"/>
          <w:szCs w:val="22"/>
          <w:lang w:val="sr-Latn-RS"/>
        </w:rPr>
      </w:pPr>
    </w:p>
    <w:p w14:paraId="058E0812" w14:textId="192F7D4F" w:rsidR="00411B4B" w:rsidRPr="00E04F74" w:rsidRDefault="00411B4B" w:rsidP="00946B2E">
      <w:pPr>
        <w:tabs>
          <w:tab w:val="left" w:pos="540"/>
          <w:tab w:val="left" w:pos="569"/>
        </w:tabs>
        <w:jc w:val="both"/>
        <w:rPr>
          <w:b/>
          <w:bCs/>
          <w:sz w:val="22"/>
          <w:szCs w:val="22"/>
          <w:lang w:val="sr-Latn-RS"/>
        </w:rPr>
      </w:pPr>
      <w:r w:rsidRPr="00E04F74">
        <w:rPr>
          <w:b/>
          <w:bCs/>
          <w:sz w:val="22"/>
          <w:szCs w:val="22"/>
          <w:lang w:val="sr-Latn-RS"/>
        </w:rPr>
        <w:t xml:space="preserve">3. </w:t>
      </w:r>
      <w:r w:rsidR="00F5167F" w:rsidRPr="00E04F74">
        <w:rPr>
          <w:b/>
          <w:bCs/>
          <w:sz w:val="22"/>
          <w:szCs w:val="22"/>
          <w:lang w:val="sr-Latn-RS"/>
        </w:rPr>
        <w:tab/>
      </w:r>
      <w:r w:rsidRPr="00E04F74">
        <w:rPr>
          <w:b/>
          <w:bCs/>
          <w:sz w:val="22"/>
          <w:szCs w:val="22"/>
          <w:lang w:val="sr-Latn-RS"/>
        </w:rPr>
        <w:t>FARMACEUTSKI OBLIK</w:t>
      </w:r>
      <w:r w:rsidR="009F2D23" w:rsidRPr="00E04F74">
        <w:rPr>
          <w:b/>
          <w:bCs/>
          <w:sz w:val="22"/>
          <w:szCs w:val="22"/>
          <w:lang w:val="sr-Latn-RS"/>
        </w:rPr>
        <w:t xml:space="preserve"> </w:t>
      </w:r>
    </w:p>
    <w:p w14:paraId="4DE700F6" w14:textId="77777777" w:rsidR="00DF5A0E" w:rsidRPr="00E04F74" w:rsidRDefault="00DF5A0E" w:rsidP="00946B2E">
      <w:pPr>
        <w:tabs>
          <w:tab w:val="left" w:pos="540"/>
          <w:tab w:val="left" w:pos="569"/>
        </w:tabs>
        <w:jc w:val="both"/>
        <w:rPr>
          <w:b/>
          <w:bCs/>
          <w:sz w:val="22"/>
          <w:szCs w:val="22"/>
          <w:lang w:val="sr-Latn-RS"/>
        </w:rPr>
      </w:pPr>
    </w:p>
    <w:p w14:paraId="058E0813" w14:textId="77777777" w:rsidR="002D7EFD" w:rsidRPr="00E04F74" w:rsidRDefault="002D7EFD" w:rsidP="00946B2E">
      <w:pPr>
        <w:jc w:val="both"/>
        <w:rPr>
          <w:sz w:val="22"/>
          <w:szCs w:val="22"/>
          <w:lang w:val="sr-Latn-RS"/>
        </w:rPr>
      </w:pPr>
      <w:r w:rsidRPr="00E04F74">
        <w:rPr>
          <w:sz w:val="22"/>
          <w:szCs w:val="22"/>
          <w:lang w:val="sr-Latn-RS"/>
        </w:rPr>
        <w:t>Film tableta.</w:t>
      </w:r>
    </w:p>
    <w:p w14:paraId="058E0814" w14:textId="77777777" w:rsidR="002D7EFD" w:rsidRPr="00E04F74" w:rsidRDefault="002D7EFD" w:rsidP="00946B2E">
      <w:pPr>
        <w:jc w:val="both"/>
        <w:rPr>
          <w:sz w:val="22"/>
          <w:szCs w:val="22"/>
          <w:lang w:val="sr-Latn-RS"/>
        </w:rPr>
      </w:pPr>
    </w:p>
    <w:p w14:paraId="058E0815" w14:textId="77777777" w:rsidR="00411B4B" w:rsidRPr="00E04F74" w:rsidRDefault="002D7EFD" w:rsidP="00946B2E">
      <w:pPr>
        <w:jc w:val="both"/>
        <w:rPr>
          <w:sz w:val="22"/>
          <w:szCs w:val="22"/>
          <w:lang w:val="sr-Latn-RS"/>
        </w:rPr>
      </w:pPr>
      <w:r w:rsidRPr="00E04F74">
        <w:rPr>
          <w:sz w:val="22"/>
          <w:szCs w:val="22"/>
          <w:lang w:val="sr-Latn-RS"/>
        </w:rPr>
        <w:t>Narandžaste, film tablete, oblika kapsule, koje sa jedne strane imaju oznaku GS FC2.</w:t>
      </w:r>
    </w:p>
    <w:p w14:paraId="058E0816" w14:textId="09B8931F" w:rsidR="00EC2532" w:rsidRPr="00E04F74" w:rsidRDefault="00EC2532" w:rsidP="00946B2E">
      <w:pPr>
        <w:jc w:val="both"/>
        <w:rPr>
          <w:bCs/>
          <w:sz w:val="22"/>
          <w:szCs w:val="22"/>
          <w:lang w:val="sr-Latn-RS"/>
        </w:rPr>
      </w:pPr>
    </w:p>
    <w:p w14:paraId="08F0BD58" w14:textId="77777777" w:rsidR="001076FF" w:rsidRPr="00E04F74" w:rsidRDefault="001076FF" w:rsidP="00946B2E">
      <w:pPr>
        <w:jc w:val="both"/>
        <w:rPr>
          <w:bCs/>
          <w:sz w:val="22"/>
          <w:szCs w:val="22"/>
          <w:lang w:val="sr-Latn-RS"/>
        </w:rPr>
      </w:pPr>
    </w:p>
    <w:p w14:paraId="058E0817" w14:textId="77777777" w:rsidR="00411B4B" w:rsidRPr="00E04F74" w:rsidRDefault="00411B4B" w:rsidP="00946B2E">
      <w:pPr>
        <w:tabs>
          <w:tab w:val="left" w:pos="540"/>
          <w:tab w:val="left" w:pos="569"/>
        </w:tabs>
        <w:jc w:val="both"/>
        <w:rPr>
          <w:b/>
          <w:bCs/>
          <w:sz w:val="22"/>
          <w:szCs w:val="22"/>
          <w:lang w:val="sr-Latn-RS"/>
        </w:rPr>
      </w:pPr>
      <w:r w:rsidRPr="00E04F74">
        <w:rPr>
          <w:b/>
          <w:bCs/>
          <w:sz w:val="22"/>
          <w:szCs w:val="22"/>
          <w:lang w:val="sr-Latn-RS"/>
        </w:rPr>
        <w:t xml:space="preserve">4. </w:t>
      </w:r>
      <w:r w:rsidR="00480FB1" w:rsidRPr="00E04F74">
        <w:rPr>
          <w:b/>
          <w:bCs/>
          <w:sz w:val="22"/>
          <w:szCs w:val="22"/>
          <w:lang w:val="sr-Latn-RS"/>
        </w:rPr>
        <w:tab/>
      </w:r>
      <w:r w:rsidRPr="00E04F74">
        <w:rPr>
          <w:b/>
          <w:bCs/>
          <w:sz w:val="22"/>
          <w:szCs w:val="22"/>
          <w:lang w:val="sr-Latn-RS"/>
        </w:rPr>
        <w:t>KLINIČKI PODACI</w:t>
      </w:r>
    </w:p>
    <w:p w14:paraId="058E0818" w14:textId="77777777" w:rsidR="00CD6F02" w:rsidRPr="00E04F74" w:rsidRDefault="00CD6F02" w:rsidP="00946B2E">
      <w:pPr>
        <w:tabs>
          <w:tab w:val="left" w:pos="540"/>
          <w:tab w:val="left" w:pos="569"/>
        </w:tabs>
        <w:jc w:val="both"/>
        <w:rPr>
          <w:bCs/>
          <w:sz w:val="22"/>
          <w:szCs w:val="22"/>
          <w:lang w:val="sr-Latn-RS"/>
        </w:rPr>
      </w:pPr>
    </w:p>
    <w:p w14:paraId="058E0819" w14:textId="77777777" w:rsidR="00411B4B" w:rsidRPr="00E04F74" w:rsidRDefault="00411B4B" w:rsidP="00946B2E">
      <w:pPr>
        <w:tabs>
          <w:tab w:val="left" w:pos="540"/>
          <w:tab w:val="left" w:pos="569"/>
        </w:tabs>
        <w:jc w:val="both"/>
        <w:rPr>
          <w:b/>
          <w:bCs/>
          <w:sz w:val="22"/>
          <w:szCs w:val="22"/>
          <w:lang w:val="sr-Latn-RS"/>
        </w:rPr>
      </w:pPr>
      <w:r w:rsidRPr="00E04F74">
        <w:rPr>
          <w:b/>
          <w:bCs/>
          <w:sz w:val="22"/>
          <w:szCs w:val="22"/>
          <w:lang w:val="sr-Latn-RS"/>
        </w:rPr>
        <w:t xml:space="preserve">4.1. </w:t>
      </w:r>
      <w:r w:rsidR="00480FB1" w:rsidRPr="00E04F74">
        <w:rPr>
          <w:b/>
          <w:bCs/>
          <w:sz w:val="22"/>
          <w:szCs w:val="22"/>
          <w:lang w:val="sr-Latn-RS"/>
        </w:rPr>
        <w:tab/>
      </w:r>
      <w:r w:rsidRPr="00E04F74">
        <w:rPr>
          <w:b/>
          <w:bCs/>
          <w:sz w:val="22"/>
          <w:szCs w:val="22"/>
          <w:lang w:val="sr-Latn-RS"/>
        </w:rPr>
        <w:t>Terapijske indikacije</w:t>
      </w:r>
    </w:p>
    <w:p w14:paraId="5D8A7A35" w14:textId="77777777" w:rsidR="001076FF" w:rsidRPr="00E04F74" w:rsidRDefault="001076FF" w:rsidP="00946B2E">
      <w:pPr>
        <w:jc w:val="both"/>
        <w:rPr>
          <w:sz w:val="22"/>
          <w:szCs w:val="22"/>
          <w:lang w:val="sr-Latn-RS"/>
        </w:rPr>
      </w:pPr>
    </w:p>
    <w:p w14:paraId="058E081A" w14:textId="7F0B105C" w:rsidR="005056F1" w:rsidRPr="00E04F74" w:rsidRDefault="005056F1" w:rsidP="00946B2E">
      <w:pPr>
        <w:jc w:val="both"/>
        <w:rPr>
          <w:sz w:val="22"/>
          <w:szCs w:val="22"/>
          <w:lang w:val="sr-Latn-RS"/>
        </w:rPr>
      </w:pPr>
      <w:r w:rsidRPr="00E04F74">
        <w:rPr>
          <w:sz w:val="22"/>
          <w:szCs w:val="22"/>
          <w:lang w:val="sr-Latn-RS"/>
        </w:rPr>
        <w:t>Lijek KIVEXA je indikovan u antiretrovirusnoj kombinovanoj terapiji za liječenje odraslih osoba, adolescenata i djece tjelesne mase od najmanje 25</w:t>
      </w:r>
      <w:r w:rsidR="00095F06" w:rsidRPr="00E04F74">
        <w:rPr>
          <w:sz w:val="22"/>
          <w:szCs w:val="22"/>
          <w:lang w:val="sr-Latn-RS"/>
        </w:rPr>
        <w:t xml:space="preserve"> </w:t>
      </w:r>
      <w:r w:rsidRPr="00E04F74">
        <w:rPr>
          <w:sz w:val="22"/>
          <w:szCs w:val="22"/>
          <w:lang w:val="sr-Latn-RS"/>
        </w:rPr>
        <w:t xml:space="preserve">kg, od infekcije izazvane virusom humane imunodeficijencije (HIV) (vidjeti </w:t>
      </w:r>
      <w:r w:rsidR="00D52927" w:rsidRPr="00E04F74">
        <w:rPr>
          <w:sz w:val="22"/>
          <w:szCs w:val="22"/>
          <w:lang w:val="sr-Latn-RS"/>
        </w:rPr>
        <w:t>djelove</w:t>
      </w:r>
      <w:r w:rsidRPr="00E04F74">
        <w:rPr>
          <w:sz w:val="22"/>
          <w:szCs w:val="22"/>
          <w:lang w:val="sr-Latn-RS"/>
        </w:rPr>
        <w:t xml:space="preserve"> 4.4. i 5.1). </w:t>
      </w:r>
    </w:p>
    <w:p w14:paraId="058E081B" w14:textId="77777777" w:rsidR="005056F1" w:rsidRPr="00E04F74" w:rsidRDefault="005056F1" w:rsidP="00946B2E">
      <w:pPr>
        <w:jc w:val="both"/>
        <w:rPr>
          <w:sz w:val="22"/>
          <w:szCs w:val="22"/>
          <w:lang w:val="sr-Latn-RS"/>
        </w:rPr>
      </w:pPr>
    </w:p>
    <w:p w14:paraId="058E081C" w14:textId="1F0C4999" w:rsidR="005056F1" w:rsidRPr="00E04F74" w:rsidRDefault="005056F1" w:rsidP="00946B2E">
      <w:pPr>
        <w:jc w:val="both"/>
        <w:rPr>
          <w:sz w:val="22"/>
          <w:szCs w:val="22"/>
          <w:lang w:val="sr-Latn-RS"/>
        </w:rPr>
      </w:pPr>
      <w:r w:rsidRPr="00E04F74">
        <w:rPr>
          <w:sz w:val="22"/>
          <w:szCs w:val="22"/>
          <w:lang w:val="sr-Latn-RS"/>
        </w:rPr>
        <w:t xml:space="preserve">Prije započinjanja terapije abakavirom, potrebno je sprovesti skrining svih HIV-inficiranih pacijenata i provjeriti da li su nosioci HLA-B*5701 alela, bez obzira na etničku pripadnost (vidjeti </w:t>
      </w:r>
      <w:r w:rsidR="00D52927" w:rsidRPr="00E04F74">
        <w:rPr>
          <w:sz w:val="22"/>
          <w:szCs w:val="22"/>
          <w:lang w:val="sr-Latn-RS"/>
        </w:rPr>
        <w:t>dio</w:t>
      </w:r>
      <w:r w:rsidRPr="00E04F74">
        <w:rPr>
          <w:sz w:val="22"/>
          <w:szCs w:val="22"/>
          <w:lang w:val="sr-Latn-RS"/>
        </w:rPr>
        <w:t xml:space="preserve"> 4.4). Abakavir se ne smije primjenjivati kod pacijenata koji su nosioci HLA-B*5701 alela. </w:t>
      </w:r>
    </w:p>
    <w:p w14:paraId="058E081D" w14:textId="77777777" w:rsidR="00411B4B" w:rsidRPr="00E04F74" w:rsidRDefault="00411B4B" w:rsidP="00946B2E">
      <w:pPr>
        <w:tabs>
          <w:tab w:val="left" w:pos="540"/>
          <w:tab w:val="left" w:pos="569"/>
        </w:tabs>
        <w:jc w:val="both"/>
        <w:rPr>
          <w:bCs/>
          <w:sz w:val="22"/>
          <w:szCs w:val="22"/>
          <w:lang w:val="sr-Latn-RS"/>
        </w:rPr>
      </w:pPr>
    </w:p>
    <w:p w14:paraId="058E081E" w14:textId="77777777" w:rsidR="00411B4B" w:rsidRPr="00E04F74" w:rsidRDefault="00411B4B" w:rsidP="00946B2E">
      <w:pPr>
        <w:tabs>
          <w:tab w:val="left" w:pos="540"/>
          <w:tab w:val="left" w:pos="569"/>
        </w:tabs>
        <w:jc w:val="both"/>
        <w:rPr>
          <w:b/>
          <w:bCs/>
          <w:sz w:val="22"/>
          <w:szCs w:val="22"/>
          <w:lang w:val="sr-Latn-RS"/>
        </w:rPr>
      </w:pPr>
      <w:r w:rsidRPr="00E04F74">
        <w:rPr>
          <w:b/>
          <w:bCs/>
          <w:sz w:val="22"/>
          <w:szCs w:val="22"/>
          <w:lang w:val="sr-Latn-RS"/>
        </w:rPr>
        <w:t xml:space="preserve">4.2. </w:t>
      </w:r>
      <w:r w:rsidR="00480FB1" w:rsidRPr="00E04F74">
        <w:rPr>
          <w:b/>
          <w:bCs/>
          <w:sz w:val="22"/>
          <w:szCs w:val="22"/>
          <w:lang w:val="sr-Latn-RS"/>
        </w:rPr>
        <w:tab/>
      </w:r>
      <w:r w:rsidRPr="00E04F74">
        <w:rPr>
          <w:b/>
          <w:bCs/>
          <w:sz w:val="22"/>
          <w:szCs w:val="22"/>
          <w:lang w:val="sr-Latn-RS"/>
        </w:rPr>
        <w:t>Doziranje i način primjene</w:t>
      </w:r>
    </w:p>
    <w:p w14:paraId="058E081F" w14:textId="77777777" w:rsidR="009F1F4A" w:rsidRPr="00E04F74" w:rsidRDefault="009F1F4A" w:rsidP="00946B2E">
      <w:pPr>
        <w:jc w:val="both"/>
        <w:rPr>
          <w:sz w:val="22"/>
          <w:szCs w:val="22"/>
          <w:lang w:val="sr-Latn-RS"/>
        </w:rPr>
      </w:pPr>
    </w:p>
    <w:p w14:paraId="058E0820" w14:textId="77777777" w:rsidR="009F1F4A" w:rsidRPr="00E04F74" w:rsidRDefault="009F1F4A" w:rsidP="00946B2E">
      <w:pPr>
        <w:jc w:val="both"/>
        <w:rPr>
          <w:sz w:val="22"/>
          <w:szCs w:val="22"/>
          <w:lang w:val="sr-Latn-RS"/>
        </w:rPr>
      </w:pPr>
      <w:r w:rsidRPr="00E04F74">
        <w:rPr>
          <w:sz w:val="22"/>
          <w:szCs w:val="22"/>
          <w:lang w:val="sr-Latn-RS"/>
        </w:rPr>
        <w:t xml:space="preserve">Terapija bi trebalo da bude propisana od strane ljekara koji ima iskustva u liječenju HIV infekcije. </w:t>
      </w:r>
    </w:p>
    <w:p w14:paraId="058E0821" w14:textId="77777777" w:rsidR="009F1F4A" w:rsidRPr="00E04F74" w:rsidRDefault="009F1F4A" w:rsidP="00946B2E">
      <w:pPr>
        <w:pStyle w:val="Header"/>
        <w:tabs>
          <w:tab w:val="left" w:pos="284"/>
        </w:tabs>
        <w:jc w:val="both"/>
        <w:rPr>
          <w:sz w:val="22"/>
          <w:szCs w:val="22"/>
          <w:u w:val="single"/>
          <w:lang w:val="sr-Latn-RS"/>
        </w:rPr>
      </w:pPr>
    </w:p>
    <w:p w14:paraId="058E0822" w14:textId="77777777" w:rsidR="009F1F4A" w:rsidRPr="00E04F74" w:rsidRDefault="009F1F4A" w:rsidP="00946B2E">
      <w:pPr>
        <w:pStyle w:val="Header"/>
        <w:tabs>
          <w:tab w:val="left" w:pos="284"/>
        </w:tabs>
        <w:jc w:val="both"/>
        <w:rPr>
          <w:sz w:val="22"/>
          <w:szCs w:val="22"/>
          <w:u w:val="single"/>
          <w:lang w:val="sr-Latn-RS"/>
        </w:rPr>
      </w:pPr>
      <w:r w:rsidRPr="00E04F74">
        <w:rPr>
          <w:sz w:val="22"/>
          <w:szCs w:val="22"/>
          <w:u w:val="single"/>
          <w:lang w:val="sr-Latn-RS"/>
        </w:rPr>
        <w:t>Doziranje</w:t>
      </w:r>
    </w:p>
    <w:p w14:paraId="058E0823" w14:textId="77777777" w:rsidR="009F1F4A" w:rsidRPr="00E04F74" w:rsidRDefault="009F1F4A" w:rsidP="00946B2E">
      <w:pPr>
        <w:pStyle w:val="Header"/>
        <w:tabs>
          <w:tab w:val="left" w:pos="284"/>
        </w:tabs>
        <w:jc w:val="both"/>
        <w:rPr>
          <w:sz w:val="22"/>
          <w:szCs w:val="22"/>
          <w:lang w:val="sr-Latn-RS"/>
        </w:rPr>
      </w:pPr>
    </w:p>
    <w:p w14:paraId="058E0824" w14:textId="77777777" w:rsidR="009F1F4A" w:rsidRPr="00E04F74" w:rsidRDefault="009F1F4A" w:rsidP="00946B2E">
      <w:pPr>
        <w:jc w:val="both"/>
        <w:rPr>
          <w:i/>
          <w:sz w:val="22"/>
          <w:szCs w:val="22"/>
          <w:u w:val="single"/>
          <w:lang w:val="sr-Latn-RS"/>
        </w:rPr>
      </w:pPr>
      <w:r w:rsidRPr="00E04F74">
        <w:rPr>
          <w:bCs/>
          <w:i/>
          <w:sz w:val="22"/>
          <w:szCs w:val="22"/>
          <w:u w:val="single"/>
          <w:lang w:val="sr-Latn-RS"/>
        </w:rPr>
        <w:t>Odrasli, adolescenti i djeca tjelesne mase od najmanje 25 kg:</w:t>
      </w:r>
    </w:p>
    <w:p w14:paraId="058E0825" w14:textId="77777777" w:rsidR="009F1F4A" w:rsidRPr="00E04F74" w:rsidRDefault="009F1F4A" w:rsidP="00946B2E">
      <w:pPr>
        <w:jc w:val="both"/>
        <w:rPr>
          <w:bCs/>
          <w:sz w:val="22"/>
          <w:szCs w:val="22"/>
          <w:lang w:val="sr-Latn-RS"/>
        </w:rPr>
      </w:pPr>
      <w:r w:rsidRPr="00E04F74">
        <w:rPr>
          <w:sz w:val="22"/>
          <w:szCs w:val="22"/>
          <w:lang w:val="sr-Latn-RS"/>
        </w:rPr>
        <w:t>Preporučena doza lijeka KIVEXA je jedna tableta jednom dnevno.</w:t>
      </w:r>
    </w:p>
    <w:p w14:paraId="058E0826" w14:textId="77777777" w:rsidR="009F1F4A" w:rsidRPr="00E04F74" w:rsidRDefault="009F1F4A" w:rsidP="00946B2E">
      <w:pPr>
        <w:jc w:val="both"/>
        <w:rPr>
          <w:sz w:val="22"/>
          <w:szCs w:val="22"/>
          <w:lang w:val="sr-Latn-RS"/>
        </w:rPr>
      </w:pPr>
    </w:p>
    <w:p w14:paraId="058E0827" w14:textId="522AE617" w:rsidR="009F1F4A" w:rsidRPr="00E04F74" w:rsidRDefault="009F1F4A" w:rsidP="00946B2E">
      <w:pPr>
        <w:jc w:val="both"/>
        <w:rPr>
          <w:i/>
          <w:sz w:val="22"/>
          <w:szCs w:val="22"/>
          <w:lang w:val="sr-Latn-RS"/>
        </w:rPr>
      </w:pPr>
      <w:r w:rsidRPr="00E04F74">
        <w:rPr>
          <w:i/>
          <w:sz w:val="22"/>
          <w:szCs w:val="22"/>
          <w:lang w:val="sr-Latn-RS"/>
        </w:rPr>
        <w:t>Djeca tjelesne mase ispod 25</w:t>
      </w:r>
      <w:r w:rsidR="00095F06" w:rsidRPr="00E04F74">
        <w:rPr>
          <w:i/>
          <w:sz w:val="22"/>
          <w:szCs w:val="22"/>
          <w:lang w:val="sr-Latn-RS"/>
        </w:rPr>
        <w:t xml:space="preserve"> </w:t>
      </w:r>
      <w:r w:rsidRPr="00E04F74">
        <w:rPr>
          <w:i/>
          <w:sz w:val="22"/>
          <w:szCs w:val="22"/>
          <w:lang w:val="sr-Latn-RS"/>
        </w:rPr>
        <w:t>kg:</w:t>
      </w:r>
    </w:p>
    <w:p w14:paraId="058E0828" w14:textId="1E4D0F3C" w:rsidR="009F1F4A" w:rsidRPr="00E04F74" w:rsidRDefault="009F1F4A" w:rsidP="00946B2E">
      <w:pPr>
        <w:jc w:val="both"/>
        <w:rPr>
          <w:sz w:val="22"/>
          <w:szCs w:val="22"/>
          <w:lang w:val="sr-Latn-RS"/>
        </w:rPr>
      </w:pPr>
      <w:r w:rsidRPr="00E04F74">
        <w:rPr>
          <w:sz w:val="22"/>
          <w:szCs w:val="22"/>
          <w:lang w:val="sr-Latn-RS"/>
        </w:rPr>
        <w:t>Lijek KIVEXA ne bi trebalo da se propisuje djeci tjelesne mase ispod 25</w:t>
      </w:r>
      <w:r w:rsidR="00095F06" w:rsidRPr="00E04F74">
        <w:rPr>
          <w:sz w:val="22"/>
          <w:szCs w:val="22"/>
          <w:lang w:val="sr-Latn-RS"/>
        </w:rPr>
        <w:t xml:space="preserve"> </w:t>
      </w:r>
      <w:r w:rsidRPr="00E04F74">
        <w:rPr>
          <w:sz w:val="22"/>
          <w:szCs w:val="22"/>
          <w:lang w:val="sr-Latn-RS"/>
        </w:rPr>
        <w:t>kg, pošto tableta sadrži fiksnu kombinaciju dva lijeka, te se doza ne može smanjivati.</w:t>
      </w:r>
    </w:p>
    <w:p w14:paraId="058E0829" w14:textId="77777777" w:rsidR="009F1F4A" w:rsidRPr="00E04F74" w:rsidRDefault="009F1F4A" w:rsidP="00946B2E">
      <w:pPr>
        <w:jc w:val="both"/>
        <w:rPr>
          <w:sz w:val="22"/>
          <w:szCs w:val="22"/>
          <w:lang w:val="sr-Latn-RS"/>
        </w:rPr>
      </w:pPr>
    </w:p>
    <w:p w14:paraId="058E082A" w14:textId="77777777" w:rsidR="009F1F4A" w:rsidRPr="00E04F74" w:rsidRDefault="009F1F4A" w:rsidP="00946B2E">
      <w:pPr>
        <w:jc w:val="both"/>
        <w:rPr>
          <w:sz w:val="22"/>
          <w:szCs w:val="22"/>
          <w:lang w:val="sr-Latn-RS"/>
        </w:rPr>
      </w:pPr>
      <w:r w:rsidRPr="00E04F74">
        <w:rPr>
          <w:sz w:val="22"/>
          <w:szCs w:val="22"/>
          <w:lang w:val="sr-Latn-RS"/>
        </w:rPr>
        <w:t xml:space="preserve">Lijek KIVEXA je tableta sa fiksnom kombinacijom i ne bi trebalo da se propisuje pacijentima kod kojih je potrebno podešavanje doze. U slučajevima gdje je indikovan prekid primjene ili podešavanje doze jedne od aktivnih supstanci, na raspolaganju su posebni preparati abakavira ili lamivudina. U navedenim okolnostima ljekar bi trebalo da se koristi uputstvom sa informacijama za pojedinačne proizvode. </w:t>
      </w:r>
    </w:p>
    <w:p w14:paraId="058E082B" w14:textId="77777777" w:rsidR="009F1F4A" w:rsidRPr="00E04F74" w:rsidRDefault="009F1F4A" w:rsidP="00946B2E">
      <w:pPr>
        <w:pStyle w:val="Header"/>
        <w:tabs>
          <w:tab w:val="left" w:pos="284"/>
        </w:tabs>
        <w:jc w:val="both"/>
        <w:rPr>
          <w:sz w:val="22"/>
          <w:szCs w:val="22"/>
          <w:lang w:val="sr-Latn-RS"/>
        </w:rPr>
      </w:pPr>
    </w:p>
    <w:p w14:paraId="058E082C" w14:textId="77777777" w:rsidR="009F1F4A" w:rsidRPr="00E04F74" w:rsidRDefault="009F1F4A" w:rsidP="00946B2E">
      <w:pPr>
        <w:jc w:val="both"/>
        <w:rPr>
          <w:sz w:val="22"/>
          <w:szCs w:val="22"/>
          <w:u w:val="single"/>
          <w:lang w:val="sr-Latn-RS"/>
        </w:rPr>
      </w:pPr>
      <w:r w:rsidRPr="00E04F74">
        <w:rPr>
          <w:sz w:val="22"/>
          <w:szCs w:val="22"/>
          <w:u w:val="single"/>
          <w:lang w:val="sr-Latn-RS"/>
        </w:rPr>
        <w:lastRenderedPageBreak/>
        <w:t>Posebne populacije</w:t>
      </w:r>
    </w:p>
    <w:p w14:paraId="058E082D" w14:textId="77777777" w:rsidR="009F1F4A" w:rsidRPr="00E04F74" w:rsidRDefault="009F1F4A" w:rsidP="00946B2E">
      <w:pPr>
        <w:jc w:val="both"/>
        <w:rPr>
          <w:sz w:val="22"/>
          <w:szCs w:val="22"/>
          <w:lang w:val="sr-Latn-RS"/>
        </w:rPr>
      </w:pPr>
    </w:p>
    <w:p w14:paraId="058E082E" w14:textId="77777777" w:rsidR="009F1F4A" w:rsidRPr="00E04F74" w:rsidRDefault="009F1F4A" w:rsidP="00946B2E">
      <w:pPr>
        <w:jc w:val="both"/>
        <w:rPr>
          <w:i/>
          <w:sz w:val="22"/>
          <w:szCs w:val="22"/>
          <w:lang w:val="sr-Latn-RS"/>
        </w:rPr>
      </w:pPr>
      <w:r w:rsidRPr="00E04F74">
        <w:rPr>
          <w:i/>
          <w:sz w:val="22"/>
          <w:szCs w:val="22"/>
          <w:lang w:val="sr-Latn-RS"/>
        </w:rPr>
        <w:t xml:space="preserve">Starije osobe: </w:t>
      </w:r>
    </w:p>
    <w:p w14:paraId="058E082F" w14:textId="77777777" w:rsidR="009F1F4A" w:rsidRPr="00E04F74" w:rsidRDefault="009F1F4A" w:rsidP="00946B2E">
      <w:pPr>
        <w:jc w:val="both"/>
        <w:rPr>
          <w:sz w:val="22"/>
          <w:szCs w:val="22"/>
          <w:lang w:val="sr-Latn-RS"/>
        </w:rPr>
      </w:pPr>
      <w:r w:rsidRPr="00E04F74">
        <w:rPr>
          <w:sz w:val="22"/>
          <w:szCs w:val="22"/>
          <w:lang w:val="sr-Latn-RS"/>
        </w:rPr>
        <w:t xml:space="preserve">Trenutno nema raspoloživih farmakokinetičkih podataka o primjeni lijeka kod pacijenata starijih od 65. godine života. Savjetuje se poseban oprez u navedenoj starosnoj grupi zbog promjena udruženih sa starenjem, kao što su smanjenje bubrežne funkcije i promjene hematoloških parametara. </w:t>
      </w:r>
    </w:p>
    <w:p w14:paraId="058E0830" w14:textId="77777777" w:rsidR="009F1F4A" w:rsidRPr="00E04F74" w:rsidRDefault="009F1F4A" w:rsidP="00946B2E">
      <w:pPr>
        <w:jc w:val="both"/>
        <w:rPr>
          <w:sz w:val="22"/>
          <w:szCs w:val="22"/>
          <w:lang w:val="sr-Latn-RS"/>
        </w:rPr>
      </w:pPr>
    </w:p>
    <w:p w14:paraId="058E0831" w14:textId="77777777" w:rsidR="009F1F4A" w:rsidRPr="00E04F74" w:rsidRDefault="009F1F4A" w:rsidP="00946B2E">
      <w:pPr>
        <w:jc w:val="both"/>
        <w:rPr>
          <w:i/>
          <w:sz w:val="22"/>
          <w:szCs w:val="22"/>
          <w:lang w:val="sr-Latn-RS"/>
        </w:rPr>
      </w:pPr>
      <w:r w:rsidRPr="00E04F74">
        <w:rPr>
          <w:i/>
          <w:sz w:val="22"/>
          <w:szCs w:val="22"/>
          <w:lang w:val="sr-Latn-RS"/>
        </w:rPr>
        <w:t xml:space="preserve">Oštećenje bubrega: </w:t>
      </w:r>
    </w:p>
    <w:p w14:paraId="7480CC6B" w14:textId="3E6BCD41" w:rsidR="008307E4" w:rsidRPr="00E04F74" w:rsidRDefault="009F1F4A" w:rsidP="00946B2E">
      <w:pPr>
        <w:jc w:val="both"/>
        <w:rPr>
          <w:sz w:val="22"/>
          <w:szCs w:val="22"/>
          <w:lang w:val="sr-Latn-RS"/>
        </w:rPr>
      </w:pPr>
      <w:r w:rsidRPr="00E04F74">
        <w:rPr>
          <w:sz w:val="22"/>
          <w:szCs w:val="22"/>
          <w:lang w:val="sr-Latn-RS"/>
        </w:rPr>
        <w:t xml:space="preserve">Upotreba lijeka KIVEXA se ne preporučuje kod pacijenata čiji je klirens kreatinina &lt; </w:t>
      </w:r>
      <w:r w:rsidR="00B87C1A" w:rsidRPr="00E04F74">
        <w:rPr>
          <w:sz w:val="22"/>
          <w:szCs w:val="22"/>
          <w:lang w:val="sr-Latn-RS"/>
        </w:rPr>
        <w:t>3</w:t>
      </w:r>
      <w:r w:rsidRPr="00E04F74">
        <w:rPr>
          <w:sz w:val="22"/>
          <w:szCs w:val="22"/>
          <w:lang w:val="sr-Latn-RS"/>
        </w:rPr>
        <w:t>0 m</w:t>
      </w:r>
      <w:r w:rsidR="00B87C1A" w:rsidRPr="00E04F74">
        <w:rPr>
          <w:sz w:val="22"/>
          <w:szCs w:val="22"/>
          <w:lang w:val="sr-Latn-RS"/>
        </w:rPr>
        <w:t>l</w:t>
      </w:r>
      <w:r w:rsidRPr="00E04F74">
        <w:rPr>
          <w:sz w:val="22"/>
          <w:szCs w:val="22"/>
          <w:lang w:val="sr-Latn-RS"/>
        </w:rPr>
        <w:t xml:space="preserve">/min (vidjeti </w:t>
      </w:r>
      <w:r w:rsidR="00D52927" w:rsidRPr="00E04F74">
        <w:rPr>
          <w:sz w:val="22"/>
          <w:szCs w:val="22"/>
          <w:lang w:val="sr-Latn-RS"/>
        </w:rPr>
        <w:t>dio</w:t>
      </w:r>
      <w:r w:rsidRPr="00E04F74">
        <w:rPr>
          <w:sz w:val="22"/>
          <w:szCs w:val="22"/>
          <w:lang w:val="sr-Latn-RS"/>
        </w:rPr>
        <w:t xml:space="preserve"> 5.2).</w:t>
      </w:r>
      <w:r w:rsidR="008307E4" w:rsidRPr="00E04F74">
        <w:rPr>
          <w:sz w:val="22"/>
          <w:szCs w:val="22"/>
          <w:lang w:val="sr-Latn-RS"/>
        </w:rPr>
        <w:t xml:space="preserve"> Kod pacijenata sa blagim ili umjerenim oštećenjem bubrežne funkcije nije potrebno prilagođavanje doze. Međutim, izloženost lamivudinu je značajno povećana kod pacijenata sa klirensom kreatinina &lt; 50 ml/min (vidjeti dio 4.4).</w:t>
      </w:r>
    </w:p>
    <w:p w14:paraId="058E0833" w14:textId="77777777" w:rsidR="009F1F4A" w:rsidRPr="00E04F74" w:rsidRDefault="009F1F4A" w:rsidP="00946B2E">
      <w:pPr>
        <w:jc w:val="both"/>
        <w:rPr>
          <w:sz w:val="22"/>
          <w:szCs w:val="22"/>
          <w:lang w:val="sr-Latn-RS"/>
        </w:rPr>
      </w:pPr>
    </w:p>
    <w:p w14:paraId="058E0834" w14:textId="77777777" w:rsidR="009F1F4A" w:rsidRPr="00E04F74" w:rsidRDefault="009F1F4A" w:rsidP="00946B2E">
      <w:pPr>
        <w:jc w:val="both"/>
        <w:rPr>
          <w:i/>
          <w:sz w:val="22"/>
          <w:szCs w:val="22"/>
          <w:lang w:val="sr-Latn-RS"/>
        </w:rPr>
      </w:pPr>
      <w:r w:rsidRPr="00E04F74">
        <w:rPr>
          <w:i/>
          <w:sz w:val="22"/>
          <w:szCs w:val="22"/>
          <w:lang w:val="sr-Latn-RS"/>
        </w:rPr>
        <w:t xml:space="preserve">Oštećenje jetre: </w:t>
      </w:r>
    </w:p>
    <w:p w14:paraId="058E0835" w14:textId="77BC4F14" w:rsidR="009F1F4A" w:rsidRPr="00E04F74" w:rsidRDefault="009F1F4A" w:rsidP="00946B2E">
      <w:pPr>
        <w:jc w:val="both"/>
        <w:rPr>
          <w:sz w:val="22"/>
          <w:szCs w:val="22"/>
          <w:lang w:val="sr-Latn-RS"/>
        </w:rPr>
      </w:pPr>
      <w:r w:rsidRPr="00E04F74">
        <w:rPr>
          <w:sz w:val="22"/>
          <w:szCs w:val="22"/>
          <w:lang w:val="sr-Latn-RS"/>
        </w:rPr>
        <w:t>Abakavir se primarno metaboliše putem jetre.</w:t>
      </w:r>
      <w:r w:rsidRPr="00E04F74">
        <w:rPr>
          <w:i/>
          <w:sz w:val="22"/>
          <w:szCs w:val="22"/>
          <w:lang w:val="sr-Latn-RS"/>
        </w:rPr>
        <w:t xml:space="preserve"> </w:t>
      </w:r>
      <w:r w:rsidRPr="00E04F74">
        <w:rPr>
          <w:sz w:val="22"/>
          <w:szCs w:val="22"/>
          <w:lang w:val="sr-Latn-RS"/>
        </w:rPr>
        <w:t xml:space="preserve">Nema raspoloživih kliničkih podataka o primjeni lijeka kod pacijenata sa umjerenim ili teškim oštećenjem jetre, stoga se ne preporučuje upotreba lijeka KIVEXA, osim ukoliko se ne procijeni da je neophodna. Kod pacijenata sa blagim oštećenjem jetre (Child-Pugh skor 5-6) potrebno je pažljivo praćenje, uključujući praćenje koncentracije abakavira u plazmi, ukoliko je moguće (vidjeti </w:t>
      </w:r>
      <w:r w:rsidR="00D52927" w:rsidRPr="00E04F74">
        <w:rPr>
          <w:sz w:val="22"/>
          <w:szCs w:val="22"/>
          <w:lang w:val="sr-Latn-RS"/>
        </w:rPr>
        <w:t>djelove</w:t>
      </w:r>
      <w:r w:rsidRPr="00E04F74">
        <w:rPr>
          <w:sz w:val="22"/>
          <w:szCs w:val="22"/>
          <w:lang w:val="sr-Latn-RS"/>
        </w:rPr>
        <w:t xml:space="preserve"> 4.4 i 5.2). </w:t>
      </w:r>
    </w:p>
    <w:p w14:paraId="058E0836" w14:textId="77777777" w:rsidR="009F1F4A" w:rsidRPr="00E04F74" w:rsidRDefault="009F1F4A" w:rsidP="00946B2E">
      <w:pPr>
        <w:jc w:val="both"/>
        <w:rPr>
          <w:sz w:val="22"/>
          <w:szCs w:val="22"/>
          <w:lang w:val="sr-Latn-RS"/>
        </w:rPr>
      </w:pPr>
    </w:p>
    <w:p w14:paraId="058E0837" w14:textId="77777777" w:rsidR="009F1F4A" w:rsidRPr="00E04F74" w:rsidRDefault="009F1F4A" w:rsidP="00946B2E">
      <w:pPr>
        <w:jc w:val="both"/>
        <w:rPr>
          <w:i/>
          <w:sz w:val="22"/>
          <w:szCs w:val="22"/>
          <w:lang w:val="sr-Latn-RS"/>
        </w:rPr>
      </w:pPr>
      <w:r w:rsidRPr="00E04F74">
        <w:rPr>
          <w:i/>
          <w:sz w:val="22"/>
          <w:szCs w:val="22"/>
          <w:lang w:val="sr-Latn-RS"/>
        </w:rPr>
        <w:t xml:space="preserve">Pedijatrijska populacija: </w:t>
      </w:r>
    </w:p>
    <w:p w14:paraId="058E0838" w14:textId="77777777" w:rsidR="009F1F4A" w:rsidRPr="00E04F74" w:rsidRDefault="009F1F4A" w:rsidP="00946B2E">
      <w:pPr>
        <w:jc w:val="both"/>
        <w:rPr>
          <w:sz w:val="22"/>
          <w:szCs w:val="22"/>
          <w:lang w:val="sr-Latn-RS"/>
        </w:rPr>
      </w:pPr>
      <w:r w:rsidRPr="00E04F74">
        <w:rPr>
          <w:sz w:val="22"/>
          <w:szCs w:val="22"/>
          <w:lang w:val="sr-Latn-RS"/>
        </w:rPr>
        <w:t xml:space="preserve">Bezbjednost i efikasnost primjene lijeka KIVEXA kod djece tjelesne mase manje od 25 kg nije još potvrđena. </w:t>
      </w:r>
    </w:p>
    <w:p w14:paraId="058E0839" w14:textId="77777777" w:rsidR="009F1F4A" w:rsidRPr="00E04F74" w:rsidRDefault="009F1F4A" w:rsidP="00946B2E">
      <w:pPr>
        <w:jc w:val="both"/>
        <w:rPr>
          <w:sz w:val="22"/>
          <w:szCs w:val="22"/>
          <w:lang w:val="sr-Latn-RS"/>
        </w:rPr>
      </w:pPr>
    </w:p>
    <w:p w14:paraId="058E083A" w14:textId="354577DE" w:rsidR="009F1F4A" w:rsidRPr="00E04F74" w:rsidRDefault="009F1F4A" w:rsidP="00946B2E">
      <w:pPr>
        <w:jc w:val="both"/>
        <w:rPr>
          <w:sz w:val="22"/>
          <w:szCs w:val="22"/>
          <w:lang w:val="sr-Latn-RS"/>
        </w:rPr>
      </w:pPr>
      <w:r w:rsidRPr="00E04F74">
        <w:rPr>
          <w:sz w:val="22"/>
          <w:szCs w:val="22"/>
          <w:lang w:val="sr-Latn-RS"/>
        </w:rPr>
        <w:t xml:space="preserve">Trenutno dostupni podaci su opisani u </w:t>
      </w:r>
      <w:r w:rsidR="00282711" w:rsidRPr="00E04F74">
        <w:rPr>
          <w:sz w:val="22"/>
          <w:szCs w:val="22"/>
          <w:lang w:val="sr-Latn-RS"/>
        </w:rPr>
        <w:t>djelovim</w:t>
      </w:r>
      <w:r w:rsidRPr="00E04F74">
        <w:rPr>
          <w:sz w:val="22"/>
          <w:szCs w:val="22"/>
          <w:lang w:val="sr-Latn-RS"/>
        </w:rPr>
        <w:t>a 4.8, 5.1 i 5.2, ali nema preporuk</w:t>
      </w:r>
      <w:r w:rsidR="002870DD" w:rsidRPr="00E04F74">
        <w:rPr>
          <w:sz w:val="22"/>
          <w:szCs w:val="22"/>
          <w:lang w:val="sr-Latn-RS"/>
        </w:rPr>
        <w:t>e</w:t>
      </w:r>
      <w:r w:rsidRPr="00E04F74">
        <w:rPr>
          <w:sz w:val="22"/>
          <w:szCs w:val="22"/>
          <w:lang w:val="sr-Latn-RS"/>
        </w:rPr>
        <w:t xml:space="preserve"> za doziranje.</w:t>
      </w:r>
    </w:p>
    <w:p w14:paraId="058E083B" w14:textId="77777777" w:rsidR="009F1F4A" w:rsidRPr="00E04F74" w:rsidRDefault="009F1F4A" w:rsidP="00946B2E">
      <w:pPr>
        <w:jc w:val="both"/>
        <w:rPr>
          <w:sz w:val="22"/>
          <w:szCs w:val="22"/>
          <w:lang w:val="sr-Latn-RS"/>
        </w:rPr>
      </w:pPr>
    </w:p>
    <w:p w14:paraId="058E083C" w14:textId="77777777" w:rsidR="009F1F4A" w:rsidRPr="00E04F74" w:rsidRDefault="009F1F4A" w:rsidP="00946B2E">
      <w:pPr>
        <w:jc w:val="both"/>
        <w:rPr>
          <w:sz w:val="22"/>
          <w:szCs w:val="22"/>
          <w:u w:val="single"/>
          <w:lang w:val="sr-Latn-RS"/>
        </w:rPr>
      </w:pPr>
      <w:r w:rsidRPr="00E04F74">
        <w:rPr>
          <w:sz w:val="22"/>
          <w:szCs w:val="22"/>
          <w:u w:val="single"/>
          <w:lang w:val="sr-Latn-RS"/>
        </w:rPr>
        <w:t>Način primjene</w:t>
      </w:r>
    </w:p>
    <w:p w14:paraId="058E083D" w14:textId="77777777" w:rsidR="009F1F4A" w:rsidRPr="00E04F74" w:rsidRDefault="009F1F4A" w:rsidP="00946B2E">
      <w:pPr>
        <w:jc w:val="both"/>
        <w:rPr>
          <w:sz w:val="22"/>
          <w:szCs w:val="22"/>
          <w:lang w:val="sr-Latn-RS"/>
        </w:rPr>
      </w:pPr>
    </w:p>
    <w:p w14:paraId="058E083E" w14:textId="77777777" w:rsidR="009F1F4A" w:rsidRPr="00E04F74" w:rsidRDefault="009F1F4A" w:rsidP="00946B2E">
      <w:pPr>
        <w:jc w:val="both"/>
        <w:rPr>
          <w:sz w:val="22"/>
          <w:szCs w:val="22"/>
          <w:lang w:val="sr-Latn-RS"/>
        </w:rPr>
      </w:pPr>
      <w:r w:rsidRPr="00E04F74">
        <w:rPr>
          <w:sz w:val="22"/>
          <w:szCs w:val="22"/>
          <w:lang w:val="sr-Latn-RS"/>
        </w:rPr>
        <w:t>Oralna primjena.</w:t>
      </w:r>
    </w:p>
    <w:p w14:paraId="058E083F" w14:textId="77777777" w:rsidR="009F1F4A" w:rsidRPr="00E04F74" w:rsidRDefault="009F1F4A" w:rsidP="00946B2E">
      <w:pPr>
        <w:jc w:val="both"/>
        <w:rPr>
          <w:sz w:val="22"/>
          <w:szCs w:val="22"/>
          <w:lang w:val="sr-Latn-RS"/>
        </w:rPr>
      </w:pPr>
    </w:p>
    <w:p w14:paraId="058E0840" w14:textId="081DDE0B" w:rsidR="009F1F4A" w:rsidRPr="00E04F74" w:rsidRDefault="009F1F4A" w:rsidP="00946B2E">
      <w:pPr>
        <w:jc w:val="both"/>
        <w:rPr>
          <w:sz w:val="22"/>
          <w:szCs w:val="22"/>
          <w:lang w:val="sr-Latn-RS"/>
        </w:rPr>
      </w:pPr>
      <w:r w:rsidRPr="00E04F74">
        <w:rPr>
          <w:sz w:val="22"/>
          <w:szCs w:val="22"/>
          <w:lang w:val="sr-Latn-RS"/>
        </w:rPr>
        <w:t xml:space="preserve">Lijek KIVEXA se može </w:t>
      </w:r>
      <w:r w:rsidR="00E720B4" w:rsidRPr="00E04F74">
        <w:rPr>
          <w:sz w:val="22"/>
          <w:szCs w:val="22"/>
          <w:lang w:val="sr-Latn-RS"/>
        </w:rPr>
        <w:t>uzimati sa</w:t>
      </w:r>
      <w:r w:rsidRPr="00E04F74">
        <w:rPr>
          <w:sz w:val="22"/>
          <w:szCs w:val="22"/>
          <w:lang w:val="sr-Latn-RS"/>
        </w:rPr>
        <w:t xml:space="preserve"> hran</w:t>
      </w:r>
      <w:r w:rsidR="00E720B4" w:rsidRPr="00E04F74">
        <w:rPr>
          <w:sz w:val="22"/>
          <w:szCs w:val="22"/>
          <w:lang w:val="sr-Latn-RS"/>
        </w:rPr>
        <w:t>om</w:t>
      </w:r>
      <w:r w:rsidRPr="00E04F74">
        <w:rPr>
          <w:sz w:val="22"/>
          <w:szCs w:val="22"/>
          <w:lang w:val="sr-Latn-RS"/>
        </w:rPr>
        <w:t xml:space="preserve"> ili nezavisno od nje.</w:t>
      </w:r>
    </w:p>
    <w:p w14:paraId="058E0841" w14:textId="77777777" w:rsidR="00452E9D" w:rsidRPr="00E04F74" w:rsidRDefault="00452E9D" w:rsidP="00946B2E">
      <w:pPr>
        <w:tabs>
          <w:tab w:val="left" w:pos="540"/>
          <w:tab w:val="left" w:pos="569"/>
        </w:tabs>
        <w:jc w:val="both"/>
        <w:rPr>
          <w:bCs/>
          <w:sz w:val="22"/>
          <w:szCs w:val="22"/>
          <w:lang w:val="sr-Latn-RS"/>
        </w:rPr>
      </w:pPr>
    </w:p>
    <w:p w14:paraId="058E0842" w14:textId="62CA5525" w:rsidR="00411B4B" w:rsidRPr="00E04F74" w:rsidRDefault="00411B4B" w:rsidP="00946B2E">
      <w:pPr>
        <w:tabs>
          <w:tab w:val="left" w:pos="540"/>
          <w:tab w:val="left" w:pos="569"/>
        </w:tabs>
        <w:jc w:val="both"/>
        <w:rPr>
          <w:b/>
          <w:bCs/>
          <w:sz w:val="22"/>
          <w:szCs w:val="22"/>
          <w:lang w:val="sr-Latn-RS"/>
        </w:rPr>
      </w:pPr>
      <w:r w:rsidRPr="00E04F74">
        <w:rPr>
          <w:b/>
          <w:bCs/>
          <w:sz w:val="22"/>
          <w:szCs w:val="22"/>
          <w:lang w:val="sr-Latn-RS"/>
        </w:rPr>
        <w:t xml:space="preserve">4.3. </w:t>
      </w:r>
      <w:r w:rsidR="00480FB1" w:rsidRPr="00E04F74">
        <w:rPr>
          <w:b/>
          <w:bCs/>
          <w:sz w:val="22"/>
          <w:szCs w:val="22"/>
          <w:lang w:val="sr-Latn-RS"/>
        </w:rPr>
        <w:tab/>
      </w:r>
      <w:r w:rsidRPr="00E04F74">
        <w:rPr>
          <w:b/>
          <w:bCs/>
          <w:sz w:val="22"/>
          <w:szCs w:val="22"/>
          <w:lang w:val="sr-Latn-RS"/>
        </w:rPr>
        <w:t>Kontraindikacije</w:t>
      </w:r>
    </w:p>
    <w:p w14:paraId="0731544C" w14:textId="77777777" w:rsidR="001076FF" w:rsidRPr="00E04F74" w:rsidRDefault="001076FF" w:rsidP="00946B2E">
      <w:pPr>
        <w:tabs>
          <w:tab w:val="left" w:pos="540"/>
          <w:tab w:val="left" w:pos="569"/>
        </w:tabs>
        <w:jc w:val="both"/>
        <w:rPr>
          <w:b/>
          <w:bCs/>
          <w:sz w:val="22"/>
          <w:szCs w:val="22"/>
          <w:lang w:val="sr-Latn-RS"/>
        </w:rPr>
      </w:pPr>
    </w:p>
    <w:p w14:paraId="058E0843" w14:textId="0E158910" w:rsidR="008A2B86" w:rsidRPr="00E04F74" w:rsidRDefault="008A2B86" w:rsidP="00946B2E">
      <w:pPr>
        <w:pStyle w:val="Header"/>
        <w:tabs>
          <w:tab w:val="left" w:pos="284"/>
        </w:tabs>
        <w:jc w:val="both"/>
        <w:rPr>
          <w:sz w:val="22"/>
          <w:szCs w:val="22"/>
          <w:lang w:val="sr-Latn-RS"/>
        </w:rPr>
      </w:pPr>
      <w:r w:rsidRPr="00E04F74">
        <w:rPr>
          <w:sz w:val="22"/>
          <w:szCs w:val="22"/>
          <w:lang w:val="sr-Latn-RS"/>
        </w:rPr>
        <w:t xml:space="preserve">Preosjetljivost na aktivne supstance lamivudin, abakavir ili na bilo koju pomoćnu supstancu lijeka navedenu u </w:t>
      </w:r>
      <w:r w:rsidR="00D52927" w:rsidRPr="00E04F74">
        <w:rPr>
          <w:sz w:val="22"/>
          <w:szCs w:val="22"/>
          <w:lang w:val="sr-Latn-RS"/>
        </w:rPr>
        <w:t>dijelu</w:t>
      </w:r>
      <w:r w:rsidRPr="00E04F74">
        <w:rPr>
          <w:sz w:val="22"/>
          <w:szCs w:val="22"/>
          <w:lang w:val="sr-Latn-RS"/>
        </w:rPr>
        <w:t xml:space="preserve"> 6.1 (vidjeti </w:t>
      </w:r>
      <w:r w:rsidR="00D52927" w:rsidRPr="00E04F74">
        <w:rPr>
          <w:sz w:val="22"/>
          <w:szCs w:val="22"/>
          <w:lang w:val="sr-Latn-RS"/>
        </w:rPr>
        <w:t>djelove</w:t>
      </w:r>
      <w:r w:rsidRPr="00E04F74">
        <w:rPr>
          <w:sz w:val="22"/>
          <w:szCs w:val="22"/>
          <w:lang w:val="sr-Latn-RS"/>
        </w:rPr>
        <w:t xml:space="preserve"> 4.4 i 4.8).</w:t>
      </w:r>
    </w:p>
    <w:p w14:paraId="058E0844" w14:textId="77777777" w:rsidR="0072020E" w:rsidRPr="00E04F74" w:rsidRDefault="0072020E" w:rsidP="00946B2E">
      <w:pPr>
        <w:tabs>
          <w:tab w:val="left" w:pos="540"/>
          <w:tab w:val="left" w:pos="569"/>
        </w:tabs>
        <w:jc w:val="both"/>
        <w:rPr>
          <w:bCs/>
          <w:sz w:val="22"/>
          <w:szCs w:val="22"/>
          <w:lang w:val="sr-Latn-RS"/>
        </w:rPr>
      </w:pPr>
    </w:p>
    <w:p w14:paraId="058E0845" w14:textId="77777777" w:rsidR="00411B4B" w:rsidRPr="00E04F74" w:rsidRDefault="00411B4B" w:rsidP="00946B2E">
      <w:pPr>
        <w:tabs>
          <w:tab w:val="left" w:pos="540"/>
          <w:tab w:val="left" w:pos="569"/>
        </w:tabs>
        <w:jc w:val="both"/>
        <w:rPr>
          <w:b/>
          <w:bCs/>
          <w:sz w:val="22"/>
          <w:szCs w:val="22"/>
          <w:lang w:val="sr-Latn-RS"/>
        </w:rPr>
      </w:pPr>
      <w:r w:rsidRPr="00E04F74">
        <w:rPr>
          <w:b/>
          <w:bCs/>
          <w:sz w:val="22"/>
          <w:szCs w:val="22"/>
          <w:lang w:val="sr-Latn-RS"/>
        </w:rPr>
        <w:t xml:space="preserve">4.4. </w:t>
      </w:r>
      <w:r w:rsidR="00480FB1" w:rsidRPr="00E04F74">
        <w:rPr>
          <w:b/>
          <w:bCs/>
          <w:sz w:val="22"/>
          <w:szCs w:val="22"/>
          <w:lang w:val="sr-Latn-RS"/>
        </w:rPr>
        <w:tab/>
      </w:r>
      <w:r w:rsidRPr="00E04F74">
        <w:rPr>
          <w:b/>
          <w:bCs/>
          <w:sz w:val="22"/>
          <w:szCs w:val="22"/>
          <w:lang w:val="sr-Latn-RS"/>
        </w:rPr>
        <w:t>Posebna upozorenja i mjere opreza pri upotrebi lijeka</w:t>
      </w:r>
    </w:p>
    <w:p w14:paraId="5248A89B" w14:textId="77777777" w:rsidR="00E720B4" w:rsidRPr="00E04F74" w:rsidRDefault="00E720B4" w:rsidP="00946B2E">
      <w:pPr>
        <w:jc w:val="both"/>
        <w:rPr>
          <w:sz w:val="22"/>
          <w:szCs w:val="22"/>
          <w:lang w:val="sr-Latn-RS"/>
        </w:rPr>
      </w:pPr>
    </w:p>
    <w:p w14:paraId="058E0846" w14:textId="6CC4BB0C" w:rsidR="003454B6" w:rsidRPr="00E04F74" w:rsidRDefault="003454B6" w:rsidP="00946B2E">
      <w:pPr>
        <w:jc w:val="both"/>
        <w:rPr>
          <w:sz w:val="22"/>
          <w:szCs w:val="22"/>
          <w:lang w:val="sr-Latn-RS"/>
        </w:rPr>
      </w:pPr>
      <w:r w:rsidRPr="00E04F74">
        <w:rPr>
          <w:sz w:val="22"/>
          <w:szCs w:val="22"/>
          <w:lang w:val="sr-Latn-RS"/>
        </w:rPr>
        <w:t xml:space="preserve">U ovaj </w:t>
      </w:r>
      <w:r w:rsidR="003E2386" w:rsidRPr="00E04F74">
        <w:rPr>
          <w:sz w:val="22"/>
          <w:szCs w:val="22"/>
          <w:lang w:val="sr-Latn-RS"/>
        </w:rPr>
        <w:t>dio</w:t>
      </w:r>
      <w:r w:rsidRPr="00E04F74">
        <w:rPr>
          <w:sz w:val="22"/>
          <w:szCs w:val="22"/>
          <w:lang w:val="sr-Latn-RS"/>
        </w:rPr>
        <w:t xml:space="preserve"> su uključena posebna upozorenja i mjere opreza od značaja za primjenu abakavira i lamivudina. Nema dodatnih mjera predostrožnosti i upozorenja relevantnih za lijek KIVEXA. </w:t>
      </w:r>
    </w:p>
    <w:p w14:paraId="058E0849" w14:textId="41C8533F" w:rsidR="003454B6" w:rsidRPr="00E04F74" w:rsidRDefault="003454B6" w:rsidP="00946B2E">
      <w:pPr>
        <w:jc w:val="both"/>
        <w:rPr>
          <w:sz w:val="22"/>
          <w:szCs w:val="22"/>
          <w:lang w:val="sr-Latn-RS"/>
        </w:rPr>
      </w:pPr>
    </w:p>
    <w:p w14:paraId="058E084A" w14:textId="5D4F5D63"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r w:rsidRPr="00E04F74">
        <w:rPr>
          <w:b/>
          <w:i/>
          <w:sz w:val="22"/>
          <w:szCs w:val="22"/>
          <w:lang w:val="sr-Latn-RS"/>
        </w:rPr>
        <w:t xml:space="preserve">Reakcije preosjetljivosti </w:t>
      </w:r>
      <w:r w:rsidRPr="00E04F74">
        <w:rPr>
          <w:sz w:val="22"/>
          <w:szCs w:val="22"/>
          <w:lang w:val="sr-Latn-RS"/>
        </w:rPr>
        <w:t xml:space="preserve">(vidjeti takođe </w:t>
      </w:r>
      <w:r w:rsidR="00D52927" w:rsidRPr="00E04F74">
        <w:rPr>
          <w:sz w:val="22"/>
          <w:szCs w:val="22"/>
          <w:lang w:val="sr-Latn-RS"/>
        </w:rPr>
        <w:t>dio</w:t>
      </w:r>
      <w:r w:rsidRPr="00E04F74">
        <w:rPr>
          <w:sz w:val="22"/>
          <w:szCs w:val="22"/>
          <w:lang w:val="sr-Latn-RS"/>
        </w:rPr>
        <w:t xml:space="preserve"> 4.8)</w:t>
      </w:r>
    </w:p>
    <w:p w14:paraId="058E084B"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4C" w14:textId="36BA33ED"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r w:rsidRPr="00E04F74">
        <w:rPr>
          <w:sz w:val="22"/>
          <w:szCs w:val="22"/>
          <w:lang w:val="sr-Latn-RS"/>
        </w:rPr>
        <w:t xml:space="preserve">Abakavir je povezan sa rizikom od razvoja preosjetljivosti (vidjeti </w:t>
      </w:r>
      <w:r w:rsidR="00D52927" w:rsidRPr="00E04F74">
        <w:rPr>
          <w:sz w:val="22"/>
          <w:szCs w:val="22"/>
          <w:lang w:val="sr-Latn-RS"/>
        </w:rPr>
        <w:t>dio</w:t>
      </w:r>
      <w:r w:rsidRPr="00E04F74">
        <w:rPr>
          <w:sz w:val="22"/>
          <w:szCs w:val="22"/>
          <w:lang w:val="sr-Latn-RS"/>
        </w:rPr>
        <w:t xml:space="preserve"> 4.8) koje se karakterišu visokom temperaturom i/ili </w:t>
      </w:r>
      <w:r w:rsidR="002870DD" w:rsidRPr="00E04F74">
        <w:rPr>
          <w:sz w:val="22"/>
          <w:szCs w:val="22"/>
          <w:lang w:val="sr-Latn-RS"/>
        </w:rPr>
        <w:t>osipom na koži</w:t>
      </w:r>
      <w:r w:rsidRPr="00E04F74">
        <w:rPr>
          <w:sz w:val="22"/>
          <w:szCs w:val="22"/>
          <w:lang w:val="sr-Latn-RS"/>
        </w:rPr>
        <w:t xml:space="preserve"> i drugim simptomima koji ukazuju na uključenje više organa. Pri primjeni abakavira, primijećene su različite reakcije preosjetljivosti, pri čemu su neke od njih bile opasne po život pacijenta, a u rijetkim slučajevima imale su i smrtni ishod, kada nijesu bile adekvatno tretirane. </w:t>
      </w:r>
    </w:p>
    <w:p w14:paraId="058E084D"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4E"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r w:rsidRPr="00E04F74">
        <w:rPr>
          <w:sz w:val="22"/>
          <w:szCs w:val="22"/>
          <w:lang w:val="sr-Latn-RS"/>
        </w:rPr>
        <w:t>Kod pacijenata sa pozitivnim HLA-B*5701 alelom, rizik od ispoljavanja reakcija preosjetljivosti na abakavir je visok. Međutim, reakcije preosjetljivosti na abakavir javljale su se i kod pacijenata koji nijesu nosioci ovog alela, ali znatno rjeđe.</w:t>
      </w:r>
    </w:p>
    <w:p w14:paraId="058E084F"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50" w14:textId="5EA9215B"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r w:rsidRPr="00E04F74">
        <w:rPr>
          <w:sz w:val="22"/>
          <w:szCs w:val="22"/>
          <w:lang w:val="sr-Latn-RS"/>
        </w:rPr>
        <w:t>Zbog toga je neophodno pridržavati se sljedećeg:</w:t>
      </w:r>
    </w:p>
    <w:p w14:paraId="197186A3" w14:textId="77777777" w:rsidR="002870DD" w:rsidRPr="00E04F74" w:rsidRDefault="002870DD"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51"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r w:rsidRPr="00E04F74">
        <w:rPr>
          <w:sz w:val="22"/>
          <w:szCs w:val="22"/>
          <w:lang w:val="sr-Latn-RS"/>
        </w:rPr>
        <w:t xml:space="preserve"> ·Status HLA-B*5701 mora se uvijek utvrditi prije započinjanja terapije.</w:t>
      </w:r>
    </w:p>
    <w:p w14:paraId="058E0852"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53"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r w:rsidRPr="00E04F74">
        <w:rPr>
          <w:sz w:val="22"/>
          <w:szCs w:val="22"/>
          <w:lang w:val="sr-Latn-RS"/>
        </w:rPr>
        <w:lastRenderedPageBreak/>
        <w:t xml:space="preserve"> ·Liječenje lijekom KIVEXA nikada se ne smije započeti kod pacijenata sa pozitivnim HLA-B*5701 statusom, kao ni kod pacijenata sa negativnim HLA-B*5701 statusom kod kojih se sumnja da su se reakcije preosjetljivosti na abakavir javile prilikom prethodne terapije ljekovima koji sadrže abakavir (npr. Ziagen, Trizivir, Triumeq).</w:t>
      </w:r>
    </w:p>
    <w:p w14:paraId="058E0854"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55"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r w:rsidRPr="00E04F74">
        <w:rPr>
          <w:sz w:val="22"/>
          <w:szCs w:val="22"/>
          <w:lang w:val="sr-Latn-RS"/>
        </w:rPr>
        <w:t>·</w:t>
      </w:r>
      <w:r w:rsidRPr="00E04F74">
        <w:rPr>
          <w:b/>
          <w:sz w:val="22"/>
          <w:szCs w:val="22"/>
          <w:lang w:val="sr-Latn-RS"/>
        </w:rPr>
        <w:t>Terapija lijekom KIVEXA prekida se bez odlaganja</w:t>
      </w:r>
      <w:r w:rsidRPr="00E04F74">
        <w:rPr>
          <w:sz w:val="22"/>
          <w:szCs w:val="22"/>
          <w:lang w:val="sr-Latn-RS"/>
        </w:rPr>
        <w:t xml:space="preserve">, čak i u odsustvu HLA-B*5701 alela, ako se sumnja na reakciju preosjetljivosti. Odlaganje obustavljanja primjene lijeka KIVEXA nakon ispoljavanja reakcija preosjetljivosti, može uzrokovati trenutnu i po život opasnu reakciju. </w:t>
      </w:r>
    </w:p>
    <w:p w14:paraId="058E0856"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57"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b/>
          <w:sz w:val="22"/>
          <w:szCs w:val="22"/>
          <w:lang w:val="sr-Latn-RS"/>
        </w:rPr>
      </w:pPr>
      <w:r w:rsidRPr="00E04F74">
        <w:rPr>
          <w:sz w:val="22"/>
          <w:szCs w:val="22"/>
          <w:lang w:val="sr-Latn-RS"/>
        </w:rPr>
        <w:t xml:space="preserve">·Nakon prekida terapije lijekom KIVEXA zbog sumnje na pojavu reakcija preosjetljivosti, lijek </w:t>
      </w:r>
      <w:r w:rsidRPr="00E04F74">
        <w:rPr>
          <w:b/>
          <w:sz w:val="22"/>
          <w:szCs w:val="22"/>
          <w:lang w:val="sr-Latn-RS"/>
        </w:rPr>
        <w:t>KIVEXA ili bilo koji drugi lijek koji sadrži abakavir</w:t>
      </w:r>
      <w:r w:rsidRPr="00E04F74">
        <w:rPr>
          <w:sz w:val="22"/>
          <w:szCs w:val="22"/>
          <w:lang w:val="sr-Latn-RS"/>
        </w:rPr>
        <w:t xml:space="preserve"> (npr. Ziagen, Trizivir, Triumeq) </w:t>
      </w:r>
      <w:r w:rsidRPr="00E04F74">
        <w:rPr>
          <w:b/>
          <w:sz w:val="22"/>
          <w:szCs w:val="22"/>
          <w:lang w:val="sr-Latn-RS"/>
        </w:rPr>
        <w:t>ne smije se nikada više uvoditi u terapiju.</w:t>
      </w:r>
    </w:p>
    <w:p w14:paraId="058E0858"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59"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r w:rsidRPr="00E04F74">
        <w:rPr>
          <w:sz w:val="22"/>
          <w:szCs w:val="22"/>
          <w:lang w:val="sr-Latn-RS"/>
        </w:rPr>
        <w:t>·Ponovno uvođenje u terapiju ljekova koji sadrže abakavir i za koje se sumnja da su doveli do reakcija preosjetljivosti, može dovesti do brzog povratka simptoma u toku svega nekoliko sati. Ponovna reakcija preosjetljivosti obično je još teža (mnogo ozbiljnijeg karakatera) od inicijalnih manifestacija i može uključiti po život opasnu hipotenziju i smrtni ishod.</w:t>
      </w:r>
    </w:p>
    <w:p w14:paraId="058E085A"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5B"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r w:rsidRPr="00E04F74">
        <w:rPr>
          <w:sz w:val="22"/>
          <w:szCs w:val="22"/>
          <w:lang w:val="sr-Latn-RS"/>
        </w:rPr>
        <w:t>·Da bi se izbjegla ponovna upotreba abakavira, pacijente kod kojih su se javile reakcije preosjetljivosti treba savjetovati da vrate neiskorišćene tablete lijeka KIVEXA.</w:t>
      </w:r>
    </w:p>
    <w:p w14:paraId="058E085C"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5D"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i/>
          <w:sz w:val="22"/>
          <w:szCs w:val="22"/>
          <w:u w:val="single"/>
          <w:lang w:val="sr-Latn-RS"/>
        </w:rPr>
      </w:pPr>
      <w:r w:rsidRPr="00E04F74">
        <w:rPr>
          <w:sz w:val="22"/>
          <w:szCs w:val="22"/>
          <w:lang w:val="sr-Latn-RS"/>
        </w:rPr>
        <w:t>·</w:t>
      </w:r>
      <w:r w:rsidRPr="00E04F74">
        <w:rPr>
          <w:b/>
          <w:sz w:val="22"/>
          <w:szCs w:val="22"/>
          <w:u w:val="single"/>
          <w:lang w:val="sr-Latn-RS"/>
        </w:rPr>
        <w:t>Klinički opis</w:t>
      </w:r>
      <w:r w:rsidRPr="00E04F74">
        <w:rPr>
          <w:sz w:val="22"/>
          <w:szCs w:val="22"/>
          <w:u w:val="single"/>
          <w:lang w:val="sr-Latn-RS"/>
        </w:rPr>
        <w:t xml:space="preserve"> </w:t>
      </w:r>
      <w:r w:rsidRPr="00E04F74">
        <w:rPr>
          <w:i/>
          <w:sz w:val="22"/>
          <w:szCs w:val="22"/>
          <w:u w:val="single"/>
          <w:lang w:val="sr-Latn-RS"/>
        </w:rPr>
        <w:t>reakcija preosjetljivosti na abakavir</w:t>
      </w:r>
    </w:p>
    <w:p w14:paraId="058E085E"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5F"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r w:rsidRPr="00E04F74">
        <w:rPr>
          <w:sz w:val="22"/>
          <w:szCs w:val="22"/>
          <w:lang w:val="sr-Latn-RS"/>
        </w:rPr>
        <w:t xml:space="preserve">Reakcije preosjetljivosti na abakavir potpuno su okarakterisane u kliničkim ispitivanjima i u postmarketinškom praćenju. </w:t>
      </w:r>
      <w:r w:rsidRPr="00E04F74">
        <w:rPr>
          <w:b/>
          <w:sz w:val="22"/>
          <w:szCs w:val="22"/>
          <w:lang w:val="sr-Latn-RS"/>
        </w:rPr>
        <w:t>Mada se ove reakcije mogu pojaviti u bilo kom trenutku u toku terapije</w:t>
      </w:r>
      <w:r w:rsidRPr="00E04F74">
        <w:rPr>
          <w:sz w:val="22"/>
          <w:szCs w:val="22"/>
          <w:lang w:val="sr-Latn-RS"/>
        </w:rPr>
        <w:t xml:space="preserve"> abakavirom, simptomi su se obično javljali tokom prvih šest nedjelja od početka terapije (srednje vrijeme do početka ispoljavanja reakcija iznosilo je 11 dana).</w:t>
      </w:r>
    </w:p>
    <w:p w14:paraId="058E0860"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61" w14:textId="2066E756" w:rsidR="003454B6" w:rsidRPr="00E04F74" w:rsidRDefault="003454B6" w:rsidP="00946B2E">
      <w:pPr>
        <w:pBdr>
          <w:top w:val="single" w:sz="4" w:space="1" w:color="auto"/>
          <w:left w:val="single" w:sz="4" w:space="4" w:color="auto"/>
          <w:bottom w:val="single" w:sz="4" w:space="1" w:color="auto"/>
          <w:right w:val="single" w:sz="4" w:space="4" w:color="auto"/>
        </w:pBdr>
        <w:jc w:val="both"/>
        <w:rPr>
          <w:b/>
          <w:sz w:val="22"/>
          <w:szCs w:val="22"/>
          <w:lang w:val="sr-Latn-RS"/>
        </w:rPr>
      </w:pPr>
      <w:r w:rsidRPr="00E04F74">
        <w:rPr>
          <w:sz w:val="22"/>
          <w:szCs w:val="22"/>
          <w:lang w:val="sr-Latn-RS"/>
        </w:rPr>
        <w:t xml:space="preserve">Gotovo sve reakcije preosjetljivosti uključuju visoku temperaturu i/ili osip (raš). Ostali zapaženi znaci i simptomi preosjetljivosti na abakavir detaljno su opisani u </w:t>
      </w:r>
      <w:r w:rsidR="00D52927" w:rsidRPr="00E04F74">
        <w:rPr>
          <w:sz w:val="22"/>
          <w:szCs w:val="22"/>
          <w:lang w:val="sr-Latn-RS"/>
        </w:rPr>
        <w:t>dijelu</w:t>
      </w:r>
      <w:r w:rsidRPr="00E04F74">
        <w:rPr>
          <w:sz w:val="22"/>
          <w:szCs w:val="22"/>
          <w:lang w:val="sr-Latn-RS"/>
        </w:rPr>
        <w:t xml:space="preserve"> 4.8. (Opis odabranih neželjenih reakcija), uključujući respiratorne i gastrointerstinalne simptome. Važno je napomenuti da ovi simptomi </w:t>
      </w:r>
      <w:r w:rsidRPr="00E04F74">
        <w:rPr>
          <w:b/>
          <w:sz w:val="22"/>
          <w:szCs w:val="22"/>
          <w:lang w:val="sr-Latn-RS"/>
        </w:rPr>
        <w:t>mogu dovesti do pogrešne dijagnoze respiratornog oboljenja (pneumonija, bronhitis, faringitis) ili gastroenteritisa, umjesto dijagnoze preosjetljivosti.</w:t>
      </w:r>
      <w:r w:rsidR="002870DD" w:rsidRPr="00E04F74">
        <w:rPr>
          <w:b/>
          <w:sz w:val="22"/>
          <w:szCs w:val="22"/>
          <w:lang w:val="sr-Latn-RS"/>
        </w:rPr>
        <w:t xml:space="preserve"> </w:t>
      </w:r>
    </w:p>
    <w:p w14:paraId="058E0862"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p>
    <w:p w14:paraId="058E0863" w14:textId="77777777"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r w:rsidRPr="00E04F74">
        <w:rPr>
          <w:sz w:val="22"/>
          <w:szCs w:val="22"/>
          <w:lang w:val="sr-Latn-RS"/>
        </w:rPr>
        <w:t>Simptomi povezani sa preosjetljivošću na abakavir pogoršavaju se prilikom nastavka primjene terapije i mogu ugroziti život pacijenta. Navedeni simptomi obično se povlače nakon prekida primjene abakavira.</w:t>
      </w:r>
    </w:p>
    <w:p w14:paraId="058E0865" w14:textId="0A2D9795" w:rsidR="003454B6" w:rsidRPr="00E04F74" w:rsidRDefault="003454B6" w:rsidP="00946B2E">
      <w:pPr>
        <w:pBdr>
          <w:top w:val="single" w:sz="4" w:space="1" w:color="auto"/>
          <w:left w:val="single" w:sz="4" w:space="4" w:color="auto"/>
          <w:bottom w:val="single" w:sz="4" w:space="1" w:color="auto"/>
          <w:right w:val="single" w:sz="4" w:space="4" w:color="auto"/>
        </w:pBdr>
        <w:jc w:val="both"/>
        <w:rPr>
          <w:sz w:val="22"/>
          <w:szCs w:val="22"/>
          <w:lang w:val="sr-Latn-RS"/>
        </w:rPr>
      </w:pPr>
      <w:r w:rsidRPr="00E04F74">
        <w:rPr>
          <w:sz w:val="22"/>
          <w:szCs w:val="22"/>
          <w:lang w:val="sr-Latn-RS"/>
        </w:rPr>
        <w:t xml:space="preserve">U rijetkim slučajevima, kod pacijenata koji su obustavili primjenu abakavira iz razloga koji nijesu povezani sa preosjetljivošću na lijek, nakon ponovnog uvođenja abakavira u terapiju, još tokom prvih časova, ispoljile su se reakcije koje ugrožavaju život (vidjeti Opis odabranih neželjenih reakcija u </w:t>
      </w:r>
      <w:r w:rsidR="00D52927" w:rsidRPr="00E04F74">
        <w:rPr>
          <w:sz w:val="22"/>
          <w:szCs w:val="22"/>
          <w:lang w:val="sr-Latn-RS"/>
        </w:rPr>
        <w:t>dijelu</w:t>
      </w:r>
      <w:r w:rsidRPr="00E04F74">
        <w:rPr>
          <w:sz w:val="22"/>
          <w:szCs w:val="22"/>
          <w:lang w:val="sr-Latn-RS"/>
        </w:rPr>
        <w:t xml:space="preserve"> 4.8). Ponovna primjena abakavira kod ovih pacijenata, mora biti sprovedena u uslovima gdje je medicinska pomoć lako dostupna.</w:t>
      </w:r>
    </w:p>
    <w:p w14:paraId="058E0866" w14:textId="77777777" w:rsidR="003454B6" w:rsidRPr="00E04F74" w:rsidRDefault="003454B6" w:rsidP="00946B2E">
      <w:pPr>
        <w:jc w:val="both"/>
        <w:rPr>
          <w:sz w:val="22"/>
          <w:szCs w:val="22"/>
          <w:lang w:val="sr-Latn-RS"/>
        </w:rPr>
      </w:pPr>
    </w:p>
    <w:p w14:paraId="058E0867" w14:textId="77777777" w:rsidR="003454B6" w:rsidRPr="00E04F74" w:rsidRDefault="003454B6" w:rsidP="00946B2E">
      <w:pPr>
        <w:jc w:val="both"/>
        <w:rPr>
          <w:color w:val="000000"/>
          <w:sz w:val="22"/>
          <w:szCs w:val="22"/>
          <w:u w:val="single"/>
          <w:lang w:val="sr-Latn-RS"/>
        </w:rPr>
      </w:pPr>
      <w:r w:rsidRPr="00E04F74">
        <w:rPr>
          <w:color w:val="000000"/>
          <w:sz w:val="22"/>
          <w:szCs w:val="22"/>
          <w:u w:val="single"/>
          <w:lang w:val="sr-Latn-RS"/>
        </w:rPr>
        <w:t>Tjelesna masa i metabolički parametri</w:t>
      </w:r>
    </w:p>
    <w:p w14:paraId="058E0868" w14:textId="77777777" w:rsidR="003454B6" w:rsidRPr="00E04F74" w:rsidRDefault="003454B6" w:rsidP="00946B2E">
      <w:pPr>
        <w:jc w:val="both"/>
        <w:rPr>
          <w:color w:val="000000"/>
          <w:sz w:val="22"/>
          <w:szCs w:val="22"/>
          <w:u w:val="single"/>
          <w:lang w:val="sr-Latn-RS"/>
        </w:rPr>
      </w:pPr>
    </w:p>
    <w:p w14:paraId="058E0869" w14:textId="26C598B9" w:rsidR="003454B6" w:rsidRPr="00E04F74" w:rsidRDefault="003454B6" w:rsidP="00946B2E">
      <w:pPr>
        <w:jc w:val="both"/>
        <w:rPr>
          <w:color w:val="000000"/>
          <w:sz w:val="22"/>
          <w:szCs w:val="22"/>
          <w:lang w:val="sr-Latn-RS"/>
        </w:rPr>
      </w:pPr>
      <w:r w:rsidRPr="00E04F74">
        <w:rPr>
          <w:color w:val="000000"/>
          <w:sz w:val="22"/>
          <w:szCs w:val="22"/>
          <w:lang w:val="sr-Latn-RS"/>
        </w:rPr>
        <w:t>Tokom antiretrovirusne terapije može doći do povećanja tjelesne mase, kao i do povećanja nivoa lipida i glukoze u krvi. Navedene promjene dijelom mogu biti povezane sa kontrolom same bolesti i stilom života. U određenim slučajevima može se dokazati uticaj primjene lijeka na nivo lipida. Međutim,</w:t>
      </w:r>
      <w:r w:rsidR="002870DD" w:rsidRPr="00E04F74">
        <w:rPr>
          <w:color w:val="000000"/>
          <w:sz w:val="22"/>
          <w:szCs w:val="22"/>
          <w:lang w:val="sr-Latn-RS"/>
        </w:rPr>
        <w:t xml:space="preserve"> </w:t>
      </w:r>
      <w:r w:rsidRPr="00E04F74">
        <w:rPr>
          <w:color w:val="000000"/>
          <w:sz w:val="22"/>
          <w:szCs w:val="22"/>
          <w:lang w:val="sr-Latn-RS"/>
        </w:rPr>
        <w:t>ne postoje dokazi za uticaj primjene lijeka na porast tjelesne mase. Praćenje nivoa lipida i glukoze u krvi treba sprovoditi u skladu sa zvaničnim smjernicama za terapiju HIV- infekcije. Poremećaje metabolizma lipida trebalo bi liječiti u skladu sa kliničkim zahtjevima.</w:t>
      </w:r>
    </w:p>
    <w:p w14:paraId="058E086A" w14:textId="77777777" w:rsidR="003454B6" w:rsidRPr="00E04F74" w:rsidRDefault="003454B6" w:rsidP="00946B2E">
      <w:pPr>
        <w:pStyle w:val="Header"/>
        <w:tabs>
          <w:tab w:val="left" w:pos="284"/>
        </w:tabs>
        <w:jc w:val="both"/>
        <w:rPr>
          <w:sz w:val="22"/>
          <w:szCs w:val="22"/>
          <w:u w:val="single"/>
          <w:lang w:val="sr-Latn-RS"/>
        </w:rPr>
      </w:pPr>
    </w:p>
    <w:p w14:paraId="058E086B" w14:textId="77777777" w:rsidR="003454B6" w:rsidRPr="00E04F74" w:rsidRDefault="003454B6" w:rsidP="00946B2E">
      <w:pPr>
        <w:jc w:val="both"/>
        <w:rPr>
          <w:sz w:val="22"/>
          <w:szCs w:val="22"/>
          <w:u w:val="single"/>
          <w:lang w:val="sr-Latn-RS"/>
        </w:rPr>
      </w:pPr>
      <w:r w:rsidRPr="00E04F74">
        <w:rPr>
          <w:sz w:val="22"/>
          <w:szCs w:val="22"/>
          <w:u w:val="single"/>
          <w:lang w:val="sr-Latn-RS"/>
        </w:rPr>
        <w:t>Pankreatitis</w:t>
      </w:r>
    </w:p>
    <w:p w14:paraId="058E086C" w14:textId="77777777" w:rsidR="003454B6" w:rsidRPr="00E04F74" w:rsidRDefault="003454B6" w:rsidP="00946B2E">
      <w:pPr>
        <w:jc w:val="both"/>
        <w:rPr>
          <w:sz w:val="22"/>
          <w:szCs w:val="22"/>
          <w:u w:val="single"/>
          <w:lang w:val="sr-Latn-RS"/>
        </w:rPr>
      </w:pPr>
    </w:p>
    <w:p w14:paraId="058E086D" w14:textId="77777777" w:rsidR="003454B6" w:rsidRPr="00E04F74" w:rsidRDefault="003454B6" w:rsidP="00946B2E">
      <w:pPr>
        <w:jc w:val="both"/>
        <w:rPr>
          <w:i/>
          <w:sz w:val="22"/>
          <w:szCs w:val="22"/>
          <w:lang w:val="sr-Latn-RS"/>
        </w:rPr>
      </w:pPr>
      <w:r w:rsidRPr="00E04F74">
        <w:rPr>
          <w:sz w:val="22"/>
          <w:szCs w:val="22"/>
          <w:lang w:val="sr-Latn-RS"/>
        </w:rPr>
        <w:t>Prijavljeni su slučajevi pankreatitisa, ali je uzročna povezanost sa primjenom lamivudina i abakavira neizvjesna.</w:t>
      </w:r>
    </w:p>
    <w:p w14:paraId="058E086E" w14:textId="77777777" w:rsidR="003454B6" w:rsidRPr="00E04F74" w:rsidRDefault="003454B6" w:rsidP="00946B2E">
      <w:pPr>
        <w:jc w:val="both"/>
        <w:rPr>
          <w:sz w:val="22"/>
          <w:szCs w:val="22"/>
          <w:lang w:val="sr-Latn-RS"/>
        </w:rPr>
      </w:pPr>
    </w:p>
    <w:p w14:paraId="058E086F" w14:textId="77777777" w:rsidR="003454B6" w:rsidRPr="00E04F74" w:rsidRDefault="003454B6" w:rsidP="00946B2E">
      <w:pPr>
        <w:jc w:val="both"/>
        <w:rPr>
          <w:sz w:val="22"/>
          <w:szCs w:val="22"/>
          <w:u w:val="single"/>
          <w:lang w:val="sr-Latn-RS"/>
        </w:rPr>
      </w:pPr>
      <w:r w:rsidRPr="00E04F74">
        <w:rPr>
          <w:sz w:val="22"/>
          <w:szCs w:val="22"/>
          <w:u w:val="single"/>
          <w:lang w:val="sr-Latn-RS"/>
        </w:rPr>
        <w:lastRenderedPageBreak/>
        <w:t>Rizik od virološkog neuspjeha terapije</w:t>
      </w:r>
    </w:p>
    <w:p w14:paraId="058E0870" w14:textId="77777777" w:rsidR="003454B6" w:rsidRPr="00E04F74" w:rsidRDefault="003454B6" w:rsidP="00946B2E">
      <w:pPr>
        <w:jc w:val="both"/>
        <w:rPr>
          <w:sz w:val="22"/>
          <w:szCs w:val="22"/>
          <w:u w:val="single"/>
          <w:lang w:val="sr-Latn-RS"/>
        </w:rPr>
      </w:pPr>
    </w:p>
    <w:p w14:paraId="058E0871" w14:textId="77777777" w:rsidR="003454B6" w:rsidRPr="00E04F74" w:rsidRDefault="003454B6" w:rsidP="00946B2E">
      <w:pPr>
        <w:jc w:val="both"/>
        <w:rPr>
          <w:i/>
          <w:sz w:val="22"/>
          <w:szCs w:val="22"/>
          <w:lang w:val="sr-Latn-RS"/>
        </w:rPr>
      </w:pPr>
      <w:r w:rsidRPr="00E04F74">
        <w:rPr>
          <w:sz w:val="22"/>
          <w:szCs w:val="22"/>
          <w:lang w:val="sr-Latn-RS"/>
        </w:rPr>
        <w:t>- Trostruka nukleozidna terapija:</w:t>
      </w:r>
      <w:r w:rsidRPr="00E04F74">
        <w:rPr>
          <w:i/>
          <w:sz w:val="22"/>
          <w:szCs w:val="22"/>
          <w:lang w:val="sr-Latn-RS"/>
        </w:rPr>
        <w:t xml:space="preserve"> </w:t>
      </w:r>
      <w:r w:rsidRPr="00E04F74">
        <w:rPr>
          <w:sz w:val="22"/>
          <w:szCs w:val="22"/>
          <w:lang w:val="sr-Latn-RS"/>
        </w:rPr>
        <w:t xml:space="preserve">Postoje izvještaji o visokoj učestalosti virološkog neuspjeha i pojavi rezistencije u ranom stadijumu kada su lamivudin i abakavir kombinovani sa tenofovir dizoproksil fumaratom u režimu jednokratnog dnevnog doziranja. </w:t>
      </w:r>
    </w:p>
    <w:p w14:paraId="058E0872" w14:textId="6537413E" w:rsidR="003454B6" w:rsidRPr="00E04F74" w:rsidRDefault="003454B6" w:rsidP="00946B2E">
      <w:pPr>
        <w:jc w:val="both"/>
        <w:rPr>
          <w:i/>
          <w:sz w:val="22"/>
          <w:szCs w:val="22"/>
          <w:lang w:val="sr-Latn-RS"/>
        </w:rPr>
      </w:pPr>
      <w:r w:rsidRPr="00E04F74">
        <w:rPr>
          <w:sz w:val="22"/>
          <w:szCs w:val="22"/>
          <w:lang w:val="sr-Latn-RS"/>
        </w:rPr>
        <w:t xml:space="preserve"> - Rizik od virološkog neuspjeha prilikom primjene lijeka KIVEXA može biti viši nego prilikom primjene drugih terapijskih opcija (vidjeti </w:t>
      </w:r>
      <w:r w:rsidR="00D52927" w:rsidRPr="00E04F74">
        <w:rPr>
          <w:sz w:val="22"/>
          <w:szCs w:val="22"/>
          <w:lang w:val="sr-Latn-RS"/>
        </w:rPr>
        <w:t>dio</w:t>
      </w:r>
      <w:r w:rsidRPr="00E04F74">
        <w:rPr>
          <w:sz w:val="22"/>
          <w:szCs w:val="22"/>
          <w:lang w:val="sr-Latn-RS"/>
        </w:rPr>
        <w:t xml:space="preserve"> 5.1). </w:t>
      </w:r>
    </w:p>
    <w:p w14:paraId="058E0873" w14:textId="77777777" w:rsidR="003454B6" w:rsidRPr="00E04F74" w:rsidRDefault="003454B6" w:rsidP="00946B2E">
      <w:pPr>
        <w:jc w:val="both"/>
        <w:rPr>
          <w:sz w:val="22"/>
          <w:szCs w:val="22"/>
          <w:lang w:val="sr-Latn-RS"/>
        </w:rPr>
      </w:pPr>
    </w:p>
    <w:p w14:paraId="058E0874" w14:textId="0580B9D1" w:rsidR="003454B6" w:rsidRPr="00E04F74" w:rsidRDefault="003454B6" w:rsidP="00946B2E">
      <w:pPr>
        <w:jc w:val="both"/>
        <w:rPr>
          <w:sz w:val="22"/>
          <w:szCs w:val="22"/>
          <w:u w:val="single"/>
          <w:lang w:val="sr-Latn-RS"/>
        </w:rPr>
      </w:pPr>
      <w:r w:rsidRPr="00E04F74">
        <w:rPr>
          <w:sz w:val="22"/>
          <w:szCs w:val="22"/>
          <w:u w:val="single"/>
          <w:lang w:val="sr-Latn-RS"/>
        </w:rPr>
        <w:t>Oboljenje</w:t>
      </w:r>
      <w:r w:rsidR="002870DD" w:rsidRPr="00E04F74">
        <w:rPr>
          <w:sz w:val="22"/>
          <w:szCs w:val="22"/>
          <w:u w:val="single"/>
          <w:lang w:val="sr-Latn-RS"/>
        </w:rPr>
        <w:t xml:space="preserve"> </w:t>
      </w:r>
      <w:r w:rsidRPr="00E04F74">
        <w:rPr>
          <w:sz w:val="22"/>
          <w:szCs w:val="22"/>
          <w:u w:val="single"/>
          <w:lang w:val="sr-Latn-RS"/>
        </w:rPr>
        <w:t>jetre</w:t>
      </w:r>
    </w:p>
    <w:p w14:paraId="058E0875" w14:textId="77777777" w:rsidR="003454B6" w:rsidRPr="00E04F74" w:rsidRDefault="003454B6" w:rsidP="00946B2E">
      <w:pPr>
        <w:jc w:val="both"/>
        <w:rPr>
          <w:sz w:val="22"/>
          <w:szCs w:val="22"/>
          <w:u w:val="single"/>
          <w:lang w:val="sr-Latn-RS"/>
        </w:rPr>
      </w:pPr>
    </w:p>
    <w:p w14:paraId="058E0876" w14:textId="1CB83EEF" w:rsidR="003454B6" w:rsidRPr="00E04F74" w:rsidRDefault="003454B6" w:rsidP="00946B2E">
      <w:pPr>
        <w:jc w:val="both"/>
        <w:rPr>
          <w:sz w:val="22"/>
          <w:szCs w:val="22"/>
          <w:lang w:val="sr-Latn-RS"/>
        </w:rPr>
      </w:pPr>
      <w:r w:rsidRPr="00E04F74">
        <w:rPr>
          <w:sz w:val="22"/>
          <w:szCs w:val="22"/>
          <w:lang w:val="sr-Latn-RS"/>
        </w:rPr>
        <w:t xml:space="preserve">Bezbjednost i efikasnost primjene lijeka KIVEXA nijesu utvrđeni kod pacijenata sa teškim osnovnim oboljenjima jetre. Primjena lijeka KIVEXA se ne preporučuje kod pacijenata sa umjerenim ili teškim oštećenjem jetre (vidjeti </w:t>
      </w:r>
      <w:r w:rsidR="00D52927" w:rsidRPr="00E04F74">
        <w:rPr>
          <w:sz w:val="22"/>
          <w:szCs w:val="22"/>
          <w:lang w:val="sr-Latn-RS"/>
        </w:rPr>
        <w:t>djelove</w:t>
      </w:r>
      <w:r w:rsidRPr="00E04F74">
        <w:rPr>
          <w:sz w:val="22"/>
          <w:szCs w:val="22"/>
          <w:lang w:val="sr-Latn-RS"/>
        </w:rPr>
        <w:t xml:space="preserve"> 4.2 i 5.2).</w:t>
      </w:r>
    </w:p>
    <w:p w14:paraId="058E0877" w14:textId="77777777" w:rsidR="003454B6" w:rsidRPr="00E04F74" w:rsidRDefault="003454B6" w:rsidP="00946B2E">
      <w:pPr>
        <w:jc w:val="both"/>
        <w:rPr>
          <w:sz w:val="22"/>
          <w:szCs w:val="22"/>
          <w:lang w:val="sr-Latn-RS"/>
        </w:rPr>
      </w:pPr>
    </w:p>
    <w:p w14:paraId="058E0878" w14:textId="77777777" w:rsidR="003454B6" w:rsidRPr="00E04F74" w:rsidRDefault="003454B6" w:rsidP="00946B2E">
      <w:pPr>
        <w:jc w:val="both"/>
        <w:rPr>
          <w:sz w:val="22"/>
          <w:szCs w:val="22"/>
          <w:lang w:val="sr-Latn-RS"/>
        </w:rPr>
      </w:pPr>
      <w:r w:rsidRPr="00E04F74">
        <w:rPr>
          <w:sz w:val="22"/>
          <w:szCs w:val="22"/>
          <w:lang w:val="sr-Latn-RS"/>
        </w:rPr>
        <w:t>Kod pacijenata sa prethodno postojećom disfunkcijom jetre, uključujući hronični aktivni hepatitis, postoji povišena učestalost pojave poremećaja funkcije jetre u toku primjene kombinovane antiretrovirusne terapije, pa bi stanje navedenih pacijenata trebalo pratiti u skladu sa zahtjevima standardne prakse. Ukoliko postoji dokaz pogoršanja oboljenja jetre kod navedenih pacijenata, potrebno je razmotriti mogućnost trenutnog ili trajnog prekida primjene terapije.</w:t>
      </w:r>
    </w:p>
    <w:p w14:paraId="058E0879" w14:textId="77777777" w:rsidR="003454B6" w:rsidRPr="00E04F74" w:rsidRDefault="003454B6" w:rsidP="00946B2E">
      <w:pPr>
        <w:jc w:val="both"/>
        <w:rPr>
          <w:sz w:val="22"/>
          <w:szCs w:val="22"/>
          <w:lang w:val="sr-Latn-RS"/>
        </w:rPr>
      </w:pPr>
    </w:p>
    <w:p w14:paraId="058E087A" w14:textId="77777777" w:rsidR="003454B6" w:rsidRPr="00E04F74" w:rsidRDefault="003454B6" w:rsidP="00946B2E">
      <w:pPr>
        <w:jc w:val="both"/>
        <w:rPr>
          <w:sz w:val="22"/>
          <w:szCs w:val="22"/>
          <w:lang w:val="sr-Latn-RS"/>
        </w:rPr>
      </w:pPr>
      <w:r w:rsidRPr="00E04F74">
        <w:rPr>
          <w:sz w:val="22"/>
          <w:szCs w:val="22"/>
          <w:u w:val="single"/>
          <w:lang w:val="sr-Latn-RS"/>
        </w:rPr>
        <w:t>Pacijenti istovremeno zaraženi virusom hepatitisa B ili C</w:t>
      </w:r>
    </w:p>
    <w:p w14:paraId="058E087B" w14:textId="77777777" w:rsidR="003454B6" w:rsidRPr="00E04F74" w:rsidRDefault="003454B6" w:rsidP="00946B2E">
      <w:pPr>
        <w:jc w:val="both"/>
        <w:rPr>
          <w:sz w:val="22"/>
          <w:szCs w:val="22"/>
          <w:lang w:val="sr-Latn-RS"/>
        </w:rPr>
      </w:pPr>
    </w:p>
    <w:p w14:paraId="058E087C" w14:textId="77777777" w:rsidR="003454B6" w:rsidRPr="00E04F74" w:rsidRDefault="003454B6" w:rsidP="00946B2E">
      <w:pPr>
        <w:jc w:val="both"/>
        <w:rPr>
          <w:sz w:val="22"/>
          <w:szCs w:val="22"/>
          <w:lang w:val="sr-Latn-RS"/>
        </w:rPr>
      </w:pPr>
      <w:r w:rsidRPr="00E04F74">
        <w:rPr>
          <w:sz w:val="22"/>
          <w:szCs w:val="22"/>
          <w:lang w:val="sr-Latn-RS"/>
        </w:rPr>
        <w:t xml:space="preserve">Kod pacijenata sa hroničnim hepatitisom B ili C liječenih kombinovanom antiretrovirusnom terapijom postoji povišen rizik od pojave teških i potencijalno fatalnih hepatičkih neželjenih reakcija. U slučaju istovremene primjene antivirusne terapije hepatitisa B ili C, trebalo bi razmotriti relevantne informacije o navedenim ljekovima. </w:t>
      </w:r>
    </w:p>
    <w:p w14:paraId="058E087D" w14:textId="77777777" w:rsidR="003454B6" w:rsidRPr="00E04F74" w:rsidRDefault="003454B6" w:rsidP="00946B2E">
      <w:pPr>
        <w:jc w:val="both"/>
        <w:rPr>
          <w:sz w:val="22"/>
          <w:szCs w:val="22"/>
          <w:lang w:val="sr-Latn-RS"/>
        </w:rPr>
      </w:pPr>
    </w:p>
    <w:p w14:paraId="058E087E" w14:textId="77777777" w:rsidR="003454B6" w:rsidRPr="00E04F74" w:rsidRDefault="003454B6" w:rsidP="00946B2E">
      <w:pPr>
        <w:jc w:val="both"/>
        <w:rPr>
          <w:sz w:val="22"/>
          <w:szCs w:val="22"/>
          <w:lang w:val="sr-Latn-RS"/>
        </w:rPr>
      </w:pPr>
      <w:r w:rsidRPr="00E04F74">
        <w:rPr>
          <w:sz w:val="22"/>
          <w:szCs w:val="22"/>
          <w:lang w:val="sr-Latn-RS"/>
        </w:rPr>
        <w:t>Ukoliko se lamivudin istovremeno primjenjuje u terapiji HIV i hepatitis B (HBV) infekcije, dodatne informacije o primjeni lamivudina u terapiji hepatitis B infekcije se mogu naći unutar Sažetka karakteristika lijeka za ljekove koji sadrže lamivudin i koji su indikovani u terapiji HBV infekcije.</w:t>
      </w:r>
    </w:p>
    <w:p w14:paraId="058E087F" w14:textId="77777777" w:rsidR="003454B6" w:rsidRPr="00E04F74" w:rsidRDefault="003454B6" w:rsidP="00946B2E">
      <w:pPr>
        <w:jc w:val="both"/>
        <w:rPr>
          <w:sz w:val="22"/>
          <w:szCs w:val="22"/>
          <w:lang w:val="sr-Latn-RS"/>
        </w:rPr>
      </w:pPr>
    </w:p>
    <w:p w14:paraId="058E0880" w14:textId="77777777" w:rsidR="003454B6" w:rsidRPr="00E04F74" w:rsidRDefault="003454B6" w:rsidP="00946B2E">
      <w:pPr>
        <w:jc w:val="both"/>
        <w:rPr>
          <w:sz w:val="22"/>
          <w:szCs w:val="22"/>
          <w:lang w:val="sr-Latn-RS"/>
        </w:rPr>
      </w:pPr>
      <w:r w:rsidRPr="00E04F74">
        <w:rPr>
          <w:sz w:val="22"/>
          <w:szCs w:val="22"/>
          <w:lang w:val="sr-Latn-RS"/>
        </w:rPr>
        <w:t>Kod pacijenata istovremeno inficiranih HBV-om, kod kojih je primjena lijeka KIVEXA prekinuta, preporučuje se periodično praćenje funkcionalnih testova jetre i markera HBV replikacije, pošto povlačenje lamivudina iz terapije može za posljedicu imati akutnu egzacerbaciju hepatitisa (vidjeti: Sažetak karakteristika lijeka za ljekove koji sadrže lamivudin i koji su indikovani u terapiji HBV infekcije).</w:t>
      </w:r>
    </w:p>
    <w:p w14:paraId="058E0881" w14:textId="77777777" w:rsidR="003454B6" w:rsidRPr="00E04F74" w:rsidRDefault="003454B6" w:rsidP="00946B2E">
      <w:pPr>
        <w:jc w:val="both"/>
        <w:rPr>
          <w:sz w:val="22"/>
          <w:szCs w:val="22"/>
          <w:lang w:val="sr-Latn-RS"/>
        </w:rPr>
      </w:pPr>
    </w:p>
    <w:p w14:paraId="058E0882" w14:textId="77777777" w:rsidR="003454B6" w:rsidRPr="00E04F74" w:rsidRDefault="003454B6" w:rsidP="00946B2E">
      <w:pPr>
        <w:jc w:val="both"/>
        <w:rPr>
          <w:i/>
          <w:sz w:val="22"/>
          <w:szCs w:val="22"/>
          <w:lang w:val="sr-Latn-RS"/>
        </w:rPr>
      </w:pPr>
      <w:r w:rsidRPr="00E04F74">
        <w:rPr>
          <w:sz w:val="22"/>
          <w:szCs w:val="22"/>
          <w:u w:val="single"/>
          <w:lang w:val="sr-Latn-RS"/>
        </w:rPr>
        <w:t xml:space="preserve">Disfunkcija mitohondrija nakon izloženosti </w:t>
      </w:r>
      <w:r w:rsidRPr="00E04F74">
        <w:rPr>
          <w:i/>
          <w:sz w:val="22"/>
          <w:szCs w:val="22"/>
          <w:u w:val="single"/>
          <w:lang w:val="sr-Latn-RS"/>
        </w:rPr>
        <w:t>in utero</w:t>
      </w:r>
    </w:p>
    <w:p w14:paraId="058E0883" w14:textId="77777777" w:rsidR="003454B6" w:rsidRPr="00E04F74" w:rsidRDefault="003454B6" w:rsidP="00946B2E">
      <w:pPr>
        <w:jc w:val="both"/>
        <w:rPr>
          <w:i/>
          <w:sz w:val="22"/>
          <w:szCs w:val="22"/>
          <w:lang w:val="sr-Latn-RS"/>
        </w:rPr>
      </w:pPr>
    </w:p>
    <w:p w14:paraId="058E0884" w14:textId="77777777" w:rsidR="003454B6" w:rsidRPr="00E04F74" w:rsidRDefault="003454B6" w:rsidP="00946B2E">
      <w:pPr>
        <w:jc w:val="both"/>
        <w:rPr>
          <w:i/>
          <w:sz w:val="22"/>
          <w:szCs w:val="22"/>
          <w:lang w:val="sr-Latn-RS"/>
        </w:rPr>
      </w:pPr>
      <w:r w:rsidRPr="00E04F74">
        <w:rPr>
          <w:sz w:val="22"/>
          <w:szCs w:val="22"/>
          <w:lang w:val="sr-Latn-RS"/>
        </w:rPr>
        <w:t xml:space="preserve">Nukleozidni i nukleotidni analozi mogu u različitom stepenu uticati na funkciju mitohondrija, što je najizraženije sa stavudinom, didanozinom i zidovudinom. Bilo je izvještaja o disfunkciji mitohondrija kod HIV-negativne djece izložene </w:t>
      </w:r>
      <w:r w:rsidRPr="00E04F74">
        <w:rPr>
          <w:i/>
          <w:sz w:val="22"/>
          <w:szCs w:val="22"/>
          <w:lang w:val="sr-Latn-RS"/>
        </w:rPr>
        <w:t xml:space="preserve">in utero </w:t>
      </w:r>
      <w:r w:rsidRPr="00E04F74">
        <w:rPr>
          <w:sz w:val="22"/>
          <w:szCs w:val="22"/>
          <w:lang w:val="sr-Latn-RS"/>
        </w:rPr>
        <w:t xml:space="preserve">i/ili post-natalno nukleozidnim analozima: navedeno se prije svega odnosi na terapije koje sadrže zidovudin. Glavna neželjena dejstva koja se navode su hematološki poremećaji (anemija, neutropenija) i metabolički poremećaji (hiperlaktatemija, hiperlipazemija). Navedene manifestacije su često bile prolaznog karaktera. Rijetko su prijavljivani neurološki poremećaji kasnog nastanka (hipertonija, konvulzije, abnormalno ponašanje). Za sada nije poznato da li su takvi neurološki poremećaji prolaznog ili trajnog karaktera. Navedene nalaze je potrebno razmotriti za svako dijete izloženo </w:t>
      </w:r>
      <w:r w:rsidRPr="00E04F74">
        <w:rPr>
          <w:i/>
          <w:sz w:val="22"/>
          <w:szCs w:val="22"/>
          <w:lang w:val="sr-Latn-RS"/>
        </w:rPr>
        <w:t>in utero</w:t>
      </w:r>
      <w:r w:rsidRPr="00E04F74">
        <w:rPr>
          <w:sz w:val="22"/>
          <w:szCs w:val="22"/>
          <w:lang w:val="sr-Latn-RS"/>
        </w:rPr>
        <w:t xml:space="preserve"> nukleozidnim i nukleotidnim analozima, koje pokazuje teške kliničke nalaze nepoznate etiologije, posebno neurološke nalaze. Navedeni nalazi ne utiču na aktuelne nacionalne preporuke u pogledu primjene antiretrovirusne terapije kod trudnica, u cilju sprečavanja vertikalne transmisije HIV infekcije.</w:t>
      </w:r>
    </w:p>
    <w:p w14:paraId="058E0885" w14:textId="77777777" w:rsidR="003454B6" w:rsidRPr="00E04F74" w:rsidRDefault="003454B6" w:rsidP="00946B2E">
      <w:pPr>
        <w:jc w:val="both"/>
        <w:rPr>
          <w:sz w:val="22"/>
          <w:szCs w:val="22"/>
          <w:lang w:val="sr-Latn-RS"/>
        </w:rPr>
      </w:pPr>
    </w:p>
    <w:p w14:paraId="058E0886" w14:textId="77777777" w:rsidR="003454B6" w:rsidRPr="00E04F74" w:rsidRDefault="003454B6" w:rsidP="00946B2E">
      <w:pPr>
        <w:jc w:val="both"/>
        <w:rPr>
          <w:sz w:val="22"/>
          <w:szCs w:val="22"/>
          <w:u w:val="single"/>
          <w:lang w:val="sr-Latn-RS"/>
        </w:rPr>
      </w:pPr>
      <w:r w:rsidRPr="00E04F74">
        <w:rPr>
          <w:sz w:val="22"/>
          <w:szCs w:val="22"/>
          <w:u w:val="single"/>
          <w:lang w:val="sr-Latn-RS"/>
        </w:rPr>
        <w:t>Sindrom imune reaktivacije</w:t>
      </w:r>
    </w:p>
    <w:p w14:paraId="058E0887" w14:textId="77777777" w:rsidR="003454B6" w:rsidRPr="00E04F74" w:rsidRDefault="003454B6" w:rsidP="00946B2E">
      <w:pPr>
        <w:jc w:val="both"/>
        <w:rPr>
          <w:sz w:val="22"/>
          <w:szCs w:val="22"/>
          <w:u w:val="single"/>
          <w:lang w:val="sr-Latn-RS"/>
        </w:rPr>
      </w:pPr>
    </w:p>
    <w:p w14:paraId="058E0888" w14:textId="648CB271" w:rsidR="003454B6" w:rsidRPr="00E04F74" w:rsidRDefault="003454B6" w:rsidP="002870DD">
      <w:pPr>
        <w:jc w:val="both"/>
        <w:rPr>
          <w:sz w:val="22"/>
          <w:szCs w:val="22"/>
          <w:lang w:val="sr-Latn-RS"/>
        </w:rPr>
      </w:pPr>
      <w:r w:rsidRPr="00E04F74">
        <w:rPr>
          <w:sz w:val="22"/>
          <w:szCs w:val="22"/>
          <w:lang w:val="sr-Latn-RS"/>
        </w:rPr>
        <w:t xml:space="preserve">Kod pacijenata inficiranih HIV-om sa teškom imunodeficijencijom u vrijeme uvođenja kombinovane antiretrovirusne terapije (KART), može doći do nastanka inflamatorne reakcije na asimptomatske ili rezidualne oportunističke patogene i uzrokovanja ozbiljnih kliničkih stanja, ili pogoršanja simptoma. </w:t>
      </w:r>
      <w:r w:rsidRPr="00E04F74">
        <w:rPr>
          <w:sz w:val="22"/>
          <w:szCs w:val="22"/>
          <w:lang w:val="sr-Latn-RS"/>
        </w:rPr>
        <w:lastRenderedPageBreak/>
        <w:t xml:space="preserve">Uobičajno su navedene reakcije zapažane u intervalu od prvih nekoliko nedjelja ili mjeseci nakon otpočinjanja primjene KART. Značajni primjeri su retinitis izazvan citomegalovirusima, generalizovane i/ili fokalne infekcije izazvane mikobakterijama, kao i pneumonija izazvana </w:t>
      </w:r>
      <w:r w:rsidRPr="00E04F74">
        <w:rPr>
          <w:i/>
          <w:sz w:val="22"/>
          <w:szCs w:val="22"/>
          <w:lang w:val="sr-Latn-RS"/>
        </w:rPr>
        <w:t>Pneumocystis</w:t>
      </w:r>
      <w:r w:rsidR="002870DD" w:rsidRPr="00E04F74">
        <w:rPr>
          <w:i/>
          <w:sz w:val="22"/>
          <w:szCs w:val="22"/>
          <w:lang w:val="sr-Latn-RS"/>
        </w:rPr>
        <w:t xml:space="preserve"> </w:t>
      </w:r>
      <w:r w:rsidRPr="00E04F74">
        <w:rPr>
          <w:i/>
          <w:sz w:val="22"/>
          <w:szCs w:val="22"/>
          <w:lang w:val="sr-Latn-RS"/>
        </w:rPr>
        <w:t>jirovecii (</w:t>
      </w:r>
      <w:r w:rsidRPr="00E04F74">
        <w:rPr>
          <w:sz w:val="22"/>
          <w:szCs w:val="22"/>
          <w:lang w:val="sr-Latn-RS"/>
        </w:rPr>
        <w:t>često označena kao PCP).</w:t>
      </w:r>
      <w:r w:rsidRPr="00E04F74">
        <w:rPr>
          <w:i/>
          <w:sz w:val="22"/>
          <w:szCs w:val="22"/>
          <w:lang w:val="sr-Latn-RS"/>
        </w:rPr>
        <w:t xml:space="preserve"> </w:t>
      </w:r>
      <w:r w:rsidRPr="00E04F74">
        <w:rPr>
          <w:sz w:val="22"/>
          <w:szCs w:val="22"/>
          <w:lang w:val="sr-Latn-RS"/>
        </w:rPr>
        <w:t>Svaki simptom zapaljenja bi trebalo razmotriti i kada je potrebno započeti primjenu terapije. Takođe je zabilježena pojava autoimunih poremećaja (kao što je Grejvsova bolest</w:t>
      </w:r>
      <w:r w:rsidR="008F6362" w:rsidRPr="00E04F74">
        <w:rPr>
          <w:sz w:val="22"/>
          <w:szCs w:val="22"/>
          <w:lang w:val="sr-Latn-RS"/>
        </w:rPr>
        <w:t xml:space="preserve"> i autoimuni hepatitis</w:t>
      </w:r>
      <w:r w:rsidRPr="00E04F74">
        <w:rPr>
          <w:sz w:val="22"/>
          <w:szCs w:val="22"/>
          <w:lang w:val="sr-Latn-RS"/>
        </w:rPr>
        <w:t>) u okviru imune reaktivacije; međutim prijavljeno vrijeme do pojave oboljenja je još varijabilnije i navedeni događaji se mogu javiti mnogo mjeseci nakon započinjanja primjene terapije.</w:t>
      </w:r>
    </w:p>
    <w:p w14:paraId="058E0889" w14:textId="77777777" w:rsidR="003454B6" w:rsidRPr="00E04F74" w:rsidRDefault="003454B6" w:rsidP="00946B2E">
      <w:pPr>
        <w:jc w:val="both"/>
        <w:rPr>
          <w:sz w:val="22"/>
          <w:szCs w:val="22"/>
          <w:lang w:val="sr-Latn-RS"/>
        </w:rPr>
      </w:pPr>
    </w:p>
    <w:p w14:paraId="058E088A" w14:textId="77777777" w:rsidR="003454B6" w:rsidRPr="00E04F74" w:rsidRDefault="003454B6" w:rsidP="00946B2E">
      <w:pPr>
        <w:jc w:val="both"/>
        <w:rPr>
          <w:sz w:val="22"/>
          <w:szCs w:val="22"/>
          <w:lang w:val="sr-Latn-RS"/>
        </w:rPr>
      </w:pPr>
      <w:r w:rsidRPr="00E04F74">
        <w:rPr>
          <w:sz w:val="22"/>
          <w:szCs w:val="22"/>
          <w:u w:val="single"/>
          <w:lang w:val="sr-Latn-RS"/>
        </w:rPr>
        <w:t>Osteonekroza</w:t>
      </w:r>
      <w:r w:rsidRPr="00E04F74">
        <w:rPr>
          <w:sz w:val="22"/>
          <w:szCs w:val="22"/>
          <w:lang w:val="sr-Latn-RS"/>
        </w:rPr>
        <w:t xml:space="preserve"> </w:t>
      </w:r>
    </w:p>
    <w:p w14:paraId="058E088B" w14:textId="77777777" w:rsidR="003454B6" w:rsidRPr="00E04F74" w:rsidRDefault="003454B6" w:rsidP="00946B2E">
      <w:pPr>
        <w:jc w:val="both"/>
        <w:rPr>
          <w:bCs/>
          <w:sz w:val="22"/>
          <w:szCs w:val="22"/>
          <w:lang w:val="sr-Latn-RS"/>
        </w:rPr>
      </w:pPr>
    </w:p>
    <w:p w14:paraId="058E088C" w14:textId="77777777" w:rsidR="003454B6" w:rsidRPr="00E04F74" w:rsidRDefault="003454B6" w:rsidP="00946B2E">
      <w:pPr>
        <w:jc w:val="both"/>
        <w:rPr>
          <w:bCs/>
          <w:sz w:val="22"/>
          <w:szCs w:val="22"/>
          <w:lang w:val="sr-Latn-RS"/>
        </w:rPr>
      </w:pPr>
      <w:r w:rsidRPr="00E04F74">
        <w:rPr>
          <w:sz w:val="22"/>
          <w:szCs w:val="22"/>
          <w:lang w:val="sr-Latn-RS"/>
        </w:rPr>
        <w:t>Iako se smatra da je etiologija multifaktorijalna (uključujući primjenu kortikosteroida, konzumiranje alkohola, tešku imunosupresiju, povišen indeks tjelesne mase), slučajevi osteonekroze su bili prijavljeni posebno kod pacijenata sa uznapredovalim HIV oboljenjem i/ili dugoročnom izloženošću KART. Potrebno je posavjetovati pacijente da potraže savjet ljekara u slučaju pojave bolova u zglobovima, ukočenosti zglobova ili otežanog kretanja.</w:t>
      </w:r>
    </w:p>
    <w:p w14:paraId="058E088D" w14:textId="77777777" w:rsidR="003454B6" w:rsidRPr="00E04F74" w:rsidRDefault="003454B6" w:rsidP="00946B2E">
      <w:pPr>
        <w:jc w:val="both"/>
        <w:rPr>
          <w:bCs/>
          <w:sz w:val="22"/>
          <w:szCs w:val="22"/>
          <w:lang w:val="sr-Latn-RS"/>
        </w:rPr>
      </w:pPr>
    </w:p>
    <w:p w14:paraId="058E088E" w14:textId="77777777" w:rsidR="003454B6" w:rsidRPr="00E04F74" w:rsidRDefault="003454B6" w:rsidP="00946B2E">
      <w:pPr>
        <w:pStyle w:val="Header"/>
        <w:jc w:val="both"/>
        <w:rPr>
          <w:i/>
          <w:sz w:val="22"/>
          <w:szCs w:val="22"/>
          <w:lang w:val="sr-Latn-RS"/>
        </w:rPr>
      </w:pPr>
      <w:r w:rsidRPr="00E04F74">
        <w:rPr>
          <w:sz w:val="22"/>
          <w:szCs w:val="22"/>
          <w:u w:val="single"/>
          <w:lang w:val="sr-Latn-RS"/>
        </w:rPr>
        <w:t>Oportunističke infekcije</w:t>
      </w:r>
    </w:p>
    <w:p w14:paraId="058E088F" w14:textId="77777777" w:rsidR="003454B6" w:rsidRPr="00E04F74" w:rsidRDefault="003454B6" w:rsidP="00946B2E">
      <w:pPr>
        <w:pStyle w:val="Header"/>
        <w:jc w:val="both"/>
        <w:rPr>
          <w:i/>
          <w:sz w:val="22"/>
          <w:szCs w:val="22"/>
          <w:lang w:val="sr-Latn-RS"/>
        </w:rPr>
      </w:pPr>
    </w:p>
    <w:p w14:paraId="058E0890" w14:textId="36ACC840" w:rsidR="003454B6" w:rsidRPr="00E04F74" w:rsidRDefault="003454B6" w:rsidP="002870DD">
      <w:pPr>
        <w:pStyle w:val="Header"/>
        <w:jc w:val="both"/>
        <w:rPr>
          <w:i/>
          <w:sz w:val="22"/>
          <w:szCs w:val="22"/>
          <w:lang w:val="sr-Latn-RS"/>
        </w:rPr>
      </w:pPr>
      <w:r w:rsidRPr="00E04F74">
        <w:rPr>
          <w:sz w:val="22"/>
          <w:szCs w:val="22"/>
          <w:lang w:val="sr-Latn-RS"/>
        </w:rPr>
        <w:t xml:space="preserve">Pacijentima bi trebalo objasniti da lijek KIVEXA ili bilo koja druga antiretrovirusna terapija ne liječi od HIV infekcije i da se i dalje mogu javljati oportunističke infekcije i druge komplikacije HIV infekcije. Prema tome, pacijenti bi trebalo da ostanu pod strogim kliničkim nadzorom ljekara sa iskustvom u liječenju navedenih oboljenja udruženih sa HIV infekcijom. </w:t>
      </w:r>
    </w:p>
    <w:p w14:paraId="058E0891" w14:textId="77777777" w:rsidR="003454B6" w:rsidRPr="00E04F74" w:rsidRDefault="003454B6" w:rsidP="00946B2E">
      <w:pPr>
        <w:pStyle w:val="Header"/>
        <w:tabs>
          <w:tab w:val="left" w:pos="284"/>
        </w:tabs>
        <w:jc w:val="both"/>
        <w:rPr>
          <w:sz w:val="22"/>
          <w:szCs w:val="22"/>
          <w:lang w:val="sr-Latn-RS"/>
        </w:rPr>
      </w:pPr>
    </w:p>
    <w:p w14:paraId="7E1BA464" w14:textId="11CA6EEF" w:rsidR="006768E8" w:rsidRPr="00E04F74" w:rsidRDefault="00B26316" w:rsidP="00946B2E">
      <w:pPr>
        <w:jc w:val="both"/>
        <w:rPr>
          <w:sz w:val="22"/>
          <w:szCs w:val="22"/>
          <w:u w:val="single"/>
          <w:lang w:val="sr-Latn-RS"/>
        </w:rPr>
      </w:pPr>
      <w:r w:rsidRPr="00E04F74">
        <w:rPr>
          <w:sz w:val="22"/>
          <w:szCs w:val="22"/>
          <w:u w:val="single"/>
          <w:lang w:val="sr-Latn-RS"/>
        </w:rPr>
        <w:t>Kardiovaskularni događaji</w:t>
      </w:r>
    </w:p>
    <w:p w14:paraId="058E0893" w14:textId="4CF21069" w:rsidR="003454B6" w:rsidRPr="00E04F74" w:rsidRDefault="003454B6" w:rsidP="00946B2E">
      <w:pPr>
        <w:jc w:val="both"/>
        <w:rPr>
          <w:color w:val="FF0000"/>
          <w:sz w:val="22"/>
          <w:szCs w:val="22"/>
          <w:u w:val="single"/>
          <w:lang w:val="sr-Latn-RS"/>
        </w:rPr>
      </w:pPr>
    </w:p>
    <w:p w14:paraId="058E0894" w14:textId="4756A6AD" w:rsidR="003454B6" w:rsidRPr="00E04F74" w:rsidRDefault="00B26316" w:rsidP="00946B2E">
      <w:pPr>
        <w:jc w:val="both"/>
        <w:rPr>
          <w:sz w:val="22"/>
          <w:szCs w:val="22"/>
          <w:lang w:val="sr-Latn-RS"/>
        </w:rPr>
      </w:pPr>
      <w:r w:rsidRPr="00E04F74">
        <w:rPr>
          <w:sz w:val="22"/>
          <w:szCs w:val="22"/>
          <w:lang w:val="sr-Latn-RS"/>
        </w:rPr>
        <w:t>Iako dostupni podaci iz</w:t>
      </w:r>
      <w:r w:rsidR="0087469B" w:rsidRPr="00E04F74">
        <w:rPr>
          <w:sz w:val="22"/>
          <w:szCs w:val="22"/>
          <w:lang w:val="sr-Latn-RS"/>
        </w:rPr>
        <w:t xml:space="preserve"> </w:t>
      </w:r>
      <w:r w:rsidRPr="00E04F74">
        <w:rPr>
          <w:sz w:val="22"/>
          <w:szCs w:val="22"/>
          <w:lang w:val="sr-Latn-RS"/>
        </w:rPr>
        <w:t xml:space="preserve">kliničkih i opservacionih </w:t>
      </w:r>
      <w:r w:rsidR="003454B6" w:rsidRPr="00E04F74">
        <w:rPr>
          <w:sz w:val="22"/>
          <w:szCs w:val="22"/>
          <w:lang w:val="sr-Latn-RS"/>
        </w:rPr>
        <w:t>studija</w:t>
      </w:r>
      <w:r w:rsidRPr="00E04F74">
        <w:rPr>
          <w:sz w:val="22"/>
          <w:szCs w:val="22"/>
          <w:lang w:val="sr-Latn-RS"/>
        </w:rPr>
        <w:t xml:space="preserve"> sa abakavirom pokazuju nedosljedne rezultate, nekoliko </w:t>
      </w:r>
      <w:r w:rsidR="00525DB8" w:rsidRPr="00E04F74">
        <w:rPr>
          <w:sz w:val="22"/>
          <w:szCs w:val="22"/>
          <w:lang w:val="sr-Latn-RS"/>
        </w:rPr>
        <w:t>studij</w:t>
      </w:r>
      <w:r w:rsidRPr="00E04F74">
        <w:rPr>
          <w:sz w:val="22"/>
          <w:szCs w:val="22"/>
          <w:lang w:val="sr-Latn-RS"/>
        </w:rPr>
        <w:t>a ukazuje na povećan rizik od kardiovaskularnih događaja</w:t>
      </w:r>
      <w:r w:rsidR="0087469B" w:rsidRPr="00E04F74">
        <w:rPr>
          <w:sz w:val="22"/>
          <w:szCs w:val="22"/>
          <w:lang w:val="sr-Latn-RS"/>
        </w:rPr>
        <w:t xml:space="preserve">  </w:t>
      </w:r>
      <w:r w:rsidRPr="00E04F74">
        <w:rPr>
          <w:sz w:val="22"/>
          <w:szCs w:val="22"/>
          <w:lang w:val="sr-Latn-RS"/>
        </w:rPr>
        <w:t xml:space="preserve">(naročito infarkta miokarda) kod pacijenata </w:t>
      </w:r>
      <w:r w:rsidR="00525DB8" w:rsidRPr="00E04F74">
        <w:rPr>
          <w:sz w:val="22"/>
          <w:szCs w:val="22"/>
          <w:lang w:val="sr-Latn-RS"/>
        </w:rPr>
        <w:t xml:space="preserve">koji su </w:t>
      </w:r>
      <w:r w:rsidRPr="00E04F74">
        <w:rPr>
          <w:sz w:val="22"/>
          <w:szCs w:val="22"/>
          <w:lang w:val="sr-Latn-RS"/>
        </w:rPr>
        <w:t>liječeni abakavirom.</w:t>
      </w:r>
      <w:r w:rsidR="0087469B" w:rsidRPr="00E04F74">
        <w:rPr>
          <w:sz w:val="22"/>
          <w:szCs w:val="22"/>
          <w:lang w:val="sr-Latn-RS"/>
        </w:rPr>
        <w:t xml:space="preserve"> </w:t>
      </w:r>
      <w:r w:rsidR="00525DB8" w:rsidRPr="00E04F74">
        <w:rPr>
          <w:sz w:val="22"/>
          <w:szCs w:val="22"/>
          <w:lang w:val="sr-Latn-RS"/>
        </w:rPr>
        <w:t xml:space="preserve">Iz tog razloga je </w:t>
      </w:r>
      <w:r w:rsidRPr="00E04F74">
        <w:rPr>
          <w:sz w:val="22"/>
          <w:szCs w:val="22"/>
          <w:lang w:val="sr-Latn-RS"/>
        </w:rPr>
        <w:t>p</w:t>
      </w:r>
      <w:r w:rsidR="003454B6" w:rsidRPr="00E04F74">
        <w:rPr>
          <w:sz w:val="22"/>
          <w:szCs w:val="22"/>
          <w:lang w:val="sr-Latn-RS"/>
        </w:rPr>
        <w:t xml:space="preserve">rilikom propisivanja lijeka KIVEXA </w:t>
      </w:r>
      <w:r w:rsidR="0087469B" w:rsidRPr="00E04F74">
        <w:rPr>
          <w:sz w:val="22"/>
          <w:szCs w:val="22"/>
          <w:lang w:val="sr-Latn-RS"/>
        </w:rPr>
        <w:t>potrebno je preduzeti mjere kako bi se minimizirali svi faktori rizika na koje se može uticati</w:t>
      </w:r>
      <w:r w:rsidR="003454B6" w:rsidRPr="00E04F74">
        <w:rPr>
          <w:sz w:val="22"/>
          <w:szCs w:val="22"/>
          <w:lang w:val="sr-Latn-RS"/>
        </w:rPr>
        <w:t xml:space="preserve"> (npr. pušenje, hipertenzija i hiperlipidemija).</w:t>
      </w:r>
    </w:p>
    <w:p w14:paraId="0BF193EB" w14:textId="00B30280" w:rsidR="009F187A" w:rsidRPr="00E04F74" w:rsidRDefault="009F187A" w:rsidP="00946B2E">
      <w:pPr>
        <w:jc w:val="both"/>
        <w:rPr>
          <w:sz w:val="22"/>
          <w:szCs w:val="22"/>
          <w:lang w:val="sr-Latn-RS"/>
        </w:rPr>
      </w:pPr>
    </w:p>
    <w:p w14:paraId="79501276" w14:textId="2E96EBA6" w:rsidR="0087469B" w:rsidRPr="00E04F74" w:rsidRDefault="0087469B" w:rsidP="00946B2E">
      <w:pPr>
        <w:jc w:val="both"/>
        <w:rPr>
          <w:sz w:val="22"/>
          <w:szCs w:val="22"/>
          <w:lang w:val="sr-Latn-RS"/>
        </w:rPr>
      </w:pPr>
      <w:r w:rsidRPr="00E04F74">
        <w:rPr>
          <w:sz w:val="22"/>
          <w:szCs w:val="22"/>
          <w:lang w:val="sr-Latn-RS"/>
        </w:rPr>
        <w:t>Osim toga, kod liječenja pacijenata sa visokim kardiovaskularnim rizikom potrebno je razmotriti druge mogućnosti liječenja u odnosu na režim koji sadrži  abakavir.</w:t>
      </w:r>
    </w:p>
    <w:p w14:paraId="2761E7C6" w14:textId="77777777" w:rsidR="0087469B" w:rsidRPr="00E04F74" w:rsidRDefault="0087469B" w:rsidP="00946B2E">
      <w:pPr>
        <w:jc w:val="both"/>
        <w:rPr>
          <w:sz w:val="22"/>
          <w:szCs w:val="22"/>
          <w:lang w:val="sr-Latn-RS"/>
        </w:rPr>
      </w:pPr>
    </w:p>
    <w:p w14:paraId="5A85BF7A" w14:textId="77777777" w:rsidR="009F187A" w:rsidRPr="00E04F74" w:rsidRDefault="009F187A" w:rsidP="00946B2E">
      <w:pPr>
        <w:jc w:val="both"/>
        <w:rPr>
          <w:bCs/>
          <w:sz w:val="22"/>
          <w:szCs w:val="22"/>
          <w:u w:val="single"/>
          <w:lang w:val="sr-Latn-RS"/>
        </w:rPr>
      </w:pPr>
      <w:r w:rsidRPr="00E04F74">
        <w:rPr>
          <w:bCs/>
          <w:sz w:val="22"/>
          <w:szCs w:val="22"/>
          <w:u w:val="single"/>
          <w:lang w:val="sr-Latn-RS"/>
        </w:rPr>
        <w:t>Primjena kod pacijenata sa umjerenim oštećenjem bubrežne funkcije</w:t>
      </w:r>
    </w:p>
    <w:p w14:paraId="580F84DC" w14:textId="77777777" w:rsidR="009F187A" w:rsidRPr="00E04F74" w:rsidRDefault="009F187A" w:rsidP="00946B2E">
      <w:pPr>
        <w:jc w:val="both"/>
        <w:rPr>
          <w:bCs/>
          <w:sz w:val="22"/>
          <w:szCs w:val="22"/>
          <w:lang w:val="sr-Latn-RS"/>
        </w:rPr>
      </w:pPr>
    </w:p>
    <w:p w14:paraId="6668C815" w14:textId="15F9E196" w:rsidR="009F187A" w:rsidRPr="00E04F74" w:rsidRDefault="009F187A" w:rsidP="002870DD">
      <w:pPr>
        <w:jc w:val="both"/>
        <w:rPr>
          <w:bCs/>
          <w:sz w:val="22"/>
          <w:szCs w:val="22"/>
          <w:lang w:val="sr-Latn-RS"/>
        </w:rPr>
      </w:pPr>
      <w:r w:rsidRPr="00E04F74">
        <w:rPr>
          <w:bCs/>
          <w:sz w:val="22"/>
          <w:szCs w:val="22"/>
          <w:lang w:val="sr-Latn-RS"/>
        </w:rPr>
        <w:t>Kod pacijenata sa klirensom kreatinina između 30 i 49 m</w:t>
      </w:r>
      <w:r w:rsidR="002848F4" w:rsidRPr="00E04F74">
        <w:rPr>
          <w:bCs/>
          <w:sz w:val="22"/>
          <w:szCs w:val="22"/>
          <w:lang w:val="sr-Latn-RS"/>
        </w:rPr>
        <w:t>l</w:t>
      </w:r>
      <w:r w:rsidRPr="00E04F74">
        <w:rPr>
          <w:bCs/>
          <w:sz w:val="22"/>
          <w:szCs w:val="22"/>
          <w:lang w:val="sr-Latn-RS"/>
        </w:rPr>
        <w:t>/min koji primenjuju lijek Kivexa izloženost lamivudinu (AUC) može biti od 1,6 do 3,3 puta veća nego kod pacijenata kod kojih je klirens kreatinina ≥50 m</w:t>
      </w:r>
      <w:r w:rsidR="002848F4" w:rsidRPr="00E04F74">
        <w:rPr>
          <w:bCs/>
          <w:sz w:val="22"/>
          <w:szCs w:val="22"/>
          <w:lang w:val="sr-Latn-RS"/>
        </w:rPr>
        <w:t>l</w:t>
      </w:r>
      <w:r w:rsidRPr="00E04F74">
        <w:rPr>
          <w:bCs/>
          <w:sz w:val="22"/>
          <w:szCs w:val="22"/>
          <w:lang w:val="sr-Latn-RS"/>
        </w:rPr>
        <w:t>/min. Nema bezbjednosnih podataka iz randomizovanih, kontrolisanih studija u kojima se primjena lijeka Kivexa poredi sa primjenom pojedinačnih komponenti kod pacijenata kod kojih je klirens kreatinina između 30 i 49 m</w:t>
      </w:r>
      <w:r w:rsidR="002848F4" w:rsidRPr="00E04F74">
        <w:rPr>
          <w:bCs/>
          <w:sz w:val="22"/>
          <w:szCs w:val="22"/>
          <w:lang w:val="sr-Latn-RS"/>
        </w:rPr>
        <w:t>l</w:t>
      </w:r>
      <w:r w:rsidRPr="00E04F74">
        <w:rPr>
          <w:bCs/>
          <w:sz w:val="22"/>
          <w:szCs w:val="22"/>
          <w:lang w:val="sr-Latn-RS"/>
        </w:rPr>
        <w:t>/min, koji su primali prilagođenu dozu lamivudina. U inicijalnim ispitivanjima lamivudina u svrhu registracije u kombinaciji sa zidovudinom, veća izloženost lamivudinu je povezivana sa većim stopama hematološke toksičnosti (neutropenija i anemija), iako se prekid učestvovanja u ispitivanju zbog neutropenije ili anemije desio u &lt;1% ispitanika. Mogu se javiti i drugi neželjeni događaji povezani sa upotrebom lamivudina (kao što su gastro-intestinalni poremećaji i poremećaji funkcije jetre).</w:t>
      </w:r>
    </w:p>
    <w:p w14:paraId="6E7398D4" w14:textId="543A23FA" w:rsidR="009F187A" w:rsidRPr="00E04F74" w:rsidRDefault="009F187A" w:rsidP="00946B2E">
      <w:pPr>
        <w:jc w:val="both"/>
        <w:rPr>
          <w:bCs/>
          <w:sz w:val="22"/>
          <w:szCs w:val="22"/>
          <w:lang w:val="sr-Latn-RS"/>
        </w:rPr>
      </w:pPr>
      <w:r w:rsidRPr="00E04F74">
        <w:rPr>
          <w:bCs/>
          <w:sz w:val="22"/>
          <w:szCs w:val="22"/>
          <w:lang w:val="sr-Latn-RS"/>
        </w:rPr>
        <w:t>Pacijente sa stalnim klirensom kreatinina između 30 i 49 m</w:t>
      </w:r>
      <w:r w:rsidR="002848F4" w:rsidRPr="00E04F74">
        <w:rPr>
          <w:bCs/>
          <w:sz w:val="22"/>
          <w:szCs w:val="22"/>
          <w:lang w:val="sr-Latn-RS"/>
        </w:rPr>
        <w:t>l</w:t>
      </w:r>
      <w:r w:rsidRPr="00E04F74">
        <w:rPr>
          <w:bCs/>
          <w:sz w:val="22"/>
          <w:szCs w:val="22"/>
          <w:lang w:val="sr-Latn-RS"/>
        </w:rPr>
        <w:t>/min koji primenjuju l</w:t>
      </w:r>
      <w:r w:rsidR="002848F4" w:rsidRPr="00E04F74">
        <w:rPr>
          <w:bCs/>
          <w:sz w:val="22"/>
          <w:szCs w:val="22"/>
          <w:lang w:val="sr-Latn-RS"/>
        </w:rPr>
        <w:t>ij</w:t>
      </w:r>
      <w:r w:rsidRPr="00E04F74">
        <w:rPr>
          <w:bCs/>
          <w:sz w:val="22"/>
          <w:szCs w:val="22"/>
          <w:lang w:val="sr-Latn-RS"/>
        </w:rPr>
        <w:t>ek Kivexa treba pratiti zbog pojave neželjenih događaja povezanih sa primjenom lamivudina, posebno zbog mogućnosti pojave hematološke toksičnosti. Ako se razvije nova ili se pogorša postojeća neutropenija ili anemija, dozu lamivudina treba prilagoditi kako je navedeno u informacijama o lijeku za lamivudin, a što se ne može postići lijekom Kivexa. Terapiju li</w:t>
      </w:r>
      <w:r w:rsidR="00D3600B" w:rsidRPr="00E04F74">
        <w:rPr>
          <w:bCs/>
          <w:sz w:val="22"/>
          <w:szCs w:val="22"/>
          <w:lang w:val="sr-Latn-RS"/>
        </w:rPr>
        <w:t>j</w:t>
      </w:r>
      <w:r w:rsidRPr="00E04F74">
        <w:rPr>
          <w:bCs/>
          <w:sz w:val="22"/>
          <w:szCs w:val="22"/>
          <w:lang w:val="sr-Latn-RS"/>
        </w:rPr>
        <w:t>ekom Kivexa treba prekinuti, a pojedinačne komponente prim</w:t>
      </w:r>
      <w:r w:rsidR="002848F4" w:rsidRPr="00E04F74">
        <w:rPr>
          <w:bCs/>
          <w:sz w:val="22"/>
          <w:szCs w:val="22"/>
          <w:lang w:val="sr-Latn-RS"/>
        </w:rPr>
        <w:t>ij</w:t>
      </w:r>
      <w:r w:rsidRPr="00E04F74">
        <w:rPr>
          <w:bCs/>
          <w:sz w:val="22"/>
          <w:szCs w:val="22"/>
          <w:lang w:val="sr-Latn-RS"/>
        </w:rPr>
        <w:t>eniti za uspostavljanje režima liječenja.</w:t>
      </w:r>
    </w:p>
    <w:p w14:paraId="058E0895" w14:textId="77777777" w:rsidR="003454B6" w:rsidRPr="00E04F74" w:rsidRDefault="003454B6" w:rsidP="00946B2E">
      <w:pPr>
        <w:jc w:val="both"/>
        <w:rPr>
          <w:sz w:val="22"/>
          <w:szCs w:val="22"/>
          <w:lang w:val="sr-Latn-RS"/>
        </w:rPr>
      </w:pPr>
    </w:p>
    <w:p w14:paraId="058E0896" w14:textId="77777777" w:rsidR="003454B6" w:rsidRPr="00E04F74" w:rsidRDefault="003454B6" w:rsidP="00946B2E">
      <w:pPr>
        <w:jc w:val="both"/>
        <w:rPr>
          <w:sz w:val="22"/>
          <w:szCs w:val="22"/>
          <w:u w:val="single"/>
          <w:lang w:val="sr-Latn-RS"/>
        </w:rPr>
      </w:pPr>
      <w:r w:rsidRPr="00E04F74">
        <w:rPr>
          <w:sz w:val="22"/>
          <w:szCs w:val="22"/>
          <w:u w:val="single"/>
          <w:lang w:val="sr-Latn-RS"/>
        </w:rPr>
        <w:t>Interakcija sa drugim ljekovima</w:t>
      </w:r>
    </w:p>
    <w:p w14:paraId="058E0897" w14:textId="77777777" w:rsidR="003454B6" w:rsidRPr="00E04F74" w:rsidRDefault="003454B6" w:rsidP="00946B2E">
      <w:pPr>
        <w:jc w:val="both"/>
        <w:rPr>
          <w:sz w:val="22"/>
          <w:szCs w:val="22"/>
          <w:u w:val="single"/>
          <w:lang w:val="sr-Latn-RS"/>
        </w:rPr>
      </w:pPr>
    </w:p>
    <w:p w14:paraId="058E0898" w14:textId="0CFCA2A3" w:rsidR="003454B6" w:rsidRPr="00E04F74" w:rsidRDefault="003454B6" w:rsidP="00946B2E">
      <w:pPr>
        <w:jc w:val="both"/>
        <w:rPr>
          <w:sz w:val="22"/>
          <w:szCs w:val="22"/>
          <w:lang w:val="sr-Latn-RS"/>
        </w:rPr>
      </w:pPr>
      <w:r w:rsidRPr="00E04F74">
        <w:rPr>
          <w:sz w:val="22"/>
          <w:szCs w:val="22"/>
          <w:lang w:val="sr-Latn-RS"/>
        </w:rPr>
        <w:t xml:space="preserve">Lijek KIVEXA ne bi trebalo primjenjivati sa drugim </w:t>
      </w:r>
      <w:r w:rsidR="00D3600B" w:rsidRPr="00E04F74">
        <w:rPr>
          <w:sz w:val="22"/>
          <w:szCs w:val="22"/>
          <w:lang w:val="sr-Latn-RS"/>
        </w:rPr>
        <w:t xml:space="preserve">ljekovima </w:t>
      </w:r>
      <w:r w:rsidRPr="00E04F74">
        <w:rPr>
          <w:sz w:val="22"/>
          <w:szCs w:val="22"/>
          <w:lang w:val="sr-Latn-RS"/>
        </w:rPr>
        <w:t>koji sadrže lamivudin ili koji sadrže emtricitabin.</w:t>
      </w:r>
    </w:p>
    <w:p w14:paraId="058E0899" w14:textId="77777777" w:rsidR="003454B6" w:rsidRPr="00E04F74" w:rsidRDefault="003454B6" w:rsidP="00946B2E">
      <w:pPr>
        <w:jc w:val="both"/>
        <w:rPr>
          <w:sz w:val="22"/>
          <w:szCs w:val="22"/>
          <w:lang w:val="sr-Latn-RS"/>
        </w:rPr>
      </w:pPr>
    </w:p>
    <w:p w14:paraId="058E089A" w14:textId="6A1AF05E" w:rsidR="003454B6" w:rsidRPr="00E04F74" w:rsidRDefault="003454B6" w:rsidP="00946B2E">
      <w:pPr>
        <w:jc w:val="both"/>
        <w:rPr>
          <w:sz w:val="22"/>
          <w:szCs w:val="22"/>
          <w:lang w:val="sr-Latn-RS"/>
        </w:rPr>
      </w:pPr>
      <w:r w:rsidRPr="00E04F74">
        <w:rPr>
          <w:sz w:val="22"/>
          <w:szCs w:val="22"/>
          <w:lang w:val="sr-Latn-RS"/>
        </w:rPr>
        <w:t xml:space="preserve">Ne preporučuje se istovremena primjena lamivudina i kladribina (vidjeti </w:t>
      </w:r>
      <w:r w:rsidR="00D52927" w:rsidRPr="00E04F74">
        <w:rPr>
          <w:sz w:val="22"/>
          <w:szCs w:val="22"/>
          <w:lang w:val="sr-Latn-RS"/>
        </w:rPr>
        <w:t>dio</w:t>
      </w:r>
      <w:r w:rsidRPr="00E04F74">
        <w:rPr>
          <w:sz w:val="22"/>
          <w:szCs w:val="22"/>
          <w:lang w:val="sr-Latn-RS"/>
        </w:rPr>
        <w:t xml:space="preserve"> 4.5).</w:t>
      </w:r>
    </w:p>
    <w:p w14:paraId="058E089B" w14:textId="77777777" w:rsidR="003454B6" w:rsidRPr="00E04F74" w:rsidRDefault="003454B6" w:rsidP="00946B2E">
      <w:pPr>
        <w:jc w:val="both"/>
        <w:rPr>
          <w:sz w:val="22"/>
          <w:szCs w:val="22"/>
          <w:lang w:val="sr-Latn-RS"/>
        </w:rPr>
      </w:pPr>
    </w:p>
    <w:p w14:paraId="058E089C" w14:textId="77777777" w:rsidR="003454B6" w:rsidRPr="00E04F74" w:rsidRDefault="003454B6" w:rsidP="00946B2E">
      <w:pPr>
        <w:jc w:val="both"/>
        <w:rPr>
          <w:sz w:val="22"/>
          <w:szCs w:val="22"/>
          <w:u w:val="single"/>
          <w:lang w:val="sr-Latn-RS"/>
        </w:rPr>
      </w:pPr>
      <w:r w:rsidRPr="00E04F74">
        <w:rPr>
          <w:sz w:val="22"/>
          <w:szCs w:val="22"/>
          <w:u w:val="single"/>
          <w:lang w:val="sr-Latn-RS"/>
        </w:rPr>
        <w:t>Pomoćne supstance</w:t>
      </w:r>
    </w:p>
    <w:p w14:paraId="058E089D" w14:textId="77777777" w:rsidR="003454B6" w:rsidRPr="00E04F74" w:rsidRDefault="003454B6" w:rsidP="00946B2E">
      <w:pPr>
        <w:jc w:val="both"/>
        <w:rPr>
          <w:sz w:val="22"/>
          <w:szCs w:val="22"/>
          <w:u w:val="single"/>
          <w:lang w:val="sr-Latn-RS"/>
        </w:rPr>
      </w:pPr>
    </w:p>
    <w:p w14:paraId="058E089E" w14:textId="77777777" w:rsidR="003454B6" w:rsidRPr="00E04F74" w:rsidRDefault="003454B6" w:rsidP="00946B2E">
      <w:pPr>
        <w:jc w:val="both"/>
        <w:rPr>
          <w:sz w:val="22"/>
          <w:szCs w:val="22"/>
          <w:lang w:val="sr-Latn-RS"/>
        </w:rPr>
      </w:pPr>
      <w:r w:rsidRPr="00E04F74">
        <w:rPr>
          <w:i/>
          <w:sz w:val="22"/>
          <w:szCs w:val="22"/>
          <w:lang w:val="sr-Latn-RS"/>
        </w:rPr>
        <w:t xml:space="preserve"> </w:t>
      </w:r>
      <w:r w:rsidRPr="00E04F74">
        <w:rPr>
          <w:sz w:val="22"/>
          <w:szCs w:val="22"/>
          <w:lang w:val="sr-Latn-RS"/>
        </w:rPr>
        <w:t xml:space="preserve">Lijek KIVEXA sadrži azo-boju „sunset yellow” koja može uzrokovati pojavu alergijskih reakcija. </w:t>
      </w:r>
    </w:p>
    <w:p w14:paraId="247EAD5E" w14:textId="77777777" w:rsidR="000D4ED9" w:rsidRPr="00E04F74" w:rsidRDefault="000D4ED9" w:rsidP="00946B2E">
      <w:pPr>
        <w:jc w:val="both"/>
        <w:rPr>
          <w:sz w:val="22"/>
          <w:szCs w:val="22"/>
          <w:lang w:val="sr-Latn-RS"/>
        </w:rPr>
      </w:pPr>
    </w:p>
    <w:p w14:paraId="59F553E5" w14:textId="470F9A1E" w:rsidR="000D4ED9" w:rsidRPr="00E04F74" w:rsidRDefault="000D4ED9" w:rsidP="00946B2E">
      <w:pPr>
        <w:jc w:val="both"/>
        <w:rPr>
          <w:sz w:val="22"/>
          <w:szCs w:val="22"/>
          <w:lang w:val="sr-Latn-RS"/>
        </w:rPr>
      </w:pPr>
      <w:r w:rsidRPr="00E04F74">
        <w:rPr>
          <w:sz w:val="22"/>
          <w:szCs w:val="22"/>
          <w:lang w:val="sr-Latn-RS"/>
        </w:rPr>
        <w:t>Ovaj lijek sadrži manje od 1 mmol natrijuma (23 mg) po tableti, tj. suštinski je bez natrijuma.</w:t>
      </w:r>
    </w:p>
    <w:p w14:paraId="6D50BB22" w14:textId="77777777" w:rsidR="000D4ED9" w:rsidRPr="00E04F74" w:rsidRDefault="000D4ED9" w:rsidP="00946B2E">
      <w:pPr>
        <w:tabs>
          <w:tab w:val="left" w:pos="540"/>
          <w:tab w:val="left" w:pos="569"/>
        </w:tabs>
        <w:jc w:val="both"/>
        <w:rPr>
          <w:bCs/>
          <w:sz w:val="22"/>
          <w:szCs w:val="22"/>
          <w:lang w:val="sr-Latn-RS"/>
        </w:rPr>
      </w:pPr>
    </w:p>
    <w:p w14:paraId="058E08A0" w14:textId="77777777" w:rsidR="00411B4B" w:rsidRPr="00E04F74" w:rsidRDefault="00411B4B" w:rsidP="00946B2E">
      <w:pPr>
        <w:tabs>
          <w:tab w:val="left" w:pos="540"/>
          <w:tab w:val="left" w:pos="569"/>
        </w:tabs>
        <w:jc w:val="both"/>
        <w:rPr>
          <w:b/>
          <w:bCs/>
          <w:sz w:val="22"/>
          <w:szCs w:val="22"/>
          <w:lang w:val="sr-Latn-RS"/>
        </w:rPr>
      </w:pPr>
      <w:r w:rsidRPr="00E04F74">
        <w:rPr>
          <w:b/>
          <w:bCs/>
          <w:sz w:val="22"/>
          <w:szCs w:val="22"/>
          <w:lang w:val="sr-Latn-RS"/>
        </w:rPr>
        <w:t>4.5.</w:t>
      </w:r>
      <w:r w:rsidR="000D60CC" w:rsidRPr="00E04F74">
        <w:rPr>
          <w:b/>
          <w:bCs/>
          <w:sz w:val="22"/>
          <w:szCs w:val="22"/>
          <w:lang w:val="sr-Latn-RS"/>
        </w:rPr>
        <w:tab/>
      </w:r>
      <w:r w:rsidRPr="00E04F74">
        <w:rPr>
          <w:b/>
          <w:bCs/>
          <w:sz w:val="22"/>
          <w:szCs w:val="22"/>
          <w:lang w:val="sr-Latn-RS"/>
        </w:rPr>
        <w:t>Interakcije sa drugim ljekovima i druge vrste interakcija</w:t>
      </w:r>
    </w:p>
    <w:p w14:paraId="5DB45103" w14:textId="77777777" w:rsidR="00E720B4" w:rsidRPr="00E04F74" w:rsidRDefault="00E720B4" w:rsidP="002870DD">
      <w:pPr>
        <w:jc w:val="both"/>
        <w:rPr>
          <w:sz w:val="22"/>
          <w:szCs w:val="22"/>
          <w:lang w:val="sr-Latn-RS"/>
        </w:rPr>
      </w:pPr>
    </w:p>
    <w:p w14:paraId="058E08A1" w14:textId="4453CB8A" w:rsidR="000F6023" w:rsidRPr="00E04F74" w:rsidRDefault="000F6023" w:rsidP="002870DD">
      <w:pPr>
        <w:jc w:val="both"/>
        <w:rPr>
          <w:sz w:val="22"/>
          <w:szCs w:val="22"/>
          <w:lang w:val="sr-Latn-RS"/>
        </w:rPr>
      </w:pPr>
      <w:r w:rsidRPr="00E04F74">
        <w:rPr>
          <w:sz w:val="22"/>
          <w:szCs w:val="22"/>
          <w:lang w:val="sr-Latn-RS"/>
        </w:rPr>
        <w:t>Lijek KIVEXA sadrži lamivudin i abakavir i stoga su sve interakcije identifikovane za navedene supstance pojedinačno, relevantne i za lijek KIVEXA. Klinička ispitivanja su pokazala da između lamivudina i abakavira nema interakcija od kliničkog značaja.</w:t>
      </w:r>
    </w:p>
    <w:p w14:paraId="058E08A2" w14:textId="77777777" w:rsidR="000F6023" w:rsidRPr="00E04F74" w:rsidRDefault="000F6023" w:rsidP="002870DD">
      <w:pPr>
        <w:jc w:val="both"/>
        <w:rPr>
          <w:sz w:val="22"/>
          <w:szCs w:val="22"/>
          <w:lang w:val="sr-Latn-RS"/>
        </w:rPr>
      </w:pPr>
    </w:p>
    <w:p w14:paraId="058E08A3" w14:textId="52F7F8E5" w:rsidR="000F6023" w:rsidRPr="00E04F74" w:rsidRDefault="000F6023">
      <w:pPr>
        <w:jc w:val="both"/>
        <w:rPr>
          <w:sz w:val="22"/>
          <w:szCs w:val="22"/>
          <w:lang w:val="sr-Latn-RS"/>
        </w:rPr>
      </w:pPr>
      <w:r w:rsidRPr="00E04F74">
        <w:rPr>
          <w:sz w:val="22"/>
          <w:szCs w:val="22"/>
          <w:lang w:val="sr-Latn-RS"/>
        </w:rPr>
        <w:t>Abakavir se metaboliše pomoću enzima UDP-glukuronil transferaze (UGT) i alkohol dehidrogenaze; izloženost abakaviru može izmijeniti istovremena primjena induktora ili inhibitora UGT enzima ili jedinjenja koja se eliminišu pomoću alkohol dehidrogenaze. Lamivudin se izlučuje renalnim putem. Aktivna renalna sekrecija lamivudina urinom je posredovana transporterima organskih katjona (OTC); istovremena primjena lamivudina sa OTC inhibitorima</w:t>
      </w:r>
      <w:r w:rsidR="002870DD" w:rsidRPr="00E04F74">
        <w:rPr>
          <w:sz w:val="22"/>
          <w:szCs w:val="22"/>
          <w:lang w:val="sr-Latn-RS"/>
        </w:rPr>
        <w:t xml:space="preserve"> </w:t>
      </w:r>
      <w:r w:rsidRPr="00E04F74">
        <w:rPr>
          <w:sz w:val="22"/>
          <w:szCs w:val="22"/>
          <w:lang w:val="sr-Latn-RS"/>
        </w:rPr>
        <w:t>može povećati izloženost lamivudinu.</w:t>
      </w:r>
    </w:p>
    <w:p w14:paraId="058E08A4" w14:textId="77777777" w:rsidR="000F6023" w:rsidRPr="00E04F74" w:rsidRDefault="000F6023">
      <w:pPr>
        <w:jc w:val="both"/>
        <w:rPr>
          <w:sz w:val="22"/>
          <w:szCs w:val="22"/>
          <w:lang w:val="sr-Latn-RS"/>
        </w:rPr>
      </w:pPr>
    </w:p>
    <w:p w14:paraId="058E08A5" w14:textId="0E144413" w:rsidR="000F6023" w:rsidRPr="00E04F74" w:rsidRDefault="000F6023">
      <w:pPr>
        <w:jc w:val="both"/>
        <w:rPr>
          <w:sz w:val="22"/>
          <w:szCs w:val="22"/>
          <w:lang w:val="sr-Latn-RS"/>
        </w:rPr>
      </w:pPr>
      <w:r w:rsidRPr="00E04F74">
        <w:rPr>
          <w:sz w:val="22"/>
          <w:szCs w:val="22"/>
          <w:lang w:val="sr-Latn-RS"/>
        </w:rPr>
        <w:t>Lamivudin i abakavir se ne metabolišu u značajnoj mjeri putem enzima citohroma P</w:t>
      </w:r>
      <w:r w:rsidRPr="00E04F74">
        <w:rPr>
          <w:sz w:val="22"/>
          <w:szCs w:val="22"/>
          <w:vertAlign w:val="subscript"/>
          <w:lang w:val="sr-Latn-RS"/>
        </w:rPr>
        <w:t>450</w:t>
      </w:r>
      <w:r w:rsidRPr="00E04F74">
        <w:rPr>
          <w:sz w:val="22"/>
          <w:szCs w:val="22"/>
          <w:lang w:val="sr-Latn-RS"/>
        </w:rPr>
        <w:t xml:space="preserve"> (kao što su CYP 3A4, CYP 2C9 ili CYP 2D6) i ne indukuju navedeni enzimski sistem. </w:t>
      </w:r>
      <w:r w:rsidR="002E7E86" w:rsidRPr="00E04F74">
        <w:rPr>
          <w:sz w:val="22"/>
          <w:szCs w:val="22"/>
          <w:lang w:val="sr-Latn-RS"/>
        </w:rPr>
        <w:t>Lamivudin ne inhibira enzime citohroma P450. Abakavir pokazuje blagi potencijal da inhibira metabolizam gd</w:t>
      </w:r>
      <w:r w:rsidR="00940778" w:rsidRPr="00E04F74">
        <w:rPr>
          <w:sz w:val="22"/>
          <w:szCs w:val="22"/>
          <w:lang w:val="sr-Latn-RS"/>
        </w:rPr>
        <w:t>j</w:t>
      </w:r>
      <w:r w:rsidR="002E7E86" w:rsidRPr="00E04F74">
        <w:rPr>
          <w:sz w:val="22"/>
          <w:szCs w:val="22"/>
          <w:lang w:val="sr-Latn-RS"/>
        </w:rPr>
        <w:t xml:space="preserve">e je medijator CYP3A4. Takođe je pokazano da u uslovima </w:t>
      </w:r>
      <w:r w:rsidR="002E7E86" w:rsidRPr="00E04F74">
        <w:rPr>
          <w:i/>
          <w:iCs/>
          <w:sz w:val="22"/>
          <w:szCs w:val="22"/>
          <w:lang w:val="sr-Latn-RS"/>
        </w:rPr>
        <w:t>in vitro</w:t>
      </w:r>
      <w:r w:rsidR="002E7E86" w:rsidRPr="00E04F74">
        <w:rPr>
          <w:sz w:val="22"/>
          <w:szCs w:val="22"/>
          <w:lang w:val="sr-Latn-RS"/>
        </w:rPr>
        <w:t xml:space="preserve"> abakavir ne inhibira enzime CYP2C9 ili CYP2D6. </w:t>
      </w:r>
      <w:r w:rsidR="002E7E86" w:rsidRPr="00E04F74">
        <w:rPr>
          <w:i/>
          <w:iCs/>
          <w:sz w:val="22"/>
          <w:szCs w:val="22"/>
          <w:lang w:val="sr-Latn-RS"/>
        </w:rPr>
        <w:t>In vitro</w:t>
      </w:r>
      <w:r w:rsidR="002E7E86" w:rsidRPr="00E04F74">
        <w:rPr>
          <w:sz w:val="22"/>
          <w:szCs w:val="22"/>
          <w:lang w:val="sr-Latn-RS"/>
        </w:rPr>
        <w:t xml:space="preserve"> studije su pokazale da abakavir ima potencijal da inhibira enzime citohroma P450 1A1 (CYP1A1). </w:t>
      </w:r>
      <w:r w:rsidRPr="00E04F74">
        <w:rPr>
          <w:sz w:val="22"/>
          <w:szCs w:val="22"/>
          <w:lang w:val="sr-Latn-RS"/>
        </w:rPr>
        <w:t>Prema tome, postoji mali potencijal za interakcije sa inhibitorima antiretrovirusnih proteaza, nenukleozidima i drugim ljekovima koji se metabolišu putem najznačajnijih P</w:t>
      </w:r>
      <w:r w:rsidRPr="00E04F74">
        <w:rPr>
          <w:sz w:val="22"/>
          <w:szCs w:val="22"/>
          <w:vertAlign w:val="subscript"/>
          <w:lang w:val="sr-Latn-RS"/>
        </w:rPr>
        <w:t>450</w:t>
      </w:r>
      <w:r w:rsidRPr="00E04F74">
        <w:rPr>
          <w:sz w:val="22"/>
          <w:szCs w:val="22"/>
          <w:lang w:val="sr-Latn-RS"/>
        </w:rPr>
        <w:t xml:space="preserve"> enzima. </w:t>
      </w:r>
    </w:p>
    <w:p w14:paraId="058E08A6" w14:textId="77777777" w:rsidR="000F6023" w:rsidRPr="00E04F74" w:rsidRDefault="000F6023">
      <w:pPr>
        <w:jc w:val="both"/>
        <w:rPr>
          <w:sz w:val="22"/>
          <w:szCs w:val="22"/>
          <w:lang w:val="sr-Latn-RS"/>
        </w:rPr>
      </w:pPr>
    </w:p>
    <w:p w14:paraId="058E08A7" w14:textId="3E20053A" w:rsidR="000F6023" w:rsidRPr="00E04F74" w:rsidRDefault="000F6023">
      <w:pPr>
        <w:jc w:val="both"/>
        <w:rPr>
          <w:sz w:val="22"/>
          <w:szCs w:val="22"/>
          <w:lang w:val="sr-Latn-RS"/>
        </w:rPr>
      </w:pPr>
      <w:r w:rsidRPr="00E04F74">
        <w:rPr>
          <w:sz w:val="22"/>
          <w:szCs w:val="22"/>
          <w:lang w:val="sr-Latn-RS"/>
        </w:rPr>
        <w:t xml:space="preserve">Lijek KIVEXA ne bi trebalo primjenjivati sa drugim ljekovima koji sadrže lamivudin (vidjeti </w:t>
      </w:r>
      <w:r w:rsidR="00D52927" w:rsidRPr="00E04F74">
        <w:rPr>
          <w:sz w:val="22"/>
          <w:szCs w:val="22"/>
          <w:lang w:val="sr-Latn-RS"/>
        </w:rPr>
        <w:t>dio</w:t>
      </w:r>
      <w:r w:rsidRPr="00E04F74">
        <w:rPr>
          <w:sz w:val="22"/>
          <w:szCs w:val="22"/>
          <w:lang w:val="sr-Latn-RS"/>
        </w:rPr>
        <w:t xml:space="preserve"> 4.4).</w:t>
      </w:r>
    </w:p>
    <w:p w14:paraId="058E08A8" w14:textId="77777777" w:rsidR="000F6023" w:rsidRPr="00E04F74" w:rsidRDefault="000F6023">
      <w:pPr>
        <w:jc w:val="both"/>
        <w:rPr>
          <w:sz w:val="22"/>
          <w:szCs w:val="22"/>
          <w:lang w:val="sr-Latn-RS"/>
        </w:rPr>
      </w:pPr>
    </w:p>
    <w:p w14:paraId="058E08A9" w14:textId="77777777" w:rsidR="000F6023" w:rsidRPr="00E04F74" w:rsidRDefault="000F6023">
      <w:pPr>
        <w:jc w:val="both"/>
        <w:rPr>
          <w:sz w:val="22"/>
          <w:szCs w:val="22"/>
          <w:lang w:val="sr-Latn-RS"/>
        </w:rPr>
      </w:pPr>
      <w:r w:rsidRPr="00E04F74">
        <w:rPr>
          <w:sz w:val="22"/>
          <w:szCs w:val="22"/>
          <w:lang w:val="sr-Latn-RS"/>
        </w:rPr>
        <w:t>Listu navedenu u daljem tekstu ne treba smatrati potpunom, međutim ona je reprezentativna za ispitane grupe.</w:t>
      </w:r>
    </w:p>
    <w:p w14:paraId="058E0959" w14:textId="421149C4" w:rsidR="000F6023" w:rsidRPr="00E04F74" w:rsidRDefault="000F6023" w:rsidP="00946B2E">
      <w:pPr>
        <w:jc w:val="both"/>
        <w:rPr>
          <w:sz w:val="22"/>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7"/>
        <w:gridCol w:w="3263"/>
        <w:gridCol w:w="2953"/>
      </w:tblGrid>
      <w:tr w:rsidR="00095F06" w:rsidRPr="00E04F74" w14:paraId="6002D46A"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55B8A899" w14:textId="77777777" w:rsidR="00095F06" w:rsidRPr="00E04F74" w:rsidRDefault="00095F06" w:rsidP="00095F06">
            <w:pPr>
              <w:jc w:val="both"/>
              <w:rPr>
                <w:b/>
                <w:sz w:val="22"/>
                <w:szCs w:val="22"/>
                <w:lang w:val="sr-Latn-RS"/>
              </w:rPr>
            </w:pPr>
            <w:r w:rsidRPr="00E04F74">
              <w:rPr>
                <w:b/>
                <w:sz w:val="22"/>
                <w:szCs w:val="22"/>
                <w:lang w:val="sr-Latn-RS"/>
              </w:rPr>
              <w:t>Ljekovi po terapijskoj grupi</w:t>
            </w:r>
          </w:p>
        </w:tc>
        <w:tc>
          <w:tcPr>
            <w:tcW w:w="1812" w:type="pct"/>
            <w:tcBorders>
              <w:top w:val="single" w:sz="4" w:space="0" w:color="000000"/>
              <w:left w:val="single" w:sz="4" w:space="0" w:color="000000"/>
              <w:bottom w:val="single" w:sz="4" w:space="0" w:color="000000"/>
              <w:right w:val="single" w:sz="4" w:space="0" w:color="000000"/>
            </w:tcBorders>
            <w:hideMark/>
          </w:tcPr>
          <w:p w14:paraId="2828D7E4" w14:textId="77777777" w:rsidR="00095F06" w:rsidRPr="00E04F74" w:rsidRDefault="00095F06" w:rsidP="00095F06">
            <w:pPr>
              <w:jc w:val="both"/>
              <w:rPr>
                <w:b/>
                <w:sz w:val="22"/>
                <w:szCs w:val="22"/>
                <w:lang w:val="sr-Latn-RS"/>
              </w:rPr>
            </w:pPr>
            <w:r w:rsidRPr="00E04F74">
              <w:rPr>
                <w:b/>
                <w:sz w:val="22"/>
                <w:szCs w:val="22"/>
                <w:lang w:val="sr-Latn-RS"/>
              </w:rPr>
              <w:t>Interakcija</w:t>
            </w:r>
          </w:p>
          <w:p w14:paraId="41EF054B" w14:textId="77777777" w:rsidR="00095F06" w:rsidRPr="00E04F74" w:rsidRDefault="00095F06" w:rsidP="00095F06">
            <w:pPr>
              <w:jc w:val="both"/>
              <w:rPr>
                <w:b/>
                <w:sz w:val="22"/>
                <w:szCs w:val="22"/>
                <w:lang w:val="sr-Latn-RS"/>
              </w:rPr>
            </w:pPr>
            <w:r w:rsidRPr="00E04F74">
              <w:rPr>
                <w:b/>
                <w:sz w:val="22"/>
                <w:szCs w:val="22"/>
                <w:lang w:val="sr-Latn-RS"/>
              </w:rPr>
              <w:t>Geometrijska prosječna vrijednost</w:t>
            </w:r>
          </w:p>
          <w:p w14:paraId="09AAE252" w14:textId="77777777" w:rsidR="00095F06" w:rsidRPr="00E04F74" w:rsidRDefault="00095F06" w:rsidP="00095F06">
            <w:pPr>
              <w:jc w:val="both"/>
              <w:rPr>
                <w:b/>
                <w:sz w:val="22"/>
                <w:szCs w:val="22"/>
                <w:lang w:val="sr-Latn-RS"/>
              </w:rPr>
            </w:pPr>
            <w:r w:rsidRPr="00E04F74">
              <w:rPr>
                <w:b/>
                <w:sz w:val="22"/>
                <w:szCs w:val="22"/>
                <w:lang w:val="sr-Latn-RS"/>
              </w:rPr>
              <w:t>(%)</w:t>
            </w:r>
          </w:p>
          <w:p w14:paraId="7BB90F9E" w14:textId="77777777" w:rsidR="00095F06" w:rsidRPr="00E04F74" w:rsidRDefault="00095F06" w:rsidP="00095F06">
            <w:pPr>
              <w:jc w:val="both"/>
              <w:rPr>
                <w:b/>
                <w:sz w:val="22"/>
                <w:szCs w:val="22"/>
                <w:lang w:val="sr-Latn-RS"/>
              </w:rPr>
            </w:pPr>
            <w:r w:rsidRPr="00E04F74">
              <w:rPr>
                <w:b/>
                <w:sz w:val="22"/>
                <w:szCs w:val="22"/>
                <w:lang w:val="sr-Latn-RS"/>
              </w:rPr>
              <w:t>(mogući mehanizam)</w:t>
            </w:r>
          </w:p>
        </w:tc>
        <w:tc>
          <w:tcPr>
            <w:tcW w:w="1605" w:type="pct"/>
            <w:tcBorders>
              <w:top w:val="single" w:sz="4" w:space="0" w:color="000000"/>
              <w:left w:val="single" w:sz="4" w:space="0" w:color="000000"/>
              <w:bottom w:val="single" w:sz="4" w:space="0" w:color="000000"/>
              <w:right w:val="single" w:sz="4" w:space="0" w:color="000000"/>
            </w:tcBorders>
            <w:hideMark/>
          </w:tcPr>
          <w:p w14:paraId="05992A92" w14:textId="77777777" w:rsidR="00095F06" w:rsidRPr="00E04F74" w:rsidRDefault="00095F06" w:rsidP="00095F06">
            <w:pPr>
              <w:jc w:val="both"/>
              <w:rPr>
                <w:b/>
                <w:sz w:val="22"/>
                <w:szCs w:val="22"/>
                <w:lang w:val="sr-Latn-RS"/>
              </w:rPr>
            </w:pPr>
            <w:r w:rsidRPr="00E04F74">
              <w:rPr>
                <w:b/>
                <w:sz w:val="22"/>
                <w:szCs w:val="22"/>
                <w:lang w:val="sr-Latn-RS"/>
              </w:rPr>
              <w:t>Preporuke povodom istovremene primjene</w:t>
            </w:r>
          </w:p>
        </w:tc>
      </w:tr>
      <w:tr w:rsidR="00095F06" w:rsidRPr="00E04F74" w14:paraId="6136D993" w14:textId="77777777" w:rsidTr="00095F06">
        <w:tc>
          <w:tcPr>
            <w:tcW w:w="5000" w:type="pct"/>
            <w:gridSpan w:val="3"/>
            <w:tcBorders>
              <w:top w:val="single" w:sz="4" w:space="0" w:color="000000"/>
              <w:left w:val="single" w:sz="4" w:space="0" w:color="000000"/>
              <w:bottom w:val="single" w:sz="4" w:space="0" w:color="000000"/>
              <w:right w:val="single" w:sz="4" w:space="0" w:color="000000"/>
            </w:tcBorders>
            <w:hideMark/>
          </w:tcPr>
          <w:p w14:paraId="679BDB3E" w14:textId="77777777" w:rsidR="00095F06" w:rsidRPr="00E04F74" w:rsidRDefault="00095F06" w:rsidP="00095F06">
            <w:pPr>
              <w:jc w:val="both"/>
              <w:rPr>
                <w:b/>
                <w:sz w:val="22"/>
                <w:szCs w:val="22"/>
                <w:lang w:val="sr-Latn-RS"/>
              </w:rPr>
            </w:pPr>
            <w:r w:rsidRPr="00E04F74">
              <w:rPr>
                <w:b/>
                <w:sz w:val="22"/>
                <w:szCs w:val="22"/>
                <w:lang w:val="sr-Latn-RS"/>
              </w:rPr>
              <w:t>ANTIRETROVIRUSNI LJEKOVI</w:t>
            </w:r>
          </w:p>
        </w:tc>
      </w:tr>
      <w:tr w:rsidR="00095F06" w:rsidRPr="00E04F74" w14:paraId="06B436D1"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1045C681" w14:textId="77777777" w:rsidR="00095F06" w:rsidRPr="00E04F74" w:rsidRDefault="00095F06" w:rsidP="00095F06">
            <w:pPr>
              <w:jc w:val="both"/>
              <w:rPr>
                <w:sz w:val="22"/>
                <w:szCs w:val="22"/>
                <w:lang w:val="sr-Latn-RS"/>
              </w:rPr>
            </w:pPr>
            <w:r w:rsidRPr="00E04F74">
              <w:rPr>
                <w:sz w:val="22"/>
                <w:szCs w:val="22"/>
                <w:lang w:val="sr-Latn-RS"/>
              </w:rPr>
              <w:t>Didanozin/abakavir</w:t>
            </w:r>
          </w:p>
        </w:tc>
        <w:tc>
          <w:tcPr>
            <w:tcW w:w="1812" w:type="pct"/>
            <w:tcBorders>
              <w:top w:val="single" w:sz="4" w:space="0" w:color="000000"/>
              <w:left w:val="single" w:sz="4" w:space="0" w:color="000000"/>
              <w:bottom w:val="single" w:sz="4" w:space="0" w:color="000000"/>
              <w:right w:val="single" w:sz="4" w:space="0" w:color="000000"/>
            </w:tcBorders>
            <w:hideMark/>
          </w:tcPr>
          <w:p w14:paraId="5FDCFE21" w14:textId="77777777" w:rsidR="00095F06" w:rsidRPr="00E04F74" w:rsidRDefault="00095F06" w:rsidP="00095F06">
            <w:pPr>
              <w:jc w:val="both"/>
              <w:rPr>
                <w:sz w:val="22"/>
                <w:szCs w:val="22"/>
                <w:lang w:val="sr-Latn-RS"/>
              </w:rPr>
            </w:pPr>
            <w:r w:rsidRPr="00E04F74">
              <w:rPr>
                <w:sz w:val="22"/>
                <w:szCs w:val="22"/>
                <w:lang w:val="sr-Latn-RS"/>
              </w:rPr>
              <w:t>Interakcija nije ispitana</w:t>
            </w:r>
          </w:p>
        </w:tc>
        <w:tc>
          <w:tcPr>
            <w:tcW w:w="1605" w:type="pct"/>
            <w:vMerge w:val="restart"/>
            <w:tcBorders>
              <w:top w:val="single" w:sz="4" w:space="0" w:color="000000"/>
              <w:left w:val="single" w:sz="4" w:space="0" w:color="000000"/>
              <w:bottom w:val="single" w:sz="4" w:space="0" w:color="000000"/>
              <w:right w:val="single" w:sz="4" w:space="0" w:color="000000"/>
            </w:tcBorders>
            <w:hideMark/>
          </w:tcPr>
          <w:p w14:paraId="3C0E2BD4" w14:textId="77777777" w:rsidR="00095F06" w:rsidRPr="00E04F74" w:rsidRDefault="00095F06" w:rsidP="00095F06">
            <w:pPr>
              <w:jc w:val="both"/>
              <w:rPr>
                <w:sz w:val="22"/>
                <w:szCs w:val="22"/>
                <w:lang w:val="sr-Latn-RS"/>
              </w:rPr>
            </w:pPr>
            <w:r w:rsidRPr="00E04F74">
              <w:rPr>
                <w:sz w:val="22"/>
                <w:szCs w:val="22"/>
                <w:lang w:val="sr-Latn-RS"/>
              </w:rPr>
              <w:t>Nijesu neophodna podešavanja doze.</w:t>
            </w:r>
          </w:p>
        </w:tc>
      </w:tr>
      <w:tr w:rsidR="00095F06" w:rsidRPr="00E04F74" w14:paraId="602ED6CE"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4AA79863" w14:textId="77777777" w:rsidR="00095F06" w:rsidRPr="00E04F74" w:rsidRDefault="00095F06" w:rsidP="00095F06">
            <w:pPr>
              <w:jc w:val="both"/>
              <w:rPr>
                <w:sz w:val="22"/>
                <w:szCs w:val="22"/>
                <w:lang w:val="sr-Latn-RS"/>
              </w:rPr>
            </w:pPr>
            <w:r w:rsidRPr="00E04F74">
              <w:rPr>
                <w:sz w:val="22"/>
                <w:szCs w:val="22"/>
                <w:lang w:val="sr-Latn-RS"/>
              </w:rPr>
              <w:t>Didanozin/lamivudin</w:t>
            </w:r>
          </w:p>
        </w:tc>
        <w:tc>
          <w:tcPr>
            <w:tcW w:w="1812" w:type="pct"/>
            <w:tcBorders>
              <w:top w:val="single" w:sz="4" w:space="0" w:color="000000"/>
              <w:left w:val="single" w:sz="4" w:space="0" w:color="000000"/>
              <w:bottom w:val="single" w:sz="4" w:space="0" w:color="000000"/>
              <w:right w:val="single" w:sz="4" w:space="0" w:color="000000"/>
            </w:tcBorders>
            <w:hideMark/>
          </w:tcPr>
          <w:p w14:paraId="1A8DEB1A" w14:textId="77777777" w:rsidR="00095F06" w:rsidRPr="00E04F74" w:rsidRDefault="00095F06" w:rsidP="00095F06">
            <w:pPr>
              <w:jc w:val="both"/>
              <w:rPr>
                <w:sz w:val="22"/>
                <w:szCs w:val="22"/>
                <w:lang w:val="sr-Latn-RS"/>
              </w:rPr>
            </w:pPr>
            <w:r w:rsidRPr="00E04F74">
              <w:rPr>
                <w:sz w:val="22"/>
                <w:szCs w:val="22"/>
                <w:lang w:val="sr-Latn-RS"/>
              </w:rPr>
              <w:t>Interakcija nije ispitana</w:t>
            </w:r>
          </w:p>
        </w:tc>
        <w:tc>
          <w:tcPr>
            <w:tcW w:w="1605" w:type="pct"/>
            <w:vMerge/>
            <w:tcBorders>
              <w:top w:val="single" w:sz="4" w:space="0" w:color="000000"/>
              <w:left w:val="single" w:sz="4" w:space="0" w:color="000000"/>
              <w:bottom w:val="single" w:sz="4" w:space="0" w:color="000000"/>
              <w:right w:val="single" w:sz="4" w:space="0" w:color="000000"/>
            </w:tcBorders>
            <w:vAlign w:val="center"/>
            <w:hideMark/>
          </w:tcPr>
          <w:p w14:paraId="518115D1" w14:textId="77777777" w:rsidR="00095F06" w:rsidRPr="00E04F74" w:rsidRDefault="00095F06" w:rsidP="00095F06">
            <w:pPr>
              <w:jc w:val="both"/>
              <w:rPr>
                <w:sz w:val="22"/>
                <w:szCs w:val="22"/>
                <w:lang w:val="sr-Latn-RS"/>
              </w:rPr>
            </w:pPr>
          </w:p>
        </w:tc>
      </w:tr>
      <w:tr w:rsidR="00095F06" w:rsidRPr="00E04F74" w14:paraId="4D9FF207"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7FF37B8B" w14:textId="77777777" w:rsidR="00095F06" w:rsidRPr="00E04F74" w:rsidRDefault="00095F06" w:rsidP="00095F06">
            <w:pPr>
              <w:jc w:val="both"/>
              <w:rPr>
                <w:sz w:val="22"/>
                <w:szCs w:val="22"/>
                <w:lang w:val="sr-Latn-RS"/>
              </w:rPr>
            </w:pPr>
            <w:r w:rsidRPr="00E04F74">
              <w:rPr>
                <w:sz w:val="22"/>
                <w:szCs w:val="22"/>
                <w:lang w:val="sr-Latn-RS"/>
              </w:rPr>
              <w:t>Zidovudin/abakavir</w:t>
            </w:r>
          </w:p>
        </w:tc>
        <w:tc>
          <w:tcPr>
            <w:tcW w:w="1812" w:type="pct"/>
            <w:tcBorders>
              <w:top w:val="single" w:sz="4" w:space="0" w:color="000000"/>
              <w:left w:val="single" w:sz="4" w:space="0" w:color="000000"/>
              <w:bottom w:val="single" w:sz="4" w:space="0" w:color="000000"/>
              <w:right w:val="single" w:sz="4" w:space="0" w:color="000000"/>
            </w:tcBorders>
            <w:hideMark/>
          </w:tcPr>
          <w:p w14:paraId="3AD7741D" w14:textId="77777777" w:rsidR="00095F06" w:rsidRPr="00E04F74" w:rsidRDefault="00095F06" w:rsidP="00095F06">
            <w:pPr>
              <w:jc w:val="both"/>
              <w:rPr>
                <w:sz w:val="22"/>
                <w:szCs w:val="22"/>
                <w:lang w:val="sr-Latn-RS"/>
              </w:rPr>
            </w:pPr>
            <w:r w:rsidRPr="00E04F74">
              <w:rPr>
                <w:sz w:val="22"/>
                <w:szCs w:val="22"/>
                <w:lang w:val="sr-Latn-RS"/>
              </w:rPr>
              <w:t>Interakcija nije ispitana</w:t>
            </w:r>
          </w:p>
        </w:tc>
        <w:tc>
          <w:tcPr>
            <w:tcW w:w="1605" w:type="pct"/>
            <w:vMerge/>
            <w:tcBorders>
              <w:top w:val="single" w:sz="4" w:space="0" w:color="000000"/>
              <w:left w:val="single" w:sz="4" w:space="0" w:color="000000"/>
              <w:bottom w:val="single" w:sz="4" w:space="0" w:color="000000"/>
              <w:right w:val="single" w:sz="4" w:space="0" w:color="000000"/>
            </w:tcBorders>
            <w:vAlign w:val="center"/>
            <w:hideMark/>
          </w:tcPr>
          <w:p w14:paraId="768E56AC" w14:textId="77777777" w:rsidR="00095F06" w:rsidRPr="00E04F74" w:rsidRDefault="00095F06" w:rsidP="00095F06">
            <w:pPr>
              <w:jc w:val="both"/>
              <w:rPr>
                <w:sz w:val="22"/>
                <w:szCs w:val="22"/>
                <w:lang w:val="sr-Latn-RS"/>
              </w:rPr>
            </w:pPr>
          </w:p>
        </w:tc>
      </w:tr>
      <w:tr w:rsidR="00095F06" w:rsidRPr="00E04F74" w14:paraId="156D2E4D"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0C14E5F7" w14:textId="77777777" w:rsidR="00095F06" w:rsidRPr="00E04F74" w:rsidRDefault="00095F06" w:rsidP="00095F06">
            <w:pPr>
              <w:jc w:val="both"/>
              <w:rPr>
                <w:sz w:val="22"/>
                <w:szCs w:val="22"/>
                <w:lang w:val="sr-Latn-RS"/>
              </w:rPr>
            </w:pPr>
            <w:r w:rsidRPr="00E04F74">
              <w:rPr>
                <w:sz w:val="22"/>
                <w:szCs w:val="22"/>
                <w:lang w:val="sr-Latn-RS"/>
              </w:rPr>
              <w:t>Zidovudin/lamivudin</w:t>
            </w:r>
          </w:p>
          <w:p w14:paraId="18C6EC08" w14:textId="77777777" w:rsidR="00095F06" w:rsidRPr="00E04F74" w:rsidRDefault="00095F06" w:rsidP="00095F06">
            <w:pPr>
              <w:jc w:val="both"/>
              <w:rPr>
                <w:sz w:val="22"/>
                <w:szCs w:val="22"/>
                <w:lang w:val="sr-Latn-RS"/>
              </w:rPr>
            </w:pPr>
            <w:r w:rsidRPr="00E04F74">
              <w:rPr>
                <w:sz w:val="22"/>
                <w:szCs w:val="22"/>
                <w:lang w:val="sr-Latn-RS"/>
              </w:rPr>
              <w:t>Zidovudin 300 mg u pojedinačnoj dozi</w:t>
            </w:r>
          </w:p>
          <w:p w14:paraId="2259A455" w14:textId="77777777" w:rsidR="00095F06" w:rsidRPr="00E04F74" w:rsidRDefault="00095F06" w:rsidP="00095F06">
            <w:pPr>
              <w:jc w:val="both"/>
              <w:rPr>
                <w:sz w:val="22"/>
                <w:szCs w:val="22"/>
                <w:lang w:val="sr-Latn-RS"/>
              </w:rPr>
            </w:pPr>
            <w:r w:rsidRPr="00E04F74">
              <w:rPr>
                <w:sz w:val="22"/>
                <w:szCs w:val="22"/>
                <w:lang w:val="sr-Latn-RS"/>
              </w:rPr>
              <w:t>Lamivudin 150 mg u pojedinačnoj dozi</w:t>
            </w:r>
          </w:p>
        </w:tc>
        <w:tc>
          <w:tcPr>
            <w:tcW w:w="1812" w:type="pct"/>
            <w:tcBorders>
              <w:top w:val="single" w:sz="4" w:space="0" w:color="000000"/>
              <w:left w:val="single" w:sz="4" w:space="0" w:color="000000"/>
              <w:bottom w:val="single" w:sz="4" w:space="0" w:color="000000"/>
              <w:right w:val="single" w:sz="4" w:space="0" w:color="000000"/>
            </w:tcBorders>
            <w:hideMark/>
          </w:tcPr>
          <w:p w14:paraId="640217E9" w14:textId="77777777" w:rsidR="00095F06" w:rsidRPr="00E04F74" w:rsidRDefault="00095F06" w:rsidP="00095F06">
            <w:pPr>
              <w:jc w:val="both"/>
              <w:rPr>
                <w:sz w:val="22"/>
                <w:szCs w:val="22"/>
                <w:lang w:val="sr-Latn-RS"/>
              </w:rPr>
            </w:pPr>
            <w:r w:rsidRPr="00E04F74">
              <w:rPr>
                <w:sz w:val="22"/>
                <w:szCs w:val="22"/>
                <w:lang w:val="sr-Latn-RS"/>
              </w:rPr>
              <w:t>Lamivudin: PIK ↔</w:t>
            </w:r>
          </w:p>
          <w:p w14:paraId="3F5C26FA" w14:textId="77777777" w:rsidR="00095F06" w:rsidRPr="00E04F74" w:rsidRDefault="00095F06" w:rsidP="00095F06">
            <w:pPr>
              <w:jc w:val="both"/>
              <w:rPr>
                <w:sz w:val="22"/>
                <w:szCs w:val="22"/>
                <w:lang w:val="sr-Latn-RS"/>
              </w:rPr>
            </w:pPr>
            <w:r w:rsidRPr="00E04F74">
              <w:rPr>
                <w:sz w:val="22"/>
                <w:szCs w:val="22"/>
                <w:lang w:val="sr-Latn-RS"/>
              </w:rPr>
              <w:t>Zidovudin: PIK ↔</w:t>
            </w:r>
          </w:p>
        </w:tc>
        <w:tc>
          <w:tcPr>
            <w:tcW w:w="1605" w:type="pct"/>
            <w:vMerge/>
            <w:tcBorders>
              <w:top w:val="single" w:sz="4" w:space="0" w:color="000000"/>
              <w:left w:val="single" w:sz="4" w:space="0" w:color="000000"/>
              <w:bottom w:val="single" w:sz="4" w:space="0" w:color="000000"/>
              <w:right w:val="single" w:sz="4" w:space="0" w:color="000000"/>
            </w:tcBorders>
            <w:vAlign w:val="center"/>
            <w:hideMark/>
          </w:tcPr>
          <w:p w14:paraId="4D501CC9" w14:textId="77777777" w:rsidR="00095F06" w:rsidRPr="00E04F74" w:rsidRDefault="00095F06" w:rsidP="00095F06">
            <w:pPr>
              <w:jc w:val="both"/>
              <w:rPr>
                <w:sz w:val="22"/>
                <w:szCs w:val="22"/>
                <w:lang w:val="sr-Latn-RS"/>
              </w:rPr>
            </w:pPr>
          </w:p>
        </w:tc>
      </w:tr>
      <w:tr w:rsidR="00095F06" w:rsidRPr="00E04F74" w14:paraId="74EDEACC"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18960D4D" w14:textId="77777777" w:rsidR="00095F06" w:rsidRPr="00E04F74" w:rsidRDefault="00095F06" w:rsidP="00095F06">
            <w:pPr>
              <w:jc w:val="both"/>
              <w:rPr>
                <w:sz w:val="22"/>
                <w:szCs w:val="22"/>
                <w:lang w:val="sr-Latn-RS"/>
              </w:rPr>
            </w:pPr>
            <w:r w:rsidRPr="00E04F74">
              <w:rPr>
                <w:sz w:val="22"/>
                <w:szCs w:val="22"/>
                <w:lang w:val="sr-Latn-RS"/>
              </w:rPr>
              <w:t>Emtricitabin/lamivudin</w:t>
            </w:r>
          </w:p>
        </w:tc>
        <w:tc>
          <w:tcPr>
            <w:tcW w:w="1812" w:type="pct"/>
            <w:tcBorders>
              <w:top w:val="single" w:sz="4" w:space="0" w:color="000000"/>
              <w:left w:val="single" w:sz="4" w:space="0" w:color="000000"/>
              <w:bottom w:val="single" w:sz="4" w:space="0" w:color="000000"/>
              <w:right w:val="single" w:sz="4" w:space="0" w:color="000000"/>
            </w:tcBorders>
            <w:hideMark/>
          </w:tcPr>
          <w:p w14:paraId="4F8907D5" w14:textId="77777777" w:rsidR="00095F06" w:rsidRPr="00E04F74" w:rsidRDefault="00095F06" w:rsidP="00095F06">
            <w:pPr>
              <w:jc w:val="both"/>
              <w:rPr>
                <w:sz w:val="22"/>
                <w:szCs w:val="22"/>
                <w:lang w:val="sr-Latn-RS"/>
              </w:rPr>
            </w:pPr>
          </w:p>
        </w:tc>
        <w:tc>
          <w:tcPr>
            <w:tcW w:w="1605" w:type="pct"/>
            <w:tcBorders>
              <w:top w:val="single" w:sz="4" w:space="0" w:color="000000"/>
              <w:left w:val="single" w:sz="4" w:space="0" w:color="000000"/>
              <w:bottom w:val="single" w:sz="4" w:space="0" w:color="000000"/>
              <w:right w:val="single" w:sz="4" w:space="0" w:color="000000"/>
            </w:tcBorders>
            <w:hideMark/>
          </w:tcPr>
          <w:p w14:paraId="56FE4D72" w14:textId="77777777" w:rsidR="00095F06" w:rsidRPr="00E04F74" w:rsidRDefault="00095F06" w:rsidP="00095F06">
            <w:pPr>
              <w:jc w:val="both"/>
              <w:rPr>
                <w:sz w:val="22"/>
                <w:szCs w:val="22"/>
                <w:lang w:val="sr-Latn-RS"/>
              </w:rPr>
            </w:pPr>
            <w:r w:rsidRPr="00E04F74">
              <w:rPr>
                <w:sz w:val="22"/>
                <w:szCs w:val="22"/>
                <w:lang w:val="sr-Latn-RS"/>
              </w:rPr>
              <w:t>Lijek KIVEXA ne bi trebalo primjenjivati istovremeno sa drugim analozima citidina, poput emtricitabina, zbog sličnosti.</w:t>
            </w:r>
          </w:p>
        </w:tc>
      </w:tr>
      <w:tr w:rsidR="00095F06" w:rsidRPr="00E04F74" w14:paraId="7BF0F530" w14:textId="77777777" w:rsidTr="00095F06">
        <w:tc>
          <w:tcPr>
            <w:tcW w:w="5000" w:type="pct"/>
            <w:gridSpan w:val="3"/>
            <w:tcBorders>
              <w:top w:val="single" w:sz="4" w:space="0" w:color="000000"/>
              <w:left w:val="single" w:sz="4" w:space="0" w:color="000000"/>
              <w:bottom w:val="single" w:sz="4" w:space="0" w:color="000000"/>
              <w:right w:val="single" w:sz="4" w:space="0" w:color="000000"/>
            </w:tcBorders>
            <w:hideMark/>
          </w:tcPr>
          <w:p w14:paraId="665592E3" w14:textId="77777777" w:rsidR="00095F06" w:rsidRPr="00E04F74" w:rsidRDefault="00095F06" w:rsidP="00095F06">
            <w:pPr>
              <w:jc w:val="both"/>
              <w:rPr>
                <w:b/>
                <w:sz w:val="22"/>
                <w:szCs w:val="22"/>
                <w:lang w:val="sr-Latn-RS"/>
              </w:rPr>
            </w:pPr>
            <w:r w:rsidRPr="00E04F74">
              <w:rPr>
                <w:b/>
                <w:sz w:val="22"/>
                <w:szCs w:val="22"/>
                <w:lang w:val="sr-Latn-RS"/>
              </w:rPr>
              <w:t>ANTIINFEKTIVNI LJEKOVI</w:t>
            </w:r>
          </w:p>
        </w:tc>
      </w:tr>
      <w:tr w:rsidR="00095F06" w:rsidRPr="00E04F74" w14:paraId="775EB4F2"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65FB33C3" w14:textId="77777777" w:rsidR="00095F06" w:rsidRPr="00E04F74" w:rsidRDefault="00095F06" w:rsidP="00095F06">
            <w:pPr>
              <w:jc w:val="both"/>
              <w:rPr>
                <w:sz w:val="22"/>
                <w:szCs w:val="22"/>
                <w:lang w:val="sr-Latn-RS"/>
              </w:rPr>
            </w:pPr>
            <w:r w:rsidRPr="00E04F74">
              <w:rPr>
                <w:sz w:val="22"/>
                <w:szCs w:val="22"/>
                <w:lang w:val="sr-Latn-RS"/>
              </w:rPr>
              <w:t>Trimetoprim/sulfametoksazol (kotrimoksazol)/abakavir</w:t>
            </w:r>
          </w:p>
        </w:tc>
        <w:tc>
          <w:tcPr>
            <w:tcW w:w="1812" w:type="pct"/>
            <w:tcBorders>
              <w:top w:val="single" w:sz="4" w:space="0" w:color="000000"/>
              <w:left w:val="single" w:sz="4" w:space="0" w:color="000000"/>
              <w:bottom w:val="single" w:sz="4" w:space="0" w:color="000000"/>
              <w:right w:val="single" w:sz="4" w:space="0" w:color="000000"/>
            </w:tcBorders>
            <w:hideMark/>
          </w:tcPr>
          <w:p w14:paraId="70FDAD75" w14:textId="77777777" w:rsidR="00095F06" w:rsidRPr="00E04F74" w:rsidRDefault="00095F06" w:rsidP="00095F06">
            <w:pPr>
              <w:jc w:val="both"/>
              <w:rPr>
                <w:sz w:val="22"/>
                <w:szCs w:val="22"/>
                <w:lang w:val="sr-Latn-RS"/>
              </w:rPr>
            </w:pPr>
            <w:r w:rsidRPr="00E04F74">
              <w:rPr>
                <w:sz w:val="22"/>
                <w:szCs w:val="22"/>
                <w:lang w:val="sr-Latn-RS"/>
              </w:rPr>
              <w:t>Interakcija nije ispitana</w:t>
            </w:r>
          </w:p>
        </w:tc>
        <w:tc>
          <w:tcPr>
            <w:tcW w:w="1605" w:type="pct"/>
            <w:vMerge w:val="restart"/>
            <w:tcBorders>
              <w:top w:val="single" w:sz="4" w:space="0" w:color="000000"/>
              <w:left w:val="single" w:sz="4" w:space="0" w:color="000000"/>
              <w:bottom w:val="single" w:sz="4" w:space="0" w:color="000000"/>
              <w:right w:val="single" w:sz="4" w:space="0" w:color="000000"/>
            </w:tcBorders>
          </w:tcPr>
          <w:p w14:paraId="4EF457BD" w14:textId="77777777" w:rsidR="00095F06" w:rsidRPr="00E04F74" w:rsidRDefault="00095F06" w:rsidP="00095F06">
            <w:pPr>
              <w:jc w:val="both"/>
              <w:rPr>
                <w:sz w:val="22"/>
                <w:szCs w:val="22"/>
                <w:lang w:val="sr-Latn-RS"/>
              </w:rPr>
            </w:pPr>
            <w:r w:rsidRPr="00E04F74">
              <w:rPr>
                <w:sz w:val="22"/>
                <w:szCs w:val="22"/>
                <w:lang w:val="sr-Latn-RS"/>
              </w:rPr>
              <w:t>Nije neophodno podešavanje doze lijka KIVEXA.</w:t>
            </w:r>
          </w:p>
          <w:p w14:paraId="0ED6DFC7" w14:textId="77777777" w:rsidR="00095F06" w:rsidRPr="00E04F74" w:rsidRDefault="00095F06" w:rsidP="00095F06">
            <w:pPr>
              <w:jc w:val="both"/>
              <w:rPr>
                <w:sz w:val="22"/>
                <w:szCs w:val="22"/>
                <w:lang w:val="sr-Latn-RS"/>
              </w:rPr>
            </w:pPr>
          </w:p>
          <w:p w14:paraId="6453A145" w14:textId="77777777" w:rsidR="00095F06" w:rsidRPr="00E04F74" w:rsidRDefault="00095F06" w:rsidP="00095F06">
            <w:pPr>
              <w:jc w:val="both"/>
              <w:rPr>
                <w:sz w:val="22"/>
                <w:szCs w:val="22"/>
                <w:lang w:val="sr-Latn-RS"/>
              </w:rPr>
            </w:pPr>
            <w:r w:rsidRPr="00E04F74">
              <w:rPr>
                <w:sz w:val="22"/>
                <w:szCs w:val="22"/>
                <w:lang w:val="sr-Latn-RS"/>
              </w:rPr>
              <w:t xml:space="preserve">U slučaju istovremene primjene sa kotrimoksazolom, potrebno je pratiti kliničko stanje pacijenta. Nije ispitana primjena visokih doza trimetoprima/sulfametoksazola u terapiji pneumonije izazvane </w:t>
            </w:r>
            <w:r w:rsidRPr="00E04F74">
              <w:rPr>
                <w:i/>
                <w:sz w:val="22"/>
                <w:szCs w:val="22"/>
                <w:lang w:val="sr-Latn-RS"/>
              </w:rPr>
              <w:t>Pneumocystis jirovecii</w:t>
            </w:r>
            <w:r w:rsidRPr="00E04F74">
              <w:rPr>
                <w:sz w:val="22"/>
                <w:szCs w:val="22"/>
                <w:lang w:val="sr-Latn-RS"/>
              </w:rPr>
              <w:t xml:space="preserve"> (PCP) i toksoplazmoze i stoga je treba izbjegavati.</w:t>
            </w:r>
          </w:p>
        </w:tc>
      </w:tr>
      <w:tr w:rsidR="00095F06" w:rsidRPr="00E04F74" w14:paraId="63164453"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0750A2CD" w14:textId="77777777" w:rsidR="00095F06" w:rsidRPr="00E04F74" w:rsidRDefault="00095F06" w:rsidP="00095F06">
            <w:pPr>
              <w:jc w:val="both"/>
              <w:rPr>
                <w:sz w:val="22"/>
                <w:szCs w:val="22"/>
                <w:lang w:val="sr-Latn-RS"/>
              </w:rPr>
            </w:pPr>
            <w:r w:rsidRPr="00E04F74">
              <w:rPr>
                <w:sz w:val="22"/>
                <w:szCs w:val="22"/>
                <w:lang w:val="sr-Latn-RS"/>
              </w:rPr>
              <w:lastRenderedPageBreak/>
              <w:t>Trimetoprim/sulfametoksazol (kotrimoksazol)/lamivudin</w:t>
            </w:r>
          </w:p>
          <w:p w14:paraId="3B8241C1" w14:textId="77777777" w:rsidR="00095F06" w:rsidRPr="00E04F74" w:rsidRDefault="00095F06" w:rsidP="00095F06">
            <w:pPr>
              <w:jc w:val="both"/>
              <w:rPr>
                <w:sz w:val="22"/>
                <w:szCs w:val="22"/>
                <w:lang w:val="sr-Latn-RS"/>
              </w:rPr>
            </w:pPr>
            <w:r w:rsidRPr="00E04F74">
              <w:rPr>
                <w:sz w:val="22"/>
                <w:szCs w:val="22"/>
                <w:lang w:val="sr-Latn-RS"/>
              </w:rPr>
              <w:t>(160 mg/800 mg jednom dnevno tokom 5 dana/300 mg u pojedinačnoj dozi)</w:t>
            </w:r>
          </w:p>
        </w:tc>
        <w:tc>
          <w:tcPr>
            <w:tcW w:w="1812" w:type="pct"/>
            <w:tcBorders>
              <w:top w:val="single" w:sz="4" w:space="0" w:color="000000"/>
              <w:left w:val="single" w:sz="4" w:space="0" w:color="000000"/>
              <w:bottom w:val="single" w:sz="4" w:space="0" w:color="000000"/>
              <w:right w:val="single" w:sz="4" w:space="0" w:color="000000"/>
            </w:tcBorders>
            <w:hideMark/>
          </w:tcPr>
          <w:p w14:paraId="0F215432" w14:textId="77777777" w:rsidR="00095F06" w:rsidRPr="00E04F74" w:rsidRDefault="00095F06" w:rsidP="00095F06">
            <w:pPr>
              <w:jc w:val="both"/>
              <w:rPr>
                <w:sz w:val="22"/>
                <w:szCs w:val="22"/>
                <w:lang w:val="sr-Latn-RS"/>
              </w:rPr>
            </w:pPr>
            <w:r w:rsidRPr="00E04F74">
              <w:rPr>
                <w:sz w:val="22"/>
                <w:szCs w:val="22"/>
                <w:lang w:val="sr-Latn-RS"/>
              </w:rPr>
              <w:t>Lamivudin: PIK ↑40%</w:t>
            </w:r>
          </w:p>
          <w:p w14:paraId="0CA7B5CB" w14:textId="77777777" w:rsidR="00095F06" w:rsidRPr="00E04F74" w:rsidRDefault="00095F06" w:rsidP="00095F06">
            <w:pPr>
              <w:jc w:val="both"/>
              <w:rPr>
                <w:sz w:val="22"/>
                <w:szCs w:val="22"/>
                <w:lang w:val="sr-Latn-RS"/>
              </w:rPr>
            </w:pPr>
            <w:r w:rsidRPr="00E04F74">
              <w:rPr>
                <w:sz w:val="22"/>
                <w:szCs w:val="22"/>
                <w:lang w:val="sr-Latn-RS"/>
              </w:rPr>
              <w:t>Trimetoprim: PIK ↔</w:t>
            </w:r>
          </w:p>
          <w:p w14:paraId="18F5E5FE" w14:textId="77777777" w:rsidR="00095F06" w:rsidRPr="00E04F74" w:rsidRDefault="00095F06" w:rsidP="00095F06">
            <w:pPr>
              <w:jc w:val="both"/>
              <w:rPr>
                <w:sz w:val="22"/>
                <w:szCs w:val="22"/>
                <w:lang w:val="sr-Latn-RS"/>
              </w:rPr>
            </w:pPr>
            <w:r w:rsidRPr="00E04F74">
              <w:rPr>
                <w:sz w:val="22"/>
                <w:szCs w:val="22"/>
                <w:lang w:val="sr-Latn-RS"/>
              </w:rPr>
              <w:t>Sulfametoksazol: PIK ↔</w:t>
            </w:r>
          </w:p>
          <w:p w14:paraId="2C85126C" w14:textId="77777777" w:rsidR="00095F06" w:rsidRPr="00E04F74" w:rsidRDefault="00095F06" w:rsidP="00095F06">
            <w:pPr>
              <w:jc w:val="both"/>
              <w:rPr>
                <w:sz w:val="22"/>
                <w:szCs w:val="22"/>
                <w:lang w:val="sr-Latn-RS"/>
              </w:rPr>
            </w:pPr>
            <w:r w:rsidRPr="00E04F74">
              <w:rPr>
                <w:sz w:val="22"/>
                <w:szCs w:val="22"/>
                <w:lang w:val="sr-Latn-RS"/>
              </w:rPr>
              <w:t>(inhibicija transportera organskih katjona)</w:t>
            </w:r>
          </w:p>
        </w:tc>
        <w:tc>
          <w:tcPr>
            <w:tcW w:w="1605" w:type="pct"/>
            <w:vMerge/>
            <w:tcBorders>
              <w:top w:val="single" w:sz="4" w:space="0" w:color="000000"/>
              <w:left w:val="single" w:sz="4" w:space="0" w:color="000000"/>
              <w:bottom w:val="single" w:sz="4" w:space="0" w:color="000000"/>
              <w:right w:val="single" w:sz="4" w:space="0" w:color="000000"/>
            </w:tcBorders>
            <w:vAlign w:val="center"/>
            <w:hideMark/>
          </w:tcPr>
          <w:p w14:paraId="08208836" w14:textId="77777777" w:rsidR="00095F06" w:rsidRPr="00E04F74" w:rsidRDefault="00095F06" w:rsidP="00095F06">
            <w:pPr>
              <w:jc w:val="both"/>
              <w:rPr>
                <w:sz w:val="22"/>
                <w:szCs w:val="22"/>
                <w:lang w:val="sr-Latn-RS"/>
              </w:rPr>
            </w:pPr>
          </w:p>
        </w:tc>
      </w:tr>
      <w:tr w:rsidR="00095F06" w:rsidRPr="00E04F74" w14:paraId="30268592" w14:textId="77777777" w:rsidTr="00095F06">
        <w:tc>
          <w:tcPr>
            <w:tcW w:w="5000" w:type="pct"/>
            <w:gridSpan w:val="3"/>
            <w:tcBorders>
              <w:top w:val="single" w:sz="4" w:space="0" w:color="000000"/>
              <w:left w:val="single" w:sz="4" w:space="0" w:color="000000"/>
              <w:bottom w:val="single" w:sz="4" w:space="0" w:color="000000"/>
              <w:right w:val="single" w:sz="4" w:space="0" w:color="000000"/>
            </w:tcBorders>
            <w:hideMark/>
          </w:tcPr>
          <w:p w14:paraId="684813A5" w14:textId="77777777" w:rsidR="00095F06" w:rsidRPr="00E04F74" w:rsidRDefault="00095F06" w:rsidP="00095F06">
            <w:pPr>
              <w:jc w:val="both"/>
              <w:rPr>
                <w:sz w:val="22"/>
                <w:szCs w:val="22"/>
                <w:lang w:val="sr-Latn-RS"/>
              </w:rPr>
            </w:pPr>
            <w:r w:rsidRPr="00E04F74">
              <w:rPr>
                <w:b/>
                <w:sz w:val="22"/>
                <w:szCs w:val="22"/>
                <w:lang w:val="sr-Latn-RS"/>
              </w:rPr>
              <w:t>ANTIMIKOBAKTERIJSKI LJEKOVI</w:t>
            </w:r>
          </w:p>
        </w:tc>
      </w:tr>
      <w:tr w:rsidR="00095F06" w:rsidRPr="00E04F74" w14:paraId="51CD3CBD" w14:textId="77777777" w:rsidTr="00095F06">
        <w:tc>
          <w:tcPr>
            <w:tcW w:w="1583" w:type="pct"/>
            <w:tcBorders>
              <w:top w:val="single" w:sz="4" w:space="0" w:color="000000"/>
              <w:left w:val="single" w:sz="4" w:space="0" w:color="000000"/>
              <w:bottom w:val="single" w:sz="4" w:space="0" w:color="000000"/>
              <w:right w:val="single" w:sz="4" w:space="0" w:color="000000"/>
            </w:tcBorders>
          </w:tcPr>
          <w:p w14:paraId="50DF09B4" w14:textId="77777777" w:rsidR="00095F06" w:rsidRPr="00E04F74" w:rsidRDefault="00095F06" w:rsidP="00095F06">
            <w:pPr>
              <w:jc w:val="both"/>
              <w:rPr>
                <w:sz w:val="22"/>
                <w:szCs w:val="22"/>
                <w:lang w:val="sr-Latn-RS"/>
              </w:rPr>
            </w:pPr>
            <w:r w:rsidRPr="00E04F74">
              <w:rPr>
                <w:sz w:val="22"/>
                <w:szCs w:val="22"/>
                <w:lang w:val="sr-Latn-RS"/>
              </w:rPr>
              <w:t>Rifampicin/abakavir</w:t>
            </w:r>
          </w:p>
          <w:p w14:paraId="17842C2A" w14:textId="77777777" w:rsidR="00095F06" w:rsidRPr="00E04F74" w:rsidRDefault="00095F06" w:rsidP="00095F06">
            <w:pPr>
              <w:jc w:val="both"/>
              <w:rPr>
                <w:sz w:val="22"/>
                <w:szCs w:val="22"/>
                <w:lang w:val="sr-Latn-RS"/>
              </w:rPr>
            </w:pPr>
          </w:p>
        </w:tc>
        <w:tc>
          <w:tcPr>
            <w:tcW w:w="1812" w:type="pct"/>
            <w:tcBorders>
              <w:top w:val="single" w:sz="4" w:space="0" w:color="000000"/>
              <w:left w:val="single" w:sz="4" w:space="0" w:color="000000"/>
              <w:bottom w:val="single" w:sz="4" w:space="0" w:color="000000"/>
              <w:right w:val="single" w:sz="4" w:space="0" w:color="000000"/>
            </w:tcBorders>
          </w:tcPr>
          <w:p w14:paraId="449EFEB4" w14:textId="77777777" w:rsidR="00095F06" w:rsidRPr="00E04F74" w:rsidRDefault="00095F06" w:rsidP="00095F06">
            <w:pPr>
              <w:jc w:val="both"/>
              <w:rPr>
                <w:sz w:val="22"/>
                <w:szCs w:val="22"/>
                <w:lang w:val="sr-Latn-RS"/>
              </w:rPr>
            </w:pPr>
            <w:r w:rsidRPr="00E04F74">
              <w:rPr>
                <w:sz w:val="22"/>
                <w:szCs w:val="22"/>
                <w:lang w:val="sr-Latn-RS"/>
              </w:rPr>
              <w:t>Interakcija nije ispitana</w:t>
            </w:r>
          </w:p>
          <w:p w14:paraId="229E291E" w14:textId="77777777" w:rsidR="00095F06" w:rsidRPr="00E04F74" w:rsidRDefault="00095F06" w:rsidP="00095F06">
            <w:pPr>
              <w:jc w:val="both"/>
              <w:rPr>
                <w:sz w:val="22"/>
                <w:szCs w:val="22"/>
                <w:lang w:val="sr-Latn-RS"/>
              </w:rPr>
            </w:pPr>
          </w:p>
          <w:p w14:paraId="289C22B1" w14:textId="77777777" w:rsidR="00095F06" w:rsidRPr="00E04F74" w:rsidRDefault="00095F06" w:rsidP="00095F06">
            <w:pPr>
              <w:jc w:val="both"/>
              <w:rPr>
                <w:sz w:val="22"/>
                <w:szCs w:val="22"/>
                <w:lang w:val="sr-Latn-RS"/>
              </w:rPr>
            </w:pPr>
            <w:r w:rsidRPr="00E04F74">
              <w:rPr>
                <w:sz w:val="22"/>
                <w:szCs w:val="22"/>
                <w:lang w:val="sr-Latn-RS"/>
              </w:rPr>
              <w:t>Potencijal za blago smanjenje koncentracija abakavira u plazmi putem indukcije UGT.</w:t>
            </w:r>
          </w:p>
        </w:tc>
        <w:tc>
          <w:tcPr>
            <w:tcW w:w="1605" w:type="pct"/>
            <w:vMerge w:val="restart"/>
            <w:tcBorders>
              <w:top w:val="single" w:sz="4" w:space="0" w:color="000000"/>
              <w:left w:val="single" w:sz="4" w:space="0" w:color="000000"/>
              <w:bottom w:val="single" w:sz="4" w:space="0" w:color="000000"/>
              <w:right w:val="single" w:sz="4" w:space="0" w:color="000000"/>
            </w:tcBorders>
            <w:hideMark/>
          </w:tcPr>
          <w:p w14:paraId="08EB9C06" w14:textId="77777777" w:rsidR="00095F06" w:rsidRPr="00E04F74" w:rsidRDefault="00095F06" w:rsidP="00095F06">
            <w:pPr>
              <w:jc w:val="both"/>
              <w:rPr>
                <w:sz w:val="22"/>
                <w:szCs w:val="22"/>
                <w:lang w:val="sr-Latn-RS"/>
              </w:rPr>
            </w:pPr>
            <w:r w:rsidRPr="00E04F74">
              <w:rPr>
                <w:sz w:val="22"/>
                <w:szCs w:val="22"/>
                <w:lang w:val="sr-Latn-RS"/>
              </w:rPr>
              <w:t>Nema dovoljno podataka na osnovu kojih bi bilo moguće preporučiti podešavanje doze.</w:t>
            </w:r>
          </w:p>
        </w:tc>
      </w:tr>
      <w:tr w:rsidR="00095F06" w:rsidRPr="00E04F74" w14:paraId="342CA7F2"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499FFF18" w14:textId="77777777" w:rsidR="00095F06" w:rsidRPr="00E04F74" w:rsidRDefault="00095F06" w:rsidP="00095F06">
            <w:pPr>
              <w:jc w:val="both"/>
              <w:rPr>
                <w:sz w:val="22"/>
                <w:szCs w:val="22"/>
                <w:lang w:val="sr-Latn-RS"/>
              </w:rPr>
            </w:pPr>
            <w:r w:rsidRPr="00E04F74">
              <w:rPr>
                <w:sz w:val="22"/>
                <w:szCs w:val="22"/>
                <w:lang w:val="sr-Latn-RS"/>
              </w:rPr>
              <w:t>Rifampicin/lamivudin</w:t>
            </w:r>
          </w:p>
        </w:tc>
        <w:tc>
          <w:tcPr>
            <w:tcW w:w="1812" w:type="pct"/>
            <w:tcBorders>
              <w:top w:val="single" w:sz="4" w:space="0" w:color="000000"/>
              <w:left w:val="single" w:sz="4" w:space="0" w:color="000000"/>
              <w:bottom w:val="single" w:sz="4" w:space="0" w:color="000000"/>
              <w:right w:val="single" w:sz="4" w:space="0" w:color="000000"/>
            </w:tcBorders>
            <w:hideMark/>
          </w:tcPr>
          <w:p w14:paraId="1A0A0CCB" w14:textId="77777777" w:rsidR="00095F06" w:rsidRPr="00E04F74" w:rsidRDefault="00095F06" w:rsidP="00095F06">
            <w:pPr>
              <w:jc w:val="both"/>
              <w:rPr>
                <w:sz w:val="22"/>
                <w:szCs w:val="22"/>
                <w:lang w:val="sr-Latn-RS"/>
              </w:rPr>
            </w:pPr>
            <w:r w:rsidRPr="00E04F74">
              <w:rPr>
                <w:sz w:val="22"/>
                <w:szCs w:val="22"/>
                <w:lang w:val="sr-Latn-RS"/>
              </w:rPr>
              <w:t>Interakcija nije ispitana</w:t>
            </w:r>
          </w:p>
        </w:tc>
        <w:tc>
          <w:tcPr>
            <w:tcW w:w="1605" w:type="pct"/>
            <w:vMerge/>
            <w:tcBorders>
              <w:top w:val="single" w:sz="4" w:space="0" w:color="000000"/>
              <w:left w:val="single" w:sz="4" w:space="0" w:color="000000"/>
              <w:bottom w:val="single" w:sz="4" w:space="0" w:color="000000"/>
              <w:right w:val="single" w:sz="4" w:space="0" w:color="000000"/>
            </w:tcBorders>
            <w:vAlign w:val="center"/>
            <w:hideMark/>
          </w:tcPr>
          <w:p w14:paraId="0E998FC1" w14:textId="77777777" w:rsidR="00095F06" w:rsidRPr="00E04F74" w:rsidRDefault="00095F06" w:rsidP="00095F06">
            <w:pPr>
              <w:jc w:val="both"/>
              <w:rPr>
                <w:sz w:val="22"/>
                <w:szCs w:val="22"/>
                <w:lang w:val="sr-Latn-RS"/>
              </w:rPr>
            </w:pPr>
          </w:p>
        </w:tc>
      </w:tr>
      <w:tr w:rsidR="00095F06" w:rsidRPr="00E04F74" w14:paraId="4B1A0345" w14:textId="77777777" w:rsidTr="00095F06">
        <w:tc>
          <w:tcPr>
            <w:tcW w:w="5000" w:type="pct"/>
            <w:gridSpan w:val="3"/>
            <w:tcBorders>
              <w:top w:val="single" w:sz="4" w:space="0" w:color="000000"/>
              <w:left w:val="single" w:sz="4" w:space="0" w:color="000000"/>
              <w:bottom w:val="single" w:sz="4" w:space="0" w:color="000000"/>
              <w:right w:val="single" w:sz="4" w:space="0" w:color="000000"/>
            </w:tcBorders>
            <w:hideMark/>
          </w:tcPr>
          <w:p w14:paraId="3033B7AC" w14:textId="77777777" w:rsidR="00095F06" w:rsidRPr="00E04F74" w:rsidRDefault="00095F06" w:rsidP="00095F06">
            <w:pPr>
              <w:jc w:val="both"/>
              <w:rPr>
                <w:b/>
                <w:sz w:val="22"/>
                <w:szCs w:val="22"/>
                <w:lang w:val="sr-Latn-RS"/>
              </w:rPr>
            </w:pPr>
            <w:r w:rsidRPr="00E04F74">
              <w:rPr>
                <w:b/>
                <w:sz w:val="22"/>
                <w:szCs w:val="22"/>
                <w:lang w:val="sr-Latn-RS"/>
              </w:rPr>
              <w:t>ANTIKONVULZIVI</w:t>
            </w:r>
          </w:p>
        </w:tc>
      </w:tr>
      <w:tr w:rsidR="00095F06" w:rsidRPr="00E04F74" w14:paraId="38B2F196"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3FFC5A57" w14:textId="77777777" w:rsidR="00095F06" w:rsidRPr="00E04F74" w:rsidRDefault="00095F06" w:rsidP="00095F06">
            <w:pPr>
              <w:jc w:val="both"/>
              <w:rPr>
                <w:sz w:val="22"/>
                <w:szCs w:val="22"/>
                <w:lang w:val="sr-Latn-RS"/>
              </w:rPr>
            </w:pPr>
            <w:r w:rsidRPr="00E04F74">
              <w:rPr>
                <w:sz w:val="22"/>
                <w:szCs w:val="22"/>
                <w:lang w:val="sr-Latn-RS"/>
              </w:rPr>
              <w:t>Fenobarbital/abakavir</w:t>
            </w:r>
          </w:p>
        </w:tc>
        <w:tc>
          <w:tcPr>
            <w:tcW w:w="1812" w:type="pct"/>
            <w:tcBorders>
              <w:top w:val="single" w:sz="4" w:space="0" w:color="000000"/>
              <w:left w:val="single" w:sz="4" w:space="0" w:color="000000"/>
              <w:bottom w:val="single" w:sz="4" w:space="0" w:color="000000"/>
              <w:right w:val="single" w:sz="4" w:space="0" w:color="000000"/>
            </w:tcBorders>
          </w:tcPr>
          <w:p w14:paraId="4F228123" w14:textId="77777777" w:rsidR="00095F06" w:rsidRPr="00E04F74" w:rsidRDefault="00095F06" w:rsidP="00095F06">
            <w:pPr>
              <w:jc w:val="both"/>
              <w:rPr>
                <w:sz w:val="22"/>
                <w:szCs w:val="22"/>
                <w:lang w:val="sr-Latn-RS"/>
              </w:rPr>
            </w:pPr>
            <w:r w:rsidRPr="00E04F74">
              <w:rPr>
                <w:sz w:val="22"/>
                <w:szCs w:val="22"/>
                <w:lang w:val="sr-Latn-RS"/>
              </w:rPr>
              <w:t>Interakcija nije ispitana</w:t>
            </w:r>
          </w:p>
          <w:p w14:paraId="79C10B21" w14:textId="77777777" w:rsidR="00095F06" w:rsidRPr="00E04F74" w:rsidRDefault="00095F06" w:rsidP="00095F06">
            <w:pPr>
              <w:jc w:val="both"/>
              <w:rPr>
                <w:sz w:val="22"/>
                <w:szCs w:val="22"/>
                <w:lang w:val="sr-Latn-RS"/>
              </w:rPr>
            </w:pPr>
          </w:p>
          <w:p w14:paraId="7DD4F502" w14:textId="77777777" w:rsidR="00095F06" w:rsidRPr="00E04F74" w:rsidRDefault="00095F06" w:rsidP="00095F06">
            <w:pPr>
              <w:jc w:val="both"/>
              <w:rPr>
                <w:sz w:val="22"/>
                <w:szCs w:val="22"/>
                <w:lang w:val="sr-Latn-RS"/>
              </w:rPr>
            </w:pPr>
            <w:r w:rsidRPr="00E04F74">
              <w:rPr>
                <w:sz w:val="22"/>
                <w:szCs w:val="22"/>
                <w:lang w:val="sr-Latn-RS"/>
              </w:rPr>
              <w:t>Potencijal za blago smanjenje koncentracija abakavira u plazmi putem indukcije UGT.</w:t>
            </w:r>
          </w:p>
        </w:tc>
        <w:tc>
          <w:tcPr>
            <w:tcW w:w="1605" w:type="pct"/>
            <w:vMerge w:val="restart"/>
            <w:tcBorders>
              <w:top w:val="single" w:sz="4" w:space="0" w:color="000000"/>
              <w:left w:val="single" w:sz="4" w:space="0" w:color="000000"/>
              <w:bottom w:val="single" w:sz="4" w:space="0" w:color="000000"/>
              <w:right w:val="single" w:sz="4" w:space="0" w:color="000000"/>
            </w:tcBorders>
            <w:hideMark/>
          </w:tcPr>
          <w:p w14:paraId="6DC85006" w14:textId="77777777" w:rsidR="00095F06" w:rsidRPr="00E04F74" w:rsidRDefault="00095F06" w:rsidP="00095F06">
            <w:pPr>
              <w:jc w:val="both"/>
              <w:rPr>
                <w:sz w:val="22"/>
                <w:szCs w:val="22"/>
                <w:lang w:val="sr-Latn-RS"/>
              </w:rPr>
            </w:pPr>
            <w:r w:rsidRPr="00E04F74">
              <w:rPr>
                <w:sz w:val="22"/>
                <w:szCs w:val="22"/>
                <w:lang w:val="sr-Latn-RS"/>
              </w:rPr>
              <w:t>Nema dovoljno podataka na osnovu kojih bi bilo moguće preporučiti podešavanje doze.</w:t>
            </w:r>
          </w:p>
        </w:tc>
      </w:tr>
      <w:tr w:rsidR="00095F06" w:rsidRPr="00E04F74" w14:paraId="73E75B4A"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43EAE7A0" w14:textId="77777777" w:rsidR="00095F06" w:rsidRPr="00E04F74" w:rsidRDefault="00095F06" w:rsidP="00095F06">
            <w:pPr>
              <w:jc w:val="both"/>
              <w:rPr>
                <w:sz w:val="22"/>
                <w:szCs w:val="22"/>
                <w:lang w:val="sr-Latn-RS"/>
              </w:rPr>
            </w:pPr>
            <w:r w:rsidRPr="00E04F74">
              <w:rPr>
                <w:sz w:val="22"/>
                <w:szCs w:val="22"/>
                <w:lang w:val="sr-Latn-RS"/>
              </w:rPr>
              <w:t>Fenobarbital/lamivudin</w:t>
            </w:r>
          </w:p>
        </w:tc>
        <w:tc>
          <w:tcPr>
            <w:tcW w:w="1812" w:type="pct"/>
            <w:tcBorders>
              <w:top w:val="single" w:sz="4" w:space="0" w:color="000000"/>
              <w:left w:val="single" w:sz="4" w:space="0" w:color="000000"/>
              <w:bottom w:val="single" w:sz="4" w:space="0" w:color="000000"/>
              <w:right w:val="single" w:sz="4" w:space="0" w:color="000000"/>
            </w:tcBorders>
            <w:hideMark/>
          </w:tcPr>
          <w:p w14:paraId="25C4C0B0" w14:textId="77777777" w:rsidR="00095F06" w:rsidRPr="00E04F74" w:rsidRDefault="00095F06" w:rsidP="00095F06">
            <w:pPr>
              <w:jc w:val="both"/>
              <w:rPr>
                <w:sz w:val="22"/>
                <w:szCs w:val="22"/>
                <w:lang w:val="sr-Latn-RS"/>
              </w:rPr>
            </w:pPr>
            <w:r w:rsidRPr="00E04F74">
              <w:rPr>
                <w:sz w:val="22"/>
                <w:szCs w:val="22"/>
                <w:lang w:val="sr-Latn-RS"/>
              </w:rPr>
              <w:t>Interakcija nije ispitana</w:t>
            </w:r>
          </w:p>
        </w:tc>
        <w:tc>
          <w:tcPr>
            <w:tcW w:w="1605" w:type="pct"/>
            <w:vMerge/>
            <w:tcBorders>
              <w:top w:val="single" w:sz="4" w:space="0" w:color="000000"/>
              <w:left w:val="single" w:sz="4" w:space="0" w:color="000000"/>
              <w:bottom w:val="single" w:sz="4" w:space="0" w:color="000000"/>
              <w:right w:val="single" w:sz="4" w:space="0" w:color="000000"/>
            </w:tcBorders>
            <w:vAlign w:val="center"/>
            <w:hideMark/>
          </w:tcPr>
          <w:p w14:paraId="0820F86E" w14:textId="77777777" w:rsidR="00095F06" w:rsidRPr="00E04F74" w:rsidRDefault="00095F06" w:rsidP="00095F06">
            <w:pPr>
              <w:jc w:val="both"/>
              <w:rPr>
                <w:sz w:val="22"/>
                <w:szCs w:val="22"/>
                <w:lang w:val="sr-Latn-RS"/>
              </w:rPr>
            </w:pPr>
          </w:p>
        </w:tc>
      </w:tr>
      <w:tr w:rsidR="00095F06" w:rsidRPr="00E04F74" w14:paraId="0FF6B251"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0DA62317" w14:textId="77777777" w:rsidR="00095F06" w:rsidRPr="00E04F74" w:rsidRDefault="00095F06" w:rsidP="00095F06">
            <w:pPr>
              <w:jc w:val="both"/>
              <w:rPr>
                <w:sz w:val="22"/>
                <w:szCs w:val="22"/>
                <w:lang w:val="sr-Latn-RS"/>
              </w:rPr>
            </w:pPr>
            <w:r w:rsidRPr="00E04F74">
              <w:rPr>
                <w:sz w:val="22"/>
                <w:szCs w:val="22"/>
                <w:lang w:val="sr-Latn-RS"/>
              </w:rPr>
              <w:t>Fenitoin/abakavir</w:t>
            </w:r>
          </w:p>
        </w:tc>
        <w:tc>
          <w:tcPr>
            <w:tcW w:w="1812" w:type="pct"/>
            <w:tcBorders>
              <w:top w:val="single" w:sz="4" w:space="0" w:color="000000"/>
              <w:left w:val="single" w:sz="4" w:space="0" w:color="000000"/>
              <w:bottom w:val="single" w:sz="4" w:space="0" w:color="000000"/>
              <w:right w:val="single" w:sz="4" w:space="0" w:color="000000"/>
            </w:tcBorders>
          </w:tcPr>
          <w:p w14:paraId="399CF0EA" w14:textId="77777777" w:rsidR="00095F06" w:rsidRPr="00E04F74" w:rsidRDefault="00095F06" w:rsidP="00095F06">
            <w:pPr>
              <w:jc w:val="both"/>
              <w:rPr>
                <w:sz w:val="22"/>
                <w:szCs w:val="22"/>
                <w:lang w:val="sr-Latn-RS"/>
              </w:rPr>
            </w:pPr>
            <w:r w:rsidRPr="00E04F74">
              <w:rPr>
                <w:sz w:val="22"/>
                <w:szCs w:val="22"/>
                <w:lang w:val="sr-Latn-RS"/>
              </w:rPr>
              <w:t xml:space="preserve">Interakcija nije ispitana </w:t>
            </w:r>
          </w:p>
          <w:p w14:paraId="54D30664" w14:textId="77777777" w:rsidR="00095F06" w:rsidRPr="00E04F74" w:rsidRDefault="00095F06" w:rsidP="00095F06">
            <w:pPr>
              <w:jc w:val="both"/>
              <w:rPr>
                <w:sz w:val="22"/>
                <w:szCs w:val="22"/>
                <w:lang w:val="sr-Latn-RS"/>
              </w:rPr>
            </w:pPr>
          </w:p>
          <w:p w14:paraId="3EA90BCF" w14:textId="77777777" w:rsidR="00095F06" w:rsidRPr="00E04F74" w:rsidRDefault="00095F06" w:rsidP="00095F06">
            <w:pPr>
              <w:jc w:val="both"/>
              <w:rPr>
                <w:sz w:val="22"/>
                <w:szCs w:val="22"/>
                <w:lang w:val="sr-Latn-RS"/>
              </w:rPr>
            </w:pPr>
            <w:r w:rsidRPr="00E04F74">
              <w:rPr>
                <w:sz w:val="22"/>
                <w:szCs w:val="22"/>
                <w:lang w:val="sr-Latn-RS"/>
              </w:rPr>
              <w:t>Potencijal za blago smanjenje koncentracija abakavira u plazmi putem indukcije UGT.</w:t>
            </w:r>
          </w:p>
        </w:tc>
        <w:tc>
          <w:tcPr>
            <w:tcW w:w="1605" w:type="pct"/>
            <w:vMerge w:val="restart"/>
            <w:tcBorders>
              <w:top w:val="single" w:sz="4" w:space="0" w:color="000000"/>
              <w:left w:val="single" w:sz="4" w:space="0" w:color="000000"/>
              <w:bottom w:val="single" w:sz="4" w:space="0" w:color="000000"/>
              <w:right w:val="single" w:sz="4" w:space="0" w:color="000000"/>
            </w:tcBorders>
          </w:tcPr>
          <w:p w14:paraId="7636EA19" w14:textId="77777777" w:rsidR="00095F06" w:rsidRPr="00E04F74" w:rsidRDefault="00095F06" w:rsidP="00095F06">
            <w:pPr>
              <w:jc w:val="both"/>
              <w:rPr>
                <w:sz w:val="22"/>
                <w:szCs w:val="22"/>
                <w:lang w:val="sr-Latn-RS"/>
              </w:rPr>
            </w:pPr>
            <w:r w:rsidRPr="00E04F74">
              <w:rPr>
                <w:sz w:val="22"/>
                <w:szCs w:val="22"/>
                <w:lang w:val="sr-Latn-RS"/>
              </w:rPr>
              <w:t>Nema dovoljno podataka na osnovu kojih bi bilo moguće preporučiti podešavanje doze.</w:t>
            </w:r>
          </w:p>
          <w:p w14:paraId="33BFC27C" w14:textId="77777777" w:rsidR="00095F06" w:rsidRPr="00E04F74" w:rsidRDefault="00095F06" w:rsidP="00095F06">
            <w:pPr>
              <w:jc w:val="both"/>
              <w:rPr>
                <w:sz w:val="22"/>
                <w:szCs w:val="22"/>
                <w:lang w:val="sr-Latn-RS"/>
              </w:rPr>
            </w:pPr>
          </w:p>
          <w:p w14:paraId="5E94DD32" w14:textId="77777777" w:rsidR="00095F06" w:rsidRPr="00E04F74" w:rsidRDefault="00095F06" w:rsidP="00095F06">
            <w:pPr>
              <w:jc w:val="both"/>
              <w:rPr>
                <w:sz w:val="22"/>
                <w:szCs w:val="22"/>
                <w:lang w:val="sr-Latn-RS"/>
              </w:rPr>
            </w:pPr>
            <w:r w:rsidRPr="00E04F74">
              <w:rPr>
                <w:sz w:val="22"/>
                <w:szCs w:val="22"/>
                <w:lang w:val="sr-Latn-RS"/>
              </w:rPr>
              <w:t>Potrebno je pratiti koncentracije fenitoina.</w:t>
            </w:r>
          </w:p>
        </w:tc>
      </w:tr>
      <w:tr w:rsidR="00095F06" w:rsidRPr="00E04F74" w14:paraId="17377DC1"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0623772A" w14:textId="77777777" w:rsidR="00095F06" w:rsidRPr="00E04F74" w:rsidRDefault="00095F06" w:rsidP="00095F06">
            <w:pPr>
              <w:jc w:val="both"/>
              <w:rPr>
                <w:sz w:val="22"/>
                <w:szCs w:val="22"/>
                <w:lang w:val="sr-Latn-RS"/>
              </w:rPr>
            </w:pPr>
            <w:r w:rsidRPr="00E04F74">
              <w:rPr>
                <w:sz w:val="22"/>
                <w:szCs w:val="22"/>
                <w:lang w:val="sr-Latn-RS"/>
              </w:rPr>
              <w:t>Fenitoin/lamivudin</w:t>
            </w:r>
          </w:p>
        </w:tc>
        <w:tc>
          <w:tcPr>
            <w:tcW w:w="1812" w:type="pct"/>
            <w:tcBorders>
              <w:top w:val="single" w:sz="4" w:space="0" w:color="000000"/>
              <w:left w:val="single" w:sz="4" w:space="0" w:color="000000"/>
              <w:bottom w:val="single" w:sz="4" w:space="0" w:color="000000"/>
              <w:right w:val="single" w:sz="4" w:space="0" w:color="000000"/>
            </w:tcBorders>
            <w:hideMark/>
          </w:tcPr>
          <w:p w14:paraId="199F4068" w14:textId="77777777" w:rsidR="00095F06" w:rsidRPr="00E04F74" w:rsidRDefault="00095F06" w:rsidP="00095F06">
            <w:pPr>
              <w:jc w:val="both"/>
              <w:rPr>
                <w:sz w:val="22"/>
                <w:szCs w:val="22"/>
                <w:lang w:val="sr-Latn-RS"/>
              </w:rPr>
            </w:pPr>
            <w:r w:rsidRPr="00E04F74">
              <w:rPr>
                <w:sz w:val="22"/>
                <w:szCs w:val="22"/>
                <w:lang w:val="sr-Latn-RS"/>
              </w:rPr>
              <w:t>Interakcija nije ispitana</w:t>
            </w:r>
          </w:p>
        </w:tc>
        <w:tc>
          <w:tcPr>
            <w:tcW w:w="1605" w:type="pct"/>
            <w:vMerge/>
            <w:tcBorders>
              <w:top w:val="single" w:sz="4" w:space="0" w:color="000000"/>
              <w:left w:val="single" w:sz="4" w:space="0" w:color="000000"/>
              <w:bottom w:val="single" w:sz="4" w:space="0" w:color="000000"/>
              <w:right w:val="single" w:sz="4" w:space="0" w:color="000000"/>
            </w:tcBorders>
            <w:vAlign w:val="center"/>
            <w:hideMark/>
          </w:tcPr>
          <w:p w14:paraId="0D768776" w14:textId="77777777" w:rsidR="00095F06" w:rsidRPr="00E04F74" w:rsidRDefault="00095F06" w:rsidP="00095F06">
            <w:pPr>
              <w:jc w:val="both"/>
              <w:rPr>
                <w:sz w:val="22"/>
                <w:szCs w:val="22"/>
                <w:lang w:val="sr-Latn-RS"/>
              </w:rPr>
            </w:pPr>
          </w:p>
        </w:tc>
      </w:tr>
      <w:tr w:rsidR="00095F06" w:rsidRPr="00E04F74" w14:paraId="1EF7F506" w14:textId="77777777" w:rsidTr="00095F06">
        <w:tc>
          <w:tcPr>
            <w:tcW w:w="5000" w:type="pct"/>
            <w:gridSpan w:val="3"/>
            <w:tcBorders>
              <w:top w:val="single" w:sz="4" w:space="0" w:color="000000"/>
              <w:left w:val="single" w:sz="4" w:space="0" w:color="000000"/>
              <w:bottom w:val="single" w:sz="4" w:space="0" w:color="000000"/>
              <w:right w:val="single" w:sz="4" w:space="0" w:color="000000"/>
            </w:tcBorders>
            <w:hideMark/>
          </w:tcPr>
          <w:p w14:paraId="46E01E51" w14:textId="77777777" w:rsidR="00095F06" w:rsidRPr="00E04F74" w:rsidRDefault="00095F06" w:rsidP="00095F06">
            <w:pPr>
              <w:jc w:val="both"/>
              <w:rPr>
                <w:b/>
                <w:sz w:val="22"/>
                <w:szCs w:val="22"/>
                <w:lang w:val="sr-Latn-RS"/>
              </w:rPr>
            </w:pPr>
            <w:r w:rsidRPr="00E04F74">
              <w:rPr>
                <w:b/>
                <w:sz w:val="22"/>
                <w:szCs w:val="22"/>
                <w:lang w:val="sr-Latn-RS"/>
              </w:rPr>
              <w:t>ANTIHISTAMINICI (ANTAGONISTI HISTAMINSKIH H2 RECEPTORA)</w:t>
            </w:r>
          </w:p>
        </w:tc>
      </w:tr>
      <w:tr w:rsidR="00095F06" w:rsidRPr="00E04F74" w14:paraId="328C97AB"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297FBABA" w14:textId="77777777" w:rsidR="00095F06" w:rsidRPr="00E04F74" w:rsidRDefault="00095F06" w:rsidP="00095F06">
            <w:pPr>
              <w:jc w:val="both"/>
              <w:rPr>
                <w:sz w:val="22"/>
                <w:szCs w:val="22"/>
                <w:lang w:val="sr-Latn-RS"/>
              </w:rPr>
            </w:pPr>
            <w:r w:rsidRPr="00E04F74">
              <w:rPr>
                <w:sz w:val="22"/>
                <w:szCs w:val="22"/>
                <w:lang w:val="sr-Latn-RS"/>
              </w:rPr>
              <w:t>Ranitidin/abakavir</w:t>
            </w:r>
          </w:p>
        </w:tc>
        <w:tc>
          <w:tcPr>
            <w:tcW w:w="1812" w:type="pct"/>
            <w:tcBorders>
              <w:top w:val="single" w:sz="4" w:space="0" w:color="000000"/>
              <w:left w:val="single" w:sz="4" w:space="0" w:color="000000"/>
              <w:bottom w:val="single" w:sz="4" w:space="0" w:color="000000"/>
              <w:right w:val="single" w:sz="4" w:space="0" w:color="000000"/>
            </w:tcBorders>
            <w:hideMark/>
          </w:tcPr>
          <w:p w14:paraId="242B395B" w14:textId="77777777" w:rsidR="00095F06" w:rsidRPr="00E04F74" w:rsidRDefault="00095F06" w:rsidP="00095F06">
            <w:pPr>
              <w:jc w:val="both"/>
              <w:rPr>
                <w:sz w:val="22"/>
                <w:szCs w:val="22"/>
                <w:lang w:val="sr-Latn-RS"/>
              </w:rPr>
            </w:pPr>
            <w:r w:rsidRPr="00E04F74">
              <w:rPr>
                <w:sz w:val="22"/>
                <w:szCs w:val="22"/>
                <w:lang w:val="sr-Latn-RS"/>
              </w:rPr>
              <w:t>Interakcija nije ispitana</w:t>
            </w:r>
          </w:p>
        </w:tc>
        <w:tc>
          <w:tcPr>
            <w:tcW w:w="1605" w:type="pct"/>
            <w:vMerge w:val="restart"/>
            <w:tcBorders>
              <w:top w:val="single" w:sz="4" w:space="0" w:color="000000"/>
              <w:left w:val="single" w:sz="4" w:space="0" w:color="000000"/>
              <w:bottom w:val="single" w:sz="4" w:space="0" w:color="000000"/>
              <w:right w:val="single" w:sz="4" w:space="0" w:color="000000"/>
            </w:tcBorders>
            <w:hideMark/>
          </w:tcPr>
          <w:p w14:paraId="29440BFC" w14:textId="77777777" w:rsidR="00095F06" w:rsidRPr="00E04F74" w:rsidRDefault="00095F06" w:rsidP="00095F06">
            <w:pPr>
              <w:jc w:val="both"/>
              <w:rPr>
                <w:sz w:val="22"/>
                <w:szCs w:val="22"/>
                <w:lang w:val="sr-Latn-RS"/>
              </w:rPr>
            </w:pPr>
            <w:r w:rsidRPr="00E04F74">
              <w:rPr>
                <w:sz w:val="22"/>
                <w:szCs w:val="22"/>
                <w:lang w:val="sr-Latn-RS"/>
              </w:rPr>
              <w:t>Nijesu neophodna podešavanja doze.</w:t>
            </w:r>
          </w:p>
        </w:tc>
      </w:tr>
      <w:tr w:rsidR="00095F06" w:rsidRPr="00E04F74" w14:paraId="33F2742F"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56A33BC8" w14:textId="77777777" w:rsidR="00095F06" w:rsidRPr="00E04F74" w:rsidRDefault="00095F06" w:rsidP="00095F06">
            <w:pPr>
              <w:jc w:val="both"/>
              <w:rPr>
                <w:sz w:val="22"/>
                <w:szCs w:val="22"/>
                <w:lang w:val="sr-Latn-RS"/>
              </w:rPr>
            </w:pPr>
            <w:r w:rsidRPr="00E04F74">
              <w:rPr>
                <w:sz w:val="22"/>
                <w:szCs w:val="22"/>
                <w:lang w:val="sr-Latn-RS"/>
              </w:rPr>
              <w:t>Ranitidin/lamivudin</w:t>
            </w:r>
          </w:p>
        </w:tc>
        <w:tc>
          <w:tcPr>
            <w:tcW w:w="1812" w:type="pct"/>
            <w:tcBorders>
              <w:top w:val="single" w:sz="4" w:space="0" w:color="000000"/>
              <w:left w:val="single" w:sz="4" w:space="0" w:color="000000"/>
              <w:bottom w:val="single" w:sz="4" w:space="0" w:color="000000"/>
              <w:right w:val="single" w:sz="4" w:space="0" w:color="000000"/>
            </w:tcBorders>
          </w:tcPr>
          <w:p w14:paraId="4F395E7E" w14:textId="77777777" w:rsidR="00095F06" w:rsidRPr="00E04F74" w:rsidRDefault="00095F06" w:rsidP="00095F06">
            <w:pPr>
              <w:jc w:val="both"/>
              <w:rPr>
                <w:sz w:val="22"/>
                <w:szCs w:val="22"/>
                <w:lang w:val="sr-Latn-RS"/>
              </w:rPr>
            </w:pPr>
            <w:r w:rsidRPr="00E04F74">
              <w:rPr>
                <w:sz w:val="22"/>
                <w:szCs w:val="22"/>
                <w:lang w:val="sr-Latn-RS"/>
              </w:rPr>
              <w:t xml:space="preserve">Interakcija nije ispitana </w:t>
            </w:r>
          </w:p>
          <w:p w14:paraId="66EAE4C2" w14:textId="77777777" w:rsidR="00095F06" w:rsidRPr="00E04F74" w:rsidRDefault="00095F06" w:rsidP="00095F06">
            <w:pPr>
              <w:jc w:val="both"/>
              <w:rPr>
                <w:sz w:val="22"/>
                <w:szCs w:val="22"/>
                <w:lang w:val="sr-Latn-RS"/>
              </w:rPr>
            </w:pPr>
          </w:p>
          <w:p w14:paraId="5C56D046" w14:textId="77777777" w:rsidR="00095F06" w:rsidRPr="00E04F74" w:rsidRDefault="00095F06" w:rsidP="00095F06">
            <w:pPr>
              <w:jc w:val="both"/>
              <w:rPr>
                <w:sz w:val="22"/>
                <w:szCs w:val="22"/>
                <w:lang w:val="sr-Latn-RS"/>
              </w:rPr>
            </w:pPr>
            <w:r w:rsidRPr="00E04F74">
              <w:rPr>
                <w:sz w:val="22"/>
                <w:szCs w:val="22"/>
                <w:lang w:val="sr-Latn-RS"/>
              </w:rPr>
              <w:t xml:space="preserve">Malo je vjerovatna interakcija od kliničkog značaja. Ranitidin se eliminiše samo djelimično renalnim sistemom transporta organskih katjona. </w:t>
            </w:r>
          </w:p>
        </w:tc>
        <w:tc>
          <w:tcPr>
            <w:tcW w:w="1605" w:type="pct"/>
            <w:vMerge/>
            <w:tcBorders>
              <w:top w:val="single" w:sz="4" w:space="0" w:color="000000"/>
              <w:left w:val="single" w:sz="4" w:space="0" w:color="000000"/>
              <w:bottom w:val="single" w:sz="4" w:space="0" w:color="000000"/>
              <w:right w:val="single" w:sz="4" w:space="0" w:color="000000"/>
            </w:tcBorders>
            <w:vAlign w:val="center"/>
            <w:hideMark/>
          </w:tcPr>
          <w:p w14:paraId="0980F98E" w14:textId="77777777" w:rsidR="00095F06" w:rsidRPr="00E04F74" w:rsidRDefault="00095F06" w:rsidP="00095F06">
            <w:pPr>
              <w:jc w:val="both"/>
              <w:rPr>
                <w:sz w:val="22"/>
                <w:szCs w:val="22"/>
                <w:lang w:val="sr-Latn-RS"/>
              </w:rPr>
            </w:pPr>
          </w:p>
        </w:tc>
      </w:tr>
      <w:tr w:rsidR="00095F06" w:rsidRPr="00E04F74" w14:paraId="0AE6810F"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7760005E" w14:textId="77777777" w:rsidR="00095F06" w:rsidRPr="00E04F74" w:rsidRDefault="00095F06" w:rsidP="00095F06">
            <w:pPr>
              <w:jc w:val="both"/>
              <w:rPr>
                <w:sz w:val="22"/>
                <w:szCs w:val="22"/>
                <w:lang w:val="sr-Latn-RS"/>
              </w:rPr>
            </w:pPr>
            <w:r w:rsidRPr="00E04F74">
              <w:rPr>
                <w:sz w:val="22"/>
                <w:szCs w:val="22"/>
                <w:lang w:val="sr-Latn-RS"/>
              </w:rPr>
              <w:t>Cimetidin/abakavir</w:t>
            </w:r>
          </w:p>
        </w:tc>
        <w:tc>
          <w:tcPr>
            <w:tcW w:w="1812" w:type="pct"/>
            <w:tcBorders>
              <w:top w:val="single" w:sz="4" w:space="0" w:color="000000"/>
              <w:left w:val="single" w:sz="4" w:space="0" w:color="000000"/>
              <w:bottom w:val="single" w:sz="4" w:space="0" w:color="000000"/>
              <w:right w:val="single" w:sz="4" w:space="0" w:color="000000"/>
            </w:tcBorders>
            <w:hideMark/>
          </w:tcPr>
          <w:p w14:paraId="38FB196C" w14:textId="77777777" w:rsidR="00095F06" w:rsidRPr="00E04F74" w:rsidRDefault="00095F06" w:rsidP="00095F06">
            <w:pPr>
              <w:jc w:val="both"/>
              <w:rPr>
                <w:sz w:val="22"/>
                <w:szCs w:val="22"/>
                <w:lang w:val="sr-Latn-RS"/>
              </w:rPr>
            </w:pPr>
            <w:r w:rsidRPr="00E04F74">
              <w:rPr>
                <w:sz w:val="22"/>
                <w:szCs w:val="22"/>
                <w:lang w:val="sr-Latn-RS"/>
              </w:rPr>
              <w:t>Interakcija nije ispitana</w:t>
            </w:r>
          </w:p>
        </w:tc>
        <w:tc>
          <w:tcPr>
            <w:tcW w:w="1605" w:type="pct"/>
            <w:vMerge w:val="restart"/>
            <w:tcBorders>
              <w:top w:val="single" w:sz="4" w:space="0" w:color="000000"/>
              <w:left w:val="single" w:sz="4" w:space="0" w:color="000000"/>
              <w:bottom w:val="single" w:sz="4" w:space="0" w:color="000000"/>
              <w:right w:val="single" w:sz="4" w:space="0" w:color="000000"/>
            </w:tcBorders>
            <w:hideMark/>
          </w:tcPr>
          <w:p w14:paraId="140B2711" w14:textId="77777777" w:rsidR="00095F06" w:rsidRPr="00E04F74" w:rsidRDefault="00095F06" w:rsidP="00095F06">
            <w:pPr>
              <w:jc w:val="both"/>
              <w:rPr>
                <w:sz w:val="22"/>
                <w:szCs w:val="22"/>
                <w:lang w:val="sr-Latn-RS"/>
              </w:rPr>
            </w:pPr>
            <w:r w:rsidRPr="00E04F74">
              <w:rPr>
                <w:sz w:val="22"/>
                <w:szCs w:val="22"/>
                <w:lang w:val="sr-Latn-RS"/>
              </w:rPr>
              <w:t>Nijesu neophodna podešavanja doze.</w:t>
            </w:r>
          </w:p>
        </w:tc>
      </w:tr>
      <w:tr w:rsidR="00095F06" w:rsidRPr="00E04F74" w14:paraId="30FA90BD"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47F1D3AC" w14:textId="77777777" w:rsidR="00095F06" w:rsidRPr="00E04F74" w:rsidRDefault="00095F06" w:rsidP="00095F06">
            <w:pPr>
              <w:jc w:val="both"/>
              <w:rPr>
                <w:sz w:val="22"/>
                <w:szCs w:val="22"/>
                <w:lang w:val="sr-Latn-RS"/>
              </w:rPr>
            </w:pPr>
            <w:r w:rsidRPr="00E04F74">
              <w:rPr>
                <w:sz w:val="22"/>
                <w:szCs w:val="22"/>
                <w:lang w:val="sr-Latn-RS"/>
              </w:rPr>
              <w:t>Cimetidin/lamivudin</w:t>
            </w:r>
          </w:p>
        </w:tc>
        <w:tc>
          <w:tcPr>
            <w:tcW w:w="1812" w:type="pct"/>
            <w:tcBorders>
              <w:top w:val="single" w:sz="4" w:space="0" w:color="000000"/>
              <w:left w:val="single" w:sz="4" w:space="0" w:color="000000"/>
              <w:bottom w:val="single" w:sz="4" w:space="0" w:color="000000"/>
              <w:right w:val="single" w:sz="4" w:space="0" w:color="000000"/>
            </w:tcBorders>
          </w:tcPr>
          <w:p w14:paraId="2352424E" w14:textId="77777777" w:rsidR="00095F06" w:rsidRPr="00E04F74" w:rsidRDefault="00095F06" w:rsidP="00095F06">
            <w:pPr>
              <w:jc w:val="both"/>
              <w:rPr>
                <w:sz w:val="22"/>
                <w:szCs w:val="22"/>
                <w:lang w:val="sr-Latn-RS"/>
              </w:rPr>
            </w:pPr>
            <w:r w:rsidRPr="00E04F74">
              <w:rPr>
                <w:sz w:val="22"/>
                <w:szCs w:val="22"/>
                <w:lang w:val="sr-Latn-RS"/>
              </w:rPr>
              <w:t xml:space="preserve">Interakcija nije ispitana </w:t>
            </w:r>
          </w:p>
          <w:p w14:paraId="25C6757E" w14:textId="77777777" w:rsidR="00095F06" w:rsidRPr="00E04F74" w:rsidRDefault="00095F06" w:rsidP="00095F06">
            <w:pPr>
              <w:jc w:val="both"/>
              <w:rPr>
                <w:sz w:val="22"/>
                <w:szCs w:val="22"/>
                <w:lang w:val="sr-Latn-RS"/>
              </w:rPr>
            </w:pPr>
          </w:p>
          <w:p w14:paraId="49961D5E" w14:textId="77777777" w:rsidR="00095F06" w:rsidRPr="00E04F74" w:rsidRDefault="00095F06" w:rsidP="00095F06">
            <w:pPr>
              <w:jc w:val="both"/>
              <w:rPr>
                <w:sz w:val="22"/>
                <w:szCs w:val="22"/>
                <w:lang w:val="sr-Latn-RS"/>
              </w:rPr>
            </w:pPr>
            <w:r w:rsidRPr="00E04F74">
              <w:rPr>
                <w:sz w:val="22"/>
                <w:szCs w:val="22"/>
                <w:lang w:val="sr-Latn-RS"/>
              </w:rPr>
              <w:t>Malo je vjerovatna interakcija od kliničkog značaja. Cimetidin se eliminiše samo djelimično renalnim sistemom transporta organskih katjona.</w:t>
            </w:r>
          </w:p>
        </w:tc>
        <w:tc>
          <w:tcPr>
            <w:tcW w:w="1605" w:type="pct"/>
            <w:vMerge/>
            <w:tcBorders>
              <w:top w:val="single" w:sz="4" w:space="0" w:color="000000"/>
              <w:left w:val="single" w:sz="4" w:space="0" w:color="000000"/>
              <w:bottom w:val="single" w:sz="4" w:space="0" w:color="000000"/>
              <w:right w:val="single" w:sz="4" w:space="0" w:color="000000"/>
            </w:tcBorders>
            <w:vAlign w:val="center"/>
            <w:hideMark/>
          </w:tcPr>
          <w:p w14:paraId="1EF17AA3" w14:textId="77777777" w:rsidR="00095F06" w:rsidRPr="00E04F74" w:rsidRDefault="00095F06" w:rsidP="00095F06">
            <w:pPr>
              <w:jc w:val="both"/>
              <w:rPr>
                <w:sz w:val="22"/>
                <w:szCs w:val="22"/>
                <w:lang w:val="sr-Latn-RS"/>
              </w:rPr>
            </w:pPr>
          </w:p>
        </w:tc>
      </w:tr>
      <w:tr w:rsidR="00095F06" w:rsidRPr="00E04F74" w14:paraId="74802500" w14:textId="77777777" w:rsidTr="00095F06">
        <w:tc>
          <w:tcPr>
            <w:tcW w:w="5000" w:type="pct"/>
            <w:gridSpan w:val="3"/>
            <w:tcBorders>
              <w:top w:val="single" w:sz="4" w:space="0" w:color="000000"/>
              <w:left w:val="single" w:sz="4" w:space="0" w:color="000000"/>
              <w:bottom w:val="single" w:sz="4" w:space="0" w:color="000000"/>
              <w:right w:val="single" w:sz="4" w:space="0" w:color="000000"/>
            </w:tcBorders>
            <w:hideMark/>
          </w:tcPr>
          <w:p w14:paraId="178F6E1E" w14:textId="77777777" w:rsidR="00095F06" w:rsidRPr="00E04F74" w:rsidRDefault="00095F06" w:rsidP="00095F06">
            <w:pPr>
              <w:jc w:val="both"/>
              <w:rPr>
                <w:b/>
                <w:sz w:val="22"/>
                <w:szCs w:val="22"/>
                <w:lang w:val="sr-Latn-RS"/>
              </w:rPr>
            </w:pPr>
            <w:r w:rsidRPr="00E04F74">
              <w:rPr>
                <w:b/>
                <w:sz w:val="22"/>
                <w:szCs w:val="22"/>
                <w:lang w:val="sr-Latn-RS"/>
              </w:rPr>
              <w:t>CITOTOKSIČNI LJEKOVI</w:t>
            </w:r>
          </w:p>
        </w:tc>
      </w:tr>
      <w:tr w:rsidR="00095F06" w:rsidRPr="00E04F74" w14:paraId="1282D018" w14:textId="77777777" w:rsidTr="00095F06">
        <w:tc>
          <w:tcPr>
            <w:tcW w:w="5000" w:type="pct"/>
            <w:gridSpan w:val="3"/>
            <w:tcBorders>
              <w:top w:val="single" w:sz="4" w:space="0" w:color="000000"/>
              <w:left w:val="single" w:sz="4" w:space="0" w:color="000000"/>
              <w:bottom w:val="single" w:sz="4" w:space="0" w:color="000000"/>
              <w:right w:val="single" w:sz="4" w:space="0" w:color="000000"/>
            </w:tcBorders>
            <w:hideMark/>
          </w:tcPr>
          <w:tbl>
            <w:tblPr>
              <w:tblpPr w:leftFromText="141" w:rightFromText="141" w:vertAnchor="text" w:tblpXSpec="right" w:tblpY="1"/>
              <w:tblOverlap w:val="neve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92"/>
              <w:gridCol w:w="2976"/>
              <w:gridCol w:w="2879"/>
            </w:tblGrid>
            <w:tr w:rsidR="00095F06" w:rsidRPr="00E04F74" w14:paraId="054C873D" w14:textId="77777777" w:rsidTr="00095F06">
              <w:trPr>
                <w:cantSplit/>
              </w:trPr>
              <w:tc>
                <w:tcPr>
                  <w:tcW w:w="1691" w:type="pct"/>
                  <w:tcBorders>
                    <w:top w:val="single" w:sz="4" w:space="0" w:color="auto"/>
                    <w:left w:val="nil"/>
                    <w:bottom w:val="single" w:sz="4" w:space="0" w:color="auto"/>
                    <w:right w:val="single" w:sz="4" w:space="0" w:color="auto"/>
                  </w:tcBorders>
                </w:tcPr>
                <w:p w14:paraId="7318625D" w14:textId="77777777" w:rsidR="00095F06" w:rsidRPr="00E04F74" w:rsidRDefault="00095F06" w:rsidP="00095F06">
                  <w:pPr>
                    <w:jc w:val="both"/>
                    <w:rPr>
                      <w:b/>
                      <w:sz w:val="22"/>
                      <w:szCs w:val="22"/>
                      <w:lang w:val="sr-Latn-RS"/>
                    </w:rPr>
                  </w:pPr>
                  <w:r w:rsidRPr="00E04F74">
                    <w:rPr>
                      <w:sz w:val="22"/>
                      <w:szCs w:val="22"/>
                      <w:lang w:val="sr-Latn-RS"/>
                    </w:rPr>
                    <w:t>Kladribin/lamivudin</w:t>
                  </w:r>
                </w:p>
                <w:p w14:paraId="0982833F" w14:textId="77777777" w:rsidR="00095F06" w:rsidRPr="00E04F74" w:rsidRDefault="00095F06" w:rsidP="00095F06">
                  <w:pPr>
                    <w:jc w:val="both"/>
                    <w:rPr>
                      <w:sz w:val="22"/>
                      <w:szCs w:val="22"/>
                      <w:lang w:val="sr-Latn-RS"/>
                    </w:rPr>
                  </w:pPr>
                </w:p>
                <w:p w14:paraId="6EF1CC4B" w14:textId="77777777" w:rsidR="00095F06" w:rsidRPr="00E04F74" w:rsidRDefault="00095F06" w:rsidP="00095F06">
                  <w:pPr>
                    <w:jc w:val="both"/>
                    <w:rPr>
                      <w:sz w:val="22"/>
                      <w:szCs w:val="22"/>
                      <w:lang w:val="sr-Latn-RS"/>
                    </w:rPr>
                  </w:pPr>
                </w:p>
                <w:p w14:paraId="4D37533B" w14:textId="77777777" w:rsidR="00095F06" w:rsidRPr="00E04F74" w:rsidRDefault="00095F06" w:rsidP="00095F06">
                  <w:pPr>
                    <w:jc w:val="both"/>
                    <w:rPr>
                      <w:b/>
                      <w:sz w:val="22"/>
                      <w:szCs w:val="22"/>
                      <w:lang w:val="sr-Latn-RS"/>
                    </w:rPr>
                  </w:pPr>
                </w:p>
              </w:tc>
              <w:tc>
                <w:tcPr>
                  <w:tcW w:w="1682" w:type="pct"/>
                  <w:tcBorders>
                    <w:top w:val="single" w:sz="4" w:space="0" w:color="auto"/>
                    <w:left w:val="single" w:sz="4" w:space="0" w:color="auto"/>
                    <w:bottom w:val="single" w:sz="4" w:space="0" w:color="auto"/>
                    <w:right w:val="single" w:sz="4" w:space="0" w:color="auto"/>
                  </w:tcBorders>
                </w:tcPr>
                <w:p w14:paraId="5E80CD2F" w14:textId="77777777" w:rsidR="00095F06" w:rsidRPr="00E04F74" w:rsidRDefault="00095F06" w:rsidP="00095F06">
                  <w:pPr>
                    <w:jc w:val="both"/>
                    <w:rPr>
                      <w:sz w:val="22"/>
                      <w:szCs w:val="22"/>
                      <w:lang w:val="sr-Latn-RS"/>
                    </w:rPr>
                  </w:pPr>
                  <w:r w:rsidRPr="00E04F74">
                    <w:rPr>
                      <w:sz w:val="22"/>
                      <w:szCs w:val="22"/>
                      <w:lang w:val="sr-Latn-RS"/>
                    </w:rPr>
                    <w:t xml:space="preserve">Interakcija nije ispitana. </w:t>
                  </w:r>
                </w:p>
                <w:p w14:paraId="0E4C5A3F" w14:textId="77777777" w:rsidR="00095F06" w:rsidRPr="00E04F74" w:rsidRDefault="00095F06" w:rsidP="00095F06">
                  <w:pPr>
                    <w:jc w:val="both"/>
                    <w:rPr>
                      <w:sz w:val="22"/>
                      <w:szCs w:val="22"/>
                      <w:lang w:val="sr-Latn-RS"/>
                    </w:rPr>
                  </w:pPr>
                </w:p>
                <w:p w14:paraId="222ED205" w14:textId="77777777" w:rsidR="00095F06" w:rsidRPr="00E04F74" w:rsidRDefault="00095F06" w:rsidP="00095F06">
                  <w:pPr>
                    <w:jc w:val="both"/>
                    <w:rPr>
                      <w:b/>
                      <w:sz w:val="22"/>
                      <w:szCs w:val="22"/>
                      <w:lang w:val="sr-Latn-RS"/>
                    </w:rPr>
                  </w:pPr>
                  <w:r w:rsidRPr="00E04F74">
                    <w:rPr>
                      <w:iCs/>
                      <w:sz w:val="22"/>
                      <w:szCs w:val="22"/>
                      <w:lang w:val="sr-Latn-RS"/>
                    </w:rPr>
                    <w:t xml:space="preserve">U uslovima </w:t>
                  </w:r>
                  <w:r w:rsidRPr="00E04F74">
                    <w:rPr>
                      <w:i/>
                      <w:iCs/>
                      <w:sz w:val="22"/>
                      <w:szCs w:val="22"/>
                      <w:lang w:val="sr-Latn-RS"/>
                    </w:rPr>
                    <w:t xml:space="preserve">in vitro </w:t>
                  </w:r>
                  <w:r w:rsidRPr="00E04F74">
                    <w:rPr>
                      <w:iCs/>
                      <w:sz w:val="22"/>
                      <w:szCs w:val="22"/>
                      <w:lang w:val="sr-Latn-RS"/>
                    </w:rPr>
                    <w:t xml:space="preserve">lamivudin inhibira intracelularnu fosforilaciju kladribina, što dovodi do potencijalnog rizika za gubitak efikasnosti </w:t>
                  </w:r>
                  <w:r w:rsidRPr="00E04F74">
                    <w:rPr>
                      <w:iCs/>
                      <w:sz w:val="22"/>
                      <w:szCs w:val="22"/>
                      <w:lang w:val="sr-Latn-RS"/>
                    </w:rPr>
                    <w:lastRenderedPageBreak/>
                    <w:t>kladribina u slučaju primjene kombinovane terapije u kliničkim uslovima. Pojedini klinički nalazi takođe podržavaju moguću interakciju između lamivudina i kladribina</w:t>
                  </w:r>
                </w:p>
              </w:tc>
              <w:tc>
                <w:tcPr>
                  <w:tcW w:w="1627" w:type="pct"/>
                  <w:tcBorders>
                    <w:top w:val="single" w:sz="4" w:space="0" w:color="auto"/>
                    <w:left w:val="single" w:sz="4" w:space="0" w:color="auto"/>
                    <w:bottom w:val="single" w:sz="4" w:space="0" w:color="auto"/>
                    <w:right w:val="nil"/>
                  </w:tcBorders>
                  <w:hideMark/>
                </w:tcPr>
                <w:p w14:paraId="793BC6F4" w14:textId="77777777" w:rsidR="00095F06" w:rsidRPr="00E04F74" w:rsidRDefault="00095F06" w:rsidP="00095F06">
                  <w:pPr>
                    <w:jc w:val="both"/>
                    <w:rPr>
                      <w:b/>
                      <w:sz w:val="22"/>
                      <w:szCs w:val="22"/>
                      <w:lang w:val="sr-Latn-RS"/>
                    </w:rPr>
                  </w:pPr>
                  <w:r w:rsidRPr="00E04F74">
                    <w:rPr>
                      <w:iCs/>
                      <w:sz w:val="22"/>
                      <w:szCs w:val="22"/>
                      <w:lang w:val="sr-Latn-RS"/>
                    </w:rPr>
                    <w:lastRenderedPageBreak/>
                    <w:t>Stoga se ne preporučuje istovremena primjena lamivudina i kladribina (vidjeti dio 4.4).</w:t>
                  </w:r>
                </w:p>
              </w:tc>
            </w:tr>
          </w:tbl>
          <w:p w14:paraId="63ECE7BB" w14:textId="77777777" w:rsidR="00095F06" w:rsidRPr="00E04F74" w:rsidRDefault="00095F06" w:rsidP="00095F06">
            <w:pPr>
              <w:jc w:val="both"/>
              <w:rPr>
                <w:sz w:val="22"/>
                <w:szCs w:val="22"/>
                <w:lang w:val="sr-Latn-RS"/>
              </w:rPr>
            </w:pPr>
          </w:p>
        </w:tc>
      </w:tr>
      <w:tr w:rsidR="00095F06" w:rsidRPr="00E04F74" w14:paraId="2B7B4E93" w14:textId="77777777" w:rsidTr="00095F06">
        <w:tc>
          <w:tcPr>
            <w:tcW w:w="5000" w:type="pct"/>
            <w:gridSpan w:val="3"/>
            <w:tcBorders>
              <w:top w:val="single" w:sz="4" w:space="0" w:color="000000"/>
              <w:left w:val="single" w:sz="4" w:space="0" w:color="000000"/>
              <w:bottom w:val="single" w:sz="4" w:space="0" w:color="000000"/>
              <w:right w:val="single" w:sz="4" w:space="0" w:color="000000"/>
            </w:tcBorders>
            <w:hideMark/>
          </w:tcPr>
          <w:p w14:paraId="3F75F66B" w14:textId="77777777" w:rsidR="00095F06" w:rsidRPr="00E04F74" w:rsidRDefault="00095F06" w:rsidP="00095F06">
            <w:pPr>
              <w:jc w:val="both"/>
              <w:rPr>
                <w:b/>
                <w:sz w:val="22"/>
                <w:szCs w:val="22"/>
                <w:lang w:val="sr-Latn-RS"/>
              </w:rPr>
            </w:pPr>
            <w:r w:rsidRPr="00E04F74">
              <w:rPr>
                <w:b/>
                <w:sz w:val="22"/>
                <w:szCs w:val="22"/>
                <w:lang w:val="sr-Latn-RS"/>
              </w:rPr>
              <w:lastRenderedPageBreak/>
              <w:t>OPIODI</w:t>
            </w:r>
          </w:p>
        </w:tc>
      </w:tr>
      <w:tr w:rsidR="00095F06" w:rsidRPr="00E04F74" w14:paraId="7A61D819"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34821FDD" w14:textId="77777777" w:rsidR="00095F06" w:rsidRPr="00E04F74" w:rsidRDefault="00095F06" w:rsidP="00095F06">
            <w:pPr>
              <w:jc w:val="both"/>
              <w:rPr>
                <w:sz w:val="22"/>
                <w:szCs w:val="22"/>
                <w:lang w:val="sr-Latn-RS"/>
              </w:rPr>
            </w:pPr>
            <w:r w:rsidRPr="00E04F74">
              <w:rPr>
                <w:sz w:val="22"/>
                <w:szCs w:val="22"/>
                <w:lang w:val="sr-Latn-RS"/>
              </w:rPr>
              <w:t>Metadon/abakavir</w:t>
            </w:r>
          </w:p>
          <w:p w14:paraId="7F0D3F8B" w14:textId="77777777" w:rsidR="00095F06" w:rsidRPr="00E04F74" w:rsidRDefault="00095F06" w:rsidP="00095F06">
            <w:pPr>
              <w:jc w:val="both"/>
              <w:rPr>
                <w:sz w:val="22"/>
                <w:szCs w:val="22"/>
                <w:lang w:val="sr-Latn-RS"/>
              </w:rPr>
            </w:pPr>
            <w:r w:rsidRPr="00E04F74">
              <w:rPr>
                <w:sz w:val="22"/>
                <w:szCs w:val="22"/>
                <w:lang w:val="sr-Latn-RS"/>
              </w:rPr>
              <w:t>(40 do 90 mg jednom dnevno tokom perioda od 14 dana/ 600 mg pojedinačne doze, potom 600 mg dva puta dnevno tokom perioda od 14 dana)</w:t>
            </w:r>
          </w:p>
        </w:tc>
        <w:tc>
          <w:tcPr>
            <w:tcW w:w="1812" w:type="pct"/>
            <w:tcBorders>
              <w:top w:val="single" w:sz="4" w:space="0" w:color="000000"/>
              <w:left w:val="single" w:sz="4" w:space="0" w:color="000000"/>
              <w:bottom w:val="single" w:sz="4" w:space="0" w:color="000000"/>
              <w:right w:val="single" w:sz="4" w:space="0" w:color="000000"/>
            </w:tcBorders>
          </w:tcPr>
          <w:p w14:paraId="3A4BA4AB" w14:textId="77777777" w:rsidR="00095F06" w:rsidRPr="00E04F74" w:rsidRDefault="00095F06" w:rsidP="00095F06">
            <w:pPr>
              <w:jc w:val="both"/>
              <w:rPr>
                <w:sz w:val="22"/>
                <w:szCs w:val="22"/>
                <w:lang w:val="sr-Latn-RS"/>
              </w:rPr>
            </w:pPr>
            <w:r w:rsidRPr="00E04F74">
              <w:rPr>
                <w:sz w:val="22"/>
                <w:szCs w:val="22"/>
                <w:lang w:val="sr-Latn-RS"/>
              </w:rPr>
              <w:t>Abakavir: PIK ↔</w:t>
            </w:r>
          </w:p>
          <w:p w14:paraId="02F900A0" w14:textId="77777777" w:rsidR="00095F06" w:rsidRPr="00E04F74" w:rsidRDefault="00095F06" w:rsidP="00095F06">
            <w:pPr>
              <w:jc w:val="both"/>
              <w:rPr>
                <w:sz w:val="22"/>
                <w:szCs w:val="22"/>
                <w:lang w:val="sr-Latn-RS"/>
              </w:rPr>
            </w:pPr>
            <w:r w:rsidRPr="00E04F74">
              <w:rPr>
                <w:sz w:val="22"/>
                <w:szCs w:val="22"/>
                <w:lang w:val="sr-Latn-RS"/>
              </w:rPr>
              <w:t xml:space="preserve">         C</w:t>
            </w:r>
            <w:r w:rsidRPr="00E04F74">
              <w:rPr>
                <w:sz w:val="22"/>
                <w:szCs w:val="22"/>
                <w:vertAlign w:val="subscript"/>
                <w:lang w:val="sr-Latn-RS"/>
              </w:rPr>
              <w:t>max</w:t>
            </w:r>
            <w:r w:rsidRPr="00E04F74">
              <w:rPr>
                <w:sz w:val="22"/>
                <w:szCs w:val="22"/>
                <w:lang w:val="sr-Latn-RS"/>
              </w:rPr>
              <w:t xml:space="preserve"> ↓35%</w:t>
            </w:r>
          </w:p>
          <w:p w14:paraId="2599BF10" w14:textId="77777777" w:rsidR="00095F06" w:rsidRPr="00E04F74" w:rsidRDefault="00095F06" w:rsidP="00095F06">
            <w:pPr>
              <w:jc w:val="both"/>
              <w:rPr>
                <w:sz w:val="22"/>
                <w:szCs w:val="22"/>
                <w:lang w:val="sr-Latn-RS"/>
              </w:rPr>
            </w:pPr>
          </w:p>
          <w:p w14:paraId="1643807D" w14:textId="77777777" w:rsidR="00095F06" w:rsidRPr="00E04F74" w:rsidRDefault="00095F06" w:rsidP="00095F06">
            <w:pPr>
              <w:jc w:val="both"/>
              <w:rPr>
                <w:sz w:val="22"/>
                <w:szCs w:val="22"/>
                <w:lang w:val="sr-Latn-RS"/>
              </w:rPr>
            </w:pPr>
            <w:r w:rsidRPr="00E04F74">
              <w:rPr>
                <w:sz w:val="22"/>
                <w:szCs w:val="22"/>
                <w:lang w:val="sr-Latn-RS"/>
              </w:rPr>
              <w:t>Metadon: CL/F ↑22%</w:t>
            </w:r>
          </w:p>
        </w:tc>
        <w:tc>
          <w:tcPr>
            <w:tcW w:w="1605" w:type="pct"/>
            <w:vMerge w:val="restart"/>
            <w:tcBorders>
              <w:top w:val="single" w:sz="4" w:space="0" w:color="000000"/>
              <w:left w:val="single" w:sz="4" w:space="0" w:color="000000"/>
              <w:bottom w:val="single" w:sz="4" w:space="0" w:color="000000"/>
              <w:right w:val="single" w:sz="4" w:space="0" w:color="000000"/>
            </w:tcBorders>
          </w:tcPr>
          <w:p w14:paraId="36A50451" w14:textId="77777777" w:rsidR="00095F06" w:rsidRPr="00E04F74" w:rsidRDefault="00095F06" w:rsidP="00095F06">
            <w:pPr>
              <w:jc w:val="both"/>
              <w:rPr>
                <w:sz w:val="22"/>
                <w:szCs w:val="22"/>
                <w:lang w:val="sr-Latn-RS"/>
              </w:rPr>
            </w:pPr>
            <w:r w:rsidRPr="00E04F74">
              <w:rPr>
                <w:sz w:val="22"/>
                <w:szCs w:val="22"/>
                <w:lang w:val="sr-Latn-RS"/>
              </w:rPr>
              <w:t>Nije neophodno podešavanje doze lijeka KIVEXA.</w:t>
            </w:r>
          </w:p>
          <w:p w14:paraId="73A36726" w14:textId="77777777" w:rsidR="00095F06" w:rsidRPr="00E04F74" w:rsidRDefault="00095F06" w:rsidP="00095F06">
            <w:pPr>
              <w:jc w:val="both"/>
              <w:rPr>
                <w:sz w:val="22"/>
                <w:szCs w:val="22"/>
                <w:lang w:val="sr-Latn-RS"/>
              </w:rPr>
            </w:pPr>
          </w:p>
          <w:p w14:paraId="5EB900D5" w14:textId="77777777" w:rsidR="00095F06" w:rsidRPr="00E04F74" w:rsidRDefault="00095F06" w:rsidP="00095F06">
            <w:pPr>
              <w:jc w:val="both"/>
              <w:rPr>
                <w:sz w:val="22"/>
                <w:szCs w:val="22"/>
                <w:lang w:val="sr-Latn-RS"/>
              </w:rPr>
            </w:pPr>
            <w:r w:rsidRPr="00E04F74">
              <w:rPr>
                <w:sz w:val="22"/>
                <w:szCs w:val="22"/>
                <w:lang w:val="sr-Latn-RS"/>
              </w:rPr>
              <w:t>Kod većine pacijenata malo je vjerovatno da će biti potrebe za podešavanjem doze metadona; povremeno može biti potrebna ponovna titracije doze metadona.</w:t>
            </w:r>
          </w:p>
        </w:tc>
      </w:tr>
      <w:tr w:rsidR="00095F06" w:rsidRPr="00E04F74" w14:paraId="060726AE"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16AC266E" w14:textId="77777777" w:rsidR="00095F06" w:rsidRPr="00E04F74" w:rsidRDefault="00095F06" w:rsidP="00095F06">
            <w:pPr>
              <w:jc w:val="both"/>
              <w:rPr>
                <w:sz w:val="22"/>
                <w:szCs w:val="22"/>
                <w:lang w:val="sr-Latn-RS"/>
              </w:rPr>
            </w:pPr>
            <w:r w:rsidRPr="00E04F74">
              <w:rPr>
                <w:sz w:val="22"/>
                <w:szCs w:val="22"/>
                <w:lang w:val="sr-Latn-RS"/>
              </w:rPr>
              <w:t>Metadon/lamivudin</w:t>
            </w:r>
          </w:p>
        </w:tc>
        <w:tc>
          <w:tcPr>
            <w:tcW w:w="1812" w:type="pct"/>
            <w:tcBorders>
              <w:top w:val="single" w:sz="4" w:space="0" w:color="000000"/>
              <w:left w:val="single" w:sz="4" w:space="0" w:color="000000"/>
              <w:bottom w:val="single" w:sz="4" w:space="0" w:color="000000"/>
              <w:right w:val="single" w:sz="4" w:space="0" w:color="000000"/>
            </w:tcBorders>
          </w:tcPr>
          <w:p w14:paraId="654AFA70" w14:textId="77777777" w:rsidR="00095F06" w:rsidRPr="00E04F74" w:rsidRDefault="00095F06" w:rsidP="00095F06">
            <w:pPr>
              <w:jc w:val="both"/>
              <w:rPr>
                <w:sz w:val="22"/>
                <w:szCs w:val="22"/>
                <w:lang w:val="sr-Latn-RS"/>
              </w:rPr>
            </w:pPr>
            <w:r w:rsidRPr="00E04F74">
              <w:rPr>
                <w:sz w:val="22"/>
                <w:szCs w:val="22"/>
                <w:lang w:val="sr-Latn-RS"/>
              </w:rPr>
              <w:t>Interakcija nije ispitana</w:t>
            </w:r>
          </w:p>
          <w:p w14:paraId="08768889" w14:textId="77777777" w:rsidR="00095F06" w:rsidRPr="00E04F74" w:rsidRDefault="00095F06" w:rsidP="00095F06">
            <w:pPr>
              <w:jc w:val="both"/>
              <w:rPr>
                <w:sz w:val="22"/>
                <w:szCs w:val="22"/>
                <w:lang w:val="sr-Latn-RS"/>
              </w:rPr>
            </w:pPr>
          </w:p>
        </w:tc>
        <w:tc>
          <w:tcPr>
            <w:tcW w:w="1605" w:type="pct"/>
            <w:vMerge/>
            <w:tcBorders>
              <w:top w:val="single" w:sz="4" w:space="0" w:color="000000"/>
              <w:left w:val="single" w:sz="4" w:space="0" w:color="000000"/>
              <w:bottom w:val="single" w:sz="4" w:space="0" w:color="000000"/>
              <w:right w:val="single" w:sz="4" w:space="0" w:color="000000"/>
            </w:tcBorders>
            <w:vAlign w:val="center"/>
            <w:hideMark/>
          </w:tcPr>
          <w:p w14:paraId="4660AE2F" w14:textId="77777777" w:rsidR="00095F06" w:rsidRPr="00E04F74" w:rsidRDefault="00095F06" w:rsidP="00095F06">
            <w:pPr>
              <w:jc w:val="both"/>
              <w:rPr>
                <w:sz w:val="22"/>
                <w:szCs w:val="22"/>
                <w:lang w:val="sr-Latn-RS"/>
              </w:rPr>
            </w:pPr>
          </w:p>
        </w:tc>
      </w:tr>
      <w:tr w:rsidR="00095F06" w:rsidRPr="00E04F74" w14:paraId="180C6170" w14:textId="77777777" w:rsidTr="00095F06">
        <w:tc>
          <w:tcPr>
            <w:tcW w:w="5000" w:type="pct"/>
            <w:gridSpan w:val="3"/>
            <w:tcBorders>
              <w:top w:val="single" w:sz="4" w:space="0" w:color="000000"/>
              <w:left w:val="single" w:sz="4" w:space="0" w:color="000000"/>
              <w:bottom w:val="single" w:sz="4" w:space="0" w:color="000000"/>
              <w:right w:val="single" w:sz="4" w:space="0" w:color="000000"/>
            </w:tcBorders>
            <w:hideMark/>
          </w:tcPr>
          <w:p w14:paraId="5B63A060" w14:textId="77777777" w:rsidR="00095F06" w:rsidRPr="00E04F74" w:rsidRDefault="00095F06" w:rsidP="00095F06">
            <w:pPr>
              <w:jc w:val="both"/>
              <w:rPr>
                <w:b/>
                <w:sz w:val="22"/>
                <w:szCs w:val="22"/>
                <w:lang w:val="sr-Latn-RS"/>
              </w:rPr>
            </w:pPr>
            <w:r w:rsidRPr="00E04F74">
              <w:rPr>
                <w:b/>
                <w:sz w:val="22"/>
                <w:szCs w:val="22"/>
                <w:lang w:val="sr-Latn-RS"/>
              </w:rPr>
              <w:t>RETINOIDI</w:t>
            </w:r>
            <w:r w:rsidRPr="00E04F74">
              <w:rPr>
                <w:b/>
                <w:sz w:val="22"/>
                <w:szCs w:val="22"/>
                <w:lang w:val="sr-Latn-RS"/>
              </w:rPr>
              <w:tab/>
            </w:r>
          </w:p>
        </w:tc>
      </w:tr>
      <w:tr w:rsidR="00095F06" w:rsidRPr="00E04F74" w14:paraId="598B0FEC"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2E02C202" w14:textId="77777777" w:rsidR="00095F06" w:rsidRPr="00E04F74" w:rsidRDefault="00095F06" w:rsidP="00095F06">
            <w:pPr>
              <w:jc w:val="both"/>
              <w:rPr>
                <w:sz w:val="22"/>
                <w:szCs w:val="22"/>
                <w:lang w:val="sr-Latn-RS"/>
              </w:rPr>
            </w:pPr>
            <w:r w:rsidRPr="00E04F74">
              <w:rPr>
                <w:sz w:val="22"/>
                <w:szCs w:val="22"/>
                <w:lang w:val="sr-Latn-RS"/>
              </w:rPr>
              <w:t>Jedinjenja retinoida (npr. izotretinoin)/abakavir</w:t>
            </w:r>
          </w:p>
        </w:tc>
        <w:tc>
          <w:tcPr>
            <w:tcW w:w="1812" w:type="pct"/>
            <w:tcBorders>
              <w:top w:val="single" w:sz="4" w:space="0" w:color="000000"/>
              <w:left w:val="single" w:sz="4" w:space="0" w:color="000000"/>
              <w:bottom w:val="single" w:sz="4" w:space="0" w:color="000000"/>
              <w:right w:val="single" w:sz="4" w:space="0" w:color="000000"/>
            </w:tcBorders>
          </w:tcPr>
          <w:p w14:paraId="3AD982AB" w14:textId="77777777" w:rsidR="00095F06" w:rsidRPr="00E04F74" w:rsidRDefault="00095F06" w:rsidP="00095F06">
            <w:pPr>
              <w:jc w:val="both"/>
              <w:rPr>
                <w:sz w:val="22"/>
                <w:szCs w:val="22"/>
                <w:lang w:val="sr-Latn-RS"/>
              </w:rPr>
            </w:pPr>
            <w:r w:rsidRPr="00E04F74">
              <w:rPr>
                <w:sz w:val="22"/>
                <w:szCs w:val="22"/>
                <w:lang w:val="sr-Latn-RS"/>
              </w:rPr>
              <w:t>Interakcija nije ispitana</w:t>
            </w:r>
          </w:p>
          <w:p w14:paraId="4576BFF3" w14:textId="77777777" w:rsidR="00095F06" w:rsidRPr="00E04F74" w:rsidRDefault="00095F06" w:rsidP="00095F06">
            <w:pPr>
              <w:jc w:val="both"/>
              <w:rPr>
                <w:sz w:val="22"/>
                <w:szCs w:val="22"/>
                <w:lang w:val="sr-Latn-RS"/>
              </w:rPr>
            </w:pPr>
          </w:p>
          <w:p w14:paraId="77AEA158" w14:textId="77777777" w:rsidR="00095F06" w:rsidRPr="00E04F74" w:rsidRDefault="00095F06" w:rsidP="00095F06">
            <w:pPr>
              <w:jc w:val="both"/>
              <w:rPr>
                <w:sz w:val="22"/>
                <w:szCs w:val="22"/>
                <w:lang w:val="sr-Latn-RS"/>
              </w:rPr>
            </w:pPr>
            <w:r w:rsidRPr="00E04F74">
              <w:rPr>
                <w:sz w:val="22"/>
                <w:szCs w:val="22"/>
                <w:lang w:val="sr-Latn-RS"/>
              </w:rPr>
              <w:t>Moguća interakcija uzrokovana uobičajenim metaboličkim putem eliminacije pomoću alkoholne dehidrogenaze.</w:t>
            </w:r>
          </w:p>
        </w:tc>
        <w:tc>
          <w:tcPr>
            <w:tcW w:w="1605" w:type="pct"/>
            <w:vMerge w:val="restart"/>
            <w:tcBorders>
              <w:top w:val="single" w:sz="4" w:space="0" w:color="000000"/>
              <w:left w:val="single" w:sz="4" w:space="0" w:color="000000"/>
              <w:bottom w:val="single" w:sz="4" w:space="0" w:color="000000"/>
              <w:right w:val="single" w:sz="4" w:space="0" w:color="000000"/>
            </w:tcBorders>
            <w:hideMark/>
          </w:tcPr>
          <w:p w14:paraId="0170A588" w14:textId="77777777" w:rsidR="00095F06" w:rsidRPr="00E04F74" w:rsidRDefault="00095F06" w:rsidP="00095F06">
            <w:pPr>
              <w:jc w:val="both"/>
              <w:rPr>
                <w:sz w:val="22"/>
                <w:szCs w:val="22"/>
                <w:lang w:val="sr-Latn-RS"/>
              </w:rPr>
            </w:pPr>
            <w:r w:rsidRPr="00E04F74">
              <w:rPr>
                <w:sz w:val="22"/>
                <w:szCs w:val="22"/>
                <w:lang w:val="sr-Latn-RS"/>
              </w:rPr>
              <w:t>Nema dovoljno podataka na osnovu kojih bi bilo moguće preporučiti podešavanje doze.</w:t>
            </w:r>
          </w:p>
        </w:tc>
      </w:tr>
      <w:tr w:rsidR="00095F06" w:rsidRPr="00E04F74" w14:paraId="68958778"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46EEAF72" w14:textId="77777777" w:rsidR="00095F06" w:rsidRPr="00E04F74" w:rsidRDefault="00095F06" w:rsidP="00095F06">
            <w:pPr>
              <w:jc w:val="both"/>
              <w:rPr>
                <w:sz w:val="22"/>
                <w:szCs w:val="22"/>
                <w:lang w:val="sr-Latn-RS"/>
              </w:rPr>
            </w:pPr>
            <w:r w:rsidRPr="00E04F74">
              <w:rPr>
                <w:sz w:val="22"/>
                <w:szCs w:val="22"/>
                <w:lang w:val="sr-Latn-RS"/>
              </w:rPr>
              <w:t>Jedinjenja retinoida (npr. izotretinoin)/lamivudin</w:t>
            </w:r>
          </w:p>
          <w:p w14:paraId="4DCD7E22" w14:textId="77777777" w:rsidR="00095F06" w:rsidRPr="00E04F74" w:rsidRDefault="00095F06" w:rsidP="00095F06">
            <w:pPr>
              <w:jc w:val="both"/>
              <w:rPr>
                <w:sz w:val="22"/>
                <w:szCs w:val="22"/>
                <w:lang w:val="sr-Latn-RS"/>
              </w:rPr>
            </w:pPr>
            <w:r w:rsidRPr="00E04F74">
              <w:rPr>
                <w:sz w:val="22"/>
                <w:szCs w:val="22"/>
                <w:lang w:val="sr-Latn-RS"/>
              </w:rPr>
              <w:t>Nijesu sprovedena ispitivanja interakcije ljekova</w:t>
            </w:r>
          </w:p>
        </w:tc>
        <w:tc>
          <w:tcPr>
            <w:tcW w:w="1812" w:type="pct"/>
            <w:tcBorders>
              <w:top w:val="single" w:sz="4" w:space="0" w:color="000000"/>
              <w:left w:val="single" w:sz="4" w:space="0" w:color="000000"/>
              <w:bottom w:val="single" w:sz="4" w:space="0" w:color="000000"/>
              <w:right w:val="single" w:sz="4" w:space="0" w:color="000000"/>
            </w:tcBorders>
          </w:tcPr>
          <w:p w14:paraId="5F6CB065" w14:textId="77777777" w:rsidR="00095F06" w:rsidRPr="00E04F74" w:rsidRDefault="00095F06" w:rsidP="00095F06">
            <w:pPr>
              <w:jc w:val="both"/>
              <w:rPr>
                <w:sz w:val="22"/>
                <w:szCs w:val="22"/>
                <w:lang w:val="sr-Latn-RS"/>
              </w:rPr>
            </w:pPr>
            <w:r w:rsidRPr="00E04F74">
              <w:rPr>
                <w:sz w:val="22"/>
                <w:szCs w:val="22"/>
                <w:lang w:val="sr-Latn-RS"/>
              </w:rPr>
              <w:t>Interakcija nije ispitana</w:t>
            </w:r>
          </w:p>
          <w:p w14:paraId="67B80EEC" w14:textId="77777777" w:rsidR="00095F06" w:rsidRPr="00E04F74" w:rsidRDefault="00095F06" w:rsidP="00095F06">
            <w:pPr>
              <w:jc w:val="both"/>
              <w:rPr>
                <w:sz w:val="22"/>
                <w:szCs w:val="22"/>
                <w:lang w:val="sr-Latn-RS"/>
              </w:rPr>
            </w:pPr>
          </w:p>
        </w:tc>
        <w:tc>
          <w:tcPr>
            <w:tcW w:w="1605" w:type="pct"/>
            <w:vMerge/>
            <w:tcBorders>
              <w:top w:val="single" w:sz="4" w:space="0" w:color="000000"/>
              <w:left w:val="single" w:sz="4" w:space="0" w:color="000000"/>
              <w:bottom w:val="single" w:sz="4" w:space="0" w:color="000000"/>
              <w:right w:val="single" w:sz="4" w:space="0" w:color="000000"/>
            </w:tcBorders>
            <w:vAlign w:val="center"/>
            <w:hideMark/>
          </w:tcPr>
          <w:p w14:paraId="1B2153B8" w14:textId="77777777" w:rsidR="00095F06" w:rsidRPr="00E04F74" w:rsidRDefault="00095F06" w:rsidP="00095F06">
            <w:pPr>
              <w:jc w:val="both"/>
              <w:rPr>
                <w:sz w:val="22"/>
                <w:szCs w:val="22"/>
                <w:lang w:val="sr-Latn-RS"/>
              </w:rPr>
            </w:pPr>
          </w:p>
        </w:tc>
      </w:tr>
      <w:tr w:rsidR="00095F06" w:rsidRPr="00E04F74" w14:paraId="45094819" w14:textId="77777777" w:rsidTr="00095F06">
        <w:tc>
          <w:tcPr>
            <w:tcW w:w="5000" w:type="pct"/>
            <w:gridSpan w:val="3"/>
            <w:tcBorders>
              <w:top w:val="single" w:sz="4" w:space="0" w:color="000000"/>
              <w:left w:val="single" w:sz="4" w:space="0" w:color="000000"/>
              <w:bottom w:val="single" w:sz="4" w:space="0" w:color="000000"/>
              <w:right w:val="single" w:sz="4" w:space="0" w:color="000000"/>
            </w:tcBorders>
            <w:hideMark/>
          </w:tcPr>
          <w:p w14:paraId="4B7AE753" w14:textId="77777777" w:rsidR="00095F06" w:rsidRPr="00E04F74" w:rsidRDefault="00095F06" w:rsidP="00095F06">
            <w:pPr>
              <w:jc w:val="both"/>
              <w:rPr>
                <w:b/>
                <w:sz w:val="22"/>
                <w:szCs w:val="22"/>
                <w:lang w:val="sr-Latn-RS"/>
              </w:rPr>
            </w:pPr>
            <w:r w:rsidRPr="00E04F74">
              <w:rPr>
                <w:b/>
                <w:sz w:val="22"/>
                <w:szCs w:val="22"/>
                <w:lang w:val="sr-Latn-RS"/>
              </w:rPr>
              <w:t>OSTALI LJEKOVI</w:t>
            </w:r>
          </w:p>
        </w:tc>
      </w:tr>
      <w:tr w:rsidR="00095F06" w:rsidRPr="00E04F74" w14:paraId="10624EB1"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101FC4F8" w14:textId="77777777" w:rsidR="00095F06" w:rsidRPr="00E04F74" w:rsidRDefault="00095F06" w:rsidP="00095F06">
            <w:pPr>
              <w:jc w:val="both"/>
              <w:rPr>
                <w:sz w:val="22"/>
                <w:szCs w:val="22"/>
                <w:lang w:val="sr-Latn-RS"/>
              </w:rPr>
            </w:pPr>
            <w:r w:rsidRPr="00E04F74">
              <w:rPr>
                <w:sz w:val="22"/>
                <w:szCs w:val="22"/>
                <w:lang w:val="sr-Latn-RS"/>
              </w:rPr>
              <w:t>Etanol/abakavir</w:t>
            </w:r>
          </w:p>
          <w:p w14:paraId="2DD4286D" w14:textId="77777777" w:rsidR="00095F06" w:rsidRPr="00E04F74" w:rsidRDefault="00095F06" w:rsidP="00095F06">
            <w:pPr>
              <w:jc w:val="both"/>
              <w:rPr>
                <w:sz w:val="22"/>
                <w:szCs w:val="22"/>
                <w:lang w:val="sr-Latn-RS"/>
              </w:rPr>
            </w:pPr>
            <w:r w:rsidRPr="00E04F74">
              <w:rPr>
                <w:sz w:val="22"/>
                <w:szCs w:val="22"/>
                <w:lang w:val="sr-Latn-RS"/>
              </w:rPr>
              <w:t>(0,7 g/kg u pojedinačnoj dozi/600 mg u pojedinačnoj dozi)</w:t>
            </w:r>
          </w:p>
        </w:tc>
        <w:tc>
          <w:tcPr>
            <w:tcW w:w="1812" w:type="pct"/>
            <w:tcBorders>
              <w:top w:val="single" w:sz="4" w:space="0" w:color="000000"/>
              <w:left w:val="single" w:sz="4" w:space="0" w:color="000000"/>
              <w:bottom w:val="single" w:sz="4" w:space="0" w:color="000000"/>
              <w:right w:val="single" w:sz="4" w:space="0" w:color="000000"/>
            </w:tcBorders>
          </w:tcPr>
          <w:p w14:paraId="3F1F9844" w14:textId="77777777" w:rsidR="00095F06" w:rsidRPr="00E04F74" w:rsidRDefault="00095F06" w:rsidP="00095F06">
            <w:pPr>
              <w:jc w:val="both"/>
              <w:rPr>
                <w:sz w:val="22"/>
                <w:szCs w:val="22"/>
                <w:lang w:val="sr-Latn-RS"/>
              </w:rPr>
            </w:pPr>
            <w:r w:rsidRPr="00E04F74">
              <w:rPr>
                <w:sz w:val="22"/>
                <w:szCs w:val="22"/>
                <w:lang w:val="sr-Latn-RS"/>
              </w:rPr>
              <w:t>Abakavir: PIK ↑41%</w:t>
            </w:r>
          </w:p>
          <w:p w14:paraId="3A214B29" w14:textId="77777777" w:rsidR="00095F06" w:rsidRPr="00E04F74" w:rsidRDefault="00095F06" w:rsidP="00095F06">
            <w:pPr>
              <w:jc w:val="both"/>
              <w:rPr>
                <w:sz w:val="22"/>
                <w:szCs w:val="22"/>
                <w:lang w:val="sr-Latn-RS"/>
              </w:rPr>
            </w:pPr>
            <w:r w:rsidRPr="00E04F74">
              <w:rPr>
                <w:sz w:val="22"/>
                <w:szCs w:val="22"/>
                <w:lang w:val="sr-Latn-RS"/>
              </w:rPr>
              <w:t>Etanol: PIK ↔</w:t>
            </w:r>
          </w:p>
          <w:p w14:paraId="2A4D314C" w14:textId="77777777" w:rsidR="00095F06" w:rsidRPr="00E04F74" w:rsidRDefault="00095F06" w:rsidP="00095F06">
            <w:pPr>
              <w:jc w:val="both"/>
              <w:rPr>
                <w:sz w:val="22"/>
                <w:szCs w:val="22"/>
                <w:lang w:val="sr-Latn-RS"/>
              </w:rPr>
            </w:pPr>
          </w:p>
          <w:p w14:paraId="6E68FC6F" w14:textId="77777777" w:rsidR="00095F06" w:rsidRPr="00E04F74" w:rsidRDefault="00095F06" w:rsidP="00095F06">
            <w:pPr>
              <w:jc w:val="both"/>
              <w:rPr>
                <w:sz w:val="22"/>
                <w:szCs w:val="22"/>
                <w:lang w:val="sr-Latn-RS"/>
              </w:rPr>
            </w:pPr>
            <w:r w:rsidRPr="00E04F74">
              <w:rPr>
                <w:sz w:val="22"/>
                <w:szCs w:val="22"/>
                <w:lang w:val="sr-Latn-RS"/>
              </w:rPr>
              <w:t>(inhibicija alkoholne dehidrogenaze)</w:t>
            </w:r>
          </w:p>
        </w:tc>
        <w:tc>
          <w:tcPr>
            <w:tcW w:w="1605" w:type="pct"/>
            <w:vMerge w:val="restart"/>
            <w:tcBorders>
              <w:top w:val="single" w:sz="4" w:space="0" w:color="000000"/>
              <w:left w:val="single" w:sz="4" w:space="0" w:color="000000"/>
              <w:bottom w:val="single" w:sz="4" w:space="0" w:color="000000"/>
              <w:right w:val="single" w:sz="4" w:space="0" w:color="000000"/>
            </w:tcBorders>
            <w:hideMark/>
          </w:tcPr>
          <w:p w14:paraId="4CA927A2" w14:textId="77777777" w:rsidR="00095F06" w:rsidRPr="00E04F74" w:rsidRDefault="00095F06" w:rsidP="00095F06">
            <w:pPr>
              <w:jc w:val="both"/>
              <w:rPr>
                <w:sz w:val="22"/>
                <w:szCs w:val="22"/>
                <w:lang w:val="sr-Latn-RS"/>
              </w:rPr>
            </w:pPr>
            <w:r w:rsidRPr="00E04F74">
              <w:rPr>
                <w:sz w:val="22"/>
                <w:szCs w:val="22"/>
                <w:lang w:val="sr-Latn-RS"/>
              </w:rPr>
              <w:t>Nijesu neophodna podešavanja doze.</w:t>
            </w:r>
          </w:p>
        </w:tc>
      </w:tr>
      <w:tr w:rsidR="00095F06" w:rsidRPr="00E04F74" w14:paraId="7CC9F7F5"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267191CD" w14:textId="77777777" w:rsidR="00095F06" w:rsidRPr="00E04F74" w:rsidRDefault="00095F06" w:rsidP="00095F06">
            <w:pPr>
              <w:jc w:val="both"/>
              <w:rPr>
                <w:sz w:val="22"/>
                <w:szCs w:val="22"/>
                <w:lang w:val="sr-Latn-RS"/>
              </w:rPr>
            </w:pPr>
            <w:r w:rsidRPr="00E04F74">
              <w:rPr>
                <w:sz w:val="22"/>
                <w:szCs w:val="22"/>
                <w:lang w:val="sr-Latn-RS"/>
              </w:rPr>
              <w:t>Etanol/lamivudin</w:t>
            </w:r>
          </w:p>
        </w:tc>
        <w:tc>
          <w:tcPr>
            <w:tcW w:w="1812" w:type="pct"/>
            <w:tcBorders>
              <w:top w:val="single" w:sz="4" w:space="0" w:color="000000"/>
              <w:left w:val="single" w:sz="4" w:space="0" w:color="000000"/>
              <w:bottom w:val="single" w:sz="4" w:space="0" w:color="000000"/>
              <w:right w:val="single" w:sz="4" w:space="0" w:color="000000"/>
            </w:tcBorders>
            <w:hideMark/>
          </w:tcPr>
          <w:p w14:paraId="6DF33378" w14:textId="77777777" w:rsidR="00095F06" w:rsidRPr="00E04F74" w:rsidRDefault="00095F06" w:rsidP="00095F06">
            <w:pPr>
              <w:jc w:val="both"/>
              <w:rPr>
                <w:sz w:val="22"/>
                <w:szCs w:val="22"/>
                <w:lang w:val="sr-Latn-RS"/>
              </w:rPr>
            </w:pPr>
            <w:r w:rsidRPr="00E04F74">
              <w:rPr>
                <w:sz w:val="22"/>
                <w:szCs w:val="22"/>
                <w:lang w:val="sr-Latn-RS"/>
              </w:rPr>
              <w:t>Interakcija nije ispitana.</w:t>
            </w:r>
          </w:p>
        </w:tc>
        <w:tc>
          <w:tcPr>
            <w:tcW w:w="1605" w:type="pct"/>
            <w:vMerge/>
            <w:tcBorders>
              <w:top w:val="single" w:sz="4" w:space="0" w:color="000000"/>
              <w:left w:val="single" w:sz="4" w:space="0" w:color="000000"/>
              <w:bottom w:val="single" w:sz="4" w:space="0" w:color="000000"/>
              <w:right w:val="single" w:sz="4" w:space="0" w:color="000000"/>
            </w:tcBorders>
            <w:vAlign w:val="center"/>
            <w:hideMark/>
          </w:tcPr>
          <w:p w14:paraId="260A862B" w14:textId="77777777" w:rsidR="00095F06" w:rsidRPr="00E04F74" w:rsidRDefault="00095F06" w:rsidP="00095F06">
            <w:pPr>
              <w:jc w:val="both"/>
              <w:rPr>
                <w:sz w:val="22"/>
                <w:szCs w:val="22"/>
                <w:lang w:val="sr-Latn-RS"/>
              </w:rPr>
            </w:pPr>
          </w:p>
        </w:tc>
      </w:tr>
      <w:tr w:rsidR="00095F06" w:rsidRPr="00E04F74" w14:paraId="70B70285" w14:textId="77777777" w:rsidTr="00095F06">
        <w:tc>
          <w:tcPr>
            <w:tcW w:w="1583" w:type="pct"/>
            <w:tcBorders>
              <w:top w:val="single" w:sz="4" w:space="0" w:color="000000"/>
              <w:left w:val="single" w:sz="4" w:space="0" w:color="000000"/>
              <w:bottom w:val="single" w:sz="4" w:space="0" w:color="000000"/>
              <w:right w:val="single" w:sz="4" w:space="0" w:color="000000"/>
            </w:tcBorders>
            <w:hideMark/>
          </w:tcPr>
          <w:p w14:paraId="6B3A7820" w14:textId="77777777" w:rsidR="00095F06" w:rsidRPr="00E04F74" w:rsidRDefault="00095F06" w:rsidP="00095F06">
            <w:pPr>
              <w:jc w:val="both"/>
              <w:rPr>
                <w:sz w:val="22"/>
                <w:szCs w:val="22"/>
                <w:lang w:val="sr-Latn-RS"/>
              </w:rPr>
            </w:pPr>
            <w:r w:rsidRPr="00E04F74">
              <w:rPr>
                <w:sz w:val="22"/>
                <w:szCs w:val="22"/>
                <w:lang w:val="sr-Latn-RS"/>
              </w:rPr>
              <w:t>Rastvor sorbitola (3,2 g, 10,2 g, 13,4 g)/lamivudin</w:t>
            </w:r>
          </w:p>
        </w:tc>
        <w:tc>
          <w:tcPr>
            <w:tcW w:w="1812" w:type="pct"/>
            <w:tcBorders>
              <w:top w:val="single" w:sz="4" w:space="0" w:color="000000"/>
              <w:left w:val="single" w:sz="4" w:space="0" w:color="000000"/>
              <w:bottom w:val="single" w:sz="4" w:space="0" w:color="000000"/>
              <w:right w:val="single" w:sz="4" w:space="0" w:color="000000"/>
            </w:tcBorders>
          </w:tcPr>
          <w:p w14:paraId="3D1F42DC" w14:textId="77777777" w:rsidR="00095F06" w:rsidRPr="00E04F74" w:rsidRDefault="00095F06" w:rsidP="00095F06">
            <w:pPr>
              <w:jc w:val="both"/>
              <w:rPr>
                <w:sz w:val="22"/>
                <w:szCs w:val="22"/>
                <w:lang w:val="sr-Latn-RS"/>
              </w:rPr>
            </w:pPr>
            <w:r w:rsidRPr="00E04F74">
              <w:rPr>
                <w:sz w:val="22"/>
                <w:szCs w:val="22"/>
                <w:lang w:val="sr-Latn-RS"/>
              </w:rPr>
              <w:t>Pojedinačna doza lamivudina od 300 mg u obliku oralnog rastvora</w:t>
            </w:r>
          </w:p>
          <w:p w14:paraId="7354C6AA" w14:textId="77777777" w:rsidR="00095F06" w:rsidRPr="00E04F74" w:rsidRDefault="00095F06" w:rsidP="00095F06">
            <w:pPr>
              <w:jc w:val="both"/>
              <w:rPr>
                <w:sz w:val="22"/>
                <w:szCs w:val="22"/>
                <w:lang w:val="sr-Latn-RS"/>
              </w:rPr>
            </w:pPr>
          </w:p>
          <w:p w14:paraId="1656524F" w14:textId="77777777" w:rsidR="00095F06" w:rsidRPr="00E04F74" w:rsidRDefault="00095F06" w:rsidP="00095F06">
            <w:pPr>
              <w:jc w:val="both"/>
              <w:rPr>
                <w:sz w:val="22"/>
                <w:szCs w:val="22"/>
                <w:lang w:val="sr-Latn-RS"/>
              </w:rPr>
            </w:pPr>
            <w:r w:rsidRPr="00E04F74">
              <w:rPr>
                <w:sz w:val="22"/>
                <w:szCs w:val="22"/>
                <w:lang w:val="sr-Latn-RS"/>
              </w:rPr>
              <w:t>Lamivudin:</w:t>
            </w:r>
          </w:p>
          <w:p w14:paraId="08A05F91" w14:textId="77777777" w:rsidR="00095F06" w:rsidRPr="00E04F74" w:rsidRDefault="00095F06" w:rsidP="00095F06">
            <w:pPr>
              <w:jc w:val="both"/>
              <w:rPr>
                <w:sz w:val="22"/>
                <w:szCs w:val="22"/>
                <w:lang w:val="sr-Latn-RS"/>
              </w:rPr>
            </w:pPr>
            <w:r w:rsidRPr="00E04F74">
              <w:rPr>
                <w:sz w:val="22"/>
                <w:szCs w:val="22"/>
                <w:lang w:val="sr-Latn-RS"/>
              </w:rPr>
              <w:t>PIK ↓14%; 32%; 36%</w:t>
            </w:r>
          </w:p>
          <w:p w14:paraId="0B7F005E" w14:textId="77777777" w:rsidR="00095F06" w:rsidRPr="00E04F74" w:rsidRDefault="00095F06" w:rsidP="00095F06">
            <w:pPr>
              <w:jc w:val="both"/>
              <w:rPr>
                <w:sz w:val="22"/>
                <w:szCs w:val="22"/>
                <w:lang w:val="sr-Latn-RS"/>
              </w:rPr>
            </w:pPr>
            <w:r w:rsidRPr="00E04F74">
              <w:rPr>
                <w:sz w:val="22"/>
                <w:szCs w:val="22"/>
                <w:lang w:val="sr-Latn-RS"/>
              </w:rPr>
              <w:t xml:space="preserve">Cmax </w:t>
            </w:r>
            <w:r w:rsidRPr="00E04F74">
              <w:rPr>
                <w:sz w:val="22"/>
                <w:szCs w:val="22"/>
                <w:lang w:val="sr-Latn-RS"/>
              </w:rPr>
              <w:sym w:font="Symbol" w:char="F0AF"/>
            </w:r>
            <w:r w:rsidRPr="00E04F74">
              <w:rPr>
                <w:sz w:val="22"/>
                <w:szCs w:val="22"/>
                <w:lang w:val="sr-Latn-RS"/>
              </w:rPr>
              <w:t xml:space="preserve"> 28%; 52%, 55%.</w:t>
            </w:r>
          </w:p>
        </w:tc>
        <w:tc>
          <w:tcPr>
            <w:tcW w:w="1605" w:type="pct"/>
            <w:tcBorders>
              <w:top w:val="single" w:sz="4" w:space="0" w:color="000000"/>
              <w:left w:val="single" w:sz="4" w:space="0" w:color="000000"/>
              <w:bottom w:val="single" w:sz="4" w:space="0" w:color="000000"/>
              <w:right w:val="single" w:sz="4" w:space="0" w:color="000000"/>
            </w:tcBorders>
            <w:vAlign w:val="center"/>
          </w:tcPr>
          <w:p w14:paraId="223DBC97" w14:textId="77777777" w:rsidR="00095F06" w:rsidRPr="00E04F74" w:rsidRDefault="00095F06" w:rsidP="00095F06">
            <w:pPr>
              <w:jc w:val="both"/>
              <w:rPr>
                <w:sz w:val="22"/>
                <w:szCs w:val="22"/>
                <w:lang w:val="sr-Latn-RS"/>
              </w:rPr>
            </w:pPr>
            <w:r w:rsidRPr="00E04F74">
              <w:rPr>
                <w:sz w:val="22"/>
                <w:szCs w:val="22"/>
                <w:lang w:val="sr-Latn-RS"/>
              </w:rPr>
              <w:t>Kada je moguće, izbjegavati hroničnu istovremenu primjenu lijeka Kivexa sa ljekovima koji sadrže sorbitol ili druge osmotski aktivne polialkohole ili monosaharidne alkohole (npr. ksilitol, manitol, laktitol, maltitol). U slučajevima kada se navedena hronična istovremena primjena ne može izbjeći, potrebno je uzeti u obzir češće praćenje nivoa HIV-1 virusa.</w:t>
            </w:r>
          </w:p>
          <w:p w14:paraId="3578A74D" w14:textId="77777777" w:rsidR="00095F06" w:rsidRPr="00E04F74" w:rsidRDefault="00095F06" w:rsidP="00095F06">
            <w:pPr>
              <w:jc w:val="both"/>
              <w:rPr>
                <w:bCs/>
                <w:sz w:val="22"/>
                <w:szCs w:val="22"/>
                <w:lang w:val="sr-Latn-RS"/>
              </w:rPr>
            </w:pPr>
          </w:p>
        </w:tc>
      </w:tr>
      <w:tr w:rsidR="00095F06" w:rsidRPr="00E04F74" w14:paraId="3E0B59E2" w14:textId="77777777" w:rsidTr="00095F06">
        <w:tc>
          <w:tcPr>
            <w:tcW w:w="1583" w:type="pct"/>
            <w:tcBorders>
              <w:top w:val="single" w:sz="4" w:space="0" w:color="000000"/>
              <w:left w:val="single" w:sz="4" w:space="0" w:color="000000"/>
              <w:bottom w:val="single" w:sz="4" w:space="0" w:color="000000"/>
              <w:right w:val="single" w:sz="4" w:space="0" w:color="000000"/>
            </w:tcBorders>
          </w:tcPr>
          <w:p w14:paraId="37E8A872" w14:textId="77777777" w:rsidR="00095F06" w:rsidRPr="00E04F74" w:rsidRDefault="00095F06" w:rsidP="00095F06">
            <w:pPr>
              <w:jc w:val="both"/>
              <w:rPr>
                <w:sz w:val="22"/>
                <w:szCs w:val="22"/>
                <w:lang w:val="sr-Latn-RS"/>
              </w:rPr>
            </w:pPr>
            <w:r w:rsidRPr="00E04F74">
              <w:rPr>
                <w:sz w:val="22"/>
                <w:szCs w:val="22"/>
                <w:lang w:val="sr-Latn-RS"/>
              </w:rPr>
              <w:t>Riociguat/abakavir</w:t>
            </w:r>
          </w:p>
        </w:tc>
        <w:tc>
          <w:tcPr>
            <w:tcW w:w="1812" w:type="pct"/>
            <w:tcBorders>
              <w:top w:val="single" w:sz="4" w:space="0" w:color="000000"/>
              <w:left w:val="single" w:sz="4" w:space="0" w:color="000000"/>
              <w:bottom w:val="single" w:sz="4" w:space="0" w:color="000000"/>
              <w:right w:val="single" w:sz="4" w:space="0" w:color="000000"/>
            </w:tcBorders>
          </w:tcPr>
          <w:p w14:paraId="7392E844" w14:textId="77777777" w:rsidR="00095F06" w:rsidRPr="00E04F74" w:rsidRDefault="00095F06" w:rsidP="00095F06">
            <w:pPr>
              <w:jc w:val="both"/>
              <w:rPr>
                <w:i/>
                <w:iCs/>
                <w:sz w:val="22"/>
                <w:szCs w:val="22"/>
                <w:lang w:val="sr-Latn-RS"/>
              </w:rPr>
            </w:pPr>
            <w:r w:rsidRPr="00E04F74">
              <w:rPr>
                <w:sz w:val="22"/>
                <w:szCs w:val="22"/>
                <w:lang w:val="sr-Latn-RS"/>
              </w:rPr>
              <w:t>Riociguat</w:t>
            </w:r>
            <w:r w:rsidRPr="00E04F74">
              <w:rPr>
                <w:i/>
                <w:iCs/>
                <w:sz w:val="22"/>
                <w:szCs w:val="22"/>
                <w:lang w:val="sr-Latn-RS"/>
              </w:rPr>
              <w:t xml:space="preserve"> </w:t>
            </w:r>
            <w:r w:rsidRPr="00E04F74">
              <w:rPr>
                <w:sz w:val="22"/>
                <w:szCs w:val="22"/>
                <w:lang w:val="sr-Latn-RS"/>
              </w:rPr>
              <w:t>↑</w:t>
            </w:r>
          </w:p>
          <w:p w14:paraId="65E56426" w14:textId="77777777" w:rsidR="00095F06" w:rsidRPr="00E04F74" w:rsidRDefault="00095F06" w:rsidP="00095F06">
            <w:pPr>
              <w:jc w:val="both"/>
              <w:rPr>
                <w:sz w:val="22"/>
                <w:szCs w:val="22"/>
                <w:lang w:val="sr-Latn-RS"/>
              </w:rPr>
            </w:pPr>
            <w:r w:rsidRPr="00E04F74">
              <w:rPr>
                <w:i/>
                <w:iCs/>
                <w:sz w:val="22"/>
                <w:szCs w:val="22"/>
                <w:lang w:val="sr-Latn-RS"/>
              </w:rPr>
              <w:t>In vitro</w:t>
            </w:r>
            <w:r w:rsidRPr="00E04F74">
              <w:rPr>
                <w:sz w:val="22"/>
                <w:szCs w:val="22"/>
                <w:lang w:val="sr-Latn-RS"/>
              </w:rPr>
              <w:t xml:space="preserve">, abakavir inhibira CYP1A1. Istovremena primjena pojedinačne doze riociguata (0.5mg) kod HIV pozitivnih pacijenata koji primaju kombinaciju abakavir/dolutegravir/lamivudin </w:t>
            </w:r>
            <w:r w:rsidRPr="00E04F74">
              <w:rPr>
                <w:sz w:val="22"/>
                <w:szCs w:val="22"/>
                <w:lang w:val="sr-Latn-RS"/>
              </w:rPr>
              <w:lastRenderedPageBreak/>
              <w:t>(600mg/50mg/300mg jednom dnevno) dovela je do približno trostruko većeg PIK-a riociguata (0-∞) u poređenju sa PIK-om riociguata (0-∞) prijavljenim kod zdravih ispitanika.</w:t>
            </w:r>
          </w:p>
        </w:tc>
        <w:tc>
          <w:tcPr>
            <w:tcW w:w="1605" w:type="pct"/>
            <w:tcBorders>
              <w:top w:val="single" w:sz="4" w:space="0" w:color="000000"/>
              <w:left w:val="single" w:sz="4" w:space="0" w:color="000000"/>
              <w:bottom w:val="single" w:sz="4" w:space="0" w:color="000000"/>
              <w:right w:val="single" w:sz="4" w:space="0" w:color="000000"/>
            </w:tcBorders>
            <w:vAlign w:val="center"/>
          </w:tcPr>
          <w:p w14:paraId="2C3FF1EE" w14:textId="77777777" w:rsidR="00095F06" w:rsidRPr="00E04F74" w:rsidRDefault="00095F06" w:rsidP="00095F06">
            <w:pPr>
              <w:jc w:val="both"/>
              <w:rPr>
                <w:sz w:val="22"/>
                <w:szCs w:val="22"/>
                <w:lang w:val="sr-Latn-RS"/>
              </w:rPr>
            </w:pPr>
            <w:r w:rsidRPr="00E04F74">
              <w:rPr>
                <w:sz w:val="22"/>
                <w:szCs w:val="22"/>
                <w:lang w:val="sr-Latn-RS"/>
              </w:rPr>
              <w:lastRenderedPageBreak/>
              <w:t>Može biti potrebna korekcija doze riociguata. Pogledajte preporuke za doziranje u informacijama o propisivanju riocoguata.</w:t>
            </w:r>
          </w:p>
          <w:p w14:paraId="2C30EF0F" w14:textId="77777777" w:rsidR="00095F06" w:rsidRPr="00E04F74" w:rsidRDefault="00095F06" w:rsidP="00095F06">
            <w:pPr>
              <w:jc w:val="both"/>
              <w:rPr>
                <w:sz w:val="22"/>
                <w:szCs w:val="22"/>
                <w:lang w:val="sr-Latn-RS"/>
              </w:rPr>
            </w:pPr>
          </w:p>
          <w:p w14:paraId="6C4FE3BE" w14:textId="77777777" w:rsidR="00095F06" w:rsidRPr="00E04F74" w:rsidRDefault="00095F06" w:rsidP="00095F06">
            <w:pPr>
              <w:jc w:val="both"/>
              <w:rPr>
                <w:sz w:val="22"/>
                <w:szCs w:val="22"/>
                <w:lang w:val="sr-Latn-RS"/>
              </w:rPr>
            </w:pPr>
          </w:p>
          <w:p w14:paraId="4FE0F34C" w14:textId="77777777" w:rsidR="00095F06" w:rsidRPr="00E04F74" w:rsidRDefault="00095F06" w:rsidP="00095F06">
            <w:pPr>
              <w:jc w:val="both"/>
              <w:rPr>
                <w:sz w:val="22"/>
                <w:szCs w:val="22"/>
                <w:lang w:val="sr-Latn-RS"/>
              </w:rPr>
            </w:pPr>
          </w:p>
          <w:p w14:paraId="03E28D72" w14:textId="77777777" w:rsidR="00095F06" w:rsidRPr="00E04F74" w:rsidRDefault="00095F06" w:rsidP="00095F06">
            <w:pPr>
              <w:jc w:val="both"/>
              <w:rPr>
                <w:sz w:val="22"/>
                <w:szCs w:val="22"/>
                <w:lang w:val="sr-Latn-RS"/>
              </w:rPr>
            </w:pPr>
          </w:p>
          <w:p w14:paraId="2558F1EF" w14:textId="77777777" w:rsidR="00095F06" w:rsidRPr="00E04F74" w:rsidRDefault="00095F06" w:rsidP="00095F06">
            <w:pPr>
              <w:jc w:val="both"/>
              <w:rPr>
                <w:sz w:val="22"/>
                <w:szCs w:val="22"/>
                <w:lang w:val="sr-Latn-RS"/>
              </w:rPr>
            </w:pPr>
          </w:p>
          <w:p w14:paraId="6046150B" w14:textId="77777777" w:rsidR="00095F06" w:rsidRPr="00E04F74" w:rsidRDefault="00095F06" w:rsidP="00095F06">
            <w:pPr>
              <w:jc w:val="both"/>
              <w:rPr>
                <w:sz w:val="22"/>
                <w:szCs w:val="22"/>
                <w:lang w:val="sr-Latn-RS"/>
              </w:rPr>
            </w:pPr>
          </w:p>
          <w:p w14:paraId="7BA2422D" w14:textId="77777777" w:rsidR="00095F06" w:rsidRPr="00E04F74" w:rsidRDefault="00095F06" w:rsidP="00095F06">
            <w:pPr>
              <w:jc w:val="both"/>
              <w:rPr>
                <w:sz w:val="22"/>
                <w:szCs w:val="22"/>
                <w:lang w:val="sr-Latn-RS"/>
              </w:rPr>
            </w:pPr>
          </w:p>
          <w:p w14:paraId="1AD1A9DE" w14:textId="77777777" w:rsidR="00095F06" w:rsidRPr="00E04F74" w:rsidRDefault="00095F06" w:rsidP="00095F06">
            <w:pPr>
              <w:jc w:val="both"/>
              <w:rPr>
                <w:sz w:val="22"/>
                <w:szCs w:val="22"/>
                <w:lang w:val="sr-Latn-RS"/>
              </w:rPr>
            </w:pPr>
          </w:p>
          <w:p w14:paraId="786E6450" w14:textId="77777777" w:rsidR="00095F06" w:rsidRPr="00E04F74" w:rsidRDefault="00095F06" w:rsidP="00095F06">
            <w:pPr>
              <w:jc w:val="both"/>
              <w:rPr>
                <w:sz w:val="22"/>
                <w:szCs w:val="22"/>
                <w:lang w:val="sr-Latn-RS"/>
              </w:rPr>
            </w:pPr>
          </w:p>
        </w:tc>
      </w:tr>
    </w:tbl>
    <w:p w14:paraId="058E095A" w14:textId="77777777" w:rsidR="000F6023" w:rsidRPr="00E04F74" w:rsidRDefault="000F6023" w:rsidP="00946B2E">
      <w:pPr>
        <w:jc w:val="both"/>
        <w:rPr>
          <w:sz w:val="22"/>
          <w:szCs w:val="22"/>
          <w:lang w:val="sr-Latn-RS"/>
        </w:rPr>
      </w:pPr>
      <w:r w:rsidRPr="00E04F74">
        <w:rPr>
          <w:sz w:val="22"/>
          <w:szCs w:val="22"/>
          <w:lang w:val="sr-Latn-RS"/>
        </w:rPr>
        <w:lastRenderedPageBreak/>
        <w:t>Skraćenice: ↑= povećanje; ↓= sniženje; ↔= nema značajne promjene; PIK= površina ispod krive, koncentracija u odnosu na vrijeme; C</w:t>
      </w:r>
      <w:r w:rsidRPr="00E04F74">
        <w:rPr>
          <w:sz w:val="22"/>
          <w:szCs w:val="22"/>
          <w:vertAlign w:val="subscript"/>
          <w:lang w:val="sr-Latn-RS"/>
        </w:rPr>
        <w:t>max</w:t>
      </w:r>
      <w:r w:rsidRPr="00E04F74">
        <w:rPr>
          <w:sz w:val="22"/>
          <w:szCs w:val="22"/>
          <w:lang w:val="sr-Latn-RS"/>
        </w:rPr>
        <w:t>= maksimum uočene koncentracije; CL/F= prividan oralni klirens</w:t>
      </w:r>
    </w:p>
    <w:p w14:paraId="058E095B" w14:textId="77777777" w:rsidR="000F6023" w:rsidRPr="00E04F74" w:rsidRDefault="000F6023" w:rsidP="00946B2E">
      <w:pPr>
        <w:pStyle w:val="Header"/>
        <w:tabs>
          <w:tab w:val="left" w:pos="284"/>
        </w:tabs>
        <w:jc w:val="both"/>
        <w:rPr>
          <w:sz w:val="22"/>
          <w:szCs w:val="22"/>
          <w:lang w:val="sr-Latn-RS"/>
        </w:rPr>
      </w:pPr>
    </w:p>
    <w:p w14:paraId="058E095C" w14:textId="77777777" w:rsidR="000F6023" w:rsidRPr="00E04F74" w:rsidRDefault="000F6023" w:rsidP="00946B2E">
      <w:pPr>
        <w:jc w:val="both"/>
        <w:rPr>
          <w:sz w:val="22"/>
          <w:szCs w:val="22"/>
          <w:u w:val="single"/>
          <w:lang w:val="sr-Latn-RS"/>
        </w:rPr>
      </w:pPr>
      <w:r w:rsidRPr="00E04F74">
        <w:rPr>
          <w:sz w:val="22"/>
          <w:szCs w:val="22"/>
          <w:u w:val="single"/>
          <w:lang w:val="sr-Latn-RS"/>
        </w:rPr>
        <w:t>Pedijatrijska populacija</w:t>
      </w:r>
    </w:p>
    <w:p w14:paraId="058E095D" w14:textId="77777777" w:rsidR="000F6023" w:rsidRPr="00E04F74" w:rsidRDefault="000F6023" w:rsidP="00946B2E">
      <w:pPr>
        <w:jc w:val="both"/>
        <w:rPr>
          <w:sz w:val="22"/>
          <w:szCs w:val="22"/>
          <w:lang w:val="sr-Latn-RS"/>
        </w:rPr>
      </w:pPr>
    </w:p>
    <w:p w14:paraId="058E095E" w14:textId="77777777" w:rsidR="000F6023" w:rsidRPr="00E04F74" w:rsidRDefault="000F6023" w:rsidP="00946B2E">
      <w:pPr>
        <w:pStyle w:val="Header"/>
        <w:tabs>
          <w:tab w:val="left" w:pos="284"/>
        </w:tabs>
        <w:jc w:val="both"/>
        <w:rPr>
          <w:sz w:val="22"/>
          <w:szCs w:val="22"/>
          <w:lang w:val="sr-Latn-RS"/>
        </w:rPr>
      </w:pPr>
      <w:r w:rsidRPr="00E04F74">
        <w:rPr>
          <w:sz w:val="22"/>
          <w:szCs w:val="22"/>
          <w:lang w:val="sr-Latn-RS"/>
        </w:rPr>
        <w:t>Ispitivanja interakcije su sprovedena isključivo kod odraslih osoba.</w:t>
      </w:r>
    </w:p>
    <w:p w14:paraId="058E095F" w14:textId="77777777" w:rsidR="0072020E" w:rsidRPr="00E04F74" w:rsidRDefault="0072020E" w:rsidP="00946B2E">
      <w:pPr>
        <w:tabs>
          <w:tab w:val="left" w:pos="540"/>
          <w:tab w:val="left" w:pos="569"/>
        </w:tabs>
        <w:jc w:val="both"/>
        <w:rPr>
          <w:bCs/>
          <w:sz w:val="22"/>
          <w:szCs w:val="22"/>
          <w:lang w:val="sr-Latn-RS"/>
        </w:rPr>
      </w:pPr>
    </w:p>
    <w:p w14:paraId="058E0960" w14:textId="77777777" w:rsidR="0072020E" w:rsidRPr="00E04F74" w:rsidRDefault="0072020E" w:rsidP="00946B2E">
      <w:pPr>
        <w:tabs>
          <w:tab w:val="left" w:pos="540"/>
          <w:tab w:val="left" w:pos="569"/>
        </w:tabs>
        <w:jc w:val="both"/>
        <w:rPr>
          <w:b/>
          <w:sz w:val="22"/>
          <w:szCs w:val="22"/>
          <w:lang w:val="sr-Latn-RS"/>
        </w:rPr>
      </w:pPr>
      <w:r w:rsidRPr="00E04F74">
        <w:rPr>
          <w:b/>
          <w:bCs/>
          <w:sz w:val="22"/>
          <w:szCs w:val="22"/>
          <w:lang w:val="sr-Latn-RS"/>
        </w:rPr>
        <w:t xml:space="preserve">4.6. </w:t>
      </w:r>
      <w:r w:rsidR="00480FB1" w:rsidRPr="00E04F74">
        <w:rPr>
          <w:b/>
          <w:bCs/>
          <w:sz w:val="22"/>
          <w:szCs w:val="22"/>
          <w:lang w:val="sr-Latn-RS"/>
        </w:rPr>
        <w:tab/>
      </w:r>
      <w:r w:rsidR="006D20A5" w:rsidRPr="00E04F74">
        <w:rPr>
          <w:b/>
          <w:sz w:val="22"/>
          <w:szCs w:val="22"/>
          <w:lang w:val="sr-Latn-RS"/>
        </w:rPr>
        <w:t>Plodnost, trudnoća i dojenje</w:t>
      </w:r>
    </w:p>
    <w:p w14:paraId="058E0962" w14:textId="77777777" w:rsidR="002031B3" w:rsidRPr="00E04F74" w:rsidRDefault="002031B3" w:rsidP="00946B2E">
      <w:pPr>
        <w:tabs>
          <w:tab w:val="left" w:pos="540"/>
          <w:tab w:val="left" w:pos="569"/>
        </w:tabs>
        <w:jc w:val="both"/>
        <w:rPr>
          <w:sz w:val="22"/>
          <w:szCs w:val="22"/>
          <w:u w:val="single"/>
          <w:lang w:val="sr-Latn-RS"/>
        </w:rPr>
      </w:pPr>
    </w:p>
    <w:p w14:paraId="058E0963" w14:textId="77777777" w:rsidR="007A3ECB" w:rsidRPr="00E04F74" w:rsidRDefault="007A3ECB" w:rsidP="00946B2E">
      <w:pPr>
        <w:tabs>
          <w:tab w:val="left" w:pos="540"/>
          <w:tab w:val="left" w:pos="569"/>
        </w:tabs>
        <w:jc w:val="both"/>
        <w:rPr>
          <w:sz w:val="22"/>
          <w:szCs w:val="22"/>
          <w:u w:val="single"/>
          <w:lang w:val="sr-Latn-RS"/>
        </w:rPr>
      </w:pPr>
      <w:r w:rsidRPr="00E04F74">
        <w:rPr>
          <w:sz w:val="22"/>
          <w:szCs w:val="22"/>
          <w:u w:val="single"/>
          <w:lang w:val="sr-Latn-RS"/>
        </w:rPr>
        <w:t>Trudnoća</w:t>
      </w:r>
    </w:p>
    <w:p w14:paraId="058E0964" w14:textId="01995380" w:rsidR="008B5848" w:rsidRPr="00E04F74" w:rsidRDefault="008B5848" w:rsidP="002870DD">
      <w:pPr>
        <w:pStyle w:val="Header"/>
        <w:jc w:val="both"/>
        <w:rPr>
          <w:sz w:val="22"/>
          <w:szCs w:val="22"/>
          <w:lang w:val="sr-Latn-RS"/>
        </w:rPr>
      </w:pPr>
      <w:r w:rsidRPr="00E04F74">
        <w:rPr>
          <w:sz w:val="22"/>
          <w:szCs w:val="22"/>
          <w:lang w:val="sr-Latn-RS"/>
        </w:rPr>
        <w:t>Generalno, prilikom donošenja odluke o primjeni antiretrovirusnog sredstva u terapiji HIV infekcije kod žena u drugom stanju i posljedičnog smanjenja rizika od vertikalne transmisije HIV infekcije na novorođenče, potrebno je uzeti u obzir podatke dobijene na ispitivanjima na životinjama kao i kliničko iskustvo primjene lijeka kod žena u drugom stanju.</w:t>
      </w:r>
      <w:r w:rsidR="002870DD" w:rsidRPr="00E04F74">
        <w:rPr>
          <w:sz w:val="22"/>
          <w:szCs w:val="22"/>
          <w:lang w:val="sr-Latn-RS"/>
        </w:rPr>
        <w:t xml:space="preserve"> </w:t>
      </w:r>
    </w:p>
    <w:p w14:paraId="058E0965" w14:textId="77777777" w:rsidR="008B5848" w:rsidRPr="00E04F74" w:rsidRDefault="008B5848" w:rsidP="002870DD">
      <w:pPr>
        <w:pStyle w:val="Header"/>
        <w:jc w:val="both"/>
        <w:rPr>
          <w:sz w:val="22"/>
          <w:szCs w:val="22"/>
          <w:lang w:val="sr-Latn-RS"/>
        </w:rPr>
      </w:pPr>
    </w:p>
    <w:p w14:paraId="058E0966" w14:textId="31DB2DA4" w:rsidR="008B5848" w:rsidRPr="00E04F74" w:rsidRDefault="008B5848" w:rsidP="002870DD">
      <w:pPr>
        <w:pStyle w:val="Header"/>
        <w:jc w:val="both"/>
        <w:rPr>
          <w:sz w:val="22"/>
          <w:szCs w:val="22"/>
          <w:lang w:val="sr-Latn-RS"/>
        </w:rPr>
      </w:pPr>
      <w:r w:rsidRPr="00E04F74">
        <w:rPr>
          <w:sz w:val="22"/>
          <w:szCs w:val="22"/>
          <w:lang w:val="sr-Latn-RS"/>
        </w:rPr>
        <w:t xml:space="preserve">Ispitivanja abakavira na životinjama pokazala su toksičnost na embrion u razvoju i fetus kod pacova, ali ne i kod kunića. Ispitivanja lamivudina na životinjama pokazala su povećanu učestalost rane smrtnosti embriona kod kunića, ali ne i kod pacova (vidjeti </w:t>
      </w:r>
      <w:r w:rsidR="00D52927" w:rsidRPr="00E04F74">
        <w:rPr>
          <w:sz w:val="22"/>
          <w:szCs w:val="22"/>
          <w:lang w:val="sr-Latn-RS"/>
        </w:rPr>
        <w:t>dio</w:t>
      </w:r>
      <w:r w:rsidRPr="00E04F74">
        <w:rPr>
          <w:sz w:val="22"/>
          <w:szCs w:val="22"/>
          <w:lang w:val="sr-Latn-RS"/>
        </w:rPr>
        <w:t xml:space="preserve"> 5.3). Aktivni sastojci lijeka KIVEXA mogu inhibirati ćelijsku DNK replikaciju i pokazano je da je abakavir kancerogen na animalnim modelima (vidjeti </w:t>
      </w:r>
      <w:r w:rsidR="00D52927" w:rsidRPr="00E04F74">
        <w:rPr>
          <w:sz w:val="22"/>
          <w:szCs w:val="22"/>
          <w:lang w:val="sr-Latn-RS"/>
        </w:rPr>
        <w:t>dio</w:t>
      </w:r>
      <w:r w:rsidRPr="00E04F74">
        <w:rPr>
          <w:sz w:val="22"/>
          <w:szCs w:val="22"/>
          <w:lang w:val="sr-Latn-RS"/>
        </w:rPr>
        <w:t xml:space="preserve"> 5.3). Klinički značaj navedenih otkrića nije poznat. Pokazano je da abakavir i lamivudin prolaze kroz placentu kod ljudi.</w:t>
      </w:r>
    </w:p>
    <w:p w14:paraId="058E0967" w14:textId="77777777" w:rsidR="008B5848" w:rsidRPr="00E04F74" w:rsidRDefault="008B5848">
      <w:pPr>
        <w:pStyle w:val="Header"/>
        <w:jc w:val="both"/>
        <w:rPr>
          <w:sz w:val="22"/>
          <w:szCs w:val="22"/>
          <w:lang w:val="sr-Latn-RS"/>
        </w:rPr>
      </w:pPr>
    </w:p>
    <w:p w14:paraId="058E0968" w14:textId="77777777" w:rsidR="008B5848" w:rsidRPr="00E04F74" w:rsidRDefault="008B5848">
      <w:pPr>
        <w:pStyle w:val="Header"/>
        <w:jc w:val="both"/>
        <w:rPr>
          <w:sz w:val="22"/>
          <w:szCs w:val="22"/>
          <w:lang w:val="sr-Latn-RS"/>
        </w:rPr>
      </w:pPr>
      <w:r w:rsidRPr="00E04F74">
        <w:rPr>
          <w:sz w:val="22"/>
          <w:szCs w:val="22"/>
          <w:lang w:val="sr-Latn-RS"/>
        </w:rPr>
        <w:t>Kod žena u drugom stanju koje su liječene abakavirom, više od 800 ishoda trudnoće pri izloženosti lijeku tokom prvog trimestra i više od 1000 ishoda pri izloženosti lijeku tokom drugog i trećeg trimestra ne ukazuju na malformativnu i feto/neonatalnu toksičnost. Kod žena u drugom stanju koje su liječene lamivudinom, više od 1000 ishoda trudnoće pri izloženosti lijeku tokom prvog trimestra i više od 1000 ishoda pri izloženosti lijeku tokom drugog i trećeg trimestra ne ukazuju na malformativnu i feto/neonatalnu toksičnost. Nema podataka o primjeni lijeka KIVEXA u trudnoći, ali je na osnovu ovih podataka malo vjerovatno postojanje rizika od malformativne toksičnosti kod ljudi.</w:t>
      </w:r>
    </w:p>
    <w:p w14:paraId="058E0969" w14:textId="77777777" w:rsidR="008B5848" w:rsidRPr="00E04F74" w:rsidRDefault="008B5848">
      <w:pPr>
        <w:pStyle w:val="Header"/>
        <w:jc w:val="both"/>
        <w:rPr>
          <w:sz w:val="22"/>
          <w:szCs w:val="22"/>
          <w:lang w:val="sr-Latn-RS"/>
        </w:rPr>
      </w:pPr>
    </w:p>
    <w:p w14:paraId="058E096A" w14:textId="77777777" w:rsidR="008B5848" w:rsidRPr="00E04F74" w:rsidRDefault="008B5848">
      <w:pPr>
        <w:pStyle w:val="Header"/>
        <w:jc w:val="both"/>
        <w:rPr>
          <w:sz w:val="22"/>
          <w:szCs w:val="22"/>
          <w:lang w:val="sr-Latn-RS"/>
        </w:rPr>
      </w:pPr>
      <w:r w:rsidRPr="00E04F74">
        <w:rPr>
          <w:sz w:val="22"/>
          <w:szCs w:val="22"/>
          <w:lang w:val="sr-Latn-RS"/>
        </w:rPr>
        <w:t>Kod pacijentkinja istovremeno inficiranih hepatitisom koje su liječene ljekovima koji sadrže lamivudin, kao što je lijek KIVEXA i koje naknadno ostanu u drugom stanju, potrebno je obratiti pažnju na mogućnost ponovne pojave hepatitisa pri prekidu primjene lamivudina.</w:t>
      </w:r>
    </w:p>
    <w:p w14:paraId="058E096B" w14:textId="77777777" w:rsidR="008B5848" w:rsidRPr="00E04F74" w:rsidRDefault="008B5848">
      <w:pPr>
        <w:pStyle w:val="Header"/>
        <w:jc w:val="both"/>
        <w:rPr>
          <w:sz w:val="22"/>
          <w:szCs w:val="22"/>
          <w:lang w:val="sr-Latn-RS"/>
        </w:rPr>
      </w:pPr>
    </w:p>
    <w:p w14:paraId="058E096C" w14:textId="77777777" w:rsidR="008B5848" w:rsidRPr="00E04F74" w:rsidRDefault="008B5848">
      <w:pPr>
        <w:pStyle w:val="Header"/>
        <w:jc w:val="both"/>
        <w:rPr>
          <w:sz w:val="22"/>
          <w:szCs w:val="22"/>
          <w:lang w:val="sr-Latn-RS"/>
        </w:rPr>
      </w:pPr>
      <w:r w:rsidRPr="00E04F74">
        <w:rPr>
          <w:i/>
          <w:sz w:val="22"/>
          <w:szCs w:val="22"/>
          <w:lang w:val="sr-Latn-RS"/>
        </w:rPr>
        <w:t>Mitohondrijalna disfunkcija</w:t>
      </w:r>
    </w:p>
    <w:p w14:paraId="058E096D" w14:textId="592B436A" w:rsidR="008B5848" w:rsidRPr="00E04F74" w:rsidRDefault="008B5848">
      <w:pPr>
        <w:pStyle w:val="Header"/>
        <w:jc w:val="both"/>
        <w:rPr>
          <w:sz w:val="22"/>
          <w:szCs w:val="22"/>
          <w:lang w:val="sr-Latn-RS"/>
        </w:rPr>
      </w:pPr>
      <w:r w:rsidRPr="00E04F74">
        <w:rPr>
          <w:sz w:val="22"/>
          <w:szCs w:val="22"/>
          <w:lang w:val="sr-Latn-RS"/>
        </w:rPr>
        <w:t xml:space="preserve">Pokazano je da nukleozidni i nukleotidni analozi u </w:t>
      </w:r>
      <w:r w:rsidRPr="00E04F74">
        <w:rPr>
          <w:i/>
          <w:sz w:val="22"/>
          <w:szCs w:val="22"/>
          <w:lang w:val="sr-Latn-RS"/>
        </w:rPr>
        <w:t>in vitro</w:t>
      </w:r>
      <w:r w:rsidRPr="00E04F74">
        <w:rPr>
          <w:sz w:val="22"/>
          <w:szCs w:val="22"/>
          <w:lang w:val="sr-Latn-RS"/>
        </w:rPr>
        <w:t xml:space="preserve"> i </w:t>
      </w:r>
      <w:r w:rsidRPr="00E04F74">
        <w:rPr>
          <w:i/>
          <w:sz w:val="22"/>
          <w:szCs w:val="22"/>
          <w:lang w:val="sr-Latn-RS"/>
        </w:rPr>
        <w:t xml:space="preserve">in vivo </w:t>
      </w:r>
      <w:r w:rsidRPr="00E04F74">
        <w:rPr>
          <w:sz w:val="22"/>
          <w:szCs w:val="22"/>
          <w:lang w:val="sr-Latn-RS"/>
        </w:rPr>
        <w:t xml:space="preserve">uslovim uzrokuju različiti stepen mitohondtrijalnog oštećenja. Bilo je izvještaja o mitohondrijalnoj disfunkciji kod HIV-negativne odojčadi izložene </w:t>
      </w:r>
      <w:r w:rsidRPr="00E04F74">
        <w:rPr>
          <w:i/>
          <w:sz w:val="22"/>
          <w:szCs w:val="22"/>
          <w:lang w:val="sr-Latn-RS"/>
        </w:rPr>
        <w:t>in utero</w:t>
      </w:r>
      <w:r w:rsidRPr="00E04F74">
        <w:rPr>
          <w:sz w:val="22"/>
          <w:szCs w:val="22"/>
          <w:lang w:val="sr-Latn-RS"/>
        </w:rPr>
        <w:t xml:space="preserve"> i/ili postnatalno dejstvu nukleozidnih analoga (vidjeti </w:t>
      </w:r>
      <w:r w:rsidR="00D52927" w:rsidRPr="00E04F74">
        <w:rPr>
          <w:sz w:val="22"/>
          <w:szCs w:val="22"/>
          <w:lang w:val="sr-Latn-RS"/>
        </w:rPr>
        <w:t>dio</w:t>
      </w:r>
      <w:r w:rsidRPr="00E04F74">
        <w:rPr>
          <w:sz w:val="22"/>
          <w:szCs w:val="22"/>
          <w:lang w:val="sr-Latn-RS"/>
        </w:rPr>
        <w:t xml:space="preserve"> 4.4).</w:t>
      </w:r>
    </w:p>
    <w:p w14:paraId="058E096E" w14:textId="77777777" w:rsidR="002031B3" w:rsidRPr="00E04F74" w:rsidRDefault="002031B3">
      <w:pPr>
        <w:tabs>
          <w:tab w:val="left" w:pos="540"/>
          <w:tab w:val="left" w:pos="569"/>
        </w:tabs>
        <w:jc w:val="both"/>
        <w:rPr>
          <w:sz w:val="22"/>
          <w:szCs w:val="22"/>
          <w:u w:val="single"/>
          <w:lang w:val="sr-Latn-RS"/>
        </w:rPr>
      </w:pPr>
    </w:p>
    <w:p w14:paraId="058E096F" w14:textId="77777777" w:rsidR="0072020E" w:rsidRPr="00E04F74" w:rsidRDefault="007A3ECB">
      <w:pPr>
        <w:tabs>
          <w:tab w:val="left" w:pos="540"/>
          <w:tab w:val="left" w:pos="569"/>
        </w:tabs>
        <w:jc w:val="both"/>
        <w:rPr>
          <w:b/>
          <w:bCs/>
          <w:sz w:val="22"/>
          <w:szCs w:val="22"/>
          <w:lang w:val="sr-Latn-RS"/>
        </w:rPr>
      </w:pPr>
      <w:r w:rsidRPr="00E04F74">
        <w:rPr>
          <w:sz w:val="22"/>
          <w:szCs w:val="22"/>
          <w:u w:val="single"/>
          <w:lang w:val="sr-Latn-RS"/>
        </w:rPr>
        <w:t xml:space="preserve">Dojenje </w:t>
      </w:r>
    </w:p>
    <w:p w14:paraId="058E0970" w14:textId="77777777" w:rsidR="008B5848" w:rsidRPr="00E04F74" w:rsidRDefault="008B5848">
      <w:pPr>
        <w:pStyle w:val="Header"/>
        <w:jc w:val="both"/>
        <w:rPr>
          <w:sz w:val="22"/>
          <w:szCs w:val="22"/>
          <w:lang w:val="sr-Latn-RS"/>
        </w:rPr>
      </w:pPr>
      <w:r w:rsidRPr="00E04F74">
        <w:rPr>
          <w:sz w:val="22"/>
          <w:szCs w:val="22"/>
          <w:lang w:val="sr-Latn-RS"/>
        </w:rPr>
        <w:t xml:space="preserve">Abakavir i njegovi metaboliti se ekskretuju u mlijeko ženki pacova. Abakavir se takođe ekskretuje u humano mlijeko. </w:t>
      </w:r>
    </w:p>
    <w:p w14:paraId="058E0971" w14:textId="77777777" w:rsidR="008B5848" w:rsidRPr="00E04F74" w:rsidRDefault="008B5848">
      <w:pPr>
        <w:pStyle w:val="Header"/>
        <w:jc w:val="both"/>
        <w:rPr>
          <w:sz w:val="22"/>
          <w:szCs w:val="22"/>
          <w:lang w:val="sr-Latn-RS"/>
        </w:rPr>
      </w:pPr>
    </w:p>
    <w:p w14:paraId="058E0972" w14:textId="77777777" w:rsidR="008B5848" w:rsidRPr="00E04F74" w:rsidRDefault="008B5848">
      <w:pPr>
        <w:pStyle w:val="Header"/>
        <w:jc w:val="both"/>
        <w:rPr>
          <w:sz w:val="22"/>
          <w:szCs w:val="22"/>
          <w:lang w:val="sr-Latn-RS"/>
        </w:rPr>
      </w:pPr>
      <w:r w:rsidRPr="00E04F74">
        <w:rPr>
          <w:sz w:val="22"/>
          <w:szCs w:val="22"/>
          <w:lang w:val="sr-Latn-RS"/>
        </w:rPr>
        <w:t xml:space="preserve">Na osnovu više od 200 parova majki i djece liječenih od HIV infekcije, koncentracije lamivudina u serumu odojčadi čije su majke liječene od HIV infekcije su vrlo niske (&lt; 4% koncentracije u serumu majke) i progresivno se smanjuju do nemjerljivih vrijednosti nakon što odojčad navrše 24 nedjelje. Nema dostupnih podataka o bezbjednosti primjene abakavira i lamivudina kod djece mlađe od 3 mjeseca. </w:t>
      </w:r>
    </w:p>
    <w:p w14:paraId="058E0973" w14:textId="77777777" w:rsidR="008B5848" w:rsidRPr="00E04F74" w:rsidRDefault="008B5848" w:rsidP="00946B2E">
      <w:pPr>
        <w:pStyle w:val="Header"/>
        <w:jc w:val="both"/>
        <w:rPr>
          <w:sz w:val="22"/>
          <w:szCs w:val="22"/>
          <w:lang w:val="sr-Latn-RS"/>
        </w:rPr>
      </w:pPr>
    </w:p>
    <w:p w14:paraId="058E0974" w14:textId="39754CAB" w:rsidR="008B5848" w:rsidRPr="00E04F74" w:rsidRDefault="008B5848" w:rsidP="00946B2E">
      <w:pPr>
        <w:pStyle w:val="Header"/>
        <w:jc w:val="both"/>
        <w:rPr>
          <w:sz w:val="22"/>
          <w:szCs w:val="22"/>
          <w:lang w:val="sr-Latn-RS"/>
        </w:rPr>
      </w:pPr>
      <w:r w:rsidRPr="00E04F74">
        <w:rPr>
          <w:sz w:val="22"/>
          <w:szCs w:val="22"/>
          <w:lang w:val="sr-Latn-RS"/>
        </w:rPr>
        <w:t>Preporučuje se da žene</w:t>
      </w:r>
      <w:r w:rsidR="0077661D" w:rsidRPr="00E04F74">
        <w:rPr>
          <w:sz w:val="22"/>
          <w:szCs w:val="22"/>
          <w:lang w:val="sr-Latn-RS"/>
        </w:rPr>
        <w:t xml:space="preserve"> koje žive sa</w:t>
      </w:r>
      <w:r w:rsidRPr="00E04F74">
        <w:rPr>
          <w:sz w:val="22"/>
          <w:szCs w:val="22"/>
          <w:lang w:val="sr-Latn-RS"/>
        </w:rPr>
        <w:t xml:space="preserve"> HIV-om ne doje svoju djecu kako bi se </w:t>
      </w:r>
      <w:r w:rsidR="0077661D" w:rsidRPr="00E04F74">
        <w:rPr>
          <w:sz w:val="22"/>
          <w:szCs w:val="22"/>
          <w:lang w:val="sr-Latn-RS"/>
        </w:rPr>
        <w:t xml:space="preserve">izbjegla </w:t>
      </w:r>
      <w:r w:rsidRPr="00E04F74">
        <w:rPr>
          <w:sz w:val="22"/>
          <w:szCs w:val="22"/>
          <w:lang w:val="sr-Latn-RS"/>
        </w:rPr>
        <w:t>transmisija HIV</w:t>
      </w:r>
      <w:r w:rsidR="0077661D" w:rsidRPr="00E04F74">
        <w:rPr>
          <w:sz w:val="22"/>
          <w:szCs w:val="22"/>
          <w:lang w:val="sr-Latn-RS"/>
        </w:rPr>
        <w:t>-a</w:t>
      </w:r>
      <w:r w:rsidRPr="00E04F74">
        <w:rPr>
          <w:sz w:val="22"/>
          <w:szCs w:val="22"/>
          <w:lang w:val="sr-Latn-RS"/>
        </w:rPr>
        <w:t>.</w:t>
      </w:r>
    </w:p>
    <w:p w14:paraId="058E0975" w14:textId="77777777" w:rsidR="008B5848" w:rsidRPr="00E04F74" w:rsidRDefault="008B5848" w:rsidP="00946B2E">
      <w:pPr>
        <w:tabs>
          <w:tab w:val="left" w:pos="540"/>
          <w:tab w:val="left" w:pos="569"/>
        </w:tabs>
        <w:jc w:val="both"/>
        <w:rPr>
          <w:sz w:val="22"/>
          <w:szCs w:val="22"/>
          <w:u w:val="single"/>
          <w:lang w:val="sr-Latn-RS"/>
        </w:rPr>
      </w:pPr>
    </w:p>
    <w:p w14:paraId="058E0976" w14:textId="77777777" w:rsidR="008B5848" w:rsidRPr="00E04F74" w:rsidRDefault="008B5848" w:rsidP="00946B2E">
      <w:pPr>
        <w:tabs>
          <w:tab w:val="left" w:pos="540"/>
          <w:tab w:val="left" w:pos="569"/>
        </w:tabs>
        <w:jc w:val="both"/>
        <w:rPr>
          <w:sz w:val="22"/>
          <w:szCs w:val="22"/>
          <w:u w:val="single"/>
          <w:lang w:val="sr-Latn-RS"/>
        </w:rPr>
      </w:pPr>
      <w:r w:rsidRPr="00E04F74">
        <w:rPr>
          <w:sz w:val="22"/>
          <w:szCs w:val="22"/>
          <w:u w:val="single"/>
          <w:lang w:val="sr-Latn-RS"/>
        </w:rPr>
        <w:t>Plodnost</w:t>
      </w:r>
    </w:p>
    <w:p w14:paraId="058E0977" w14:textId="101B0618" w:rsidR="008B5848" w:rsidRPr="00E04F74" w:rsidRDefault="008B5848" w:rsidP="00946B2E">
      <w:pPr>
        <w:pStyle w:val="Header"/>
        <w:jc w:val="both"/>
        <w:rPr>
          <w:sz w:val="22"/>
          <w:szCs w:val="22"/>
          <w:lang w:val="sr-Latn-RS"/>
        </w:rPr>
      </w:pPr>
      <w:r w:rsidRPr="00E04F74">
        <w:rPr>
          <w:sz w:val="22"/>
          <w:szCs w:val="22"/>
          <w:lang w:val="sr-Latn-RS"/>
        </w:rPr>
        <w:t xml:space="preserve">Ispitivanja na životinjama pokazala su da ni lamivudin ni abakavir nemaju nikakva dejstva na fertilnost (vidjeti </w:t>
      </w:r>
      <w:r w:rsidR="00D52927" w:rsidRPr="00E04F74">
        <w:rPr>
          <w:sz w:val="22"/>
          <w:szCs w:val="22"/>
          <w:lang w:val="sr-Latn-RS"/>
        </w:rPr>
        <w:t>dio</w:t>
      </w:r>
      <w:r w:rsidRPr="00E04F74">
        <w:rPr>
          <w:sz w:val="22"/>
          <w:szCs w:val="22"/>
          <w:lang w:val="sr-Latn-RS"/>
        </w:rPr>
        <w:t xml:space="preserve"> 5.3).</w:t>
      </w:r>
    </w:p>
    <w:p w14:paraId="058E0978" w14:textId="77777777" w:rsidR="00227BDB" w:rsidRPr="00E04F74" w:rsidRDefault="00227BDB" w:rsidP="00946B2E">
      <w:pPr>
        <w:tabs>
          <w:tab w:val="left" w:pos="540"/>
          <w:tab w:val="left" w:pos="569"/>
        </w:tabs>
        <w:ind w:left="540" w:hanging="540"/>
        <w:jc w:val="both"/>
        <w:rPr>
          <w:b/>
          <w:bCs/>
          <w:sz w:val="22"/>
          <w:szCs w:val="22"/>
          <w:lang w:val="sr-Latn-RS"/>
        </w:rPr>
      </w:pPr>
    </w:p>
    <w:p w14:paraId="058E0979" w14:textId="162BC0EB" w:rsidR="0072020E" w:rsidRPr="00E04F74" w:rsidRDefault="0072020E" w:rsidP="00946B2E">
      <w:pPr>
        <w:tabs>
          <w:tab w:val="left" w:pos="540"/>
          <w:tab w:val="left" w:pos="569"/>
        </w:tabs>
        <w:ind w:left="540" w:hanging="540"/>
        <w:jc w:val="both"/>
        <w:rPr>
          <w:b/>
          <w:bCs/>
          <w:sz w:val="22"/>
          <w:szCs w:val="22"/>
          <w:lang w:val="sr-Latn-RS"/>
        </w:rPr>
      </w:pPr>
      <w:r w:rsidRPr="00E04F74">
        <w:rPr>
          <w:b/>
          <w:bCs/>
          <w:sz w:val="22"/>
          <w:szCs w:val="22"/>
          <w:lang w:val="sr-Latn-RS"/>
        </w:rPr>
        <w:t xml:space="preserve">4.7. </w:t>
      </w:r>
      <w:r w:rsidR="00480FB1" w:rsidRPr="00E04F74">
        <w:rPr>
          <w:b/>
          <w:bCs/>
          <w:sz w:val="22"/>
          <w:szCs w:val="22"/>
          <w:lang w:val="sr-Latn-RS"/>
        </w:rPr>
        <w:tab/>
      </w:r>
      <w:r w:rsidRPr="00E04F74">
        <w:rPr>
          <w:b/>
          <w:bCs/>
          <w:sz w:val="22"/>
          <w:szCs w:val="22"/>
          <w:lang w:val="sr-Latn-RS"/>
        </w:rPr>
        <w:t xml:space="preserve">Uticaj na </w:t>
      </w:r>
      <w:r w:rsidR="002031B3" w:rsidRPr="00E04F74">
        <w:rPr>
          <w:b/>
          <w:bCs/>
          <w:sz w:val="22"/>
          <w:szCs w:val="22"/>
          <w:lang w:val="sr-Latn-RS"/>
        </w:rPr>
        <w:t xml:space="preserve">sposobnost </w:t>
      </w:r>
      <w:r w:rsidR="00F34554" w:rsidRPr="00E04F74">
        <w:rPr>
          <w:b/>
          <w:bCs/>
          <w:sz w:val="22"/>
          <w:szCs w:val="22"/>
          <w:lang w:val="sr-Latn-RS"/>
        </w:rPr>
        <w:t>upravljanja vozili</w:t>
      </w:r>
      <w:r w:rsidRPr="00E04F74">
        <w:rPr>
          <w:b/>
          <w:bCs/>
          <w:sz w:val="22"/>
          <w:szCs w:val="22"/>
          <w:lang w:val="sr-Latn-RS"/>
        </w:rPr>
        <w:t>m</w:t>
      </w:r>
      <w:r w:rsidR="00F34554" w:rsidRPr="00E04F74">
        <w:rPr>
          <w:b/>
          <w:bCs/>
          <w:sz w:val="22"/>
          <w:szCs w:val="22"/>
          <w:lang w:val="sr-Latn-RS"/>
        </w:rPr>
        <w:t>a</w:t>
      </w:r>
      <w:r w:rsidRPr="00E04F74">
        <w:rPr>
          <w:b/>
          <w:bCs/>
          <w:sz w:val="22"/>
          <w:szCs w:val="22"/>
          <w:lang w:val="sr-Latn-RS"/>
        </w:rPr>
        <w:t xml:space="preserve"> i </w:t>
      </w:r>
      <w:r w:rsidR="000D3449" w:rsidRPr="00E04F74">
        <w:rPr>
          <w:b/>
          <w:bCs/>
          <w:sz w:val="22"/>
          <w:szCs w:val="22"/>
          <w:lang w:val="sr-Latn-RS"/>
        </w:rPr>
        <w:t xml:space="preserve">rukovanje </w:t>
      </w:r>
      <w:r w:rsidRPr="00E04F74">
        <w:rPr>
          <w:b/>
          <w:bCs/>
          <w:sz w:val="22"/>
          <w:szCs w:val="22"/>
          <w:lang w:val="sr-Latn-RS"/>
        </w:rPr>
        <w:t>mašinama</w:t>
      </w:r>
    </w:p>
    <w:p w14:paraId="2794C6F2" w14:textId="77777777" w:rsidR="00872C74" w:rsidRPr="00E04F74" w:rsidRDefault="00872C74" w:rsidP="00946B2E">
      <w:pPr>
        <w:tabs>
          <w:tab w:val="left" w:pos="540"/>
          <w:tab w:val="left" w:pos="569"/>
        </w:tabs>
        <w:ind w:left="540" w:hanging="540"/>
        <w:jc w:val="both"/>
        <w:rPr>
          <w:b/>
          <w:bCs/>
          <w:sz w:val="22"/>
          <w:szCs w:val="22"/>
          <w:lang w:val="sr-Latn-RS"/>
        </w:rPr>
      </w:pPr>
    </w:p>
    <w:p w14:paraId="058E097A" w14:textId="77777777" w:rsidR="0008714A" w:rsidRPr="00E04F74" w:rsidRDefault="0008714A" w:rsidP="002870DD">
      <w:pPr>
        <w:pStyle w:val="Header"/>
        <w:jc w:val="both"/>
        <w:rPr>
          <w:sz w:val="22"/>
          <w:szCs w:val="22"/>
          <w:lang w:val="sr-Latn-RS"/>
        </w:rPr>
      </w:pPr>
      <w:r w:rsidRPr="00E04F74">
        <w:rPr>
          <w:sz w:val="22"/>
          <w:szCs w:val="22"/>
          <w:lang w:val="sr-Latn-RS"/>
        </w:rPr>
        <w:t xml:space="preserve">Nijesu sprovedena ispitivanja uticaja na upravljanje motornim vozilom i rukovanja mašinama. Trebalo bi imati u vidu kliničko stanje pacijenta i profil neželjenih dejstava lijeka KIVEXA kada se razmatra sposobnost pacijenta da vozi ili rukuje mašinama. </w:t>
      </w:r>
    </w:p>
    <w:p w14:paraId="058E097B" w14:textId="77777777" w:rsidR="0072020E" w:rsidRPr="00E04F74" w:rsidRDefault="0072020E" w:rsidP="00946B2E">
      <w:pPr>
        <w:tabs>
          <w:tab w:val="left" w:pos="540"/>
          <w:tab w:val="left" w:pos="569"/>
        </w:tabs>
        <w:jc w:val="both"/>
        <w:rPr>
          <w:b/>
          <w:bCs/>
          <w:sz w:val="22"/>
          <w:szCs w:val="22"/>
          <w:lang w:val="sr-Latn-RS"/>
        </w:rPr>
      </w:pPr>
    </w:p>
    <w:p w14:paraId="058E097C" w14:textId="77777777" w:rsidR="0072020E" w:rsidRPr="00E04F74" w:rsidRDefault="0072020E" w:rsidP="00946B2E">
      <w:pPr>
        <w:tabs>
          <w:tab w:val="left" w:pos="540"/>
          <w:tab w:val="left" w:pos="569"/>
        </w:tabs>
        <w:jc w:val="both"/>
        <w:rPr>
          <w:b/>
          <w:bCs/>
          <w:sz w:val="22"/>
          <w:szCs w:val="22"/>
          <w:lang w:val="sr-Latn-RS"/>
        </w:rPr>
      </w:pPr>
      <w:r w:rsidRPr="00E04F74">
        <w:rPr>
          <w:b/>
          <w:bCs/>
          <w:sz w:val="22"/>
          <w:szCs w:val="22"/>
          <w:lang w:val="sr-Latn-RS"/>
        </w:rPr>
        <w:t xml:space="preserve">4.8. </w:t>
      </w:r>
      <w:r w:rsidR="00480FB1" w:rsidRPr="00E04F74">
        <w:rPr>
          <w:b/>
          <w:bCs/>
          <w:sz w:val="22"/>
          <w:szCs w:val="22"/>
          <w:lang w:val="sr-Latn-RS"/>
        </w:rPr>
        <w:tab/>
      </w:r>
      <w:r w:rsidRPr="00E04F74">
        <w:rPr>
          <w:b/>
          <w:bCs/>
          <w:sz w:val="22"/>
          <w:szCs w:val="22"/>
          <w:lang w:val="sr-Latn-RS"/>
        </w:rPr>
        <w:t>Neželjena dejstva</w:t>
      </w:r>
    </w:p>
    <w:p w14:paraId="058E097D" w14:textId="77777777" w:rsidR="0054538C" w:rsidRPr="00E04F74" w:rsidRDefault="0054538C" w:rsidP="00946B2E">
      <w:pPr>
        <w:widowControl w:val="0"/>
        <w:autoSpaceDE w:val="0"/>
        <w:autoSpaceDN w:val="0"/>
        <w:adjustRightInd w:val="0"/>
        <w:jc w:val="both"/>
        <w:rPr>
          <w:color w:val="000000"/>
          <w:sz w:val="22"/>
          <w:szCs w:val="22"/>
          <w:u w:val="single"/>
          <w:lang w:val="sr-Latn-RS"/>
        </w:rPr>
      </w:pPr>
    </w:p>
    <w:p w14:paraId="058E097E" w14:textId="77777777" w:rsidR="008F3B66" w:rsidRPr="00E04F74" w:rsidRDefault="008F3B66" w:rsidP="00946B2E">
      <w:pPr>
        <w:widowControl w:val="0"/>
        <w:autoSpaceDE w:val="0"/>
        <w:autoSpaceDN w:val="0"/>
        <w:adjustRightInd w:val="0"/>
        <w:jc w:val="both"/>
        <w:rPr>
          <w:sz w:val="22"/>
          <w:szCs w:val="22"/>
          <w:lang w:val="sr-Latn-RS"/>
        </w:rPr>
      </w:pPr>
      <w:r w:rsidRPr="00E04F74">
        <w:rPr>
          <w:color w:val="000000"/>
          <w:sz w:val="22"/>
          <w:szCs w:val="22"/>
          <w:u w:val="single"/>
          <w:lang w:val="sr-Latn-RS"/>
        </w:rPr>
        <w:t>Sažetak bezbjednosnog profila</w:t>
      </w:r>
    </w:p>
    <w:p w14:paraId="058E097F" w14:textId="77777777" w:rsidR="008F3B66" w:rsidRPr="00E04F74" w:rsidRDefault="008F3B66" w:rsidP="00946B2E">
      <w:pPr>
        <w:jc w:val="both"/>
        <w:rPr>
          <w:sz w:val="22"/>
          <w:szCs w:val="22"/>
          <w:lang w:val="sr-Latn-RS"/>
        </w:rPr>
      </w:pPr>
    </w:p>
    <w:p w14:paraId="058E0980" w14:textId="7224F4D1" w:rsidR="008F3B66" w:rsidRPr="00E04F74" w:rsidRDefault="008F3B66" w:rsidP="00946B2E">
      <w:pPr>
        <w:pStyle w:val="Header"/>
        <w:jc w:val="both"/>
        <w:rPr>
          <w:sz w:val="22"/>
          <w:szCs w:val="22"/>
          <w:lang w:val="sr-Latn-RS"/>
        </w:rPr>
      </w:pPr>
      <w:r w:rsidRPr="00E04F74">
        <w:rPr>
          <w:sz w:val="22"/>
          <w:szCs w:val="22"/>
          <w:lang w:val="sr-Latn-RS"/>
        </w:rPr>
        <w:t>Neželjena dejstva prijavljena pri primjeni lijeka KIVEXA su bila u skladu sa poznatim bezbjednosnim profilima lamivudina i abakavira, kada su primjenjivani kao odvojeni ljekovi. Za mnoge od navedenih neželjenih reakcija nije jasno da li su u vezi sa aktivnom supstancom, širokom paletom drugih ljekova koji se koriste u terapiji HIV infekcije ili su posljedica osnovnog patološkog procesa.</w:t>
      </w:r>
    </w:p>
    <w:p w14:paraId="058E0981" w14:textId="110D0799" w:rsidR="008F3B66" w:rsidRPr="00E04F74" w:rsidRDefault="008F3B66" w:rsidP="00946B2E">
      <w:pPr>
        <w:pStyle w:val="Header"/>
        <w:tabs>
          <w:tab w:val="left" w:pos="284"/>
        </w:tabs>
        <w:jc w:val="both"/>
        <w:rPr>
          <w:sz w:val="22"/>
          <w:szCs w:val="22"/>
          <w:lang w:val="sr-Latn-RS"/>
        </w:rPr>
      </w:pPr>
      <w:r w:rsidRPr="00E04F74">
        <w:rPr>
          <w:sz w:val="22"/>
          <w:szCs w:val="22"/>
          <w:lang w:val="sr-Latn-RS"/>
        </w:rPr>
        <w:t>Mnoge od</w:t>
      </w:r>
      <w:r w:rsidR="002870DD" w:rsidRPr="00E04F74">
        <w:rPr>
          <w:sz w:val="22"/>
          <w:szCs w:val="22"/>
          <w:lang w:val="sr-Latn-RS"/>
        </w:rPr>
        <w:t xml:space="preserve"> </w:t>
      </w:r>
      <w:r w:rsidRPr="00E04F74">
        <w:rPr>
          <w:sz w:val="22"/>
          <w:szCs w:val="22"/>
          <w:lang w:val="sr-Latn-RS"/>
        </w:rPr>
        <w:t>neželjenih reakcija koje su navedene u donjoj tabeli (mučnina, povraćanje, proliv, groznica, letargija, osip) javljaju se često kod bolesnika preosjetljivih na abakavir. Stoga</w:t>
      </w:r>
      <w:r w:rsidR="002870DD" w:rsidRPr="00E04F74">
        <w:rPr>
          <w:sz w:val="22"/>
          <w:szCs w:val="22"/>
          <w:lang w:val="sr-Latn-RS"/>
        </w:rPr>
        <w:t xml:space="preserve"> </w:t>
      </w:r>
      <w:r w:rsidRPr="00E04F74">
        <w:rPr>
          <w:sz w:val="22"/>
          <w:szCs w:val="22"/>
          <w:lang w:val="sr-Latn-RS"/>
        </w:rPr>
        <w:t>kod bolesnika sa bilo kojim od tih simptoma treba pažljivo procijeniti eventualn</w:t>
      </w:r>
      <w:r w:rsidR="00872C74" w:rsidRPr="00E04F74">
        <w:rPr>
          <w:sz w:val="22"/>
          <w:szCs w:val="22"/>
          <w:lang w:val="sr-Latn-RS"/>
        </w:rPr>
        <w:t>o prisustvo</w:t>
      </w:r>
      <w:r w:rsidRPr="00E04F74">
        <w:rPr>
          <w:sz w:val="22"/>
          <w:szCs w:val="22"/>
          <w:lang w:val="sr-Latn-RS"/>
        </w:rPr>
        <w:t xml:space="preserve"> preosjetljivosti (vidjeti </w:t>
      </w:r>
      <w:r w:rsidR="00D52927" w:rsidRPr="00E04F74">
        <w:rPr>
          <w:sz w:val="22"/>
          <w:szCs w:val="22"/>
          <w:lang w:val="sr-Latn-RS"/>
        </w:rPr>
        <w:t>dio</w:t>
      </w:r>
      <w:r w:rsidRPr="00E04F74">
        <w:rPr>
          <w:sz w:val="22"/>
          <w:szCs w:val="22"/>
          <w:lang w:val="sr-Latn-RS"/>
        </w:rPr>
        <w:t xml:space="preserve"> 4.4). Veoma rijetko prijavljeni su slučajevi multiformnog eritema, </w:t>
      </w:r>
      <w:r w:rsidRPr="00E04F74">
        <w:rPr>
          <w:i/>
          <w:sz w:val="22"/>
          <w:szCs w:val="22"/>
          <w:lang w:val="sr-Latn-RS"/>
        </w:rPr>
        <w:t>Stevens-Johnson</w:t>
      </w:r>
      <w:r w:rsidRPr="00E04F74">
        <w:rPr>
          <w:sz w:val="22"/>
          <w:szCs w:val="22"/>
          <w:lang w:val="sr-Latn-RS"/>
        </w:rPr>
        <w:t>-ovog sindroma ili toksične epidermalne nekrolize, kod kojih se preosjetljivost na abakavir nije mogla isključiti. U takvim se slučajevima mora trajno obustaviti primjena ljekova koji sadrže abakavir.</w:t>
      </w:r>
    </w:p>
    <w:p w14:paraId="058E0982" w14:textId="77777777" w:rsidR="008F3B66" w:rsidRPr="00E04F74" w:rsidRDefault="008F3B66" w:rsidP="00946B2E">
      <w:pPr>
        <w:jc w:val="both"/>
        <w:rPr>
          <w:sz w:val="22"/>
          <w:szCs w:val="22"/>
          <w:u w:val="single"/>
          <w:lang w:val="sr-Latn-RS"/>
        </w:rPr>
      </w:pPr>
    </w:p>
    <w:p w14:paraId="058E0983" w14:textId="77777777" w:rsidR="008F3B66" w:rsidRPr="00E04F74" w:rsidRDefault="008F3B66" w:rsidP="00946B2E">
      <w:pPr>
        <w:jc w:val="both"/>
        <w:rPr>
          <w:sz w:val="22"/>
          <w:szCs w:val="22"/>
          <w:u w:val="single"/>
          <w:lang w:val="sr-Latn-RS"/>
        </w:rPr>
      </w:pPr>
      <w:r w:rsidRPr="00E04F74">
        <w:rPr>
          <w:sz w:val="22"/>
          <w:szCs w:val="22"/>
          <w:u w:val="single"/>
          <w:lang w:val="sr-Latn-RS"/>
        </w:rPr>
        <w:t xml:space="preserve">Tabelarni prikaz neželjenih reakcija </w:t>
      </w:r>
    </w:p>
    <w:p w14:paraId="058E0984" w14:textId="77777777" w:rsidR="008F3B66" w:rsidRPr="00E04F74" w:rsidRDefault="008F3B66" w:rsidP="00946B2E">
      <w:pPr>
        <w:jc w:val="both"/>
        <w:rPr>
          <w:sz w:val="22"/>
          <w:szCs w:val="22"/>
          <w:lang w:val="sr-Latn-RS"/>
        </w:rPr>
      </w:pPr>
    </w:p>
    <w:p w14:paraId="058E0985" w14:textId="77777777" w:rsidR="008F3B66" w:rsidRPr="00E04F74" w:rsidRDefault="008F3B66" w:rsidP="002870DD">
      <w:pPr>
        <w:pStyle w:val="Header"/>
        <w:jc w:val="both"/>
        <w:rPr>
          <w:sz w:val="22"/>
          <w:szCs w:val="22"/>
          <w:lang w:val="sr-Latn-RS"/>
        </w:rPr>
      </w:pPr>
      <w:r w:rsidRPr="00E04F74">
        <w:rPr>
          <w:sz w:val="22"/>
          <w:szCs w:val="22"/>
          <w:lang w:val="sr-Latn-RS"/>
        </w:rPr>
        <w:t>Neželjene reakcije za koje se smatra da su bar moguće povezane sa primjenom lamivudina ili abakavira, navedene su po tjelesnim sistemima, klasama organa i apsolutnoj učestalosti. Učestalosti su definisane kao veoma česta (&gt;1/10), česta (&gt;1/100 do &lt;1/10), povremena (&gt;1/1000 to &lt; 1/100), rijetka (&gt;1/10 000 do &lt; 1/1000), veoma rijetka (&lt; 1/10 000).</w:t>
      </w:r>
    </w:p>
    <w:p w14:paraId="058E0986" w14:textId="77777777" w:rsidR="008F3B66" w:rsidRPr="00E04F74" w:rsidRDefault="008F3B66" w:rsidP="00946B2E">
      <w:pPr>
        <w:pStyle w:val="Header"/>
        <w:tabs>
          <w:tab w:val="left" w:pos="284"/>
        </w:tabs>
        <w:jc w:val="both"/>
        <w:rPr>
          <w:sz w:val="22"/>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3022"/>
        <w:gridCol w:w="3020"/>
      </w:tblGrid>
      <w:tr w:rsidR="008F3B66" w:rsidRPr="00E04F74" w14:paraId="058E098A" w14:textId="77777777" w:rsidTr="00095F06">
        <w:tc>
          <w:tcPr>
            <w:tcW w:w="1667" w:type="pct"/>
            <w:tcBorders>
              <w:top w:val="single" w:sz="4" w:space="0" w:color="000000"/>
              <w:left w:val="single" w:sz="4" w:space="0" w:color="000000"/>
              <w:bottom w:val="single" w:sz="4" w:space="0" w:color="000000"/>
              <w:right w:val="single" w:sz="4" w:space="0" w:color="000000"/>
            </w:tcBorders>
            <w:hideMark/>
          </w:tcPr>
          <w:p w14:paraId="058E0987" w14:textId="3BE9298C" w:rsidR="008F3B66" w:rsidRPr="00E04F74" w:rsidRDefault="00872C74" w:rsidP="00946B2E">
            <w:pPr>
              <w:pStyle w:val="Header"/>
              <w:tabs>
                <w:tab w:val="left" w:pos="284"/>
              </w:tabs>
              <w:jc w:val="both"/>
              <w:rPr>
                <w:b/>
                <w:sz w:val="22"/>
                <w:szCs w:val="22"/>
                <w:lang w:val="sr-Latn-RS"/>
              </w:rPr>
            </w:pPr>
            <w:r w:rsidRPr="00E04F74">
              <w:rPr>
                <w:b/>
                <w:sz w:val="22"/>
                <w:szCs w:val="22"/>
                <w:lang w:val="sr-Latn-RS"/>
              </w:rPr>
              <w:t>Sistem organa</w:t>
            </w:r>
          </w:p>
        </w:tc>
        <w:tc>
          <w:tcPr>
            <w:tcW w:w="1667" w:type="pct"/>
            <w:tcBorders>
              <w:top w:val="single" w:sz="4" w:space="0" w:color="000000"/>
              <w:left w:val="single" w:sz="4" w:space="0" w:color="000000"/>
              <w:bottom w:val="single" w:sz="4" w:space="0" w:color="000000"/>
              <w:right w:val="single" w:sz="4" w:space="0" w:color="000000"/>
            </w:tcBorders>
            <w:hideMark/>
          </w:tcPr>
          <w:p w14:paraId="058E0988" w14:textId="77777777" w:rsidR="008F3B66" w:rsidRPr="00E04F74" w:rsidRDefault="008F3B66" w:rsidP="00946B2E">
            <w:pPr>
              <w:pStyle w:val="Header"/>
              <w:tabs>
                <w:tab w:val="left" w:pos="284"/>
              </w:tabs>
              <w:jc w:val="both"/>
              <w:rPr>
                <w:b/>
                <w:sz w:val="22"/>
                <w:szCs w:val="22"/>
                <w:lang w:val="sr-Latn-RS"/>
              </w:rPr>
            </w:pPr>
            <w:r w:rsidRPr="00E04F74">
              <w:rPr>
                <w:b/>
                <w:sz w:val="22"/>
                <w:szCs w:val="22"/>
                <w:lang w:val="sr-Latn-RS"/>
              </w:rPr>
              <w:t>Abakavir</w:t>
            </w:r>
          </w:p>
        </w:tc>
        <w:tc>
          <w:tcPr>
            <w:tcW w:w="1667" w:type="pct"/>
            <w:tcBorders>
              <w:top w:val="single" w:sz="4" w:space="0" w:color="000000"/>
              <w:left w:val="single" w:sz="4" w:space="0" w:color="000000"/>
              <w:bottom w:val="single" w:sz="4" w:space="0" w:color="000000"/>
              <w:right w:val="single" w:sz="4" w:space="0" w:color="000000"/>
            </w:tcBorders>
            <w:hideMark/>
          </w:tcPr>
          <w:p w14:paraId="058E0989" w14:textId="77777777" w:rsidR="008F3B66" w:rsidRPr="00E04F74" w:rsidRDefault="008F3B66" w:rsidP="00946B2E">
            <w:pPr>
              <w:pStyle w:val="Header"/>
              <w:tabs>
                <w:tab w:val="left" w:pos="284"/>
              </w:tabs>
              <w:jc w:val="both"/>
              <w:rPr>
                <w:b/>
                <w:sz w:val="22"/>
                <w:szCs w:val="22"/>
                <w:lang w:val="sr-Latn-RS"/>
              </w:rPr>
            </w:pPr>
            <w:r w:rsidRPr="00E04F74">
              <w:rPr>
                <w:b/>
                <w:sz w:val="22"/>
                <w:szCs w:val="22"/>
                <w:lang w:val="sr-Latn-RS"/>
              </w:rPr>
              <w:t>Lamivudin</w:t>
            </w:r>
          </w:p>
        </w:tc>
      </w:tr>
      <w:tr w:rsidR="008F3B66" w:rsidRPr="00E04F74" w14:paraId="058E098F" w14:textId="77777777" w:rsidTr="00095F06">
        <w:tc>
          <w:tcPr>
            <w:tcW w:w="1667" w:type="pct"/>
            <w:tcBorders>
              <w:top w:val="single" w:sz="4" w:space="0" w:color="000000"/>
              <w:left w:val="single" w:sz="4" w:space="0" w:color="000000"/>
              <w:bottom w:val="single" w:sz="4" w:space="0" w:color="000000"/>
              <w:right w:val="single" w:sz="4" w:space="0" w:color="000000"/>
            </w:tcBorders>
            <w:hideMark/>
          </w:tcPr>
          <w:p w14:paraId="058E098B" w14:textId="77777777" w:rsidR="008F3B66" w:rsidRPr="00E04F74" w:rsidRDefault="008F3B66" w:rsidP="00946B2E">
            <w:pPr>
              <w:pStyle w:val="Header"/>
              <w:tabs>
                <w:tab w:val="left" w:pos="284"/>
              </w:tabs>
              <w:jc w:val="both"/>
              <w:rPr>
                <w:sz w:val="22"/>
                <w:szCs w:val="22"/>
                <w:lang w:val="sr-Latn-RS"/>
              </w:rPr>
            </w:pPr>
            <w:r w:rsidRPr="00E04F74">
              <w:rPr>
                <w:sz w:val="22"/>
                <w:szCs w:val="22"/>
                <w:lang w:val="sr-Latn-RS"/>
              </w:rPr>
              <w:t>Poremećaji na nivou krvi i limfnog sistema</w:t>
            </w:r>
          </w:p>
        </w:tc>
        <w:tc>
          <w:tcPr>
            <w:tcW w:w="1667" w:type="pct"/>
            <w:tcBorders>
              <w:top w:val="single" w:sz="4" w:space="0" w:color="000000"/>
              <w:left w:val="single" w:sz="4" w:space="0" w:color="000000"/>
              <w:bottom w:val="single" w:sz="4" w:space="0" w:color="000000"/>
              <w:right w:val="single" w:sz="4" w:space="0" w:color="000000"/>
            </w:tcBorders>
          </w:tcPr>
          <w:p w14:paraId="058E098C" w14:textId="77777777" w:rsidR="008F3B66" w:rsidRPr="00E04F74" w:rsidRDefault="008F3B66" w:rsidP="00946B2E">
            <w:pPr>
              <w:pStyle w:val="Header"/>
              <w:tabs>
                <w:tab w:val="left" w:pos="284"/>
              </w:tabs>
              <w:jc w:val="both"/>
              <w:rPr>
                <w:sz w:val="22"/>
                <w:szCs w:val="22"/>
                <w:lang w:val="sr-Latn-RS"/>
              </w:rPr>
            </w:pPr>
          </w:p>
        </w:tc>
        <w:tc>
          <w:tcPr>
            <w:tcW w:w="1667" w:type="pct"/>
            <w:tcBorders>
              <w:top w:val="single" w:sz="4" w:space="0" w:color="000000"/>
              <w:left w:val="single" w:sz="4" w:space="0" w:color="000000"/>
              <w:bottom w:val="single" w:sz="4" w:space="0" w:color="000000"/>
              <w:right w:val="single" w:sz="4" w:space="0" w:color="000000"/>
            </w:tcBorders>
            <w:hideMark/>
          </w:tcPr>
          <w:p w14:paraId="058E098D" w14:textId="7AEBC173" w:rsidR="008F3B66" w:rsidRPr="00E04F74" w:rsidRDefault="008F3B66" w:rsidP="00946B2E">
            <w:pPr>
              <w:jc w:val="both"/>
              <w:rPr>
                <w:sz w:val="22"/>
                <w:szCs w:val="22"/>
                <w:lang w:val="sr-Latn-RS"/>
              </w:rPr>
            </w:pPr>
            <w:r w:rsidRPr="00E04F74">
              <w:rPr>
                <w:i/>
                <w:sz w:val="22"/>
                <w:szCs w:val="22"/>
                <w:lang w:val="sr-Latn-RS"/>
              </w:rPr>
              <w:t>Povremena:</w:t>
            </w:r>
            <w:r w:rsidRPr="00E04F74">
              <w:rPr>
                <w:sz w:val="22"/>
                <w:szCs w:val="22"/>
                <w:lang w:val="sr-Latn-RS"/>
              </w:rPr>
              <w:t xml:space="preserve"> neutropenija i anemija (obje ponekada ozbiljnog karaktera), trombocitopenija</w:t>
            </w:r>
          </w:p>
          <w:p w14:paraId="058E098E"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Veoma rijetka:</w:t>
            </w:r>
            <w:r w:rsidRPr="00E04F74">
              <w:rPr>
                <w:sz w:val="22"/>
                <w:szCs w:val="22"/>
                <w:lang w:val="sr-Latn-RS"/>
              </w:rPr>
              <w:t xml:space="preserve"> čista aplazija eritrocita</w:t>
            </w:r>
          </w:p>
        </w:tc>
      </w:tr>
      <w:tr w:rsidR="008F3B66" w:rsidRPr="00E04F74" w14:paraId="058E0993" w14:textId="77777777" w:rsidTr="00095F06">
        <w:tc>
          <w:tcPr>
            <w:tcW w:w="1667" w:type="pct"/>
            <w:tcBorders>
              <w:top w:val="single" w:sz="4" w:space="0" w:color="000000"/>
              <w:left w:val="single" w:sz="4" w:space="0" w:color="000000"/>
              <w:bottom w:val="single" w:sz="4" w:space="0" w:color="000000"/>
              <w:right w:val="single" w:sz="4" w:space="0" w:color="000000"/>
            </w:tcBorders>
            <w:hideMark/>
          </w:tcPr>
          <w:p w14:paraId="058E0990" w14:textId="77777777" w:rsidR="008F3B66" w:rsidRPr="00E04F74" w:rsidRDefault="008F3B66" w:rsidP="00946B2E">
            <w:pPr>
              <w:pStyle w:val="Header"/>
              <w:tabs>
                <w:tab w:val="left" w:pos="284"/>
              </w:tabs>
              <w:jc w:val="both"/>
              <w:rPr>
                <w:sz w:val="22"/>
                <w:szCs w:val="22"/>
                <w:lang w:val="sr-Latn-RS"/>
              </w:rPr>
            </w:pPr>
            <w:r w:rsidRPr="00E04F74">
              <w:rPr>
                <w:sz w:val="22"/>
                <w:szCs w:val="22"/>
                <w:lang w:val="sr-Latn-RS"/>
              </w:rPr>
              <w:t>Imunološki poremećaji</w:t>
            </w:r>
          </w:p>
        </w:tc>
        <w:tc>
          <w:tcPr>
            <w:tcW w:w="1667" w:type="pct"/>
            <w:tcBorders>
              <w:top w:val="single" w:sz="4" w:space="0" w:color="000000"/>
              <w:left w:val="single" w:sz="4" w:space="0" w:color="000000"/>
              <w:bottom w:val="single" w:sz="4" w:space="0" w:color="000000"/>
              <w:right w:val="single" w:sz="4" w:space="0" w:color="000000"/>
            </w:tcBorders>
            <w:hideMark/>
          </w:tcPr>
          <w:p w14:paraId="058E0991"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 xml:space="preserve">Česta: </w:t>
            </w:r>
            <w:r w:rsidRPr="00E04F74">
              <w:rPr>
                <w:sz w:val="22"/>
                <w:szCs w:val="22"/>
                <w:lang w:val="sr-Latn-RS"/>
              </w:rPr>
              <w:t>preosjetljivost</w:t>
            </w:r>
          </w:p>
        </w:tc>
        <w:tc>
          <w:tcPr>
            <w:tcW w:w="1667" w:type="pct"/>
            <w:tcBorders>
              <w:top w:val="single" w:sz="4" w:space="0" w:color="000000"/>
              <w:left w:val="single" w:sz="4" w:space="0" w:color="000000"/>
              <w:bottom w:val="single" w:sz="4" w:space="0" w:color="000000"/>
              <w:right w:val="single" w:sz="4" w:space="0" w:color="000000"/>
            </w:tcBorders>
          </w:tcPr>
          <w:p w14:paraId="058E0992" w14:textId="77777777" w:rsidR="008F3B66" w:rsidRPr="00E04F74" w:rsidRDefault="008F3B66" w:rsidP="00946B2E">
            <w:pPr>
              <w:pStyle w:val="Header"/>
              <w:tabs>
                <w:tab w:val="left" w:pos="284"/>
              </w:tabs>
              <w:jc w:val="both"/>
              <w:rPr>
                <w:sz w:val="22"/>
                <w:szCs w:val="22"/>
                <w:lang w:val="sr-Latn-RS"/>
              </w:rPr>
            </w:pPr>
          </w:p>
        </w:tc>
      </w:tr>
      <w:tr w:rsidR="008F3B66" w:rsidRPr="00E04F74" w14:paraId="058E0998" w14:textId="77777777" w:rsidTr="00095F06">
        <w:tc>
          <w:tcPr>
            <w:tcW w:w="1667" w:type="pct"/>
            <w:tcBorders>
              <w:top w:val="single" w:sz="4" w:space="0" w:color="000000"/>
              <w:left w:val="single" w:sz="4" w:space="0" w:color="000000"/>
              <w:bottom w:val="single" w:sz="4" w:space="0" w:color="000000"/>
              <w:right w:val="single" w:sz="4" w:space="0" w:color="000000"/>
            </w:tcBorders>
            <w:hideMark/>
          </w:tcPr>
          <w:p w14:paraId="058E0994" w14:textId="77777777" w:rsidR="008F3B66" w:rsidRPr="00E04F74" w:rsidRDefault="008F3B66" w:rsidP="00946B2E">
            <w:pPr>
              <w:pStyle w:val="Header"/>
              <w:tabs>
                <w:tab w:val="left" w:pos="284"/>
              </w:tabs>
              <w:jc w:val="both"/>
              <w:rPr>
                <w:sz w:val="22"/>
                <w:szCs w:val="22"/>
                <w:lang w:val="sr-Latn-RS"/>
              </w:rPr>
            </w:pPr>
            <w:r w:rsidRPr="00E04F74">
              <w:rPr>
                <w:sz w:val="22"/>
                <w:szCs w:val="22"/>
                <w:lang w:val="sr-Latn-RS"/>
              </w:rPr>
              <w:t>Poremećaji metabolizma i ishrane</w:t>
            </w:r>
          </w:p>
        </w:tc>
        <w:tc>
          <w:tcPr>
            <w:tcW w:w="1667" w:type="pct"/>
            <w:tcBorders>
              <w:top w:val="single" w:sz="4" w:space="0" w:color="000000"/>
              <w:left w:val="single" w:sz="4" w:space="0" w:color="000000"/>
              <w:bottom w:val="single" w:sz="4" w:space="0" w:color="000000"/>
              <w:right w:val="single" w:sz="4" w:space="0" w:color="000000"/>
            </w:tcBorders>
            <w:hideMark/>
          </w:tcPr>
          <w:p w14:paraId="058E0995"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Česta:</w:t>
            </w:r>
            <w:r w:rsidRPr="00E04F74">
              <w:rPr>
                <w:sz w:val="22"/>
                <w:szCs w:val="22"/>
                <w:lang w:val="sr-Latn-RS"/>
              </w:rPr>
              <w:t>anoreksija</w:t>
            </w:r>
          </w:p>
          <w:p w14:paraId="058E0996"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Veoma rijetka:</w:t>
            </w:r>
            <w:r w:rsidRPr="00E04F74">
              <w:rPr>
                <w:sz w:val="22"/>
                <w:szCs w:val="22"/>
                <w:lang w:val="sr-Latn-RS"/>
              </w:rPr>
              <w:t xml:space="preserve"> laktatna acidoza</w:t>
            </w:r>
          </w:p>
        </w:tc>
        <w:tc>
          <w:tcPr>
            <w:tcW w:w="1667" w:type="pct"/>
            <w:tcBorders>
              <w:top w:val="single" w:sz="4" w:space="0" w:color="000000"/>
              <w:left w:val="single" w:sz="4" w:space="0" w:color="000000"/>
              <w:bottom w:val="single" w:sz="4" w:space="0" w:color="000000"/>
              <w:right w:val="single" w:sz="4" w:space="0" w:color="000000"/>
            </w:tcBorders>
            <w:hideMark/>
          </w:tcPr>
          <w:p w14:paraId="058E0997"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Veoma rijetka:</w:t>
            </w:r>
            <w:r w:rsidRPr="00E04F74">
              <w:rPr>
                <w:sz w:val="22"/>
                <w:szCs w:val="22"/>
                <w:lang w:val="sr-Latn-RS"/>
              </w:rPr>
              <w:t xml:space="preserve"> laktatna acidoza</w:t>
            </w:r>
          </w:p>
        </w:tc>
      </w:tr>
      <w:tr w:rsidR="008F3B66" w:rsidRPr="00E04F74" w14:paraId="058E099D" w14:textId="77777777" w:rsidTr="00095F06">
        <w:tc>
          <w:tcPr>
            <w:tcW w:w="1667" w:type="pct"/>
            <w:tcBorders>
              <w:top w:val="single" w:sz="4" w:space="0" w:color="000000"/>
              <w:left w:val="single" w:sz="4" w:space="0" w:color="000000"/>
              <w:bottom w:val="single" w:sz="4" w:space="0" w:color="000000"/>
              <w:right w:val="single" w:sz="4" w:space="0" w:color="000000"/>
            </w:tcBorders>
            <w:hideMark/>
          </w:tcPr>
          <w:p w14:paraId="058E0999" w14:textId="77777777" w:rsidR="008F3B66" w:rsidRPr="00E04F74" w:rsidRDefault="008F3B66" w:rsidP="00946B2E">
            <w:pPr>
              <w:pStyle w:val="Header"/>
              <w:tabs>
                <w:tab w:val="left" w:pos="284"/>
              </w:tabs>
              <w:jc w:val="both"/>
              <w:rPr>
                <w:sz w:val="22"/>
                <w:szCs w:val="22"/>
                <w:lang w:val="sr-Latn-RS"/>
              </w:rPr>
            </w:pPr>
            <w:r w:rsidRPr="00E04F74">
              <w:rPr>
                <w:sz w:val="22"/>
                <w:szCs w:val="22"/>
                <w:lang w:val="sr-Latn-RS"/>
              </w:rPr>
              <w:t>Poremećaji nervnog sistema</w:t>
            </w:r>
          </w:p>
        </w:tc>
        <w:tc>
          <w:tcPr>
            <w:tcW w:w="1667" w:type="pct"/>
            <w:tcBorders>
              <w:top w:val="single" w:sz="4" w:space="0" w:color="000000"/>
              <w:left w:val="single" w:sz="4" w:space="0" w:color="000000"/>
              <w:bottom w:val="single" w:sz="4" w:space="0" w:color="000000"/>
              <w:right w:val="single" w:sz="4" w:space="0" w:color="000000"/>
            </w:tcBorders>
            <w:hideMark/>
          </w:tcPr>
          <w:p w14:paraId="058E099A"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Česta:</w:t>
            </w:r>
            <w:r w:rsidRPr="00E04F74">
              <w:rPr>
                <w:sz w:val="22"/>
                <w:szCs w:val="22"/>
                <w:lang w:val="sr-Latn-RS"/>
              </w:rPr>
              <w:t xml:space="preserve"> glavobolja</w:t>
            </w:r>
          </w:p>
        </w:tc>
        <w:tc>
          <w:tcPr>
            <w:tcW w:w="1667" w:type="pct"/>
            <w:tcBorders>
              <w:top w:val="single" w:sz="4" w:space="0" w:color="000000"/>
              <w:left w:val="single" w:sz="4" w:space="0" w:color="000000"/>
              <w:bottom w:val="single" w:sz="4" w:space="0" w:color="000000"/>
              <w:right w:val="single" w:sz="4" w:space="0" w:color="000000"/>
            </w:tcBorders>
            <w:hideMark/>
          </w:tcPr>
          <w:p w14:paraId="058E099B" w14:textId="77777777" w:rsidR="008F3B66" w:rsidRPr="00E04F74" w:rsidRDefault="008F3B66" w:rsidP="00946B2E">
            <w:pPr>
              <w:jc w:val="both"/>
              <w:rPr>
                <w:sz w:val="22"/>
                <w:szCs w:val="22"/>
                <w:lang w:val="sr-Latn-RS"/>
              </w:rPr>
            </w:pPr>
            <w:r w:rsidRPr="00E04F74">
              <w:rPr>
                <w:i/>
                <w:sz w:val="22"/>
                <w:szCs w:val="22"/>
                <w:lang w:val="sr-Latn-RS"/>
              </w:rPr>
              <w:t>Česta:</w:t>
            </w:r>
            <w:r w:rsidRPr="00E04F74">
              <w:rPr>
                <w:sz w:val="22"/>
                <w:szCs w:val="22"/>
                <w:lang w:val="sr-Latn-RS"/>
              </w:rPr>
              <w:t xml:space="preserve"> glavobolja, nesanica</w:t>
            </w:r>
          </w:p>
          <w:p w14:paraId="058E099C"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Veoma rijetka:</w:t>
            </w:r>
            <w:r w:rsidRPr="00E04F74">
              <w:rPr>
                <w:sz w:val="22"/>
                <w:szCs w:val="22"/>
                <w:lang w:val="sr-Latn-RS"/>
              </w:rPr>
              <w:t xml:space="preserve"> navode se slučajevi periferne neuropatije (ili parestezije)</w:t>
            </w:r>
          </w:p>
        </w:tc>
      </w:tr>
      <w:tr w:rsidR="008F3B66" w:rsidRPr="00E04F74" w14:paraId="058E09A1" w14:textId="77777777" w:rsidTr="00095F06">
        <w:tc>
          <w:tcPr>
            <w:tcW w:w="1667" w:type="pct"/>
            <w:tcBorders>
              <w:top w:val="single" w:sz="4" w:space="0" w:color="000000"/>
              <w:left w:val="single" w:sz="4" w:space="0" w:color="000000"/>
              <w:bottom w:val="single" w:sz="4" w:space="0" w:color="000000"/>
              <w:right w:val="single" w:sz="4" w:space="0" w:color="000000"/>
            </w:tcBorders>
            <w:hideMark/>
          </w:tcPr>
          <w:p w14:paraId="058E099E" w14:textId="77777777" w:rsidR="008F3B66" w:rsidRPr="00E04F74" w:rsidRDefault="008F3B66" w:rsidP="00946B2E">
            <w:pPr>
              <w:pStyle w:val="Header"/>
              <w:tabs>
                <w:tab w:val="left" w:pos="284"/>
              </w:tabs>
              <w:jc w:val="both"/>
              <w:rPr>
                <w:sz w:val="22"/>
                <w:szCs w:val="22"/>
                <w:lang w:val="sr-Latn-RS"/>
              </w:rPr>
            </w:pPr>
            <w:r w:rsidRPr="00E04F74">
              <w:rPr>
                <w:sz w:val="22"/>
                <w:szCs w:val="22"/>
                <w:lang w:val="sr-Latn-RS"/>
              </w:rPr>
              <w:t>Respiratorni, torakalni i medijastinalni poremećaji</w:t>
            </w:r>
          </w:p>
        </w:tc>
        <w:tc>
          <w:tcPr>
            <w:tcW w:w="1667" w:type="pct"/>
            <w:tcBorders>
              <w:top w:val="single" w:sz="4" w:space="0" w:color="000000"/>
              <w:left w:val="single" w:sz="4" w:space="0" w:color="000000"/>
              <w:bottom w:val="single" w:sz="4" w:space="0" w:color="000000"/>
              <w:right w:val="single" w:sz="4" w:space="0" w:color="000000"/>
            </w:tcBorders>
          </w:tcPr>
          <w:p w14:paraId="058E099F" w14:textId="77777777" w:rsidR="008F3B66" w:rsidRPr="00E04F74" w:rsidRDefault="008F3B66" w:rsidP="00946B2E">
            <w:pPr>
              <w:pStyle w:val="Header"/>
              <w:tabs>
                <w:tab w:val="left" w:pos="284"/>
              </w:tabs>
              <w:jc w:val="both"/>
              <w:rPr>
                <w:sz w:val="22"/>
                <w:szCs w:val="22"/>
                <w:lang w:val="sr-Latn-RS"/>
              </w:rPr>
            </w:pPr>
          </w:p>
        </w:tc>
        <w:tc>
          <w:tcPr>
            <w:tcW w:w="1667" w:type="pct"/>
            <w:tcBorders>
              <w:top w:val="single" w:sz="4" w:space="0" w:color="000000"/>
              <w:left w:val="single" w:sz="4" w:space="0" w:color="000000"/>
              <w:bottom w:val="single" w:sz="4" w:space="0" w:color="000000"/>
              <w:right w:val="single" w:sz="4" w:space="0" w:color="000000"/>
            </w:tcBorders>
            <w:hideMark/>
          </w:tcPr>
          <w:p w14:paraId="058E09A0"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 xml:space="preserve">Česta: </w:t>
            </w:r>
            <w:r w:rsidRPr="00E04F74">
              <w:rPr>
                <w:sz w:val="22"/>
                <w:szCs w:val="22"/>
                <w:lang w:val="sr-Latn-RS"/>
              </w:rPr>
              <w:t>kašalj, nazalni simptomi</w:t>
            </w:r>
          </w:p>
        </w:tc>
      </w:tr>
      <w:tr w:rsidR="008F3B66" w:rsidRPr="00E04F74" w14:paraId="058E09A8" w14:textId="77777777" w:rsidTr="00095F06">
        <w:tc>
          <w:tcPr>
            <w:tcW w:w="1667" w:type="pct"/>
            <w:tcBorders>
              <w:top w:val="single" w:sz="4" w:space="0" w:color="000000"/>
              <w:left w:val="single" w:sz="4" w:space="0" w:color="000000"/>
              <w:bottom w:val="single" w:sz="4" w:space="0" w:color="000000"/>
              <w:right w:val="single" w:sz="4" w:space="0" w:color="000000"/>
            </w:tcBorders>
            <w:hideMark/>
          </w:tcPr>
          <w:p w14:paraId="058E09A2" w14:textId="77777777" w:rsidR="008F3B66" w:rsidRPr="00E04F74" w:rsidRDefault="008F3B66" w:rsidP="00946B2E">
            <w:pPr>
              <w:pStyle w:val="Header"/>
              <w:tabs>
                <w:tab w:val="left" w:pos="284"/>
              </w:tabs>
              <w:jc w:val="both"/>
              <w:rPr>
                <w:sz w:val="22"/>
                <w:szCs w:val="22"/>
                <w:lang w:val="sr-Latn-RS"/>
              </w:rPr>
            </w:pPr>
            <w:r w:rsidRPr="00E04F74">
              <w:rPr>
                <w:sz w:val="22"/>
                <w:szCs w:val="22"/>
                <w:lang w:val="sr-Latn-RS"/>
              </w:rPr>
              <w:t>Gastrointestinalni poremećaji</w:t>
            </w:r>
          </w:p>
        </w:tc>
        <w:tc>
          <w:tcPr>
            <w:tcW w:w="1667" w:type="pct"/>
            <w:tcBorders>
              <w:top w:val="single" w:sz="4" w:space="0" w:color="000000"/>
              <w:left w:val="single" w:sz="4" w:space="0" w:color="000000"/>
              <w:bottom w:val="single" w:sz="4" w:space="0" w:color="000000"/>
              <w:right w:val="single" w:sz="4" w:space="0" w:color="000000"/>
            </w:tcBorders>
            <w:hideMark/>
          </w:tcPr>
          <w:p w14:paraId="058E09A3" w14:textId="77777777" w:rsidR="008F3B66" w:rsidRPr="00E04F74" w:rsidRDefault="008F3B66" w:rsidP="00946B2E">
            <w:pPr>
              <w:jc w:val="both"/>
              <w:rPr>
                <w:sz w:val="22"/>
                <w:szCs w:val="22"/>
                <w:lang w:val="sr-Latn-RS"/>
              </w:rPr>
            </w:pPr>
            <w:r w:rsidRPr="00E04F74">
              <w:rPr>
                <w:i/>
                <w:sz w:val="22"/>
                <w:szCs w:val="22"/>
                <w:lang w:val="sr-Latn-RS"/>
              </w:rPr>
              <w:t>Česta:</w:t>
            </w:r>
            <w:r w:rsidRPr="00E04F74">
              <w:rPr>
                <w:sz w:val="22"/>
                <w:szCs w:val="22"/>
                <w:lang w:val="sr-Latn-RS"/>
              </w:rPr>
              <w:t xml:space="preserve"> mučnina, povraćanje, dijareja</w:t>
            </w:r>
          </w:p>
          <w:p w14:paraId="058E09A4" w14:textId="77777777" w:rsidR="008F3B66" w:rsidRPr="00E04F74" w:rsidRDefault="008F3B66" w:rsidP="00946B2E">
            <w:pPr>
              <w:jc w:val="both"/>
              <w:rPr>
                <w:sz w:val="22"/>
                <w:szCs w:val="22"/>
                <w:lang w:val="sr-Latn-RS"/>
              </w:rPr>
            </w:pPr>
            <w:r w:rsidRPr="00E04F74">
              <w:rPr>
                <w:i/>
                <w:sz w:val="22"/>
                <w:szCs w:val="22"/>
                <w:lang w:val="sr-Latn-RS"/>
              </w:rPr>
              <w:t>Rijetka:</w:t>
            </w:r>
            <w:r w:rsidRPr="00E04F74">
              <w:rPr>
                <w:sz w:val="22"/>
                <w:szCs w:val="22"/>
                <w:lang w:val="sr-Latn-RS"/>
              </w:rPr>
              <w:t xml:space="preserve"> prijavljen je pankreatitis, </w:t>
            </w:r>
          </w:p>
          <w:p w14:paraId="058E09A5" w14:textId="77777777" w:rsidR="008F3B66" w:rsidRPr="00E04F74" w:rsidRDefault="008F3B66" w:rsidP="00946B2E">
            <w:pPr>
              <w:pStyle w:val="Header"/>
              <w:tabs>
                <w:tab w:val="left" w:pos="284"/>
              </w:tabs>
              <w:jc w:val="both"/>
              <w:rPr>
                <w:sz w:val="22"/>
                <w:szCs w:val="22"/>
                <w:lang w:val="sr-Latn-RS"/>
              </w:rPr>
            </w:pPr>
            <w:r w:rsidRPr="00E04F74">
              <w:rPr>
                <w:sz w:val="22"/>
                <w:szCs w:val="22"/>
                <w:lang w:val="sr-Latn-RS"/>
              </w:rPr>
              <w:t>ali je uzročna veza sa primjenom abakavira neizvjesna</w:t>
            </w:r>
          </w:p>
        </w:tc>
        <w:tc>
          <w:tcPr>
            <w:tcW w:w="1667" w:type="pct"/>
            <w:tcBorders>
              <w:top w:val="single" w:sz="4" w:space="0" w:color="000000"/>
              <w:left w:val="single" w:sz="4" w:space="0" w:color="000000"/>
              <w:bottom w:val="single" w:sz="4" w:space="0" w:color="000000"/>
              <w:right w:val="single" w:sz="4" w:space="0" w:color="000000"/>
            </w:tcBorders>
            <w:hideMark/>
          </w:tcPr>
          <w:p w14:paraId="058E09A6" w14:textId="77777777" w:rsidR="008F3B66" w:rsidRPr="00E04F74" w:rsidRDefault="008F3B66" w:rsidP="00946B2E">
            <w:pPr>
              <w:jc w:val="both"/>
              <w:rPr>
                <w:sz w:val="22"/>
                <w:szCs w:val="22"/>
                <w:lang w:val="sr-Latn-RS"/>
              </w:rPr>
            </w:pPr>
            <w:r w:rsidRPr="00E04F74">
              <w:rPr>
                <w:i/>
                <w:sz w:val="22"/>
                <w:szCs w:val="22"/>
                <w:lang w:val="sr-Latn-RS"/>
              </w:rPr>
              <w:t>Česta:</w:t>
            </w:r>
            <w:r w:rsidRPr="00E04F74">
              <w:rPr>
                <w:sz w:val="22"/>
                <w:szCs w:val="22"/>
                <w:lang w:val="sr-Latn-RS"/>
              </w:rPr>
              <w:t xml:space="preserve"> mučnina, povraćanje, abdominalni bol ili grčevi, dijareja</w:t>
            </w:r>
          </w:p>
          <w:p w14:paraId="058E09A7"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Rijetka:</w:t>
            </w:r>
            <w:r w:rsidRPr="00E04F74">
              <w:rPr>
                <w:sz w:val="22"/>
                <w:szCs w:val="22"/>
                <w:lang w:val="sr-Latn-RS"/>
              </w:rPr>
              <w:t xml:space="preserve"> povećanje vrijednosti serumske amilaze. Zabilježeni su slučajevi pankreatitisa</w:t>
            </w:r>
          </w:p>
        </w:tc>
      </w:tr>
      <w:tr w:rsidR="008F3B66" w:rsidRPr="00E04F74" w14:paraId="058E09AD" w14:textId="77777777" w:rsidTr="00095F06">
        <w:tc>
          <w:tcPr>
            <w:tcW w:w="1667" w:type="pct"/>
            <w:tcBorders>
              <w:top w:val="single" w:sz="4" w:space="0" w:color="000000"/>
              <w:left w:val="single" w:sz="4" w:space="0" w:color="000000"/>
              <w:bottom w:val="single" w:sz="4" w:space="0" w:color="000000"/>
              <w:right w:val="single" w:sz="4" w:space="0" w:color="000000"/>
            </w:tcBorders>
            <w:hideMark/>
          </w:tcPr>
          <w:p w14:paraId="058E09A9" w14:textId="77777777" w:rsidR="008F3B66" w:rsidRPr="00E04F74" w:rsidRDefault="008F3B66" w:rsidP="00946B2E">
            <w:pPr>
              <w:pStyle w:val="Header"/>
              <w:tabs>
                <w:tab w:val="left" w:pos="284"/>
              </w:tabs>
              <w:jc w:val="both"/>
              <w:rPr>
                <w:sz w:val="22"/>
                <w:szCs w:val="22"/>
                <w:lang w:val="sr-Latn-RS"/>
              </w:rPr>
            </w:pPr>
            <w:r w:rsidRPr="00E04F74">
              <w:rPr>
                <w:sz w:val="22"/>
                <w:szCs w:val="22"/>
                <w:lang w:val="sr-Latn-RS"/>
              </w:rPr>
              <w:lastRenderedPageBreak/>
              <w:t>Hepatobilijarni poremećaji</w:t>
            </w:r>
          </w:p>
        </w:tc>
        <w:tc>
          <w:tcPr>
            <w:tcW w:w="1667" w:type="pct"/>
            <w:tcBorders>
              <w:top w:val="single" w:sz="4" w:space="0" w:color="000000"/>
              <w:left w:val="single" w:sz="4" w:space="0" w:color="000000"/>
              <w:bottom w:val="single" w:sz="4" w:space="0" w:color="000000"/>
              <w:right w:val="single" w:sz="4" w:space="0" w:color="000000"/>
            </w:tcBorders>
          </w:tcPr>
          <w:p w14:paraId="058E09AA" w14:textId="77777777" w:rsidR="008F3B66" w:rsidRPr="00E04F74" w:rsidRDefault="008F3B66" w:rsidP="00946B2E">
            <w:pPr>
              <w:pStyle w:val="Header"/>
              <w:tabs>
                <w:tab w:val="left" w:pos="284"/>
              </w:tabs>
              <w:jc w:val="both"/>
              <w:rPr>
                <w:sz w:val="22"/>
                <w:szCs w:val="22"/>
                <w:lang w:val="sr-Latn-RS"/>
              </w:rPr>
            </w:pPr>
          </w:p>
        </w:tc>
        <w:tc>
          <w:tcPr>
            <w:tcW w:w="1667" w:type="pct"/>
            <w:tcBorders>
              <w:top w:val="single" w:sz="4" w:space="0" w:color="000000"/>
              <w:left w:val="single" w:sz="4" w:space="0" w:color="000000"/>
              <w:bottom w:val="single" w:sz="4" w:space="0" w:color="000000"/>
              <w:right w:val="single" w:sz="4" w:space="0" w:color="000000"/>
            </w:tcBorders>
            <w:hideMark/>
          </w:tcPr>
          <w:p w14:paraId="058E09AB" w14:textId="77777777" w:rsidR="008F3B66" w:rsidRPr="00E04F74" w:rsidRDefault="008F3B66" w:rsidP="00946B2E">
            <w:pPr>
              <w:jc w:val="both"/>
              <w:rPr>
                <w:sz w:val="22"/>
                <w:szCs w:val="22"/>
                <w:lang w:val="sr-Latn-RS"/>
              </w:rPr>
            </w:pPr>
            <w:r w:rsidRPr="00E04F74">
              <w:rPr>
                <w:i/>
                <w:sz w:val="22"/>
                <w:szCs w:val="22"/>
                <w:lang w:val="sr-Latn-RS"/>
              </w:rPr>
              <w:t>Povremena:</w:t>
            </w:r>
            <w:r w:rsidRPr="00E04F74">
              <w:rPr>
                <w:sz w:val="22"/>
                <w:szCs w:val="22"/>
                <w:lang w:val="sr-Latn-RS"/>
              </w:rPr>
              <w:t xml:space="preserve"> prolazni porast vrijednosti enzima jetre (AST, ALT)</w:t>
            </w:r>
          </w:p>
          <w:p w14:paraId="058E09AC"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 xml:space="preserve">Rijetka: </w:t>
            </w:r>
            <w:r w:rsidRPr="00E04F74">
              <w:rPr>
                <w:sz w:val="22"/>
                <w:szCs w:val="22"/>
                <w:lang w:val="sr-Latn-RS"/>
              </w:rPr>
              <w:t>hepatitis</w:t>
            </w:r>
          </w:p>
        </w:tc>
      </w:tr>
      <w:tr w:rsidR="008F3B66" w:rsidRPr="00E04F74" w14:paraId="058E09B5" w14:textId="77777777" w:rsidTr="00095F06">
        <w:tc>
          <w:tcPr>
            <w:tcW w:w="1667" w:type="pct"/>
            <w:tcBorders>
              <w:top w:val="single" w:sz="4" w:space="0" w:color="000000"/>
              <w:left w:val="single" w:sz="4" w:space="0" w:color="000000"/>
              <w:bottom w:val="single" w:sz="4" w:space="0" w:color="000000"/>
              <w:right w:val="single" w:sz="4" w:space="0" w:color="000000"/>
            </w:tcBorders>
            <w:hideMark/>
          </w:tcPr>
          <w:p w14:paraId="058E09AE" w14:textId="77777777" w:rsidR="008F3B66" w:rsidRPr="00E04F74" w:rsidRDefault="008F3B66" w:rsidP="00946B2E">
            <w:pPr>
              <w:pStyle w:val="Header"/>
              <w:tabs>
                <w:tab w:val="left" w:pos="284"/>
              </w:tabs>
              <w:jc w:val="both"/>
              <w:rPr>
                <w:sz w:val="22"/>
                <w:szCs w:val="22"/>
                <w:lang w:val="sr-Latn-RS"/>
              </w:rPr>
            </w:pPr>
            <w:r w:rsidRPr="00E04F74">
              <w:rPr>
                <w:sz w:val="22"/>
                <w:szCs w:val="22"/>
                <w:lang w:val="sr-Latn-RS"/>
              </w:rPr>
              <w:t>Poremećaji na nivou kože i potkožnog tkiva</w:t>
            </w:r>
          </w:p>
        </w:tc>
        <w:tc>
          <w:tcPr>
            <w:tcW w:w="1667" w:type="pct"/>
            <w:tcBorders>
              <w:top w:val="single" w:sz="4" w:space="0" w:color="000000"/>
              <w:left w:val="single" w:sz="4" w:space="0" w:color="000000"/>
              <w:bottom w:val="single" w:sz="4" w:space="0" w:color="000000"/>
              <w:right w:val="single" w:sz="4" w:space="0" w:color="000000"/>
            </w:tcBorders>
            <w:hideMark/>
          </w:tcPr>
          <w:p w14:paraId="058E09AF" w14:textId="77777777" w:rsidR="008F3B66" w:rsidRPr="00E04F74" w:rsidRDefault="008F3B66" w:rsidP="00946B2E">
            <w:pPr>
              <w:jc w:val="both"/>
              <w:rPr>
                <w:sz w:val="22"/>
                <w:szCs w:val="22"/>
                <w:lang w:val="sr-Latn-RS"/>
              </w:rPr>
            </w:pPr>
            <w:r w:rsidRPr="00E04F74">
              <w:rPr>
                <w:i/>
                <w:sz w:val="22"/>
                <w:szCs w:val="22"/>
                <w:lang w:val="sr-Latn-RS"/>
              </w:rPr>
              <w:t>Česta:</w:t>
            </w:r>
            <w:r w:rsidRPr="00E04F74">
              <w:rPr>
                <w:sz w:val="22"/>
                <w:szCs w:val="22"/>
                <w:lang w:val="sr-Latn-RS"/>
              </w:rPr>
              <w:t xml:space="preserve"> osip (bez sistemskih simptoma)</w:t>
            </w:r>
          </w:p>
          <w:p w14:paraId="058E09B0" w14:textId="77777777" w:rsidR="008F3B66" w:rsidRPr="00E04F74" w:rsidRDefault="008F3B66" w:rsidP="00946B2E">
            <w:pPr>
              <w:jc w:val="both"/>
              <w:rPr>
                <w:i/>
                <w:sz w:val="22"/>
                <w:szCs w:val="22"/>
                <w:lang w:val="sr-Latn-RS"/>
              </w:rPr>
            </w:pPr>
            <w:r w:rsidRPr="00E04F74">
              <w:rPr>
                <w:i/>
                <w:sz w:val="22"/>
                <w:szCs w:val="22"/>
                <w:lang w:val="sr-Latn-RS"/>
              </w:rPr>
              <w:t>Veoma rijetka:</w:t>
            </w:r>
            <w:r w:rsidRPr="00E04F74">
              <w:rPr>
                <w:sz w:val="22"/>
                <w:szCs w:val="22"/>
                <w:lang w:val="sr-Latn-RS"/>
              </w:rPr>
              <w:t xml:space="preserve"> </w:t>
            </w:r>
            <w:r w:rsidRPr="00E04F74">
              <w:rPr>
                <w:i/>
                <w:sz w:val="22"/>
                <w:szCs w:val="22"/>
                <w:lang w:val="sr-Latn-RS"/>
              </w:rPr>
              <w:t xml:space="preserve">erythema multiforme, </w:t>
            </w:r>
          </w:p>
          <w:p w14:paraId="058E09B1" w14:textId="77777777" w:rsidR="008F3B66" w:rsidRPr="00E04F74" w:rsidRDefault="008F3B66" w:rsidP="00946B2E">
            <w:pPr>
              <w:jc w:val="both"/>
              <w:rPr>
                <w:sz w:val="22"/>
                <w:szCs w:val="22"/>
                <w:lang w:val="sr-Latn-RS"/>
              </w:rPr>
            </w:pPr>
            <w:r w:rsidRPr="00E04F74">
              <w:rPr>
                <w:i/>
                <w:sz w:val="22"/>
                <w:szCs w:val="22"/>
                <w:lang w:val="sr-Latn-RS"/>
              </w:rPr>
              <w:t>Stevens-Johnson</w:t>
            </w:r>
            <w:r w:rsidRPr="00E04F74">
              <w:rPr>
                <w:sz w:val="22"/>
                <w:szCs w:val="22"/>
                <w:lang w:val="sr-Latn-RS"/>
              </w:rPr>
              <w:t xml:space="preserve">-ov sindrom i toksična </w:t>
            </w:r>
          </w:p>
          <w:p w14:paraId="058E09B2" w14:textId="77777777" w:rsidR="008F3B66" w:rsidRPr="00E04F74" w:rsidRDefault="008F3B66" w:rsidP="00946B2E">
            <w:pPr>
              <w:pStyle w:val="Header"/>
              <w:tabs>
                <w:tab w:val="left" w:pos="284"/>
              </w:tabs>
              <w:jc w:val="both"/>
              <w:rPr>
                <w:sz w:val="22"/>
                <w:szCs w:val="22"/>
                <w:lang w:val="sr-Latn-RS"/>
              </w:rPr>
            </w:pPr>
            <w:r w:rsidRPr="00E04F74">
              <w:rPr>
                <w:sz w:val="22"/>
                <w:szCs w:val="22"/>
                <w:lang w:val="sr-Latn-RS"/>
              </w:rPr>
              <w:t>epidermalna nekroliza</w:t>
            </w:r>
          </w:p>
        </w:tc>
        <w:tc>
          <w:tcPr>
            <w:tcW w:w="1667" w:type="pct"/>
            <w:tcBorders>
              <w:top w:val="single" w:sz="4" w:space="0" w:color="000000"/>
              <w:left w:val="single" w:sz="4" w:space="0" w:color="000000"/>
              <w:bottom w:val="single" w:sz="4" w:space="0" w:color="000000"/>
              <w:right w:val="single" w:sz="4" w:space="0" w:color="000000"/>
            </w:tcBorders>
            <w:hideMark/>
          </w:tcPr>
          <w:p w14:paraId="058E09B3"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 xml:space="preserve">Česta: </w:t>
            </w:r>
            <w:r w:rsidRPr="00E04F74">
              <w:rPr>
                <w:sz w:val="22"/>
                <w:szCs w:val="22"/>
                <w:lang w:val="sr-Latn-RS"/>
              </w:rPr>
              <w:t>osip, alopecija</w:t>
            </w:r>
          </w:p>
          <w:p w14:paraId="058E09B4"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Rijetka</w:t>
            </w:r>
            <w:r w:rsidRPr="00E04F74">
              <w:rPr>
                <w:sz w:val="22"/>
                <w:szCs w:val="22"/>
                <w:lang w:val="sr-Latn-RS"/>
              </w:rPr>
              <w:t>: angioedem</w:t>
            </w:r>
          </w:p>
        </w:tc>
      </w:tr>
      <w:tr w:rsidR="008F3B66" w:rsidRPr="00E04F74" w14:paraId="058E09BA" w14:textId="77777777" w:rsidTr="00095F06">
        <w:tc>
          <w:tcPr>
            <w:tcW w:w="1667" w:type="pct"/>
            <w:tcBorders>
              <w:top w:val="single" w:sz="4" w:space="0" w:color="000000"/>
              <w:left w:val="single" w:sz="4" w:space="0" w:color="000000"/>
              <w:bottom w:val="single" w:sz="4" w:space="0" w:color="000000"/>
              <w:right w:val="single" w:sz="4" w:space="0" w:color="000000"/>
            </w:tcBorders>
            <w:hideMark/>
          </w:tcPr>
          <w:p w14:paraId="058E09B6" w14:textId="77777777" w:rsidR="008F3B66" w:rsidRPr="00E04F74" w:rsidRDefault="008F3B66" w:rsidP="00946B2E">
            <w:pPr>
              <w:pStyle w:val="Header"/>
              <w:tabs>
                <w:tab w:val="left" w:pos="284"/>
              </w:tabs>
              <w:jc w:val="both"/>
              <w:rPr>
                <w:sz w:val="22"/>
                <w:szCs w:val="22"/>
                <w:lang w:val="sr-Latn-RS"/>
              </w:rPr>
            </w:pPr>
            <w:r w:rsidRPr="00E04F74">
              <w:rPr>
                <w:sz w:val="22"/>
                <w:szCs w:val="22"/>
                <w:lang w:val="sr-Latn-RS"/>
              </w:rPr>
              <w:t>Poremećaji mičićno-skeletnog, vezivnog i koštanog tkiva</w:t>
            </w:r>
          </w:p>
        </w:tc>
        <w:tc>
          <w:tcPr>
            <w:tcW w:w="1667" w:type="pct"/>
            <w:tcBorders>
              <w:top w:val="single" w:sz="4" w:space="0" w:color="000000"/>
              <w:left w:val="single" w:sz="4" w:space="0" w:color="000000"/>
              <w:bottom w:val="single" w:sz="4" w:space="0" w:color="000000"/>
              <w:right w:val="single" w:sz="4" w:space="0" w:color="000000"/>
            </w:tcBorders>
          </w:tcPr>
          <w:p w14:paraId="058E09B7" w14:textId="77777777" w:rsidR="008F3B66" w:rsidRPr="00E04F74" w:rsidRDefault="008F3B66" w:rsidP="00946B2E">
            <w:pPr>
              <w:pStyle w:val="Header"/>
              <w:tabs>
                <w:tab w:val="left" w:pos="284"/>
              </w:tabs>
              <w:jc w:val="both"/>
              <w:rPr>
                <w:sz w:val="22"/>
                <w:szCs w:val="22"/>
                <w:lang w:val="sr-Latn-RS"/>
              </w:rPr>
            </w:pPr>
          </w:p>
        </w:tc>
        <w:tc>
          <w:tcPr>
            <w:tcW w:w="1667" w:type="pct"/>
            <w:tcBorders>
              <w:top w:val="single" w:sz="4" w:space="0" w:color="000000"/>
              <w:left w:val="single" w:sz="4" w:space="0" w:color="000000"/>
              <w:bottom w:val="single" w:sz="4" w:space="0" w:color="000000"/>
              <w:right w:val="single" w:sz="4" w:space="0" w:color="000000"/>
            </w:tcBorders>
            <w:hideMark/>
          </w:tcPr>
          <w:p w14:paraId="058E09B8" w14:textId="77777777" w:rsidR="008F3B66" w:rsidRPr="00E04F74" w:rsidRDefault="008F3B66" w:rsidP="00946B2E">
            <w:pPr>
              <w:jc w:val="both"/>
              <w:rPr>
                <w:sz w:val="22"/>
                <w:szCs w:val="22"/>
                <w:lang w:val="sr-Latn-RS"/>
              </w:rPr>
            </w:pPr>
            <w:r w:rsidRPr="00E04F74">
              <w:rPr>
                <w:i/>
                <w:sz w:val="22"/>
                <w:szCs w:val="22"/>
                <w:lang w:val="sr-Latn-RS"/>
              </w:rPr>
              <w:t>Česta:</w:t>
            </w:r>
            <w:r w:rsidRPr="00E04F74">
              <w:rPr>
                <w:sz w:val="22"/>
                <w:szCs w:val="22"/>
                <w:lang w:val="sr-Latn-RS"/>
              </w:rPr>
              <w:t xml:space="preserve"> artralgija, mišićni poremećaji</w:t>
            </w:r>
          </w:p>
          <w:p w14:paraId="058E09B9"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 xml:space="preserve">Rijetka: </w:t>
            </w:r>
            <w:r w:rsidRPr="00E04F74">
              <w:rPr>
                <w:sz w:val="22"/>
                <w:szCs w:val="22"/>
                <w:lang w:val="sr-Latn-RS"/>
              </w:rPr>
              <w:t>rabdomioliza</w:t>
            </w:r>
          </w:p>
        </w:tc>
      </w:tr>
      <w:tr w:rsidR="008F3B66" w:rsidRPr="00E04F74" w14:paraId="058E09BE" w14:textId="77777777" w:rsidTr="00095F06">
        <w:tc>
          <w:tcPr>
            <w:tcW w:w="1667" w:type="pct"/>
            <w:tcBorders>
              <w:top w:val="single" w:sz="4" w:space="0" w:color="000000"/>
              <w:left w:val="single" w:sz="4" w:space="0" w:color="000000"/>
              <w:bottom w:val="single" w:sz="4" w:space="0" w:color="000000"/>
              <w:right w:val="single" w:sz="4" w:space="0" w:color="000000"/>
            </w:tcBorders>
            <w:hideMark/>
          </w:tcPr>
          <w:p w14:paraId="058E09BB" w14:textId="77777777" w:rsidR="008F3B66" w:rsidRPr="00E04F74" w:rsidRDefault="008F3B66" w:rsidP="00946B2E">
            <w:pPr>
              <w:pStyle w:val="Header"/>
              <w:tabs>
                <w:tab w:val="left" w:pos="284"/>
              </w:tabs>
              <w:jc w:val="both"/>
              <w:rPr>
                <w:sz w:val="22"/>
                <w:szCs w:val="22"/>
                <w:lang w:val="sr-Latn-RS"/>
              </w:rPr>
            </w:pPr>
            <w:r w:rsidRPr="00E04F74">
              <w:rPr>
                <w:sz w:val="22"/>
                <w:szCs w:val="22"/>
                <w:lang w:val="sr-Latn-RS"/>
              </w:rPr>
              <w:t>Opšti poremećaji i reakcije na mjestu primjene</w:t>
            </w:r>
          </w:p>
        </w:tc>
        <w:tc>
          <w:tcPr>
            <w:tcW w:w="1667" w:type="pct"/>
            <w:tcBorders>
              <w:top w:val="single" w:sz="4" w:space="0" w:color="000000"/>
              <w:left w:val="single" w:sz="4" w:space="0" w:color="000000"/>
              <w:bottom w:val="single" w:sz="4" w:space="0" w:color="000000"/>
              <w:right w:val="single" w:sz="4" w:space="0" w:color="000000"/>
            </w:tcBorders>
            <w:hideMark/>
          </w:tcPr>
          <w:p w14:paraId="058E09BC"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 xml:space="preserve">Česta: </w:t>
            </w:r>
            <w:r w:rsidRPr="00E04F74">
              <w:rPr>
                <w:sz w:val="22"/>
                <w:szCs w:val="22"/>
                <w:lang w:val="sr-Latn-RS"/>
              </w:rPr>
              <w:t>visoka temperatura, letargija, zamor</w:t>
            </w:r>
          </w:p>
        </w:tc>
        <w:tc>
          <w:tcPr>
            <w:tcW w:w="1667" w:type="pct"/>
            <w:tcBorders>
              <w:top w:val="single" w:sz="4" w:space="0" w:color="000000"/>
              <w:left w:val="single" w:sz="4" w:space="0" w:color="000000"/>
              <w:bottom w:val="single" w:sz="4" w:space="0" w:color="000000"/>
              <w:right w:val="single" w:sz="4" w:space="0" w:color="000000"/>
            </w:tcBorders>
            <w:hideMark/>
          </w:tcPr>
          <w:p w14:paraId="058E09BD"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Česta:</w:t>
            </w:r>
            <w:r w:rsidRPr="00E04F74">
              <w:rPr>
                <w:sz w:val="22"/>
                <w:szCs w:val="22"/>
                <w:lang w:val="sr-Latn-RS"/>
              </w:rPr>
              <w:t xml:space="preserve"> zamor, malaksalost, visoka temperatura</w:t>
            </w:r>
          </w:p>
        </w:tc>
      </w:tr>
    </w:tbl>
    <w:p w14:paraId="058E09BF" w14:textId="77777777" w:rsidR="008F3B66" w:rsidRPr="00E04F74" w:rsidRDefault="008F3B66" w:rsidP="00946B2E">
      <w:pPr>
        <w:ind w:left="180" w:hanging="180"/>
        <w:jc w:val="both"/>
        <w:rPr>
          <w:bCs/>
          <w:sz w:val="22"/>
          <w:szCs w:val="22"/>
          <w:lang w:val="sr-Latn-RS"/>
        </w:rPr>
      </w:pPr>
    </w:p>
    <w:p w14:paraId="058E09C0" w14:textId="77777777" w:rsidR="008F3B66" w:rsidRPr="00E04F74" w:rsidRDefault="008F3B66" w:rsidP="00946B2E">
      <w:pPr>
        <w:pStyle w:val="Header"/>
        <w:jc w:val="both"/>
        <w:rPr>
          <w:sz w:val="22"/>
          <w:szCs w:val="22"/>
          <w:lang w:val="sr-Latn-RS"/>
        </w:rPr>
      </w:pPr>
      <w:r w:rsidRPr="00E04F74">
        <w:rPr>
          <w:sz w:val="22"/>
          <w:szCs w:val="22"/>
          <w:lang w:val="sr-Latn-RS"/>
        </w:rPr>
        <w:t>Opis odabranih nuspojava</w:t>
      </w:r>
    </w:p>
    <w:p w14:paraId="058E09C1" w14:textId="77777777" w:rsidR="008F3B66" w:rsidRPr="00E04F74" w:rsidRDefault="008F3B66" w:rsidP="00946B2E">
      <w:pPr>
        <w:pStyle w:val="Header"/>
        <w:jc w:val="both"/>
        <w:rPr>
          <w:sz w:val="22"/>
          <w:szCs w:val="22"/>
          <w:lang w:val="sr-Latn-RS"/>
        </w:rPr>
      </w:pPr>
    </w:p>
    <w:p w14:paraId="058E09C2" w14:textId="77777777" w:rsidR="008F3B66" w:rsidRPr="00E04F74" w:rsidRDefault="008F3B66" w:rsidP="00946B2E">
      <w:pPr>
        <w:pStyle w:val="Header"/>
        <w:tabs>
          <w:tab w:val="left" w:pos="284"/>
        </w:tabs>
        <w:jc w:val="both"/>
        <w:rPr>
          <w:i/>
          <w:sz w:val="22"/>
          <w:szCs w:val="22"/>
          <w:u w:val="single"/>
          <w:lang w:val="sr-Latn-RS"/>
        </w:rPr>
      </w:pPr>
      <w:r w:rsidRPr="00E04F74">
        <w:rPr>
          <w:i/>
          <w:sz w:val="22"/>
          <w:szCs w:val="22"/>
          <w:u w:val="single"/>
          <w:lang w:val="sr-Latn-RS"/>
        </w:rPr>
        <w:t>Reakcije preosjetljivosti na abakavir</w:t>
      </w:r>
    </w:p>
    <w:p w14:paraId="058E09C3" w14:textId="77777777" w:rsidR="008F3B66" w:rsidRPr="00E04F74" w:rsidRDefault="008F3B66" w:rsidP="002870DD">
      <w:pPr>
        <w:pStyle w:val="Header"/>
        <w:tabs>
          <w:tab w:val="left" w:pos="284"/>
        </w:tabs>
        <w:jc w:val="both"/>
        <w:rPr>
          <w:sz w:val="22"/>
          <w:szCs w:val="22"/>
          <w:lang w:val="sr-Latn-RS"/>
        </w:rPr>
      </w:pPr>
      <w:r w:rsidRPr="00E04F74">
        <w:rPr>
          <w:sz w:val="22"/>
          <w:szCs w:val="22"/>
          <w:lang w:val="sr-Latn-RS"/>
        </w:rPr>
        <w:t xml:space="preserve">Znaci i simptomi reakcija preosjetljivosti na abakavir navedeni su u daljem tekstu, a utvrđeni su bilo u kliničkim ispitivanjima ili tokom postmarketinškog praćenja. Znaci i simptomi koji su prijavljeni </w:t>
      </w:r>
      <w:r w:rsidRPr="00E04F74">
        <w:rPr>
          <w:b/>
          <w:sz w:val="22"/>
          <w:szCs w:val="22"/>
          <w:lang w:val="sr-Latn-RS"/>
        </w:rPr>
        <w:t>kod najmanje 10%</w:t>
      </w:r>
      <w:r w:rsidRPr="00E04F74">
        <w:rPr>
          <w:sz w:val="22"/>
          <w:szCs w:val="22"/>
          <w:lang w:val="sr-Latn-RS"/>
        </w:rPr>
        <w:t xml:space="preserve"> pacijenata sa reakcijom preosjetljivosti na abakavir, navedeni su podebljanim slovima.</w:t>
      </w:r>
    </w:p>
    <w:p w14:paraId="058E09C4" w14:textId="77777777" w:rsidR="008F3B66" w:rsidRPr="00E04F74" w:rsidRDefault="008F3B66" w:rsidP="002870DD">
      <w:pPr>
        <w:pStyle w:val="Header"/>
        <w:tabs>
          <w:tab w:val="left" w:pos="284"/>
        </w:tabs>
        <w:jc w:val="both"/>
        <w:rPr>
          <w:sz w:val="22"/>
          <w:szCs w:val="22"/>
          <w:lang w:val="sr-Latn-RS"/>
        </w:rPr>
      </w:pPr>
    </w:p>
    <w:p w14:paraId="058E09C5" w14:textId="41695C5A" w:rsidR="008F3B66" w:rsidRPr="00E04F74" w:rsidRDefault="008F3B66" w:rsidP="002870DD">
      <w:pPr>
        <w:pStyle w:val="Header"/>
        <w:tabs>
          <w:tab w:val="left" w:pos="284"/>
        </w:tabs>
        <w:jc w:val="both"/>
        <w:rPr>
          <w:sz w:val="22"/>
          <w:szCs w:val="22"/>
          <w:lang w:val="sr-Latn-RS"/>
        </w:rPr>
      </w:pPr>
      <w:r w:rsidRPr="00E04F74">
        <w:rPr>
          <w:sz w:val="22"/>
          <w:szCs w:val="22"/>
          <w:lang w:val="sr-Latn-RS"/>
        </w:rPr>
        <w:t xml:space="preserve">Gotovo svi pacijenti kod kojih se razviju reakcije preosjetljivosti, imaće visoku temperaturu i/ili </w:t>
      </w:r>
      <w:r w:rsidR="00872C74" w:rsidRPr="00E04F74">
        <w:rPr>
          <w:sz w:val="22"/>
          <w:szCs w:val="22"/>
          <w:lang w:val="sr-Latn-RS"/>
        </w:rPr>
        <w:t>osip na koži</w:t>
      </w:r>
      <w:r w:rsidRPr="00E04F74">
        <w:rPr>
          <w:sz w:val="22"/>
          <w:szCs w:val="22"/>
          <w:lang w:val="sr-Latn-RS"/>
        </w:rPr>
        <w:t xml:space="preserve"> (obično makulopapularni ili urtikarijalni) kao dio ovog sindroma. Međutim, bilo je i reakcija preosjetljivosti koje su se javljale bez pojave raša ili visoke temperature. Ostali ključni simptomi uključuju gastrointestinalne, respiratorne ili opšte simptome kao što su letargija ili malaksalost.</w:t>
      </w:r>
    </w:p>
    <w:p w14:paraId="058E09C6" w14:textId="77777777" w:rsidR="008F3B66" w:rsidRPr="00E04F74" w:rsidRDefault="008F3B66" w:rsidP="00946B2E">
      <w:pPr>
        <w:pStyle w:val="Header"/>
        <w:tabs>
          <w:tab w:val="left" w:pos="284"/>
        </w:tabs>
        <w:jc w:val="both"/>
        <w:rPr>
          <w:sz w:val="22"/>
          <w:szCs w:val="22"/>
          <w:lang w:val="sr-Latn-RS"/>
        </w:rPr>
      </w:pPr>
    </w:p>
    <w:p w14:paraId="058E09C7" w14:textId="14FB6BF0" w:rsidR="008F3B66" w:rsidRPr="00E04F74" w:rsidRDefault="008F3B66" w:rsidP="00946B2E">
      <w:pPr>
        <w:pStyle w:val="Header"/>
        <w:tabs>
          <w:tab w:val="left" w:pos="284"/>
        </w:tabs>
        <w:jc w:val="both"/>
        <w:rPr>
          <w:sz w:val="22"/>
          <w:szCs w:val="22"/>
          <w:lang w:val="sr-Latn-RS"/>
        </w:rPr>
      </w:pPr>
      <w:r w:rsidRPr="00E04F74">
        <w:rPr>
          <w:i/>
          <w:sz w:val="22"/>
          <w:szCs w:val="22"/>
          <w:lang w:val="sr-Latn-RS"/>
        </w:rPr>
        <w:t>Koža</w:t>
      </w:r>
      <w:r w:rsidR="002870DD" w:rsidRPr="00E04F74">
        <w:rPr>
          <w:sz w:val="22"/>
          <w:szCs w:val="22"/>
          <w:lang w:val="sr-Latn-RS"/>
        </w:rPr>
        <w:t xml:space="preserve">                     </w:t>
      </w:r>
      <w:r w:rsidRPr="00E04F74">
        <w:rPr>
          <w:sz w:val="22"/>
          <w:szCs w:val="22"/>
          <w:lang w:val="sr-Latn-RS"/>
        </w:rPr>
        <w:t xml:space="preserve"> </w:t>
      </w:r>
      <w:r w:rsidR="00872C74" w:rsidRPr="00E04F74">
        <w:rPr>
          <w:sz w:val="22"/>
          <w:szCs w:val="22"/>
          <w:lang w:val="sr-Latn-RS"/>
        </w:rPr>
        <w:t xml:space="preserve">              </w:t>
      </w:r>
      <w:r w:rsidRPr="00E04F74">
        <w:rPr>
          <w:b/>
          <w:sz w:val="22"/>
          <w:szCs w:val="22"/>
          <w:lang w:val="sr-Latn-RS"/>
        </w:rPr>
        <w:t xml:space="preserve">Osip </w:t>
      </w:r>
      <w:r w:rsidRPr="00E04F74">
        <w:rPr>
          <w:sz w:val="22"/>
          <w:szCs w:val="22"/>
          <w:lang w:val="sr-Latn-RS"/>
        </w:rPr>
        <w:t>(najčešće makulopapularni ili urtikarijalni)</w:t>
      </w:r>
    </w:p>
    <w:p w14:paraId="058E09C8" w14:textId="77777777" w:rsidR="008F3B66" w:rsidRPr="00E04F74" w:rsidRDefault="008F3B66" w:rsidP="00946B2E">
      <w:pPr>
        <w:pStyle w:val="Header"/>
        <w:tabs>
          <w:tab w:val="left" w:pos="284"/>
        </w:tabs>
        <w:jc w:val="both"/>
        <w:rPr>
          <w:sz w:val="22"/>
          <w:szCs w:val="22"/>
          <w:lang w:val="sr-Latn-RS"/>
        </w:rPr>
      </w:pPr>
    </w:p>
    <w:p w14:paraId="058E09C9" w14:textId="2D96D99B" w:rsidR="008F3B66" w:rsidRPr="00E04F74" w:rsidRDefault="008F3B66" w:rsidP="00946B2E">
      <w:pPr>
        <w:pStyle w:val="Header"/>
        <w:tabs>
          <w:tab w:val="left" w:pos="284"/>
        </w:tabs>
        <w:jc w:val="both"/>
        <w:rPr>
          <w:sz w:val="22"/>
          <w:szCs w:val="22"/>
          <w:lang w:val="sr-Latn-RS"/>
        </w:rPr>
      </w:pPr>
      <w:r w:rsidRPr="00E04F74">
        <w:rPr>
          <w:i/>
          <w:sz w:val="22"/>
          <w:szCs w:val="22"/>
          <w:lang w:val="sr-Latn-RS"/>
        </w:rPr>
        <w:t>Gastrointestinalni trakt</w:t>
      </w:r>
      <w:r w:rsidR="002870DD" w:rsidRPr="00E04F74">
        <w:rPr>
          <w:sz w:val="22"/>
          <w:szCs w:val="22"/>
          <w:lang w:val="sr-Latn-RS"/>
        </w:rPr>
        <w:t xml:space="preserve">      </w:t>
      </w:r>
      <w:r w:rsidRPr="00E04F74">
        <w:rPr>
          <w:b/>
          <w:sz w:val="22"/>
          <w:szCs w:val="22"/>
          <w:lang w:val="sr-Latn-RS"/>
        </w:rPr>
        <w:t>Mučnina</w:t>
      </w:r>
      <w:r w:rsidRPr="00E04F74">
        <w:rPr>
          <w:sz w:val="22"/>
          <w:szCs w:val="22"/>
          <w:lang w:val="sr-Latn-RS"/>
        </w:rPr>
        <w:t>,</w:t>
      </w:r>
      <w:r w:rsidRPr="00E04F74">
        <w:rPr>
          <w:b/>
          <w:sz w:val="22"/>
          <w:szCs w:val="22"/>
          <w:lang w:val="sr-Latn-RS"/>
        </w:rPr>
        <w:t xml:space="preserve"> povraćanje</w:t>
      </w:r>
      <w:r w:rsidRPr="00E04F74">
        <w:rPr>
          <w:sz w:val="22"/>
          <w:szCs w:val="22"/>
          <w:lang w:val="sr-Latn-RS"/>
        </w:rPr>
        <w:t>,</w:t>
      </w:r>
      <w:r w:rsidRPr="00E04F74">
        <w:rPr>
          <w:b/>
          <w:sz w:val="22"/>
          <w:szCs w:val="22"/>
          <w:lang w:val="sr-Latn-RS"/>
        </w:rPr>
        <w:t xml:space="preserve"> dijareja</w:t>
      </w:r>
      <w:r w:rsidRPr="00E04F74">
        <w:rPr>
          <w:sz w:val="22"/>
          <w:szCs w:val="22"/>
          <w:lang w:val="sr-Latn-RS"/>
        </w:rPr>
        <w:t>,</w:t>
      </w:r>
      <w:r w:rsidRPr="00E04F74">
        <w:rPr>
          <w:b/>
          <w:sz w:val="22"/>
          <w:szCs w:val="22"/>
          <w:lang w:val="sr-Latn-RS"/>
        </w:rPr>
        <w:t xml:space="preserve"> abdominalni bol</w:t>
      </w:r>
      <w:r w:rsidRPr="00E04F74">
        <w:rPr>
          <w:sz w:val="22"/>
          <w:szCs w:val="22"/>
          <w:lang w:val="sr-Latn-RS"/>
        </w:rPr>
        <w:t xml:space="preserve">, ulceracije u ustima </w:t>
      </w:r>
    </w:p>
    <w:p w14:paraId="058E09CA" w14:textId="77777777" w:rsidR="008F3B66" w:rsidRPr="00E04F74" w:rsidRDefault="008F3B66" w:rsidP="00946B2E">
      <w:pPr>
        <w:pStyle w:val="Header"/>
        <w:tabs>
          <w:tab w:val="left" w:pos="284"/>
        </w:tabs>
        <w:jc w:val="both"/>
        <w:rPr>
          <w:sz w:val="22"/>
          <w:szCs w:val="22"/>
          <w:lang w:val="sr-Latn-RS"/>
        </w:rPr>
      </w:pPr>
    </w:p>
    <w:p w14:paraId="058E09CB" w14:textId="763168DE" w:rsidR="008F3B66" w:rsidRPr="00E04F74" w:rsidRDefault="008F3B66" w:rsidP="00946B2E">
      <w:pPr>
        <w:pStyle w:val="Header"/>
        <w:tabs>
          <w:tab w:val="left" w:pos="284"/>
        </w:tabs>
        <w:jc w:val="both"/>
        <w:rPr>
          <w:sz w:val="22"/>
          <w:szCs w:val="22"/>
          <w:lang w:val="sr-Latn-RS"/>
        </w:rPr>
      </w:pPr>
      <w:r w:rsidRPr="00E04F74">
        <w:rPr>
          <w:i/>
          <w:sz w:val="22"/>
          <w:szCs w:val="22"/>
          <w:lang w:val="sr-Latn-RS"/>
        </w:rPr>
        <w:t>Respiratorni trakt</w:t>
      </w:r>
      <w:r w:rsidR="002870DD" w:rsidRPr="00E04F74">
        <w:rPr>
          <w:sz w:val="22"/>
          <w:szCs w:val="22"/>
          <w:lang w:val="sr-Latn-RS"/>
        </w:rPr>
        <w:t xml:space="preserve">           </w:t>
      </w:r>
      <w:r w:rsidRPr="00E04F74">
        <w:rPr>
          <w:sz w:val="22"/>
          <w:szCs w:val="22"/>
          <w:lang w:val="sr-Latn-RS"/>
        </w:rPr>
        <w:t xml:space="preserve"> </w:t>
      </w:r>
      <w:r w:rsidR="00872C74" w:rsidRPr="00E04F74">
        <w:rPr>
          <w:sz w:val="22"/>
          <w:szCs w:val="22"/>
          <w:lang w:val="sr-Latn-RS"/>
        </w:rPr>
        <w:t xml:space="preserve">   </w:t>
      </w:r>
      <w:r w:rsidRPr="00E04F74">
        <w:rPr>
          <w:b/>
          <w:sz w:val="22"/>
          <w:szCs w:val="22"/>
          <w:lang w:val="sr-Latn-RS"/>
        </w:rPr>
        <w:t>Dispneja</w:t>
      </w:r>
      <w:r w:rsidRPr="00E04F74">
        <w:rPr>
          <w:sz w:val="22"/>
          <w:szCs w:val="22"/>
          <w:lang w:val="sr-Latn-RS"/>
        </w:rPr>
        <w:t>,</w:t>
      </w:r>
      <w:r w:rsidRPr="00E04F74">
        <w:rPr>
          <w:b/>
          <w:sz w:val="22"/>
          <w:szCs w:val="22"/>
          <w:lang w:val="sr-Latn-RS"/>
        </w:rPr>
        <w:t xml:space="preserve"> kašalj</w:t>
      </w:r>
      <w:r w:rsidRPr="00E04F74">
        <w:rPr>
          <w:sz w:val="22"/>
          <w:szCs w:val="22"/>
          <w:lang w:val="sr-Latn-RS"/>
        </w:rPr>
        <w:t>, zapaljenje ždrijela, respiratorni distres sindrom kod</w:t>
      </w:r>
      <w:r w:rsidR="002870DD" w:rsidRPr="00E04F74">
        <w:rPr>
          <w:sz w:val="22"/>
          <w:szCs w:val="22"/>
          <w:lang w:val="sr-Latn-RS"/>
        </w:rPr>
        <w:t xml:space="preserve"> </w:t>
      </w:r>
      <w:r w:rsidRPr="00E04F74">
        <w:rPr>
          <w:sz w:val="22"/>
          <w:szCs w:val="22"/>
          <w:lang w:val="sr-Latn-RS"/>
        </w:rPr>
        <w:t xml:space="preserve"> </w:t>
      </w:r>
    </w:p>
    <w:p w14:paraId="058E09CC" w14:textId="14336B80" w:rsidR="008F3B66" w:rsidRPr="00E04F74" w:rsidRDefault="002870DD" w:rsidP="00946B2E">
      <w:pPr>
        <w:pStyle w:val="Header"/>
        <w:tabs>
          <w:tab w:val="left" w:pos="284"/>
        </w:tabs>
        <w:jc w:val="both"/>
        <w:rPr>
          <w:sz w:val="22"/>
          <w:szCs w:val="22"/>
          <w:lang w:val="sr-Latn-RS"/>
        </w:rPr>
      </w:pPr>
      <w:r w:rsidRPr="00E04F74">
        <w:rPr>
          <w:sz w:val="22"/>
          <w:szCs w:val="22"/>
          <w:lang w:val="sr-Latn-RS"/>
        </w:rPr>
        <w:t xml:space="preserve">                           </w:t>
      </w:r>
      <w:r w:rsidR="008F3B66" w:rsidRPr="00E04F74">
        <w:rPr>
          <w:sz w:val="22"/>
          <w:szCs w:val="22"/>
          <w:lang w:val="sr-Latn-RS"/>
        </w:rPr>
        <w:t xml:space="preserve"> </w:t>
      </w:r>
      <w:r w:rsidR="00872C74" w:rsidRPr="00E04F74">
        <w:rPr>
          <w:sz w:val="22"/>
          <w:szCs w:val="22"/>
          <w:lang w:val="sr-Latn-RS"/>
        </w:rPr>
        <w:t xml:space="preserve">                </w:t>
      </w:r>
      <w:r w:rsidR="008F3B66" w:rsidRPr="00E04F74">
        <w:rPr>
          <w:sz w:val="22"/>
          <w:szCs w:val="22"/>
          <w:lang w:val="sr-Latn-RS"/>
        </w:rPr>
        <w:t>odraslih, respiratorna insuficijencija</w:t>
      </w:r>
    </w:p>
    <w:p w14:paraId="058E09CD" w14:textId="77777777" w:rsidR="008F3B66" w:rsidRPr="00E04F74" w:rsidRDefault="008F3B66" w:rsidP="00946B2E">
      <w:pPr>
        <w:pStyle w:val="Header"/>
        <w:tabs>
          <w:tab w:val="left" w:pos="284"/>
        </w:tabs>
        <w:jc w:val="both"/>
        <w:rPr>
          <w:sz w:val="22"/>
          <w:szCs w:val="22"/>
          <w:lang w:val="sr-Latn-RS"/>
        </w:rPr>
      </w:pPr>
    </w:p>
    <w:p w14:paraId="058E09CE" w14:textId="31DAB2BF" w:rsidR="008F3B66" w:rsidRPr="00E04F74" w:rsidRDefault="008F3B66" w:rsidP="00946B2E">
      <w:pPr>
        <w:pStyle w:val="Header"/>
        <w:tabs>
          <w:tab w:val="left" w:pos="284"/>
        </w:tabs>
        <w:jc w:val="both"/>
        <w:rPr>
          <w:sz w:val="22"/>
          <w:szCs w:val="22"/>
          <w:lang w:val="sr-Latn-RS"/>
        </w:rPr>
      </w:pPr>
      <w:r w:rsidRPr="00E04F74">
        <w:rPr>
          <w:i/>
          <w:sz w:val="22"/>
          <w:szCs w:val="22"/>
          <w:lang w:val="sr-Latn-RS"/>
        </w:rPr>
        <w:t>Ostali simptomi</w:t>
      </w:r>
      <w:r w:rsidR="002870DD" w:rsidRPr="00E04F74">
        <w:rPr>
          <w:sz w:val="22"/>
          <w:szCs w:val="22"/>
          <w:lang w:val="sr-Latn-RS"/>
        </w:rPr>
        <w:t xml:space="preserve">            </w:t>
      </w:r>
      <w:r w:rsidRPr="00E04F74">
        <w:rPr>
          <w:sz w:val="22"/>
          <w:szCs w:val="22"/>
          <w:lang w:val="sr-Latn-RS"/>
        </w:rPr>
        <w:t xml:space="preserve"> </w:t>
      </w:r>
      <w:r w:rsidR="00872C74" w:rsidRPr="00E04F74">
        <w:rPr>
          <w:sz w:val="22"/>
          <w:szCs w:val="22"/>
          <w:lang w:val="sr-Latn-RS"/>
        </w:rPr>
        <w:t xml:space="preserve">      </w:t>
      </w:r>
      <w:r w:rsidRPr="00E04F74">
        <w:rPr>
          <w:b/>
          <w:sz w:val="22"/>
          <w:szCs w:val="22"/>
          <w:lang w:val="sr-Latn-RS"/>
        </w:rPr>
        <w:t>Groznica</w:t>
      </w:r>
      <w:r w:rsidRPr="00E04F74">
        <w:rPr>
          <w:sz w:val="22"/>
          <w:szCs w:val="22"/>
          <w:lang w:val="sr-Latn-RS"/>
        </w:rPr>
        <w:t xml:space="preserve">, </w:t>
      </w:r>
      <w:r w:rsidRPr="00E04F74">
        <w:rPr>
          <w:b/>
          <w:sz w:val="22"/>
          <w:szCs w:val="22"/>
          <w:lang w:val="sr-Latn-RS"/>
        </w:rPr>
        <w:t>letargija</w:t>
      </w:r>
      <w:r w:rsidRPr="00E04F74">
        <w:rPr>
          <w:sz w:val="22"/>
          <w:szCs w:val="22"/>
          <w:lang w:val="sr-Latn-RS"/>
        </w:rPr>
        <w:t xml:space="preserve">, </w:t>
      </w:r>
      <w:r w:rsidRPr="00E04F74">
        <w:rPr>
          <w:b/>
          <w:sz w:val="22"/>
          <w:szCs w:val="22"/>
          <w:lang w:val="sr-Latn-RS"/>
        </w:rPr>
        <w:t>malaksalost</w:t>
      </w:r>
      <w:r w:rsidRPr="00E04F74">
        <w:rPr>
          <w:sz w:val="22"/>
          <w:szCs w:val="22"/>
          <w:lang w:val="sr-Latn-RS"/>
        </w:rPr>
        <w:t xml:space="preserve">, edem, limfadenopatija, hipotenzija, </w:t>
      </w:r>
    </w:p>
    <w:p w14:paraId="058E09CF" w14:textId="557B189F" w:rsidR="008F3B66" w:rsidRPr="00E04F74" w:rsidRDefault="002870DD" w:rsidP="00946B2E">
      <w:pPr>
        <w:pStyle w:val="Header"/>
        <w:tabs>
          <w:tab w:val="left" w:pos="284"/>
        </w:tabs>
        <w:jc w:val="both"/>
        <w:rPr>
          <w:sz w:val="22"/>
          <w:szCs w:val="22"/>
          <w:lang w:val="sr-Latn-RS"/>
        </w:rPr>
      </w:pPr>
      <w:r w:rsidRPr="00E04F74">
        <w:rPr>
          <w:sz w:val="22"/>
          <w:szCs w:val="22"/>
          <w:lang w:val="sr-Latn-RS"/>
        </w:rPr>
        <w:t xml:space="preserve">                            </w:t>
      </w:r>
      <w:r w:rsidR="00872C74" w:rsidRPr="00E04F74">
        <w:rPr>
          <w:sz w:val="22"/>
          <w:szCs w:val="22"/>
          <w:lang w:val="sr-Latn-RS"/>
        </w:rPr>
        <w:t xml:space="preserve">                </w:t>
      </w:r>
      <w:r w:rsidR="008F3B66" w:rsidRPr="00E04F74">
        <w:rPr>
          <w:sz w:val="22"/>
          <w:szCs w:val="22"/>
          <w:lang w:val="sr-Latn-RS"/>
        </w:rPr>
        <w:t>konjuktivitis, anafilaksija</w:t>
      </w:r>
      <w:r w:rsidRPr="00E04F74">
        <w:rPr>
          <w:sz w:val="22"/>
          <w:szCs w:val="22"/>
          <w:lang w:val="sr-Latn-RS"/>
        </w:rPr>
        <w:t xml:space="preserve">  </w:t>
      </w:r>
      <w:r w:rsidR="008F3B66" w:rsidRPr="00E04F74">
        <w:rPr>
          <w:sz w:val="22"/>
          <w:szCs w:val="22"/>
          <w:lang w:val="sr-Latn-RS"/>
        </w:rPr>
        <w:t xml:space="preserve"> </w:t>
      </w:r>
    </w:p>
    <w:p w14:paraId="058E09D0" w14:textId="77777777" w:rsidR="008F3B66" w:rsidRPr="00E04F74" w:rsidRDefault="008F3B66" w:rsidP="00946B2E">
      <w:pPr>
        <w:pStyle w:val="Header"/>
        <w:tabs>
          <w:tab w:val="left" w:pos="284"/>
        </w:tabs>
        <w:jc w:val="both"/>
        <w:rPr>
          <w:sz w:val="22"/>
          <w:szCs w:val="22"/>
          <w:lang w:val="sr-Latn-RS"/>
        </w:rPr>
      </w:pPr>
    </w:p>
    <w:p w14:paraId="058E09D1" w14:textId="50860BE8" w:rsidR="008F3B66" w:rsidRPr="00E04F74" w:rsidRDefault="008F3B66" w:rsidP="00946B2E">
      <w:pPr>
        <w:pStyle w:val="Header"/>
        <w:tabs>
          <w:tab w:val="left" w:pos="284"/>
        </w:tabs>
        <w:jc w:val="both"/>
        <w:rPr>
          <w:i/>
          <w:sz w:val="22"/>
          <w:szCs w:val="22"/>
          <w:lang w:val="sr-Latn-RS"/>
        </w:rPr>
      </w:pPr>
      <w:r w:rsidRPr="00E04F74">
        <w:rPr>
          <w:i/>
          <w:sz w:val="22"/>
          <w:szCs w:val="22"/>
          <w:lang w:val="sr-Latn-RS"/>
        </w:rPr>
        <w:t>Neurološki i</w:t>
      </w:r>
      <w:r w:rsidR="002870DD" w:rsidRPr="00E04F74">
        <w:rPr>
          <w:i/>
          <w:sz w:val="22"/>
          <w:szCs w:val="22"/>
          <w:lang w:val="sr-Latn-RS"/>
        </w:rPr>
        <w:t xml:space="preserve">                </w:t>
      </w:r>
      <w:r w:rsidR="00872C74" w:rsidRPr="00E04F74">
        <w:rPr>
          <w:i/>
          <w:sz w:val="22"/>
          <w:szCs w:val="22"/>
          <w:lang w:val="sr-Latn-RS"/>
        </w:rPr>
        <w:t xml:space="preserve">        </w:t>
      </w:r>
      <w:r w:rsidRPr="00E04F74">
        <w:rPr>
          <w:i/>
          <w:sz w:val="22"/>
          <w:szCs w:val="22"/>
          <w:lang w:val="sr-Latn-RS"/>
        </w:rPr>
        <w:t xml:space="preserve"> </w:t>
      </w:r>
      <w:r w:rsidRPr="00E04F74">
        <w:rPr>
          <w:b/>
          <w:sz w:val="22"/>
          <w:szCs w:val="22"/>
          <w:lang w:val="sr-Latn-RS"/>
        </w:rPr>
        <w:t>Glavobolja</w:t>
      </w:r>
      <w:r w:rsidRPr="00E04F74">
        <w:rPr>
          <w:sz w:val="22"/>
          <w:szCs w:val="22"/>
          <w:lang w:val="sr-Latn-RS"/>
        </w:rPr>
        <w:t>, parestezije</w:t>
      </w:r>
    </w:p>
    <w:p w14:paraId="058E09D2" w14:textId="77777777" w:rsidR="008F3B66" w:rsidRPr="00E04F74" w:rsidRDefault="008F3B66" w:rsidP="00946B2E">
      <w:pPr>
        <w:pStyle w:val="Header"/>
        <w:tabs>
          <w:tab w:val="left" w:pos="284"/>
        </w:tabs>
        <w:jc w:val="both"/>
        <w:rPr>
          <w:sz w:val="22"/>
          <w:szCs w:val="22"/>
          <w:lang w:val="sr-Latn-RS"/>
        </w:rPr>
      </w:pPr>
      <w:r w:rsidRPr="00E04F74">
        <w:rPr>
          <w:i/>
          <w:sz w:val="22"/>
          <w:szCs w:val="22"/>
          <w:lang w:val="sr-Latn-RS"/>
        </w:rPr>
        <w:t>psihijatrijski simptomi</w:t>
      </w:r>
      <w:r w:rsidRPr="00E04F74">
        <w:rPr>
          <w:sz w:val="22"/>
          <w:szCs w:val="22"/>
          <w:lang w:val="sr-Latn-RS"/>
        </w:rPr>
        <w:t xml:space="preserve"> </w:t>
      </w:r>
    </w:p>
    <w:p w14:paraId="058E09D3" w14:textId="77777777" w:rsidR="008F3B66" w:rsidRPr="00E04F74" w:rsidRDefault="008F3B66" w:rsidP="00946B2E">
      <w:pPr>
        <w:pStyle w:val="Header"/>
        <w:tabs>
          <w:tab w:val="left" w:pos="284"/>
        </w:tabs>
        <w:jc w:val="both"/>
        <w:rPr>
          <w:sz w:val="22"/>
          <w:szCs w:val="22"/>
          <w:lang w:val="sr-Latn-RS"/>
        </w:rPr>
      </w:pPr>
    </w:p>
    <w:p w14:paraId="058E09D4" w14:textId="0812FC94" w:rsidR="008F3B66" w:rsidRPr="00E04F74" w:rsidRDefault="008F3B66" w:rsidP="00946B2E">
      <w:pPr>
        <w:pStyle w:val="Header"/>
        <w:tabs>
          <w:tab w:val="left" w:pos="284"/>
        </w:tabs>
        <w:jc w:val="both"/>
        <w:rPr>
          <w:sz w:val="22"/>
          <w:szCs w:val="22"/>
          <w:lang w:val="sr-Latn-RS"/>
        </w:rPr>
      </w:pPr>
      <w:r w:rsidRPr="00E04F74">
        <w:rPr>
          <w:i/>
          <w:sz w:val="22"/>
          <w:szCs w:val="22"/>
          <w:lang w:val="sr-Latn-RS"/>
        </w:rPr>
        <w:t>Hematološki simptomi</w:t>
      </w:r>
      <w:r w:rsidR="002870DD" w:rsidRPr="00E04F74">
        <w:rPr>
          <w:sz w:val="22"/>
          <w:szCs w:val="22"/>
          <w:lang w:val="sr-Latn-RS"/>
        </w:rPr>
        <w:t xml:space="preserve">         </w:t>
      </w:r>
      <w:r w:rsidRPr="00E04F74">
        <w:rPr>
          <w:sz w:val="22"/>
          <w:szCs w:val="22"/>
          <w:lang w:val="sr-Latn-RS"/>
        </w:rPr>
        <w:t>Limfopenija</w:t>
      </w:r>
    </w:p>
    <w:p w14:paraId="058E09D5" w14:textId="77777777" w:rsidR="008F3B66" w:rsidRPr="00E04F74" w:rsidRDefault="008F3B66" w:rsidP="00946B2E">
      <w:pPr>
        <w:pStyle w:val="Header"/>
        <w:tabs>
          <w:tab w:val="left" w:pos="284"/>
        </w:tabs>
        <w:jc w:val="both"/>
        <w:rPr>
          <w:sz w:val="22"/>
          <w:szCs w:val="22"/>
          <w:lang w:val="sr-Latn-RS"/>
        </w:rPr>
      </w:pPr>
    </w:p>
    <w:p w14:paraId="058E09D6" w14:textId="5D362F06" w:rsidR="008F3B66" w:rsidRPr="00E04F74" w:rsidRDefault="008F3B66" w:rsidP="00946B2E">
      <w:pPr>
        <w:pStyle w:val="Header"/>
        <w:tabs>
          <w:tab w:val="left" w:pos="284"/>
        </w:tabs>
        <w:jc w:val="both"/>
        <w:rPr>
          <w:sz w:val="22"/>
          <w:szCs w:val="22"/>
          <w:lang w:val="sr-Latn-RS"/>
        </w:rPr>
      </w:pPr>
      <w:r w:rsidRPr="00E04F74">
        <w:rPr>
          <w:i/>
          <w:sz w:val="22"/>
          <w:szCs w:val="22"/>
          <w:lang w:val="sr-Latn-RS"/>
        </w:rPr>
        <w:t>Jetra/pankreas</w:t>
      </w:r>
      <w:r w:rsidR="002870DD" w:rsidRPr="00E04F74">
        <w:rPr>
          <w:sz w:val="22"/>
          <w:szCs w:val="22"/>
          <w:lang w:val="sr-Latn-RS"/>
        </w:rPr>
        <w:t xml:space="preserve">               </w:t>
      </w:r>
      <w:r w:rsidRPr="00E04F74">
        <w:rPr>
          <w:sz w:val="22"/>
          <w:szCs w:val="22"/>
          <w:lang w:val="sr-Latn-RS"/>
        </w:rPr>
        <w:t xml:space="preserve"> </w:t>
      </w:r>
      <w:r w:rsidR="00872C74" w:rsidRPr="00E04F74">
        <w:rPr>
          <w:sz w:val="22"/>
          <w:szCs w:val="22"/>
          <w:lang w:val="sr-Latn-RS"/>
        </w:rPr>
        <w:t xml:space="preserve">     </w:t>
      </w:r>
      <w:r w:rsidRPr="00E04F74">
        <w:rPr>
          <w:b/>
          <w:sz w:val="22"/>
          <w:szCs w:val="22"/>
          <w:lang w:val="sr-Latn-RS"/>
        </w:rPr>
        <w:t>Porast vrijednosti hepatičkih enzima</w:t>
      </w:r>
      <w:r w:rsidRPr="00E04F74">
        <w:rPr>
          <w:sz w:val="22"/>
          <w:szCs w:val="22"/>
          <w:lang w:val="sr-Latn-RS"/>
        </w:rPr>
        <w:t xml:space="preserve">, hepatitis, </w:t>
      </w:r>
    </w:p>
    <w:p w14:paraId="058E09D7" w14:textId="32FEA9F0" w:rsidR="008F3B66" w:rsidRPr="00E04F74" w:rsidRDefault="002870DD" w:rsidP="00946B2E">
      <w:pPr>
        <w:pStyle w:val="Header"/>
        <w:tabs>
          <w:tab w:val="left" w:pos="284"/>
        </w:tabs>
        <w:jc w:val="both"/>
        <w:rPr>
          <w:sz w:val="22"/>
          <w:szCs w:val="22"/>
          <w:lang w:val="sr-Latn-RS"/>
        </w:rPr>
      </w:pPr>
      <w:r w:rsidRPr="00E04F74">
        <w:rPr>
          <w:sz w:val="22"/>
          <w:szCs w:val="22"/>
          <w:lang w:val="sr-Latn-RS"/>
        </w:rPr>
        <w:t xml:space="preserve">                           </w:t>
      </w:r>
      <w:r w:rsidR="00872C74" w:rsidRPr="00E04F74">
        <w:rPr>
          <w:sz w:val="22"/>
          <w:szCs w:val="22"/>
          <w:lang w:val="sr-Latn-RS"/>
        </w:rPr>
        <w:t xml:space="preserve">       </w:t>
      </w:r>
      <w:r w:rsidRPr="00E04F74">
        <w:rPr>
          <w:sz w:val="22"/>
          <w:szCs w:val="22"/>
          <w:lang w:val="sr-Latn-RS"/>
        </w:rPr>
        <w:t xml:space="preserve"> </w:t>
      </w:r>
      <w:r w:rsidR="00872C74" w:rsidRPr="00E04F74">
        <w:rPr>
          <w:sz w:val="22"/>
          <w:szCs w:val="22"/>
          <w:lang w:val="sr-Latn-RS"/>
        </w:rPr>
        <w:t xml:space="preserve">          </w:t>
      </w:r>
      <w:r w:rsidR="008F3B66" w:rsidRPr="00E04F74">
        <w:rPr>
          <w:sz w:val="22"/>
          <w:szCs w:val="22"/>
          <w:lang w:val="sr-Latn-RS"/>
        </w:rPr>
        <w:t>hepatična insuficijencija</w:t>
      </w:r>
    </w:p>
    <w:p w14:paraId="058E09D8" w14:textId="77777777" w:rsidR="008F3B66" w:rsidRPr="00E04F74" w:rsidRDefault="008F3B66" w:rsidP="00946B2E">
      <w:pPr>
        <w:pStyle w:val="Header"/>
        <w:tabs>
          <w:tab w:val="left" w:pos="284"/>
        </w:tabs>
        <w:jc w:val="both"/>
        <w:rPr>
          <w:sz w:val="22"/>
          <w:szCs w:val="22"/>
          <w:lang w:val="sr-Latn-RS"/>
        </w:rPr>
      </w:pPr>
    </w:p>
    <w:p w14:paraId="058E09D9" w14:textId="45AB206C" w:rsidR="008F3B66" w:rsidRPr="00E04F74" w:rsidRDefault="008F3B66" w:rsidP="00946B2E">
      <w:pPr>
        <w:pStyle w:val="Header"/>
        <w:tabs>
          <w:tab w:val="left" w:pos="284"/>
        </w:tabs>
        <w:jc w:val="both"/>
        <w:rPr>
          <w:sz w:val="22"/>
          <w:szCs w:val="22"/>
          <w:lang w:val="sr-Latn-RS"/>
        </w:rPr>
      </w:pPr>
      <w:r w:rsidRPr="00E04F74">
        <w:rPr>
          <w:i/>
          <w:sz w:val="22"/>
          <w:szCs w:val="22"/>
          <w:lang w:val="sr-Latn-RS"/>
        </w:rPr>
        <w:t>Mišićno-skeletni sistem</w:t>
      </w:r>
      <w:r w:rsidR="002870DD" w:rsidRPr="00E04F74">
        <w:rPr>
          <w:sz w:val="22"/>
          <w:szCs w:val="22"/>
          <w:lang w:val="sr-Latn-RS"/>
        </w:rPr>
        <w:t xml:space="preserve">        </w:t>
      </w:r>
      <w:r w:rsidRPr="00E04F74">
        <w:rPr>
          <w:b/>
          <w:sz w:val="22"/>
          <w:szCs w:val="22"/>
          <w:lang w:val="sr-Latn-RS"/>
        </w:rPr>
        <w:t>Mijalgija</w:t>
      </w:r>
      <w:r w:rsidRPr="00E04F74">
        <w:rPr>
          <w:sz w:val="22"/>
          <w:szCs w:val="22"/>
          <w:lang w:val="sr-Latn-RS"/>
        </w:rPr>
        <w:t>, rijetko mioliza, artralgija, povišenje kreatin fosfokinaze</w:t>
      </w:r>
    </w:p>
    <w:p w14:paraId="058E09DA" w14:textId="77777777" w:rsidR="008F3B66" w:rsidRPr="00E04F74" w:rsidRDefault="008F3B66" w:rsidP="00946B2E">
      <w:pPr>
        <w:pStyle w:val="Header"/>
        <w:tabs>
          <w:tab w:val="left" w:pos="284"/>
        </w:tabs>
        <w:jc w:val="both"/>
        <w:rPr>
          <w:sz w:val="22"/>
          <w:szCs w:val="22"/>
          <w:lang w:val="sr-Latn-RS"/>
        </w:rPr>
      </w:pPr>
    </w:p>
    <w:p w14:paraId="058E09DB" w14:textId="7616B09D" w:rsidR="008F3B66" w:rsidRPr="00E04F74" w:rsidRDefault="008F3B66" w:rsidP="00946B2E">
      <w:pPr>
        <w:pStyle w:val="Header"/>
        <w:tabs>
          <w:tab w:val="left" w:pos="284"/>
        </w:tabs>
        <w:jc w:val="both"/>
        <w:rPr>
          <w:sz w:val="22"/>
          <w:szCs w:val="22"/>
          <w:lang w:val="sr-Latn-RS"/>
        </w:rPr>
      </w:pPr>
      <w:r w:rsidRPr="00E04F74">
        <w:rPr>
          <w:i/>
          <w:sz w:val="22"/>
          <w:szCs w:val="22"/>
          <w:lang w:val="sr-Latn-RS"/>
        </w:rPr>
        <w:t>Bubrezi i urinarni trakt</w:t>
      </w:r>
      <w:r w:rsidR="002870DD" w:rsidRPr="00E04F74">
        <w:rPr>
          <w:sz w:val="22"/>
          <w:szCs w:val="22"/>
          <w:lang w:val="sr-Latn-RS"/>
        </w:rPr>
        <w:t xml:space="preserve">         </w:t>
      </w:r>
      <w:r w:rsidRPr="00E04F74">
        <w:rPr>
          <w:sz w:val="22"/>
          <w:szCs w:val="22"/>
          <w:lang w:val="sr-Latn-RS"/>
        </w:rPr>
        <w:t>Porast kreatinina, bubrežna insuficijencija</w:t>
      </w:r>
    </w:p>
    <w:p w14:paraId="058E09DC" w14:textId="77777777" w:rsidR="008F3B66" w:rsidRPr="00E04F74" w:rsidRDefault="008F3B66" w:rsidP="00946B2E">
      <w:pPr>
        <w:pStyle w:val="Header"/>
        <w:tabs>
          <w:tab w:val="left" w:pos="284"/>
        </w:tabs>
        <w:jc w:val="both"/>
        <w:rPr>
          <w:sz w:val="22"/>
          <w:szCs w:val="22"/>
          <w:lang w:val="sr-Latn-RS"/>
        </w:rPr>
      </w:pPr>
    </w:p>
    <w:p w14:paraId="058E09DD" w14:textId="77777777" w:rsidR="008F3B66" w:rsidRPr="00E04F74" w:rsidRDefault="008F3B66" w:rsidP="002870DD">
      <w:pPr>
        <w:pStyle w:val="Header"/>
        <w:tabs>
          <w:tab w:val="left" w:pos="284"/>
        </w:tabs>
        <w:jc w:val="both"/>
        <w:rPr>
          <w:sz w:val="22"/>
          <w:szCs w:val="22"/>
          <w:lang w:val="sr-Latn-RS"/>
        </w:rPr>
      </w:pPr>
      <w:r w:rsidRPr="00E04F74">
        <w:rPr>
          <w:sz w:val="22"/>
          <w:szCs w:val="22"/>
          <w:lang w:val="sr-Latn-RS"/>
        </w:rPr>
        <w:t xml:space="preserve">Simptomi povezani sa reakcijama preosjetljivosti na abakavir, pogoršavaju se tokom kontinuirane primjene i mogu ugroziti život pacijenta i, rijetko, mogu biti fatalni. </w:t>
      </w:r>
    </w:p>
    <w:p w14:paraId="058E09DE" w14:textId="77777777" w:rsidR="008F3B66" w:rsidRPr="00E04F74" w:rsidRDefault="008F3B66" w:rsidP="002870DD">
      <w:pPr>
        <w:jc w:val="both"/>
        <w:rPr>
          <w:noProof/>
          <w:sz w:val="22"/>
          <w:szCs w:val="22"/>
          <w:u w:val="single"/>
          <w:lang w:val="sr-Latn-RS"/>
        </w:rPr>
      </w:pPr>
    </w:p>
    <w:p w14:paraId="058E09DF" w14:textId="5F827463" w:rsidR="008F3B66" w:rsidRPr="00E04F74" w:rsidRDefault="008F3B66" w:rsidP="002870DD">
      <w:pPr>
        <w:pStyle w:val="Header"/>
        <w:tabs>
          <w:tab w:val="left" w:pos="284"/>
        </w:tabs>
        <w:jc w:val="both"/>
        <w:rPr>
          <w:sz w:val="22"/>
          <w:szCs w:val="22"/>
          <w:lang w:val="sr-Latn-RS"/>
        </w:rPr>
      </w:pPr>
      <w:r w:rsidRPr="00E04F74">
        <w:rPr>
          <w:sz w:val="22"/>
          <w:szCs w:val="22"/>
          <w:lang w:val="sr-Latn-RS"/>
        </w:rPr>
        <w:t xml:space="preserve">Ponovno uvođenje abakavira nakon reakcije preosjetljivosti na abakavir, dovodi do brzog povratka simptoma u toku nekoliko sati. Navedena ponovna reakcija preosjetljivosti obično je mnogo ozbiljnijeg karaktera od inicijalnih manifestacija i može uključiti po život opasnu hipotenziju i smrtni ishod. Slične </w:t>
      </w:r>
      <w:r w:rsidRPr="00E04F74">
        <w:rPr>
          <w:sz w:val="22"/>
          <w:szCs w:val="22"/>
          <w:lang w:val="sr-Latn-RS"/>
        </w:rPr>
        <w:lastRenderedPageBreak/>
        <w:t>reakcije javljale su se rijetko,</w:t>
      </w:r>
      <w:r w:rsidR="002870DD" w:rsidRPr="00E04F74">
        <w:rPr>
          <w:sz w:val="22"/>
          <w:szCs w:val="22"/>
          <w:lang w:val="sr-Latn-RS"/>
        </w:rPr>
        <w:t xml:space="preserve"> </w:t>
      </w:r>
      <w:r w:rsidRPr="00E04F74">
        <w:rPr>
          <w:sz w:val="22"/>
          <w:szCs w:val="22"/>
          <w:lang w:val="sr-Latn-RS"/>
        </w:rPr>
        <w:t>nakon ponovnog otpočinjanja primjene abakavira kod pacijenata koji su prije prekida njegove primjene imali samo jedan od ključnih simptoma preosjetljivosti (naveden u prethodnom tekstu), a u veoma rijetkim slučajevima zabilježene su i kod pacijenata koji su ponovo otpočeli terapiju bez prethodnih simptoma reakcija preosjetljivosti (npr. pacijenti koji su prethodno okarakterisani kao tolerantni na primjenu abakavira).</w:t>
      </w:r>
    </w:p>
    <w:p w14:paraId="058E09E0" w14:textId="77777777" w:rsidR="008F3B66" w:rsidRPr="00E04F74" w:rsidRDefault="008F3B66" w:rsidP="002870DD">
      <w:pPr>
        <w:pStyle w:val="Header"/>
        <w:jc w:val="both"/>
        <w:rPr>
          <w:sz w:val="22"/>
          <w:szCs w:val="22"/>
          <w:lang w:val="sr-Latn-RS"/>
        </w:rPr>
      </w:pPr>
    </w:p>
    <w:p w14:paraId="058E09E1" w14:textId="77777777" w:rsidR="008F3B66" w:rsidRPr="00E04F74" w:rsidRDefault="008F3B66">
      <w:pPr>
        <w:pStyle w:val="Header"/>
        <w:jc w:val="both"/>
        <w:rPr>
          <w:i/>
          <w:sz w:val="22"/>
          <w:szCs w:val="22"/>
          <w:lang w:val="sr-Latn-RS"/>
        </w:rPr>
      </w:pPr>
      <w:r w:rsidRPr="00E04F74">
        <w:rPr>
          <w:i/>
          <w:sz w:val="22"/>
          <w:szCs w:val="22"/>
          <w:lang w:val="sr-Latn-RS"/>
        </w:rPr>
        <w:t>Metabolički parametri</w:t>
      </w:r>
    </w:p>
    <w:p w14:paraId="058E09E2" w14:textId="0F56F52B" w:rsidR="008F3B66" w:rsidRPr="00E04F74" w:rsidRDefault="008F3B66">
      <w:pPr>
        <w:pStyle w:val="Header"/>
        <w:jc w:val="both"/>
        <w:rPr>
          <w:iCs/>
          <w:sz w:val="22"/>
          <w:szCs w:val="22"/>
          <w:lang w:val="sr-Latn-RS"/>
        </w:rPr>
      </w:pPr>
      <w:r w:rsidRPr="00E04F74">
        <w:rPr>
          <w:sz w:val="22"/>
          <w:szCs w:val="22"/>
          <w:lang w:val="sr-Latn-RS"/>
        </w:rPr>
        <w:t xml:space="preserve">Tokom antiretrovirusne terapije može doći do porasta tjelesne mase i nivoa lipida i glukoze u krvi </w:t>
      </w:r>
      <w:r w:rsidRPr="00E04F74">
        <w:rPr>
          <w:iCs/>
          <w:sz w:val="22"/>
          <w:szCs w:val="22"/>
          <w:lang w:val="sr-Latn-RS"/>
        </w:rPr>
        <w:t xml:space="preserve">(vidjeti </w:t>
      </w:r>
      <w:r w:rsidR="00D52927" w:rsidRPr="00E04F74">
        <w:rPr>
          <w:iCs/>
          <w:sz w:val="22"/>
          <w:szCs w:val="22"/>
          <w:lang w:val="sr-Latn-RS"/>
        </w:rPr>
        <w:t>dio</w:t>
      </w:r>
      <w:r w:rsidRPr="00E04F74">
        <w:rPr>
          <w:iCs/>
          <w:sz w:val="22"/>
          <w:szCs w:val="22"/>
          <w:lang w:val="sr-Latn-RS"/>
        </w:rPr>
        <w:t xml:space="preserve"> 4.4).</w:t>
      </w:r>
    </w:p>
    <w:p w14:paraId="058E09E3" w14:textId="77777777" w:rsidR="008F3B66" w:rsidRPr="00E04F74" w:rsidRDefault="008F3B66">
      <w:pPr>
        <w:pStyle w:val="Header"/>
        <w:jc w:val="both"/>
        <w:rPr>
          <w:bCs/>
          <w:sz w:val="22"/>
          <w:szCs w:val="22"/>
          <w:lang w:val="sr-Latn-RS"/>
        </w:rPr>
      </w:pPr>
    </w:p>
    <w:p w14:paraId="058E09E4" w14:textId="77777777" w:rsidR="008F3B66" w:rsidRPr="00E04F74" w:rsidRDefault="008F3B66">
      <w:pPr>
        <w:pStyle w:val="Header"/>
        <w:jc w:val="both"/>
        <w:rPr>
          <w:i/>
          <w:sz w:val="22"/>
          <w:szCs w:val="22"/>
          <w:lang w:val="sr-Latn-RS"/>
        </w:rPr>
      </w:pPr>
      <w:r w:rsidRPr="00E04F74">
        <w:rPr>
          <w:i/>
          <w:sz w:val="22"/>
          <w:szCs w:val="22"/>
          <w:lang w:val="sr-Latn-RS"/>
        </w:rPr>
        <w:t>Sindrom imun</w:t>
      </w:r>
      <w:r w:rsidR="007F08ED" w:rsidRPr="00E04F74">
        <w:rPr>
          <w:i/>
          <w:sz w:val="22"/>
          <w:szCs w:val="22"/>
          <w:lang w:val="sr-Latn-RS"/>
        </w:rPr>
        <w:t>sk</w:t>
      </w:r>
      <w:r w:rsidRPr="00E04F74">
        <w:rPr>
          <w:i/>
          <w:sz w:val="22"/>
          <w:szCs w:val="22"/>
          <w:lang w:val="sr-Latn-RS"/>
        </w:rPr>
        <w:t>e reaktivacije</w:t>
      </w:r>
    </w:p>
    <w:p w14:paraId="058E09E5" w14:textId="6BB940AD" w:rsidR="008F3B66" w:rsidRPr="00E04F74" w:rsidRDefault="008F3B66">
      <w:pPr>
        <w:pStyle w:val="Header"/>
        <w:jc w:val="both"/>
        <w:rPr>
          <w:sz w:val="22"/>
          <w:szCs w:val="22"/>
          <w:lang w:val="sr-Latn-RS"/>
        </w:rPr>
      </w:pPr>
      <w:r w:rsidRPr="00E04F74">
        <w:rPr>
          <w:sz w:val="22"/>
          <w:szCs w:val="22"/>
          <w:lang w:val="sr-Latn-RS"/>
        </w:rPr>
        <w:t>Kod HIV-inficiranih pacijenata sa teškom imunodeficijencijom u vrijeme otpočinjanja primjene kombinovane antiretrovirusne terapije, može doći do pojave zapaljenjske reakcije na asimptomatske ili rezidualne oportunističke infekcije. Takođe je zabilježena pojava autoimunih poremećaja (kao što je Grejvsova bolest</w:t>
      </w:r>
      <w:r w:rsidR="007F08ED" w:rsidRPr="00E04F74">
        <w:rPr>
          <w:sz w:val="22"/>
          <w:szCs w:val="22"/>
          <w:lang w:val="sr-Latn-RS"/>
        </w:rPr>
        <w:t xml:space="preserve"> i autoimuni hepatitis</w:t>
      </w:r>
      <w:r w:rsidRPr="00E04F74">
        <w:rPr>
          <w:sz w:val="22"/>
          <w:szCs w:val="22"/>
          <w:lang w:val="sr-Latn-RS"/>
        </w:rPr>
        <w:t xml:space="preserve">) u okviru imune reaktivacije; međutim prijavljeno vrijeme do pojave oboljenja je još varijabilnije i navedeni događaji se mogu javiti mnogo mjeseci nakon započinjanja primjene terapije (vidjeti </w:t>
      </w:r>
      <w:r w:rsidR="00D52927" w:rsidRPr="00E04F74">
        <w:rPr>
          <w:sz w:val="22"/>
          <w:szCs w:val="22"/>
          <w:lang w:val="sr-Latn-RS"/>
        </w:rPr>
        <w:t>dio</w:t>
      </w:r>
      <w:r w:rsidRPr="00E04F74">
        <w:rPr>
          <w:sz w:val="22"/>
          <w:szCs w:val="22"/>
          <w:lang w:val="sr-Latn-RS"/>
        </w:rPr>
        <w:t xml:space="preserve"> 4.4).</w:t>
      </w:r>
    </w:p>
    <w:p w14:paraId="058E09E6" w14:textId="77777777" w:rsidR="008F3B66" w:rsidRPr="00E04F74" w:rsidRDefault="008F3B66">
      <w:pPr>
        <w:pStyle w:val="Header"/>
        <w:jc w:val="both"/>
        <w:rPr>
          <w:sz w:val="22"/>
          <w:szCs w:val="22"/>
          <w:lang w:val="sr-Latn-RS"/>
        </w:rPr>
      </w:pPr>
    </w:p>
    <w:p w14:paraId="058E09E7" w14:textId="77777777" w:rsidR="008F3B66" w:rsidRPr="00E04F74" w:rsidRDefault="008F3B66">
      <w:pPr>
        <w:pStyle w:val="Header"/>
        <w:jc w:val="both"/>
        <w:rPr>
          <w:i/>
          <w:sz w:val="22"/>
          <w:szCs w:val="22"/>
          <w:lang w:val="sr-Latn-RS"/>
        </w:rPr>
      </w:pPr>
      <w:r w:rsidRPr="00E04F74">
        <w:rPr>
          <w:i/>
          <w:sz w:val="22"/>
          <w:szCs w:val="22"/>
          <w:lang w:val="sr-Latn-RS"/>
        </w:rPr>
        <w:t>Osteonekroza</w:t>
      </w:r>
    </w:p>
    <w:p w14:paraId="058E09E8" w14:textId="37BC437E" w:rsidR="008F3B66" w:rsidRPr="00E04F74" w:rsidRDefault="008F3B66">
      <w:pPr>
        <w:pStyle w:val="Header"/>
        <w:jc w:val="both"/>
        <w:rPr>
          <w:sz w:val="22"/>
          <w:szCs w:val="22"/>
          <w:lang w:val="sr-Latn-RS"/>
        </w:rPr>
      </w:pPr>
      <w:r w:rsidRPr="00E04F74">
        <w:rPr>
          <w:sz w:val="22"/>
          <w:szCs w:val="22"/>
          <w:lang w:val="sr-Latn-RS"/>
        </w:rPr>
        <w:t xml:space="preserve">Prijavljeni su slučajevi osteonekroze, posebno kod pacijenata sa potvrđenim opštim faktorima rizika, uznapredovalim HIV oboljenjem ili dugoročnom izloženošću KART. Učestalost pojave navedenih slučajeva je nepoznata (vidjeti </w:t>
      </w:r>
      <w:r w:rsidR="00D52927" w:rsidRPr="00E04F74">
        <w:rPr>
          <w:sz w:val="22"/>
          <w:szCs w:val="22"/>
          <w:lang w:val="sr-Latn-RS"/>
        </w:rPr>
        <w:t>dio</w:t>
      </w:r>
      <w:r w:rsidRPr="00E04F74">
        <w:rPr>
          <w:sz w:val="22"/>
          <w:szCs w:val="22"/>
          <w:lang w:val="sr-Latn-RS"/>
        </w:rPr>
        <w:t xml:space="preserve"> 4.4).</w:t>
      </w:r>
    </w:p>
    <w:p w14:paraId="058E09E9" w14:textId="77777777" w:rsidR="008F3B66" w:rsidRPr="00E04F74" w:rsidRDefault="008F3B66">
      <w:pPr>
        <w:jc w:val="both"/>
        <w:rPr>
          <w:noProof/>
          <w:sz w:val="22"/>
          <w:szCs w:val="22"/>
          <w:u w:val="single"/>
          <w:lang w:val="sr-Latn-RS"/>
        </w:rPr>
      </w:pPr>
    </w:p>
    <w:p w14:paraId="058E09EA" w14:textId="77777777" w:rsidR="008F3B66" w:rsidRPr="00E04F74" w:rsidRDefault="008F3B66">
      <w:pPr>
        <w:pStyle w:val="Header"/>
        <w:jc w:val="both"/>
        <w:rPr>
          <w:i/>
          <w:sz w:val="22"/>
          <w:szCs w:val="22"/>
          <w:lang w:val="sr-Latn-RS"/>
        </w:rPr>
      </w:pPr>
      <w:r w:rsidRPr="00E04F74">
        <w:rPr>
          <w:i/>
          <w:sz w:val="22"/>
          <w:szCs w:val="22"/>
          <w:lang w:val="sr-Latn-RS"/>
        </w:rPr>
        <w:t>Pedijatrijska populacija</w:t>
      </w:r>
    </w:p>
    <w:p w14:paraId="058E09EB" w14:textId="6E5AC85E" w:rsidR="008F3B66" w:rsidRPr="00E04F74" w:rsidRDefault="008F3B66">
      <w:pPr>
        <w:jc w:val="both"/>
        <w:rPr>
          <w:sz w:val="22"/>
          <w:szCs w:val="22"/>
          <w:lang w:val="sr-Latn-RS"/>
        </w:rPr>
      </w:pPr>
      <w:r w:rsidRPr="00E04F74">
        <w:rPr>
          <w:sz w:val="22"/>
          <w:szCs w:val="22"/>
          <w:lang w:val="sr-Latn-RS"/>
        </w:rPr>
        <w:t xml:space="preserve">Baza sa podacima o bezbjednosti koja podržava doziranje jednom dnevno kod pedijatrijskih pacijenata dolazi iz kliničkog ispitivanja ARROW (COL105677) u kojem je 669 pedijatrijskih ispitanika inficiranih HIV-1 virusom (uzrasta od 12 mjeseci do ≤17 godina) primalo abakavir i lamivudin bilo jednom ili dva puta na dan (vidjeti </w:t>
      </w:r>
      <w:r w:rsidR="00D52927" w:rsidRPr="00E04F74">
        <w:rPr>
          <w:sz w:val="22"/>
          <w:szCs w:val="22"/>
          <w:lang w:val="sr-Latn-RS"/>
        </w:rPr>
        <w:t>dio</w:t>
      </w:r>
      <w:r w:rsidRPr="00E04F74">
        <w:rPr>
          <w:sz w:val="22"/>
          <w:szCs w:val="22"/>
          <w:lang w:val="sr-Latn-RS"/>
        </w:rPr>
        <w:t xml:space="preserve"> 5.1). Unutar te populacije, 104 pedijatrijska ispitanika inficirana HIV-1 virusom, tjelesne mase od najmanje 25 kg, primalo je abakavir i lamivudin kao lijek KIVEXA jednom dnevno. Nijesu identifikovani dodatni podaci o bezbjednosti kod pedijatrijskih ispitanika koji su primali dozu jednom dnevno ili dva puta dnevno u poređnju sa odraslim osobama.</w:t>
      </w:r>
    </w:p>
    <w:p w14:paraId="058E09EC" w14:textId="77777777" w:rsidR="0008714A" w:rsidRPr="00E04F74" w:rsidRDefault="0008714A">
      <w:pPr>
        <w:spacing w:line="276" w:lineRule="auto"/>
        <w:jc w:val="both"/>
        <w:rPr>
          <w:rFonts w:eastAsia="Calibri"/>
          <w:sz w:val="22"/>
          <w:szCs w:val="22"/>
          <w:u w:val="single"/>
          <w:lang w:val="sr-Latn-RS"/>
        </w:rPr>
      </w:pPr>
    </w:p>
    <w:p w14:paraId="4F6E0C62" w14:textId="77777777" w:rsidR="00D23C4B" w:rsidRPr="00E04F74" w:rsidRDefault="00D23C4B" w:rsidP="00946B2E">
      <w:pPr>
        <w:spacing w:line="276" w:lineRule="auto"/>
        <w:jc w:val="both"/>
        <w:rPr>
          <w:rFonts w:eastAsia="Calibri"/>
          <w:sz w:val="22"/>
          <w:szCs w:val="22"/>
          <w:u w:val="single"/>
          <w:lang w:val="sr-Latn-RS"/>
        </w:rPr>
      </w:pPr>
      <w:r w:rsidRPr="00E04F74">
        <w:rPr>
          <w:rFonts w:eastAsia="Calibri"/>
          <w:sz w:val="22"/>
          <w:szCs w:val="22"/>
          <w:u w:val="single"/>
          <w:lang w:val="sr-Latn-RS"/>
        </w:rPr>
        <w:t>Prijavljivanje sumnji na neželjena dejstva</w:t>
      </w:r>
    </w:p>
    <w:p w14:paraId="4BDDF733" w14:textId="77777777" w:rsidR="00D23C4B" w:rsidRPr="00E04F74" w:rsidRDefault="00D23C4B" w:rsidP="002870DD">
      <w:pPr>
        <w:jc w:val="both"/>
        <w:rPr>
          <w:rFonts w:eastAsia="Calibri"/>
          <w:sz w:val="22"/>
          <w:szCs w:val="22"/>
          <w:lang w:val="sr-Latn-RS"/>
        </w:rPr>
      </w:pPr>
      <w:r w:rsidRPr="00E04F74">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D613313" w14:textId="77777777" w:rsidR="00D23C4B" w:rsidRPr="00E04F74" w:rsidRDefault="00D23C4B" w:rsidP="002870DD">
      <w:pPr>
        <w:pStyle w:val="NoSpacing"/>
        <w:jc w:val="both"/>
        <w:rPr>
          <w:rFonts w:eastAsia="Calibri"/>
          <w:sz w:val="22"/>
          <w:szCs w:val="22"/>
          <w:lang w:val="sr-Latn-RS"/>
        </w:rPr>
      </w:pPr>
      <w:r w:rsidRPr="00E04F74">
        <w:rPr>
          <w:rFonts w:eastAsia="Calibri"/>
          <w:sz w:val="22"/>
          <w:szCs w:val="22"/>
          <w:lang w:val="sr-Latn-RS"/>
        </w:rPr>
        <w:t xml:space="preserve">Institut za ljekove i medicinska sredstva </w:t>
      </w:r>
    </w:p>
    <w:p w14:paraId="34F127AF" w14:textId="77777777" w:rsidR="00D23C4B" w:rsidRPr="00E04F74" w:rsidRDefault="00D23C4B" w:rsidP="002870DD">
      <w:pPr>
        <w:pStyle w:val="NoSpacing"/>
        <w:jc w:val="both"/>
        <w:rPr>
          <w:rFonts w:eastAsia="Calibri"/>
          <w:sz w:val="22"/>
          <w:szCs w:val="22"/>
          <w:lang w:val="sr-Latn-RS"/>
        </w:rPr>
      </w:pPr>
      <w:r w:rsidRPr="00E04F74">
        <w:rPr>
          <w:rFonts w:eastAsia="Calibri"/>
          <w:sz w:val="22"/>
          <w:szCs w:val="22"/>
          <w:lang w:val="sr-Latn-RS"/>
        </w:rPr>
        <w:t>Odjeljenje za farmakovigilancu</w:t>
      </w:r>
    </w:p>
    <w:p w14:paraId="228C3EDD" w14:textId="77777777" w:rsidR="00D23C4B" w:rsidRPr="00E04F74" w:rsidRDefault="00D23C4B">
      <w:pPr>
        <w:pStyle w:val="NoSpacing"/>
        <w:jc w:val="both"/>
        <w:rPr>
          <w:rFonts w:eastAsia="Calibri"/>
          <w:sz w:val="22"/>
          <w:szCs w:val="22"/>
          <w:lang w:val="sr-Latn-RS"/>
        </w:rPr>
      </w:pPr>
      <w:r w:rsidRPr="00E04F74">
        <w:rPr>
          <w:rFonts w:eastAsia="Calibri"/>
          <w:sz w:val="22"/>
          <w:szCs w:val="22"/>
          <w:lang w:val="sr-Latn-RS"/>
        </w:rPr>
        <w:t>Bulevar Ivana Crnojevića 64a, 81000 Podgorica</w:t>
      </w:r>
    </w:p>
    <w:p w14:paraId="79547967" w14:textId="77777777" w:rsidR="00D23C4B" w:rsidRPr="00E04F74" w:rsidRDefault="00D23C4B" w:rsidP="00946B2E">
      <w:pPr>
        <w:pStyle w:val="NoSpacing"/>
        <w:jc w:val="both"/>
        <w:rPr>
          <w:rFonts w:eastAsia="Calibri"/>
          <w:sz w:val="22"/>
          <w:szCs w:val="22"/>
          <w:lang w:val="sr-Latn-RS"/>
        </w:rPr>
      </w:pPr>
    </w:p>
    <w:p w14:paraId="38C24B72" w14:textId="77777777" w:rsidR="00D23C4B" w:rsidRPr="00E04F74" w:rsidRDefault="00D23C4B" w:rsidP="002870DD">
      <w:pPr>
        <w:pStyle w:val="NoSpacing"/>
        <w:jc w:val="both"/>
        <w:rPr>
          <w:rFonts w:eastAsia="Calibri"/>
          <w:sz w:val="22"/>
          <w:szCs w:val="22"/>
          <w:lang w:val="sr-Latn-RS"/>
        </w:rPr>
      </w:pPr>
      <w:r w:rsidRPr="00E04F74">
        <w:rPr>
          <w:rFonts w:eastAsia="Calibri"/>
          <w:sz w:val="22"/>
          <w:szCs w:val="22"/>
          <w:lang w:val="sr-Latn-RS"/>
        </w:rPr>
        <w:t>tel: +382 (0) 20 310 280</w:t>
      </w:r>
    </w:p>
    <w:p w14:paraId="10D524F7" w14:textId="77777777" w:rsidR="00D23C4B" w:rsidRPr="00E04F74" w:rsidRDefault="00D23C4B" w:rsidP="002870DD">
      <w:pPr>
        <w:pStyle w:val="NoSpacing"/>
        <w:jc w:val="both"/>
        <w:rPr>
          <w:rFonts w:eastAsia="Calibri"/>
          <w:sz w:val="22"/>
          <w:szCs w:val="22"/>
          <w:lang w:val="sr-Latn-RS"/>
        </w:rPr>
      </w:pPr>
      <w:r w:rsidRPr="00E04F74">
        <w:rPr>
          <w:rFonts w:eastAsia="Calibri"/>
          <w:sz w:val="22"/>
          <w:szCs w:val="22"/>
          <w:lang w:val="sr-Latn-RS"/>
        </w:rPr>
        <w:t>fax: +382 (0) 20 310 581</w:t>
      </w:r>
    </w:p>
    <w:p w14:paraId="5BF7D552" w14:textId="77777777" w:rsidR="00D23C4B" w:rsidRPr="00E04F74" w:rsidRDefault="002F741F" w:rsidP="002870DD">
      <w:pPr>
        <w:pStyle w:val="NoSpacing"/>
        <w:jc w:val="both"/>
        <w:rPr>
          <w:rFonts w:eastAsia="Calibri"/>
          <w:sz w:val="22"/>
          <w:szCs w:val="22"/>
          <w:lang w:val="sr-Latn-RS"/>
        </w:rPr>
      </w:pPr>
      <w:hyperlink r:id="rId8" w:history="1">
        <w:r w:rsidR="00D23C4B" w:rsidRPr="00E04F74">
          <w:rPr>
            <w:rStyle w:val="Hyperlink"/>
            <w:rFonts w:eastAsia="Calibri"/>
            <w:sz w:val="22"/>
            <w:szCs w:val="22"/>
            <w:lang w:val="sr-Latn-RS"/>
          </w:rPr>
          <w:t>www.cinmed.me</w:t>
        </w:r>
      </w:hyperlink>
    </w:p>
    <w:p w14:paraId="4DBF9077" w14:textId="77777777" w:rsidR="00D23C4B" w:rsidRPr="00E04F74" w:rsidRDefault="002F741F" w:rsidP="002870DD">
      <w:pPr>
        <w:pStyle w:val="NoSpacing"/>
        <w:jc w:val="both"/>
        <w:rPr>
          <w:rFonts w:eastAsia="Calibri"/>
          <w:color w:val="0000FF"/>
          <w:sz w:val="22"/>
          <w:szCs w:val="22"/>
          <w:u w:val="single"/>
          <w:lang w:val="sr-Latn-RS"/>
        </w:rPr>
      </w:pPr>
      <w:hyperlink r:id="rId9" w:history="1">
        <w:r w:rsidR="00D23C4B" w:rsidRPr="00E04F74">
          <w:rPr>
            <w:rStyle w:val="Hyperlink"/>
            <w:rFonts w:eastAsia="Calibri"/>
            <w:sz w:val="22"/>
            <w:szCs w:val="22"/>
            <w:lang w:val="sr-Latn-RS"/>
          </w:rPr>
          <w:t>nezeljenadejstva@cinmed.me</w:t>
        </w:r>
      </w:hyperlink>
    </w:p>
    <w:p w14:paraId="491611BA" w14:textId="53DD8EB5" w:rsidR="00D23C4B" w:rsidRPr="00E04F74" w:rsidRDefault="00D23C4B">
      <w:pPr>
        <w:pStyle w:val="NoSpacing"/>
        <w:jc w:val="both"/>
        <w:rPr>
          <w:rFonts w:eastAsia="Calibri"/>
          <w:sz w:val="22"/>
          <w:szCs w:val="22"/>
          <w:lang w:val="sr-Latn-RS"/>
        </w:rPr>
      </w:pPr>
      <w:r w:rsidRPr="00E04F74">
        <w:rPr>
          <w:rFonts w:eastAsia="Calibri"/>
          <w:sz w:val="22"/>
          <w:szCs w:val="22"/>
          <w:lang w:val="sr-Latn-RS"/>
        </w:rPr>
        <w:t>putem IS zdravstvene zaštite</w:t>
      </w:r>
    </w:p>
    <w:p w14:paraId="50F03E97" w14:textId="77777777" w:rsidR="008766B3" w:rsidRPr="00E04F74" w:rsidRDefault="008766B3">
      <w:pPr>
        <w:pStyle w:val="NoSpacing"/>
        <w:jc w:val="both"/>
        <w:rPr>
          <w:rFonts w:eastAsia="Calibri"/>
          <w:sz w:val="22"/>
          <w:szCs w:val="22"/>
          <w:lang w:val="sr-Latn-RS"/>
        </w:rPr>
      </w:pPr>
      <w:r w:rsidRPr="00E04F74">
        <w:rPr>
          <w:rFonts w:eastAsia="Calibri"/>
          <w:sz w:val="22"/>
          <w:szCs w:val="22"/>
          <w:lang w:val="sr-Latn-RS"/>
        </w:rPr>
        <w:t>QR kod za online prijavu sumnje na neželjeno dejstvo lijeka:</w:t>
      </w:r>
    </w:p>
    <w:p w14:paraId="75B8A71E" w14:textId="05DEB8F7" w:rsidR="008766B3" w:rsidRPr="00E04F74" w:rsidRDefault="008766B3">
      <w:pPr>
        <w:pStyle w:val="NoSpacing"/>
        <w:jc w:val="both"/>
        <w:rPr>
          <w:rFonts w:eastAsia="Calibri"/>
          <w:sz w:val="22"/>
          <w:szCs w:val="22"/>
          <w:lang w:val="sr-Latn-RS"/>
        </w:rPr>
      </w:pPr>
    </w:p>
    <w:p w14:paraId="4C6A9B1F" w14:textId="2A49B081" w:rsidR="008766B3" w:rsidRPr="00E04F74" w:rsidRDefault="008766B3">
      <w:pPr>
        <w:pStyle w:val="NoSpacing"/>
        <w:jc w:val="both"/>
        <w:rPr>
          <w:rFonts w:eastAsia="Calibri"/>
          <w:sz w:val="22"/>
          <w:szCs w:val="22"/>
          <w:lang w:val="sr-Latn-RS"/>
        </w:rPr>
      </w:pPr>
      <w:r w:rsidRPr="00E04F74">
        <w:rPr>
          <w:noProof/>
          <w:sz w:val="22"/>
          <w:szCs w:val="22"/>
        </w:rPr>
        <w:drawing>
          <wp:inline distT="0" distB="0" distL="0" distR="0" wp14:anchorId="68050958" wp14:editId="244475EC">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58E09F8" w14:textId="4DC425D0" w:rsidR="00836B35" w:rsidRDefault="00836B35" w:rsidP="00946B2E">
      <w:pPr>
        <w:tabs>
          <w:tab w:val="left" w:pos="540"/>
          <w:tab w:val="left" w:pos="569"/>
        </w:tabs>
        <w:jc w:val="both"/>
        <w:rPr>
          <w:b/>
          <w:bCs/>
          <w:sz w:val="22"/>
          <w:szCs w:val="22"/>
          <w:lang w:val="sr-Latn-RS"/>
        </w:rPr>
      </w:pPr>
    </w:p>
    <w:p w14:paraId="78EB8D7A" w14:textId="57EA05AC" w:rsidR="003B3DDE" w:rsidRDefault="003B3DDE" w:rsidP="00946B2E">
      <w:pPr>
        <w:tabs>
          <w:tab w:val="left" w:pos="540"/>
          <w:tab w:val="left" w:pos="569"/>
        </w:tabs>
        <w:jc w:val="both"/>
        <w:rPr>
          <w:b/>
          <w:bCs/>
          <w:sz w:val="22"/>
          <w:szCs w:val="22"/>
          <w:lang w:val="sr-Latn-RS"/>
        </w:rPr>
      </w:pPr>
    </w:p>
    <w:p w14:paraId="47E876F1" w14:textId="2F36FC9B" w:rsidR="003B3DDE" w:rsidRDefault="003B3DDE" w:rsidP="00946B2E">
      <w:pPr>
        <w:tabs>
          <w:tab w:val="left" w:pos="540"/>
          <w:tab w:val="left" w:pos="569"/>
        </w:tabs>
        <w:jc w:val="both"/>
        <w:rPr>
          <w:b/>
          <w:bCs/>
          <w:sz w:val="22"/>
          <w:szCs w:val="22"/>
          <w:lang w:val="sr-Latn-RS"/>
        </w:rPr>
      </w:pPr>
    </w:p>
    <w:p w14:paraId="6B859C53" w14:textId="77777777" w:rsidR="003B3DDE" w:rsidRPr="00E04F74" w:rsidRDefault="003B3DDE" w:rsidP="00946B2E">
      <w:pPr>
        <w:tabs>
          <w:tab w:val="left" w:pos="540"/>
          <w:tab w:val="left" w:pos="569"/>
        </w:tabs>
        <w:jc w:val="both"/>
        <w:rPr>
          <w:b/>
          <w:bCs/>
          <w:sz w:val="22"/>
          <w:szCs w:val="22"/>
          <w:lang w:val="sr-Latn-RS"/>
        </w:rPr>
      </w:pPr>
    </w:p>
    <w:p w14:paraId="058E09F9" w14:textId="5B2AFC5A" w:rsidR="00CD6F02" w:rsidRPr="00E04F74" w:rsidRDefault="0072020E" w:rsidP="00946B2E">
      <w:pPr>
        <w:tabs>
          <w:tab w:val="left" w:pos="540"/>
          <w:tab w:val="left" w:pos="569"/>
        </w:tabs>
        <w:jc w:val="both"/>
        <w:rPr>
          <w:b/>
          <w:bCs/>
          <w:sz w:val="22"/>
          <w:szCs w:val="22"/>
          <w:lang w:val="sr-Latn-RS"/>
        </w:rPr>
      </w:pPr>
      <w:r w:rsidRPr="00E04F74">
        <w:rPr>
          <w:b/>
          <w:bCs/>
          <w:sz w:val="22"/>
          <w:szCs w:val="22"/>
          <w:lang w:val="sr-Latn-RS"/>
        </w:rPr>
        <w:lastRenderedPageBreak/>
        <w:t xml:space="preserve">4.9. </w:t>
      </w:r>
      <w:r w:rsidR="00480FB1" w:rsidRPr="00E04F74">
        <w:rPr>
          <w:b/>
          <w:bCs/>
          <w:sz w:val="22"/>
          <w:szCs w:val="22"/>
          <w:lang w:val="sr-Latn-RS"/>
        </w:rPr>
        <w:tab/>
      </w:r>
      <w:r w:rsidRPr="00E04F74">
        <w:rPr>
          <w:b/>
          <w:bCs/>
          <w:sz w:val="22"/>
          <w:szCs w:val="22"/>
          <w:lang w:val="sr-Latn-RS"/>
        </w:rPr>
        <w:t>Predoziranje</w:t>
      </w:r>
      <w:r w:rsidR="002846DB" w:rsidRPr="00E04F74">
        <w:rPr>
          <w:b/>
          <w:bCs/>
          <w:sz w:val="22"/>
          <w:szCs w:val="22"/>
          <w:lang w:val="sr-Latn-RS"/>
        </w:rPr>
        <w:t xml:space="preserve"> </w:t>
      </w:r>
    </w:p>
    <w:p w14:paraId="1B1FE1C0" w14:textId="77777777" w:rsidR="001076FF" w:rsidRPr="00E04F74" w:rsidRDefault="001076FF" w:rsidP="00946B2E">
      <w:pPr>
        <w:tabs>
          <w:tab w:val="left" w:pos="540"/>
          <w:tab w:val="left" w:pos="569"/>
        </w:tabs>
        <w:jc w:val="both"/>
        <w:rPr>
          <w:b/>
          <w:bCs/>
          <w:sz w:val="22"/>
          <w:szCs w:val="22"/>
          <w:lang w:val="sr-Latn-RS"/>
        </w:rPr>
      </w:pPr>
    </w:p>
    <w:p w14:paraId="058E09FA" w14:textId="77777777" w:rsidR="0057152A" w:rsidRPr="00E04F74" w:rsidRDefault="0057152A" w:rsidP="002870DD">
      <w:pPr>
        <w:pStyle w:val="Header"/>
        <w:jc w:val="both"/>
        <w:rPr>
          <w:sz w:val="22"/>
          <w:szCs w:val="22"/>
          <w:lang w:val="sr-Latn-RS"/>
        </w:rPr>
      </w:pPr>
      <w:r w:rsidRPr="00E04F74">
        <w:rPr>
          <w:sz w:val="22"/>
          <w:szCs w:val="22"/>
          <w:lang w:val="sr-Latn-RS"/>
        </w:rPr>
        <w:t>Nakon akutnog predoziranja lamivudinom ili abakavirom, nijesu identifikovani specifični simptomi ili znaci, izuzev onih navedenih kao neželjena dejstva.</w:t>
      </w:r>
    </w:p>
    <w:p w14:paraId="058E09FB" w14:textId="77777777" w:rsidR="0057152A" w:rsidRPr="00E04F74" w:rsidRDefault="0057152A" w:rsidP="002870DD">
      <w:pPr>
        <w:pStyle w:val="Header"/>
        <w:jc w:val="both"/>
        <w:rPr>
          <w:sz w:val="22"/>
          <w:szCs w:val="22"/>
          <w:lang w:val="sr-Latn-RS"/>
        </w:rPr>
      </w:pPr>
    </w:p>
    <w:p w14:paraId="058E09FC" w14:textId="31ED926C" w:rsidR="00CD6F02" w:rsidRPr="00E04F74" w:rsidRDefault="0057152A" w:rsidP="002870DD">
      <w:pPr>
        <w:jc w:val="both"/>
        <w:rPr>
          <w:sz w:val="22"/>
          <w:szCs w:val="22"/>
          <w:lang w:val="sr-Latn-RS"/>
        </w:rPr>
      </w:pPr>
      <w:r w:rsidRPr="00E04F74">
        <w:rPr>
          <w:sz w:val="22"/>
          <w:szCs w:val="22"/>
          <w:lang w:val="sr-Latn-RS"/>
        </w:rPr>
        <w:t xml:space="preserve">Ukoliko dođe do predoziranja, potrebno je pratiti stanje pacijenta radi prepoznavanja pokazatelja toksičnost (vidjeti </w:t>
      </w:r>
      <w:r w:rsidR="00D52927" w:rsidRPr="00E04F74">
        <w:rPr>
          <w:sz w:val="22"/>
          <w:szCs w:val="22"/>
          <w:lang w:val="sr-Latn-RS"/>
        </w:rPr>
        <w:t>dio</w:t>
      </w:r>
      <w:r w:rsidRPr="00E04F74">
        <w:rPr>
          <w:sz w:val="22"/>
          <w:szCs w:val="22"/>
          <w:lang w:val="sr-Latn-RS"/>
        </w:rPr>
        <w:t xml:space="preserve"> 4.8) i ukoliko je potrebno, primijeniti standardne suportivne mjere. S obzirom na to da se lamivudin može ukloniti dijalizom, u liječenju predoziranja bi se mogla primijeniti kontinuirana hemodijaliza, iako navedeni postupak nije ispitivan. Nije poznato da li se abakavir može eliminisati peritonealnom dijalizom ili hemodijalizom.</w:t>
      </w:r>
    </w:p>
    <w:p w14:paraId="058E09FD" w14:textId="5ACB0B1B" w:rsidR="00227BDB" w:rsidRPr="00E04F74" w:rsidRDefault="00227BDB" w:rsidP="00946B2E">
      <w:pPr>
        <w:tabs>
          <w:tab w:val="left" w:pos="540"/>
          <w:tab w:val="left" w:pos="569"/>
        </w:tabs>
        <w:jc w:val="both"/>
        <w:rPr>
          <w:b/>
          <w:bCs/>
          <w:sz w:val="22"/>
          <w:szCs w:val="22"/>
          <w:lang w:val="sr-Latn-RS"/>
        </w:rPr>
      </w:pPr>
    </w:p>
    <w:p w14:paraId="3A75E792" w14:textId="77777777" w:rsidR="001076FF" w:rsidRPr="00E04F74" w:rsidRDefault="001076FF" w:rsidP="00946B2E">
      <w:pPr>
        <w:tabs>
          <w:tab w:val="left" w:pos="540"/>
          <w:tab w:val="left" w:pos="569"/>
        </w:tabs>
        <w:jc w:val="both"/>
        <w:rPr>
          <w:b/>
          <w:bCs/>
          <w:sz w:val="22"/>
          <w:szCs w:val="22"/>
          <w:lang w:val="sr-Latn-RS"/>
        </w:rPr>
      </w:pPr>
    </w:p>
    <w:p w14:paraId="058E09FE" w14:textId="77777777" w:rsidR="0072020E" w:rsidRPr="00E04F74" w:rsidRDefault="0072020E" w:rsidP="00946B2E">
      <w:pPr>
        <w:tabs>
          <w:tab w:val="left" w:pos="540"/>
          <w:tab w:val="left" w:pos="569"/>
        </w:tabs>
        <w:jc w:val="both"/>
        <w:rPr>
          <w:b/>
          <w:bCs/>
          <w:sz w:val="22"/>
          <w:szCs w:val="22"/>
          <w:lang w:val="sr-Latn-RS"/>
        </w:rPr>
      </w:pPr>
      <w:r w:rsidRPr="00E04F74">
        <w:rPr>
          <w:b/>
          <w:bCs/>
          <w:sz w:val="22"/>
          <w:szCs w:val="22"/>
          <w:lang w:val="sr-Latn-RS"/>
        </w:rPr>
        <w:t xml:space="preserve">5. </w:t>
      </w:r>
      <w:r w:rsidR="00480FB1" w:rsidRPr="00E04F74">
        <w:rPr>
          <w:b/>
          <w:bCs/>
          <w:sz w:val="22"/>
          <w:szCs w:val="22"/>
          <w:lang w:val="sr-Latn-RS"/>
        </w:rPr>
        <w:tab/>
      </w:r>
      <w:r w:rsidRPr="00E04F74">
        <w:rPr>
          <w:b/>
          <w:bCs/>
          <w:sz w:val="22"/>
          <w:szCs w:val="22"/>
          <w:lang w:val="sr-Latn-RS"/>
        </w:rPr>
        <w:t>FARMAKOLOŠK</w:t>
      </w:r>
      <w:r w:rsidR="000D425A" w:rsidRPr="00E04F74">
        <w:rPr>
          <w:b/>
          <w:bCs/>
          <w:sz w:val="22"/>
          <w:szCs w:val="22"/>
          <w:lang w:val="sr-Latn-RS"/>
        </w:rPr>
        <w:t>I</w:t>
      </w:r>
      <w:r w:rsidRPr="00E04F74">
        <w:rPr>
          <w:b/>
          <w:bCs/>
          <w:sz w:val="22"/>
          <w:szCs w:val="22"/>
          <w:lang w:val="sr-Latn-RS"/>
        </w:rPr>
        <w:t xml:space="preserve"> PODACI</w:t>
      </w:r>
    </w:p>
    <w:p w14:paraId="058E09FF" w14:textId="77777777" w:rsidR="0072020E" w:rsidRPr="00E04F74" w:rsidRDefault="0072020E" w:rsidP="00946B2E">
      <w:pPr>
        <w:tabs>
          <w:tab w:val="left" w:pos="540"/>
          <w:tab w:val="left" w:pos="569"/>
        </w:tabs>
        <w:jc w:val="both"/>
        <w:rPr>
          <w:b/>
          <w:bCs/>
          <w:sz w:val="22"/>
          <w:szCs w:val="22"/>
          <w:lang w:val="sr-Latn-RS"/>
        </w:rPr>
      </w:pPr>
    </w:p>
    <w:p w14:paraId="058E0A00" w14:textId="77777777" w:rsidR="0072020E" w:rsidRPr="00E04F74" w:rsidRDefault="0072020E" w:rsidP="00946B2E">
      <w:pPr>
        <w:tabs>
          <w:tab w:val="left" w:pos="540"/>
          <w:tab w:val="left" w:pos="569"/>
        </w:tabs>
        <w:jc w:val="both"/>
        <w:rPr>
          <w:b/>
          <w:bCs/>
          <w:sz w:val="22"/>
          <w:szCs w:val="22"/>
          <w:lang w:val="sr-Latn-RS"/>
        </w:rPr>
      </w:pPr>
      <w:r w:rsidRPr="00E04F74">
        <w:rPr>
          <w:b/>
          <w:bCs/>
          <w:sz w:val="22"/>
          <w:szCs w:val="22"/>
          <w:lang w:val="sr-Latn-RS"/>
        </w:rPr>
        <w:t xml:space="preserve">5.1. </w:t>
      </w:r>
      <w:r w:rsidR="00480FB1" w:rsidRPr="00E04F74">
        <w:rPr>
          <w:b/>
          <w:bCs/>
          <w:sz w:val="22"/>
          <w:szCs w:val="22"/>
          <w:lang w:val="sr-Latn-RS"/>
        </w:rPr>
        <w:tab/>
      </w:r>
      <w:r w:rsidRPr="00E04F74">
        <w:rPr>
          <w:b/>
          <w:bCs/>
          <w:sz w:val="22"/>
          <w:szCs w:val="22"/>
          <w:lang w:val="sr-Latn-RS"/>
        </w:rPr>
        <w:t>Farmakodinamski podaci</w:t>
      </w:r>
      <w:r w:rsidR="003A7059" w:rsidRPr="00E04F74">
        <w:rPr>
          <w:b/>
          <w:bCs/>
          <w:sz w:val="22"/>
          <w:szCs w:val="22"/>
          <w:lang w:val="sr-Latn-RS"/>
        </w:rPr>
        <w:t xml:space="preserve"> </w:t>
      </w:r>
    </w:p>
    <w:p w14:paraId="058E0A01" w14:textId="77777777" w:rsidR="00F45F77" w:rsidRPr="00E04F74" w:rsidRDefault="00F45F77" w:rsidP="00946B2E">
      <w:pPr>
        <w:tabs>
          <w:tab w:val="left" w:pos="540"/>
          <w:tab w:val="left" w:pos="569"/>
        </w:tabs>
        <w:jc w:val="both"/>
        <w:rPr>
          <w:b/>
          <w:bCs/>
          <w:sz w:val="22"/>
          <w:szCs w:val="22"/>
          <w:lang w:val="sr-Latn-RS"/>
        </w:rPr>
      </w:pPr>
    </w:p>
    <w:p w14:paraId="058E0A02" w14:textId="77777777" w:rsidR="005B1C77" w:rsidRPr="00E04F74" w:rsidRDefault="005B1C77" w:rsidP="00946B2E">
      <w:pPr>
        <w:tabs>
          <w:tab w:val="left" w:pos="540"/>
          <w:tab w:val="left" w:pos="569"/>
        </w:tabs>
        <w:jc w:val="both"/>
        <w:rPr>
          <w:bCs/>
          <w:sz w:val="22"/>
          <w:szCs w:val="22"/>
          <w:lang w:val="sr-Latn-RS"/>
        </w:rPr>
      </w:pPr>
      <w:r w:rsidRPr="00E04F74">
        <w:rPr>
          <w:bCs/>
          <w:sz w:val="22"/>
          <w:szCs w:val="22"/>
          <w:lang w:val="sr-Latn-RS"/>
        </w:rPr>
        <w:t>Farmakoterapijska grupa:</w:t>
      </w:r>
      <w:r w:rsidRPr="00E04F74">
        <w:rPr>
          <w:sz w:val="22"/>
          <w:szCs w:val="22"/>
          <w:lang w:val="sr-Latn-RS"/>
        </w:rPr>
        <w:t xml:space="preserve"> antivirusni ljekovi za terapiju HIV infekcija, kombinacije</w:t>
      </w:r>
    </w:p>
    <w:p w14:paraId="058E0A03" w14:textId="77777777" w:rsidR="005B1C77" w:rsidRPr="00E04F74" w:rsidRDefault="005B1C77" w:rsidP="00946B2E">
      <w:pPr>
        <w:tabs>
          <w:tab w:val="left" w:pos="540"/>
          <w:tab w:val="left" w:pos="569"/>
        </w:tabs>
        <w:jc w:val="both"/>
        <w:rPr>
          <w:bCs/>
          <w:sz w:val="22"/>
          <w:szCs w:val="22"/>
          <w:lang w:val="sr-Latn-RS"/>
        </w:rPr>
      </w:pPr>
    </w:p>
    <w:p w14:paraId="058E0A04" w14:textId="77777777" w:rsidR="005B1C77" w:rsidRPr="00E04F74" w:rsidRDefault="005B1C77" w:rsidP="00946B2E">
      <w:pPr>
        <w:tabs>
          <w:tab w:val="left" w:pos="540"/>
          <w:tab w:val="left" w:pos="569"/>
        </w:tabs>
        <w:jc w:val="both"/>
        <w:rPr>
          <w:bCs/>
          <w:sz w:val="22"/>
          <w:szCs w:val="22"/>
          <w:lang w:val="sr-Latn-RS"/>
        </w:rPr>
      </w:pPr>
      <w:r w:rsidRPr="00E04F74">
        <w:rPr>
          <w:bCs/>
          <w:sz w:val="22"/>
          <w:szCs w:val="22"/>
          <w:lang w:val="sr-Latn-RS"/>
        </w:rPr>
        <w:t>ATC kod:</w:t>
      </w:r>
      <w:r w:rsidRPr="00E04F74">
        <w:rPr>
          <w:sz w:val="22"/>
          <w:szCs w:val="22"/>
          <w:lang w:val="sr-Latn-RS"/>
        </w:rPr>
        <w:t xml:space="preserve"> J05AR02</w:t>
      </w:r>
    </w:p>
    <w:p w14:paraId="058E0A05" w14:textId="77777777" w:rsidR="006A35FB" w:rsidRPr="00E04F74" w:rsidRDefault="006A35FB" w:rsidP="00946B2E">
      <w:pPr>
        <w:pStyle w:val="Header"/>
        <w:jc w:val="both"/>
        <w:rPr>
          <w:i/>
          <w:sz w:val="22"/>
          <w:szCs w:val="22"/>
          <w:lang w:val="sr-Latn-RS"/>
        </w:rPr>
      </w:pPr>
    </w:p>
    <w:p w14:paraId="058E0A06" w14:textId="58C728AB" w:rsidR="006A35FB" w:rsidRPr="00E04F74" w:rsidRDefault="006A35FB" w:rsidP="002870DD">
      <w:pPr>
        <w:pStyle w:val="Header"/>
        <w:jc w:val="both"/>
        <w:rPr>
          <w:sz w:val="22"/>
          <w:szCs w:val="22"/>
          <w:lang w:val="sr-Latn-RS"/>
        </w:rPr>
      </w:pPr>
      <w:r w:rsidRPr="00E04F74">
        <w:rPr>
          <w:i/>
          <w:sz w:val="22"/>
          <w:szCs w:val="22"/>
          <w:lang w:val="sr-Latn-RS"/>
        </w:rPr>
        <w:t>Mehanizam dejstva:</w:t>
      </w:r>
      <w:r w:rsidRPr="00E04F74">
        <w:rPr>
          <w:sz w:val="22"/>
          <w:szCs w:val="22"/>
          <w:lang w:val="sr-Latn-RS"/>
        </w:rPr>
        <w:t xml:space="preserve"> Lamivudin i abakavir su </w:t>
      </w:r>
      <w:r w:rsidR="009C7549" w:rsidRPr="00E04F74">
        <w:rPr>
          <w:sz w:val="22"/>
          <w:szCs w:val="22"/>
          <w:lang w:val="sr-Latn-RS"/>
        </w:rPr>
        <w:t>nukleozidni inhibitori reverzne transkriptaze (</w:t>
      </w:r>
      <w:r w:rsidRPr="00E04F74">
        <w:rPr>
          <w:sz w:val="22"/>
          <w:szCs w:val="22"/>
          <w:lang w:val="sr-Latn-RS"/>
        </w:rPr>
        <w:t>NRTI</w:t>
      </w:r>
      <w:r w:rsidR="009C7549" w:rsidRPr="00E04F74">
        <w:rPr>
          <w:sz w:val="22"/>
          <w:szCs w:val="22"/>
          <w:lang w:val="sr-Latn-RS"/>
        </w:rPr>
        <w:t>)</w:t>
      </w:r>
      <w:r w:rsidRPr="00E04F74">
        <w:rPr>
          <w:sz w:val="22"/>
          <w:szCs w:val="22"/>
          <w:lang w:val="sr-Latn-RS"/>
        </w:rPr>
        <w:t xml:space="preserve"> i snažni su selektivni inhibitori replikacije HIV-1 i HIV-2 (LAV2 i EHO). I lamivudin i abakavir se sekvencijalno metabolišu dejstvom intracelularnih kinaza do svojih aktivnih metabolita 5' - trifosfata (TP). Lamivudin-TP i karbovir-TP (aktivni trifosfatni oblik abakavira) su supstrati za i kompetitivni inhibitori reverzne transkriptaze HIV (RT). Međutim, njihova glavna antivirusna aktivnost se ogleda u inkorporiranju monofosfatnog oblika u lanac DNK virusa, što za posljedicu ima prekidanje lanca. Lamivudin i abakavir trifosfati ispoljavaju značajno manji afinitet za DNK polimeraze ćelija domaćina. </w:t>
      </w:r>
    </w:p>
    <w:p w14:paraId="058E0A07" w14:textId="77777777" w:rsidR="006A35FB" w:rsidRPr="00E04F74" w:rsidRDefault="006A35FB" w:rsidP="002870DD">
      <w:pPr>
        <w:pStyle w:val="Header"/>
        <w:jc w:val="both"/>
        <w:rPr>
          <w:sz w:val="22"/>
          <w:szCs w:val="22"/>
          <w:lang w:val="sr-Latn-RS"/>
        </w:rPr>
      </w:pPr>
    </w:p>
    <w:p w14:paraId="058E0A08" w14:textId="0C6327BD" w:rsidR="006A35FB" w:rsidRPr="00E04F74" w:rsidRDefault="006A35FB" w:rsidP="002870DD">
      <w:pPr>
        <w:pStyle w:val="Header"/>
        <w:jc w:val="both"/>
        <w:rPr>
          <w:i/>
          <w:sz w:val="22"/>
          <w:szCs w:val="22"/>
          <w:u w:val="single"/>
          <w:lang w:val="sr-Latn-RS"/>
        </w:rPr>
      </w:pPr>
      <w:r w:rsidRPr="00E04F74">
        <w:rPr>
          <w:sz w:val="22"/>
          <w:szCs w:val="22"/>
          <w:lang w:val="sr-Latn-RS"/>
        </w:rPr>
        <w:t xml:space="preserve">Nije zapažen antagonistički efekat u </w:t>
      </w:r>
      <w:r w:rsidRPr="00E04F74">
        <w:rPr>
          <w:i/>
          <w:sz w:val="22"/>
          <w:szCs w:val="22"/>
          <w:lang w:val="sr-Latn-RS"/>
        </w:rPr>
        <w:t>in-vitro</w:t>
      </w:r>
      <w:r w:rsidRPr="00E04F74">
        <w:rPr>
          <w:sz w:val="22"/>
          <w:szCs w:val="22"/>
          <w:lang w:val="sr-Latn-RS"/>
        </w:rPr>
        <w:t xml:space="preserve"> uslovima između lamivudina i ostalih antiretrovirusnih ljekova (ispitivane supstance: didanozin, nevirapin i zidovudin). Antivirusna aktivnost abakavira u ćelijskoj kulturi nije bila antagonizovana prilikom kombinovanja sa nukleozidnim inhibitorima reverzne transkriptaze (NRTI) –</w:t>
      </w:r>
      <w:r w:rsidR="00095F06" w:rsidRPr="00E04F74">
        <w:rPr>
          <w:sz w:val="22"/>
          <w:szCs w:val="22"/>
          <w:lang w:val="sr-Latn-RS"/>
        </w:rPr>
        <w:t xml:space="preserve"> </w:t>
      </w:r>
      <w:r w:rsidRPr="00E04F74">
        <w:rPr>
          <w:sz w:val="22"/>
          <w:szCs w:val="22"/>
          <w:lang w:val="sr-Latn-RS"/>
        </w:rPr>
        <w:t>didanozinom, emtricitabinom, stavudinom, tenofovirom ili zidovudinom; nenukleozidnim inhibitorom reverzne transkriptaze (NNRTI) -</w:t>
      </w:r>
      <w:r w:rsidR="002870DD" w:rsidRPr="00E04F74">
        <w:rPr>
          <w:sz w:val="22"/>
          <w:szCs w:val="22"/>
          <w:lang w:val="sr-Latn-RS"/>
        </w:rPr>
        <w:t xml:space="preserve"> </w:t>
      </w:r>
      <w:r w:rsidRPr="00E04F74">
        <w:rPr>
          <w:sz w:val="22"/>
          <w:szCs w:val="22"/>
          <w:lang w:val="sr-Latn-RS"/>
        </w:rPr>
        <w:t>nevirapinom; ili sa inhibitorom proteaze (PI) – amprenavirom.</w:t>
      </w:r>
    </w:p>
    <w:p w14:paraId="058E0A09" w14:textId="77777777" w:rsidR="006A35FB" w:rsidRPr="00E04F74" w:rsidRDefault="006A35FB" w:rsidP="00946B2E">
      <w:pPr>
        <w:pStyle w:val="Header"/>
        <w:jc w:val="both"/>
        <w:rPr>
          <w:sz w:val="22"/>
          <w:szCs w:val="22"/>
          <w:lang w:val="sr-Latn-RS"/>
        </w:rPr>
      </w:pPr>
    </w:p>
    <w:p w14:paraId="058E0A0A" w14:textId="77777777" w:rsidR="006A35FB" w:rsidRPr="00E04F74" w:rsidRDefault="006A35FB" w:rsidP="00946B2E">
      <w:pPr>
        <w:pStyle w:val="Header"/>
        <w:jc w:val="both"/>
        <w:rPr>
          <w:i/>
          <w:sz w:val="22"/>
          <w:szCs w:val="22"/>
          <w:u w:val="single"/>
          <w:lang w:val="sr-Latn-RS"/>
        </w:rPr>
      </w:pPr>
      <w:r w:rsidRPr="00E04F74">
        <w:rPr>
          <w:sz w:val="22"/>
          <w:szCs w:val="22"/>
          <w:u w:val="single"/>
          <w:lang w:val="sr-Latn-RS"/>
        </w:rPr>
        <w:t>Antivirusna aktivnost u uslovima</w:t>
      </w:r>
      <w:r w:rsidRPr="00E04F74">
        <w:rPr>
          <w:i/>
          <w:sz w:val="22"/>
          <w:szCs w:val="22"/>
          <w:u w:val="single"/>
          <w:lang w:val="sr-Latn-RS"/>
        </w:rPr>
        <w:t xml:space="preserve"> in vitro</w:t>
      </w:r>
    </w:p>
    <w:p w14:paraId="058E0A0B" w14:textId="77777777" w:rsidR="006A35FB" w:rsidRPr="00E04F74" w:rsidRDefault="006A35FB" w:rsidP="00946B2E">
      <w:pPr>
        <w:pStyle w:val="Header"/>
        <w:jc w:val="both"/>
        <w:rPr>
          <w:i/>
          <w:sz w:val="22"/>
          <w:szCs w:val="22"/>
          <w:u w:val="single"/>
          <w:lang w:val="sr-Latn-RS"/>
        </w:rPr>
      </w:pPr>
    </w:p>
    <w:p w14:paraId="058E0A0C" w14:textId="77777777" w:rsidR="006A35FB" w:rsidRPr="00E04F74" w:rsidRDefault="006A35FB" w:rsidP="002870DD">
      <w:pPr>
        <w:pStyle w:val="Header"/>
        <w:jc w:val="both"/>
        <w:rPr>
          <w:sz w:val="22"/>
          <w:szCs w:val="22"/>
          <w:lang w:val="sr-Latn-RS"/>
        </w:rPr>
      </w:pPr>
      <w:r w:rsidRPr="00E04F74">
        <w:rPr>
          <w:sz w:val="22"/>
          <w:szCs w:val="22"/>
          <w:lang w:val="sr-Latn-RS"/>
        </w:rPr>
        <w:t>Pokazano je da i lamivudin i abakavir inhibiraju replikaciju laboratorijskih uzoraka i kliničkih izolata HIV-a u brojnim ćelijskim tipovima, uključujući transformisane T ćelijske linije, linije porijekla monocita/makrofaga i primarne kulture aktiviranih limfocita periferne krvi (PBL) i monocita/makrofaga. Koncentracija lijeka neophodna za ispoljavanje dejstva na virusnu replikaciju do 50% (EC</w:t>
      </w:r>
      <w:r w:rsidRPr="00E04F74">
        <w:rPr>
          <w:sz w:val="22"/>
          <w:szCs w:val="22"/>
          <w:vertAlign w:val="subscript"/>
          <w:lang w:val="sr-Latn-RS"/>
        </w:rPr>
        <w:t>50</w:t>
      </w:r>
      <w:r w:rsidRPr="00E04F74">
        <w:rPr>
          <w:sz w:val="22"/>
          <w:szCs w:val="22"/>
          <w:lang w:val="sr-Latn-RS"/>
        </w:rPr>
        <w:t>) ili 50% inhibitorne koncentracije (IC</w:t>
      </w:r>
      <w:r w:rsidRPr="00E04F74">
        <w:rPr>
          <w:sz w:val="22"/>
          <w:szCs w:val="22"/>
          <w:vertAlign w:val="subscript"/>
          <w:lang w:val="sr-Latn-RS"/>
        </w:rPr>
        <w:t>50</w:t>
      </w:r>
      <w:r w:rsidRPr="00E04F74">
        <w:rPr>
          <w:sz w:val="22"/>
          <w:szCs w:val="22"/>
          <w:lang w:val="sr-Latn-RS"/>
        </w:rPr>
        <w:t xml:space="preserve">) varira u zavisnosti od virusa i tipa ćelije domaćina. </w:t>
      </w:r>
    </w:p>
    <w:p w14:paraId="058E0A0D" w14:textId="77777777" w:rsidR="006A35FB" w:rsidRPr="00E04F74" w:rsidRDefault="006A35FB" w:rsidP="002870DD">
      <w:pPr>
        <w:pStyle w:val="Header"/>
        <w:jc w:val="both"/>
        <w:rPr>
          <w:sz w:val="22"/>
          <w:szCs w:val="22"/>
          <w:lang w:val="sr-Latn-RS"/>
        </w:rPr>
      </w:pPr>
    </w:p>
    <w:p w14:paraId="058E0A0E" w14:textId="77777777" w:rsidR="006A35FB" w:rsidRPr="00E04F74" w:rsidRDefault="006A35FB" w:rsidP="002870DD">
      <w:pPr>
        <w:pStyle w:val="Header"/>
        <w:jc w:val="both"/>
        <w:rPr>
          <w:sz w:val="22"/>
          <w:szCs w:val="22"/>
          <w:lang w:val="sr-Latn-RS"/>
        </w:rPr>
      </w:pPr>
      <w:r w:rsidRPr="00E04F74">
        <w:rPr>
          <w:sz w:val="22"/>
          <w:szCs w:val="22"/>
          <w:lang w:val="sr-Latn-RS"/>
        </w:rPr>
        <w:t>Prosječna vrijednost EC</w:t>
      </w:r>
      <w:r w:rsidRPr="00E04F74">
        <w:rPr>
          <w:sz w:val="22"/>
          <w:szCs w:val="22"/>
          <w:vertAlign w:val="subscript"/>
          <w:lang w:val="sr-Latn-RS"/>
        </w:rPr>
        <w:t>50</w:t>
      </w:r>
      <w:r w:rsidRPr="00E04F74">
        <w:rPr>
          <w:sz w:val="22"/>
          <w:szCs w:val="22"/>
          <w:lang w:val="sr-Latn-RS"/>
        </w:rPr>
        <w:t xml:space="preserve"> za abakavir u laboratoriskim uzorcima HIV-1 IIIB i HIV-1 HXB2 nalazila se u opsegu od 1,4 do 5,8 µM. Srednje ili prosječne vrijednosti EC</w:t>
      </w:r>
      <w:r w:rsidRPr="00E04F74">
        <w:rPr>
          <w:sz w:val="22"/>
          <w:szCs w:val="22"/>
          <w:vertAlign w:val="subscript"/>
          <w:lang w:val="sr-Latn-RS"/>
        </w:rPr>
        <w:t>50</w:t>
      </w:r>
      <w:r w:rsidRPr="00E04F74">
        <w:rPr>
          <w:sz w:val="22"/>
          <w:szCs w:val="22"/>
          <w:lang w:val="sr-Latn-RS"/>
        </w:rPr>
        <w:t xml:space="preserve"> za lamivudin u lamoratorijskim uzorcima HIV-1, nalazile su se u opsegu od 0,007 do 2,3 µM. Prosječna vrijednost EC</w:t>
      </w:r>
      <w:r w:rsidRPr="00E04F74">
        <w:rPr>
          <w:sz w:val="22"/>
          <w:szCs w:val="22"/>
          <w:vertAlign w:val="subscript"/>
          <w:lang w:val="sr-Latn-RS"/>
        </w:rPr>
        <w:t>50</w:t>
      </w:r>
      <w:r w:rsidRPr="00E04F74">
        <w:rPr>
          <w:sz w:val="22"/>
          <w:szCs w:val="22"/>
          <w:lang w:val="sr-Latn-RS"/>
        </w:rPr>
        <w:t xml:space="preserve"> u laboratorijskim uzrocima HIV-2 (LAV2 i EHO) nalazila se u opsegu od 1,57 do 7,5 µM za abakavir i od 0,16 do 0,51µ M za lamivudin.</w:t>
      </w:r>
    </w:p>
    <w:p w14:paraId="058E0A0F" w14:textId="77777777" w:rsidR="006A35FB" w:rsidRPr="00E04F74" w:rsidRDefault="006A35FB">
      <w:pPr>
        <w:pStyle w:val="Header"/>
        <w:jc w:val="both"/>
        <w:rPr>
          <w:sz w:val="22"/>
          <w:szCs w:val="22"/>
          <w:lang w:val="sr-Latn-RS"/>
        </w:rPr>
      </w:pPr>
    </w:p>
    <w:p w14:paraId="165EB6C8" w14:textId="6E5E5CCB" w:rsidR="00CB4F26" w:rsidRPr="00E04F74" w:rsidRDefault="006A35FB">
      <w:pPr>
        <w:pStyle w:val="Header"/>
        <w:jc w:val="both"/>
        <w:rPr>
          <w:sz w:val="22"/>
          <w:szCs w:val="22"/>
          <w:lang w:val="sr-Latn-RS"/>
        </w:rPr>
      </w:pPr>
      <w:r w:rsidRPr="00E04F74">
        <w:rPr>
          <w:sz w:val="22"/>
          <w:szCs w:val="22"/>
          <w:lang w:val="sr-Latn-RS"/>
        </w:rPr>
        <w:t>Vrijednosti EC</w:t>
      </w:r>
      <w:r w:rsidRPr="00E04F74">
        <w:rPr>
          <w:sz w:val="22"/>
          <w:szCs w:val="22"/>
          <w:vertAlign w:val="subscript"/>
          <w:lang w:val="sr-Latn-RS"/>
        </w:rPr>
        <w:t>50</w:t>
      </w:r>
      <w:r w:rsidRPr="00E04F74">
        <w:rPr>
          <w:sz w:val="22"/>
          <w:szCs w:val="22"/>
          <w:lang w:val="sr-Latn-RS"/>
        </w:rPr>
        <w:t xml:space="preserve"> abakavira za HIV-1 grupu M subtipove (A-G) nalazile su se u opsegu od 0,002 do 1,179 µM, za grupu O od 0,022 do 1,21 µM i za HIV-2 izolate, od 0,024 do 0,49 µM. Za lamivudin, EC</w:t>
      </w:r>
      <w:r w:rsidRPr="00E04F74">
        <w:rPr>
          <w:sz w:val="22"/>
          <w:szCs w:val="22"/>
          <w:vertAlign w:val="subscript"/>
          <w:lang w:val="sr-Latn-RS"/>
        </w:rPr>
        <w:t>50</w:t>
      </w:r>
      <w:r w:rsidRPr="00E04F74">
        <w:rPr>
          <w:sz w:val="22"/>
          <w:szCs w:val="22"/>
          <w:lang w:val="sr-Latn-RS"/>
        </w:rPr>
        <w:t xml:space="preserve"> vrijednosti za HIV-1 subtipive (A-G) su se nalazile u opsegu od 0,001 do 0,170 µM, za grupu O od 0,030 do 0,160 µM i za HIV-2 izolate od 0,002 do 0,120 µM u mononuklearnim ćelijama periferne krvi.</w:t>
      </w:r>
    </w:p>
    <w:p w14:paraId="058E0A11" w14:textId="77777777" w:rsidR="006A35FB" w:rsidRPr="00E04F74" w:rsidRDefault="006A35FB">
      <w:pPr>
        <w:pStyle w:val="Header"/>
        <w:jc w:val="both"/>
        <w:rPr>
          <w:sz w:val="22"/>
          <w:szCs w:val="22"/>
          <w:lang w:val="sr-Latn-RS"/>
        </w:rPr>
      </w:pPr>
    </w:p>
    <w:p w14:paraId="058E0A12" w14:textId="77777777" w:rsidR="006A35FB" w:rsidRPr="00E04F74" w:rsidRDefault="006A35FB">
      <w:pPr>
        <w:pStyle w:val="Header"/>
        <w:jc w:val="both"/>
        <w:rPr>
          <w:sz w:val="22"/>
          <w:szCs w:val="22"/>
          <w:lang w:val="sr-Latn-RS"/>
        </w:rPr>
      </w:pPr>
      <w:r w:rsidRPr="00E04F74">
        <w:rPr>
          <w:sz w:val="22"/>
          <w:szCs w:val="22"/>
          <w:lang w:val="sr-Latn-RS"/>
        </w:rPr>
        <w:t xml:space="preserve">Osnovni uzorci HIV-1 dobijeni od ispitanika kojima prethodno nije primijenjena terapija, bez aminokiselinskih supstitucija udruženih sa rezistencijom, bili su procijenjeni primjenom kako </w:t>
      </w:r>
      <w:r w:rsidRPr="00E04F74">
        <w:rPr>
          <w:sz w:val="22"/>
          <w:szCs w:val="22"/>
          <w:lang w:val="sr-Latn-RS"/>
        </w:rPr>
        <w:lastRenderedPageBreak/>
        <w:t>multicentričnog testa Virco Antivirogram™ (n=92 iz COL40263) ili monocikličnog testa Monogram Biosciences PhenoSense™ (n=138 iz ESS30009). Navedeno je rezultovalo u vrijednostima prosječne EC</w:t>
      </w:r>
      <w:r w:rsidRPr="00E04F74">
        <w:rPr>
          <w:sz w:val="22"/>
          <w:szCs w:val="22"/>
          <w:vertAlign w:val="subscript"/>
          <w:lang w:val="sr-Latn-RS"/>
        </w:rPr>
        <w:t>50</w:t>
      </w:r>
      <w:r w:rsidRPr="00E04F74">
        <w:rPr>
          <w:sz w:val="22"/>
          <w:szCs w:val="22"/>
          <w:lang w:val="sr-Latn-RS"/>
        </w:rPr>
        <w:t xml:space="preserve"> od 0,912 µM (opsega: 0,493 do 5,017 µM) i 1,26 µM (opsega 0,72 do 1,91 µM) respektivno za abakavir, vrijednostima prosječne EC</w:t>
      </w:r>
      <w:r w:rsidRPr="00E04F74">
        <w:rPr>
          <w:sz w:val="22"/>
          <w:szCs w:val="22"/>
          <w:vertAlign w:val="subscript"/>
          <w:lang w:val="sr-Latn-RS"/>
        </w:rPr>
        <w:t>50</w:t>
      </w:r>
      <w:r w:rsidRPr="00E04F74">
        <w:rPr>
          <w:sz w:val="22"/>
          <w:szCs w:val="22"/>
          <w:lang w:val="sr-Latn-RS"/>
        </w:rPr>
        <w:t xml:space="preserve"> od 0,429 µM (opsega: 0,200 do 2,007 µM) i 2,38 µM (1,37 do 3,68 µM) respektivno za lamivudin.</w:t>
      </w:r>
    </w:p>
    <w:p w14:paraId="058E0A13" w14:textId="5D5D8AC1" w:rsidR="006A35FB" w:rsidRPr="00E04F74" w:rsidRDefault="006A35FB">
      <w:pPr>
        <w:pStyle w:val="Header"/>
        <w:jc w:val="both"/>
        <w:rPr>
          <w:sz w:val="22"/>
          <w:szCs w:val="22"/>
          <w:lang w:val="sr-Latn-RS"/>
        </w:rPr>
      </w:pPr>
      <w:r w:rsidRPr="00E04F74">
        <w:rPr>
          <w:sz w:val="22"/>
          <w:szCs w:val="22"/>
          <w:lang w:val="sr-Latn-RS"/>
        </w:rPr>
        <w:t xml:space="preserve">Analize fenotipske osjetljivosti kliničkih izolata dobijenih od pacijenata kojima prethodno nije primijenjena antiretrovirusna terapija sa HIV-1 grupom M non-B serotipova u okviru tri kliničke studije pokazale su da su svi virusi bili potpuno osjetljivi i na abakavir i lamivudin; jedna klinička studija je ispitivala 104 izolata koja su uključivali subtipove A i A1 (n=26), C (n=1), D (n=66) i cirkulišuće rekombinantne forme (CRF) AD (n=9), CD (n=1) i kompleksnu intersubtipnu rekombinovanu_cpx (n=1), druga studija je ispitivala 18 izolata uključujući subtip G (n=14) i CRF_AG (n=4) iz Nigerije i treća studija od šest izolata (n=4 CRF_AG, n=1 A i n=1, nedeterminisano) iz Abidjana (Obala </w:t>
      </w:r>
      <w:r w:rsidR="00B67034" w:rsidRPr="00E04F74">
        <w:rPr>
          <w:sz w:val="22"/>
          <w:szCs w:val="22"/>
          <w:lang w:val="sr-Latn-RS"/>
        </w:rPr>
        <w:t>S</w:t>
      </w:r>
      <w:r w:rsidRPr="00E04F74">
        <w:rPr>
          <w:sz w:val="22"/>
          <w:szCs w:val="22"/>
          <w:lang w:val="sr-Latn-RS"/>
        </w:rPr>
        <w:t>lonovače).</w:t>
      </w:r>
    </w:p>
    <w:p w14:paraId="058E0A14" w14:textId="77777777" w:rsidR="006A35FB" w:rsidRPr="00E04F74" w:rsidRDefault="006A35FB">
      <w:pPr>
        <w:pStyle w:val="Header"/>
        <w:tabs>
          <w:tab w:val="left" w:pos="284"/>
        </w:tabs>
        <w:jc w:val="both"/>
        <w:rPr>
          <w:sz w:val="22"/>
          <w:szCs w:val="22"/>
          <w:lang w:val="sr-Latn-RS"/>
        </w:rPr>
      </w:pPr>
    </w:p>
    <w:p w14:paraId="058E0A15" w14:textId="77777777" w:rsidR="006A35FB" w:rsidRPr="00E04F74" w:rsidRDefault="006A35FB">
      <w:pPr>
        <w:pStyle w:val="Header"/>
        <w:jc w:val="both"/>
        <w:rPr>
          <w:sz w:val="22"/>
          <w:szCs w:val="22"/>
          <w:lang w:val="sr-Latn-RS"/>
        </w:rPr>
      </w:pPr>
      <w:r w:rsidRPr="00E04F74">
        <w:rPr>
          <w:sz w:val="22"/>
          <w:szCs w:val="22"/>
          <w:lang w:val="sr-Latn-RS"/>
        </w:rPr>
        <w:t>HIV-1 izolati (CRF01_AE, n=12; CRF02_AG, n=12; i subtip C ili CRF_AC, n=13) od 37 neliječenih pacijenata u Africi i Aziji su bili osjetljivi na abakavir (IC</w:t>
      </w:r>
      <w:r w:rsidRPr="00E04F74">
        <w:rPr>
          <w:sz w:val="22"/>
          <w:szCs w:val="22"/>
          <w:vertAlign w:val="subscript"/>
          <w:lang w:val="sr-Latn-RS"/>
        </w:rPr>
        <w:t>50</w:t>
      </w:r>
      <w:r w:rsidRPr="00E04F74">
        <w:rPr>
          <w:sz w:val="22"/>
          <w:szCs w:val="22"/>
          <w:lang w:val="sr-Latn-RS"/>
        </w:rPr>
        <w:t xml:space="preserve"> višestruke izmjene &lt;2,5) i lamivudin (IC</w:t>
      </w:r>
      <w:r w:rsidRPr="00E04F74">
        <w:rPr>
          <w:sz w:val="22"/>
          <w:szCs w:val="22"/>
          <w:vertAlign w:val="subscript"/>
          <w:lang w:val="sr-Latn-RS"/>
        </w:rPr>
        <w:t>50</w:t>
      </w:r>
      <w:r w:rsidRPr="00E04F74">
        <w:rPr>
          <w:sz w:val="22"/>
          <w:szCs w:val="22"/>
          <w:lang w:val="sr-Latn-RS"/>
        </w:rPr>
        <w:t>višestruke izmjene &lt;3,0), izuzev za dva CRF02_AG izolata sa višestrukim izmjenama od 2,9 i 3,4 za abakavir. Grupa O izolata dobijenih od pacijenata kojima prethodno nije primijenjena antivirusna terapija, kod kojih je ispitana aktivnost lamivudina je bila visoko senzitivna.</w:t>
      </w:r>
    </w:p>
    <w:p w14:paraId="058E0A16" w14:textId="77777777" w:rsidR="006A35FB" w:rsidRPr="00E04F74" w:rsidRDefault="006A35FB">
      <w:pPr>
        <w:pStyle w:val="Header"/>
        <w:jc w:val="both"/>
        <w:rPr>
          <w:sz w:val="22"/>
          <w:szCs w:val="22"/>
          <w:lang w:val="sr-Latn-RS"/>
        </w:rPr>
      </w:pPr>
    </w:p>
    <w:p w14:paraId="058E0A17" w14:textId="77777777" w:rsidR="006A35FB" w:rsidRPr="00E04F74" w:rsidRDefault="006A35FB">
      <w:pPr>
        <w:pStyle w:val="Header"/>
        <w:jc w:val="both"/>
        <w:rPr>
          <w:sz w:val="22"/>
          <w:szCs w:val="22"/>
          <w:lang w:val="sr-Latn-RS"/>
        </w:rPr>
      </w:pPr>
      <w:r w:rsidRPr="00E04F74">
        <w:rPr>
          <w:sz w:val="22"/>
          <w:szCs w:val="22"/>
          <w:lang w:val="sr-Latn-RS"/>
        </w:rPr>
        <w:t>Kombinacija lamivudina i abakavira je pokazala antivirusnu aktivnost u ćelijskoj kulturi prema izolatina non-B subtipa i HIV-2 izolatima sa ekvivalentnom antivirusnom aktivnošću, kao za izolate subtipa B.</w:t>
      </w:r>
    </w:p>
    <w:p w14:paraId="058E0A18" w14:textId="77777777" w:rsidR="006A35FB" w:rsidRPr="00E04F74" w:rsidRDefault="006A35FB">
      <w:pPr>
        <w:pStyle w:val="Header"/>
        <w:tabs>
          <w:tab w:val="left" w:pos="284"/>
        </w:tabs>
        <w:jc w:val="both"/>
        <w:rPr>
          <w:sz w:val="22"/>
          <w:szCs w:val="22"/>
          <w:lang w:val="sr-Latn-RS"/>
        </w:rPr>
      </w:pPr>
    </w:p>
    <w:p w14:paraId="058E0A19" w14:textId="77777777" w:rsidR="006A35FB" w:rsidRPr="00E04F74" w:rsidRDefault="006A35FB" w:rsidP="00946B2E">
      <w:pPr>
        <w:pStyle w:val="Header"/>
        <w:jc w:val="both"/>
        <w:rPr>
          <w:sz w:val="22"/>
          <w:szCs w:val="22"/>
          <w:u w:val="single"/>
          <w:lang w:val="sr-Latn-RS"/>
        </w:rPr>
      </w:pPr>
      <w:r w:rsidRPr="00E04F74">
        <w:rPr>
          <w:sz w:val="22"/>
          <w:szCs w:val="22"/>
          <w:u w:val="single"/>
          <w:lang w:val="sr-Latn-RS"/>
        </w:rPr>
        <w:t>Rezistencija</w:t>
      </w:r>
    </w:p>
    <w:p w14:paraId="058E0A1A" w14:textId="77777777" w:rsidR="006A35FB" w:rsidRPr="00E04F74" w:rsidRDefault="006A35FB" w:rsidP="00946B2E">
      <w:pPr>
        <w:pStyle w:val="Header"/>
        <w:jc w:val="both"/>
        <w:rPr>
          <w:sz w:val="22"/>
          <w:szCs w:val="22"/>
          <w:lang w:val="sr-Latn-RS"/>
        </w:rPr>
      </w:pPr>
    </w:p>
    <w:p w14:paraId="058E0A1B" w14:textId="77777777" w:rsidR="006A35FB" w:rsidRPr="00E04F74" w:rsidRDefault="006A35FB" w:rsidP="00946B2E">
      <w:pPr>
        <w:pStyle w:val="Header"/>
        <w:jc w:val="both"/>
        <w:rPr>
          <w:sz w:val="22"/>
          <w:szCs w:val="22"/>
          <w:lang w:val="sr-Latn-RS"/>
        </w:rPr>
      </w:pPr>
      <w:r w:rsidRPr="00E04F74">
        <w:rPr>
          <w:i/>
          <w:sz w:val="22"/>
          <w:szCs w:val="22"/>
          <w:lang w:val="sr-Latn-RS"/>
        </w:rPr>
        <w:t>In vivo rezistencija:</w:t>
      </w:r>
    </w:p>
    <w:p w14:paraId="058E0A1C" w14:textId="77777777" w:rsidR="006A35FB" w:rsidRPr="00E04F74" w:rsidRDefault="006A35FB" w:rsidP="00946B2E">
      <w:pPr>
        <w:pStyle w:val="Header"/>
        <w:jc w:val="both"/>
        <w:rPr>
          <w:sz w:val="22"/>
          <w:szCs w:val="22"/>
          <w:lang w:val="sr-Latn-RS"/>
        </w:rPr>
      </w:pPr>
    </w:p>
    <w:p w14:paraId="058E0A1D" w14:textId="77777777" w:rsidR="006A35FB" w:rsidRPr="00E04F74" w:rsidRDefault="006A35FB" w:rsidP="002870DD">
      <w:pPr>
        <w:pStyle w:val="Header"/>
        <w:jc w:val="both"/>
        <w:rPr>
          <w:sz w:val="22"/>
          <w:szCs w:val="22"/>
          <w:lang w:val="sr-Latn-RS"/>
        </w:rPr>
      </w:pPr>
      <w:r w:rsidRPr="00E04F74">
        <w:rPr>
          <w:sz w:val="22"/>
          <w:szCs w:val="22"/>
          <w:lang w:val="sr-Latn-RS"/>
        </w:rPr>
        <w:t xml:space="preserve">Izolati HIV-1 rezistentni na abakavir su bili selektovani u uslovima </w:t>
      </w:r>
      <w:r w:rsidRPr="00E04F74">
        <w:rPr>
          <w:i/>
          <w:sz w:val="22"/>
          <w:szCs w:val="22"/>
          <w:lang w:val="sr-Latn-RS"/>
        </w:rPr>
        <w:t>in vitro</w:t>
      </w:r>
      <w:r w:rsidRPr="00E04F74">
        <w:rPr>
          <w:sz w:val="22"/>
          <w:szCs w:val="22"/>
          <w:lang w:val="sr-Latn-RS"/>
        </w:rPr>
        <w:t xml:space="preserve"> u uzorku HIV-1 (HXB2) </w:t>
      </w:r>
      <w:r w:rsidRPr="00E04F74">
        <w:rPr>
          <w:i/>
          <w:sz w:val="22"/>
          <w:szCs w:val="22"/>
          <w:lang w:val="sr-Latn-RS"/>
        </w:rPr>
        <w:t xml:space="preserve">wild </w:t>
      </w:r>
      <w:r w:rsidRPr="00E04F74">
        <w:rPr>
          <w:sz w:val="22"/>
          <w:szCs w:val="22"/>
          <w:lang w:val="sr-Latn-RS"/>
        </w:rPr>
        <w:t>tipa i njihova pojava je bila udružena sa specifičnim promjenama genotipa u RT regionu kodona (kodoni M184V, K65R, L74V i Y115). Selekcija mutacije M184V se javila prva i rezultovala je u dvostrukom povećanju u IC50.</w:t>
      </w:r>
    </w:p>
    <w:p w14:paraId="058E0A1E" w14:textId="77777777" w:rsidR="006A35FB" w:rsidRPr="00E04F74" w:rsidRDefault="006A35FB" w:rsidP="002870DD">
      <w:pPr>
        <w:pStyle w:val="Header"/>
        <w:jc w:val="both"/>
        <w:rPr>
          <w:sz w:val="22"/>
          <w:szCs w:val="22"/>
          <w:lang w:val="sr-Latn-RS"/>
        </w:rPr>
      </w:pPr>
      <w:r w:rsidRPr="00E04F74">
        <w:rPr>
          <w:sz w:val="22"/>
          <w:szCs w:val="22"/>
          <w:lang w:val="sr-Latn-RS"/>
        </w:rPr>
        <w:t>Kontinuirano povećanje koncentracija lijeka imalo je za posljedicu selekciju dvostrukih RT mutacija 65R/184V i 74V/184V ili trostruke RT mutacije 74V/115Y/184V. Dvije mutacije su omogućile 7-struke do 8-struke promjene u osjetljivosti na abakavir i bila su potrebne kombinacije tri mutacije, kako bi obezbijedile veću promjenu osjetljivosti od 8-struke. Za mutaciju 184V je takođe selektovana sekvenca sa kliničkim izolatom rezistentnim na zidovudin RTMC.</w:t>
      </w:r>
    </w:p>
    <w:p w14:paraId="058E0A1F" w14:textId="77777777" w:rsidR="006A35FB" w:rsidRPr="00E04F74" w:rsidRDefault="006A35FB" w:rsidP="002870DD">
      <w:pPr>
        <w:pStyle w:val="Header"/>
        <w:jc w:val="both"/>
        <w:rPr>
          <w:sz w:val="22"/>
          <w:szCs w:val="22"/>
          <w:lang w:val="sr-Latn-RS"/>
        </w:rPr>
      </w:pPr>
      <w:r w:rsidRPr="00E04F74">
        <w:rPr>
          <w:sz w:val="22"/>
          <w:szCs w:val="22"/>
          <w:lang w:val="sr-Latn-RS"/>
        </w:rPr>
        <w:t xml:space="preserve"> </w:t>
      </w:r>
    </w:p>
    <w:p w14:paraId="058E0A20" w14:textId="77777777" w:rsidR="006A35FB" w:rsidRPr="00E04F74" w:rsidRDefault="006A35FB">
      <w:pPr>
        <w:pStyle w:val="Header"/>
        <w:jc w:val="both"/>
        <w:rPr>
          <w:sz w:val="22"/>
          <w:szCs w:val="22"/>
          <w:lang w:val="sr-Latn-RS"/>
        </w:rPr>
      </w:pPr>
      <w:r w:rsidRPr="00E04F74">
        <w:rPr>
          <w:sz w:val="22"/>
          <w:szCs w:val="22"/>
          <w:lang w:val="sr-Latn-RS"/>
        </w:rPr>
        <w:t>Rezistencija HIV-1 na lamivudin obuhvata nastanak promjene amino-kiseline M184I ili češće M184V, u blizini aktivnog mjesta virusne RT. Sekvenca HIV-1 (HXB2) u prisustvu povišenih koncentracija 3TC ima za posljedicu pojavu visokog nivoa (&gt;100 do &gt;500-strukog) virusa rezistentnih na lamivudin i rapidnog selektovanja RT M184I ili V mutacija. IC</w:t>
      </w:r>
      <w:r w:rsidRPr="00E04F74">
        <w:rPr>
          <w:sz w:val="22"/>
          <w:szCs w:val="22"/>
          <w:vertAlign w:val="subscript"/>
          <w:lang w:val="sr-Latn-RS"/>
        </w:rPr>
        <w:t>50</w:t>
      </w:r>
      <w:r w:rsidRPr="00E04F74">
        <w:rPr>
          <w:sz w:val="22"/>
          <w:szCs w:val="22"/>
          <w:lang w:val="sr-Latn-RS"/>
        </w:rPr>
        <w:t xml:space="preserve"> za wild tip HXB2 je 0,24 do 0,6 µM, dok je IC</w:t>
      </w:r>
      <w:r w:rsidRPr="00E04F74">
        <w:rPr>
          <w:sz w:val="22"/>
          <w:szCs w:val="22"/>
          <w:vertAlign w:val="subscript"/>
          <w:lang w:val="sr-Latn-RS"/>
        </w:rPr>
        <w:t>50</w:t>
      </w:r>
      <w:r w:rsidRPr="00E04F74">
        <w:rPr>
          <w:sz w:val="22"/>
          <w:szCs w:val="22"/>
          <w:lang w:val="sr-Latn-RS"/>
        </w:rPr>
        <w:t xml:space="preserve"> za M184V koji sadrži HXB2 iznosi &gt;100 do 500 µM.</w:t>
      </w:r>
    </w:p>
    <w:p w14:paraId="058E0A21" w14:textId="77777777" w:rsidR="006A35FB" w:rsidRPr="00E04F74" w:rsidRDefault="006A35FB" w:rsidP="00946B2E">
      <w:pPr>
        <w:pStyle w:val="Header"/>
        <w:jc w:val="both"/>
        <w:rPr>
          <w:sz w:val="22"/>
          <w:szCs w:val="22"/>
          <w:lang w:val="sr-Latn-RS"/>
        </w:rPr>
      </w:pPr>
    </w:p>
    <w:p w14:paraId="058E0A22" w14:textId="77777777" w:rsidR="006A35FB" w:rsidRPr="00E04F74" w:rsidRDefault="006A35FB" w:rsidP="00946B2E">
      <w:pPr>
        <w:pStyle w:val="Header"/>
        <w:jc w:val="both"/>
        <w:rPr>
          <w:sz w:val="22"/>
          <w:szCs w:val="22"/>
          <w:u w:val="single"/>
          <w:lang w:val="sr-Latn-RS"/>
        </w:rPr>
      </w:pPr>
      <w:r w:rsidRPr="00E04F74">
        <w:rPr>
          <w:sz w:val="22"/>
          <w:szCs w:val="22"/>
          <w:u w:val="single"/>
          <w:lang w:val="sr-Latn-RS"/>
        </w:rPr>
        <w:t>Antivirusna terapija prema genotipskoj/fenotipskoj rezistenciji</w:t>
      </w:r>
    </w:p>
    <w:p w14:paraId="058E0A23" w14:textId="77777777" w:rsidR="006A35FB" w:rsidRPr="00E04F74" w:rsidRDefault="006A35FB" w:rsidP="00946B2E">
      <w:pPr>
        <w:pStyle w:val="Header"/>
        <w:jc w:val="both"/>
        <w:rPr>
          <w:sz w:val="22"/>
          <w:szCs w:val="22"/>
          <w:lang w:val="sr-Latn-RS"/>
        </w:rPr>
      </w:pPr>
    </w:p>
    <w:p w14:paraId="058E0A24" w14:textId="77777777" w:rsidR="006A35FB" w:rsidRPr="00E04F74" w:rsidRDefault="006A35FB" w:rsidP="00946B2E">
      <w:pPr>
        <w:pStyle w:val="Header"/>
        <w:jc w:val="both"/>
        <w:rPr>
          <w:i/>
          <w:sz w:val="22"/>
          <w:szCs w:val="22"/>
          <w:lang w:val="sr-Latn-RS"/>
        </w:rPr>
      </w:pPr>
      <w:r w:rsidRPr="00E04F74">
        <w:rPr>
          <w:i/>
          <w:sz w:val="22"/>
          <w:szCs w:val="22"/>
          <w:lang w:val="sr-Latn-RS"/>
        </w:rPr>
        <w:t>In vivo rezistencija (pacijenti kojima nije prethodno primijenjena terapija)</w:t>
      </w:r>
    </w:p>
    <w:p w14:paraId="058E0A25" w14:textId="77777777" w:rsidR="006A35FB" w:rsidRPr="00E04F74" w:rsidRDefault="006A35FB" w:rsidP="00946B2E">
      <w:pPr>
        <w:pStyle w:val="Header"/>
        <w:jc w:val="both"/>
        <w:rPr>
          <w:i/>
          <w:sz w:val="22"/>
          <w:szCs w:val="22"/>
          <w:lang w:val="sr-Latn-RS"/>
        </w:rPr>
      </w:pPr>
    </w:p>
    <w:p w14:paraId="058E0A26" w14:textId="77777777" w:rsidR="006A35FB" w:rsidRPr="00E04F74" w:rsidRDefault="006A35FB" w:rsidP="002870DD">
      <w:pPr>
        <w:pStyle w:val="Header"/>
        <w:jc w:val="both"/>
        <w:rPr>
          <w:sz w:val="22"/>
          <w:szCs w:val="22"/>
          <w:lang w:val="sr-Latn-RS"/>
        </w:rPr>
      </w:pPr>
      <w:r w:rsidRPr="00E04F74">
        <w:rPr>
          <w:sz w:val="22"/>
          <w:szCs w:val="22"/>
          <w:lang w:val="sr-Latn-RS"/>
        </w:rPr>
        <w:t>M184I ili M184V mutanti se javljaju kod HIV-1 inficiranih pacijenata liječenih antiretrovirusnom terapijom koja sadrži lamivudin.</w:t>
      </w:r>
    </w:p>
    <w:p w14:paraId="058E0A27" w14:textId="77777777" w:rsidR="006A35FB" w:rsidRPr="00E04F74" w:rsidRDefault="006A35FB" w:rsidP="002870DD">
      <w:pPr>
        <w:pStyle w:val="Header"/>
        <w:jc w:val="both"/>
        <w:rPr>
          <w:sz w:val="22"/>
          <w:szCs w:val="22"/>
          <w:lang w:val="sr-Latn-RS"/>
        </w:rPr>
      </w:pPr>
    </w:p>
    <w:p w14:paraId="058E0A28" w14:textId="77777777" w:rsidR="006A35FB" w:rsidRPr="00E04F74" w:rsidRDefault="006A35FB" w:rsidP="002870DD">
      <w:pPr>
        <w:pStyle w:val="Header"/>
        <w:jc w:val="both"/>
        <w:rPr>
          <w:sz w:val="22"/>
          <w:szCs w:val="22"/>
          <w:lang w:val="sr-Latn-RS"/>
        </w:rPr>
      </w:pPr>
      <w:r w:rsidRPr="00E04F74">
        <w:rPr>
          <w:sz w:val="22"/>
          <w:szCs w:val="22"/>
          <w:lang w:val="sr-Latn-RS"/>
        </w:rPr>
        <w:t>Izolati većine pacijenata sa virološkim neuspjehom terapije, pri primjeni terapijskog režima koji je obuhvatao abakavir, u okviru pivotalnih kliničkih ispitivanja, nijesu pokazali izmjene udružene sa primjenom NRTI, u odnosu na osnovne (45%) ili samo M184V ili M184I selekciju (45%). Ukupna učestalost selekcije za M184V ili M184I je bila visoka (54%) i manje česta bila je selekcija L74V (5%), K65R (1%) i Y115F (1%) (vidjeti tabelu). Pokazalo se da uključenje zidovudina u terapijski režim smanjuje učestalost L74V i K65R selekcije u prisustvu abakavira (sa zidovudinom: 0/40, bez zidovudina: 15/192, 8%).</w:t>
      </w:r>
    </w:p>
    <w:p w14:paraId="058E0A29" w14:textId="77777777" w:rsidR="006A35FB" w:rsidRPr="00E04F74" w:rsidRDefault="006A35FB" w:rsidP="00946B2E">
      <w:pPr>
        <w:pStyle w:val="Header"/>
        <w:jc w:val="both"/>
        <w:rPr>
          <w:sz w:val="22"/>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2"/>
        <w:gridCol w:w="1812"/>
        <w:gridCol w:w="1813"/>
        <w:gridCol w:w="1813"/>
        <w:gridCol w:w="1813"/>
      </w:tblGrid>
      <w:tr w:rsidR="006A35FB" w:rsidRPr="00E04F74" w14:paraId="058E0A34" w14:textId="77777777" w:rsidTr="00095F06">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2A" w14:textId="77777777" w:rsidR="006A35FB" w:rsidRPr="00E04F74" w:rsidRDefault="006A35FB" w:rsidP="00946B2E">
            <w:pPr>
              <w:pStyle w:val="Header"/>
              <w:jc w:val="both"/>
              <w:rPr>
                <w:b/>
                <w:sz w:val="22"/>
                <w:szCs w:val="22"/>
                <w:lang w:val="sr-Latn-RS"/>
              </w:rPr>
            </w:pPr>
            <w:r w:rsidRPr="00E04F74">
              <w:rPr>
                <w:b/>
                <w:sz w:val="22"/>
                <w:szCs w:val="22"/>
                <w:lang w:val="sr-Latn-RS"/>
              </w:rPr>
              <w:t>Terapija</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2B" w14:textId="77777777" w:rsidR="006A35FB" w:rsidRPr="00E04F74" w:rsidRDefault="006A35FB" w:rsidP="00946B2E">
            <w:pPr>
              <w:pStyle w:val="Header"/>
              <w:jc w:val="both"/>
              <w:rPr>
                <w:b/>
                <w:sz w:val="22"/>
                <w:szCs w:val="22"/>
                <w:lang w:val="sr-Latn-RS"/>
              </w:rPr>
            </w:pPr>
            <w:r w:rsidRPr="00E04F74">
              <w:rPr>
                <w:b/>
                <w:sz w:val="22"/>
                <w:szCs w:val="22"/>
                <w:lang w:val="sr-Latn-RS"/>
              </w:rPr>
              <w:t>abakavir +</w:t>
            </w:r>
          </w:p>
          <w:p w14:paraId="058E0A2C" w14:textId="77777777" w:rsidR="006A35FB" w:rsidRPr="00E04F74" w:rsidRDefault="006A35FB" w:rsidP="00946B2E">
            <w:pPr>
              <w:pStyle w:val="Header"/>
              <w:jc w:val="both"/>
              <w:rPr>
                <w:b/>
                <w:sz w:val="22"/>
                <w:szCs w:val="22"/>
                <w:lang w:val="sr-Latn-RS"/>
              </w:rPr>
            </w:pPr>
            <w:r w:rsidRPr="00E04F74">
              <w:rPr>
                <w:b/>
                <w:sz w:val="22"/>
                <w:szCs w:val="22"/>
                <w:lang w:val="sr-Latn-RS"/>
              </w:rPr>
              <w:t>Combivir</w:t>
            </w:r>
            <w:r w:rsidRPr="00E04F74">
              <w:rPr>
                <w:b/>
                <w:sz w:val="22"/>
                <w:szCs w:val="22"/>
                <w:vertAlign w:val="superscript"/>
                <w:lang w:val="sr-Latn-RS"/>
              </w:rPr>
              <w:t>1</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2D" w14:textId="77777777" w:rsidR="006A35FB" w:rsidRPr="00E04F74" w:rsidRDefault="006A35FB" w:rsidP="00946B2E">
            <w:pPr>
              <w:pStyle w:val="Header"/>
              <w:jc w:val="both"/>
              <w:rPr>
                <w:b/>
                <w:sz w:val="22"/>
                <w:szCs w:val="22"/>
                <w:lang w:val="sr-Latn-RS"/>
              </w:rPr>
            </w:pPr>
            <w:r w:rsidRPr="00E04F74">
              <w:rPr>
                <w:b/>
                <w:sz w:val="22"/>
                <w:szCs w:val="22"/>
                <w:lang w:val="sr-Latn-RS"/>
              </w:rPr>
              <w:t>abakavir+</w:t>
            </w:r>
          </w:p>
          <w:p w14:paraId="058E0A2E" w14:textId="77777777" w:rsidR="006A35FB" w:rsidRPr="00E04F74" w:rsidRDefault="006A35FB" w:rsidP="00946B2E">
            <w:pPr>
              <w:pStyle w:val="Header"/>
              <w:jc w:val="both"/>
              <w:rPr>
                <w:b/>
                <w:sz w:val="22"/>
                <w:szCs w:val="22"/>
                <w:lang w:val="sr-Latn-RS"/>
              </w:rPr>
            </w:pPr>
            <w:r w:rsidRPr="00E04F74">
              <w:rPr>
                <w:b/>
                <w:sz w:val="22"/>
                <w:szCs w:val="22"/>
                <w:lang w:val="sr-Latn-RS"/>
              </w:rPr>
              <w:t>lamivudin+</w:t>
            </w:r>
          </w:p>
          <w:p w14:paraId="058E0A2F" w14:textId="77777777" w:rsidR="006A35FB" w:rsidRPr="00E04F74" w:rsidRDefault="006A35FB" w:rsidP="00946B2E">
            <w:pPr>
              <w:pStyle w:val="Header"/>
              <w:jc w:val="both"/>
              <w:rPr>
                <w:b/>
                <w:sz w:val="22"/>
                <w:szCs w:val="22"/>
                <w:lang w:val="sr-Latn-RS"/>
              </w:rPr>
            </w:pPr>
            <w:r w:rsidRPr="00E04F74">
              <w:rPr>
                <w:b/>
                <w:sz w:val="22"/>
                <w:szCs w:val="22"/>
                <w:lang w:val="sr-Latn-RS"/>
              </w:rPr>
              <w:t>NNRTI</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30" w14:textId="77777777" w:rsidR="006A35FB" w:rsidRPr="00E04F74" w:rsidRDefault="006A35FB" w:rsidP="00946B2E">
            <w:pPr>
              <w:pStyle w:val="Header"/>
              <w:jc w:val="both"/>
              <w:rPr>
                <w:b/>
                <w:sz w:val="22"/>
                <w:szCs w:val="22"/>
                <w:lang w:val="sr-Latn-RS"/>
              </w:rPr>
            </w:pPr>
            <w:r w:rsidRPr="00E04F74">
              <w:rPr>
                <w:b/>
                <w:sz w:val="22"/>
                <w:szCs w:val="22"/>
                <w:lang w:val="sr-Latn-RS"/>
              </w:rPr>
              <w:t>abakavir+</w:t>
            </w:r>
          </w:p>
          <w:p w14:paraId="058E0A31" w14:textId="77777777" w:rsidR="006A35FB" w:rsidRPr="00E04F74" w:rsidRDefault="006A35FB" w:rsidP="00946B2E">
            <w:pPr>
              <w:pStyle w:val="Header"/>
              <w:jc w:val="both"/>
              <w:rPr>
                <w:b/>
                <w:sz w:val="22"/>
                <w:szCs w:val="22"/>
                <w:lang w:val="sr-Latn-RS"/>
              </w:rPr>
            </w:pPr>
            <w:r w:rsidRPr="00E04F74">
              <w:rPr>
                <w:b/>
                <w:sz w:val="22"/>
                <w:szCs w:val="22"/>
                <w:lang w:val="sr-Latn-RS"/>
              </w:rPr>
              <w:t>lamivudin+</w:t>
            </w:r>
          </w:p>
          <w:p w14:paraId="058E0A32" w14:textId="77777777" w:rsidR="006A35FB" w:rsidRPr="00E04F74" w:rsidRDefault="006A35FB" w:rsidP="00946B2E">
            <w:pPr>
              <w:pStyle w:val="Header"/>
              <w:jc w:val="both"/>
              <w:rPr>
                <w:b/>
                <w:sz w:val="22"/>
                <w:szCs w:val="22"/>
                <w:lang w:val="sr-Latn-RS"/>
              </w:rPr>
            </w:pPr>
            <w:r w:rsidRPr="00E04F74">
              <w:rPr>
                <w:b/>
                <w:sz w:val="22"/>
                <w:szCs w:val="22"/>
                <w:lang w:val="sr-Latn-RS"/>
              </w:rPr>
              <w:t>PI (ili PI/ritonavir)</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33" w14:textId="77777777" w:rsidR="006A35FB" w:rsidRPr="00E04F74" w:rsidRDefault="006A35FB" w:rsidP="00946B2E">
            <w:pPr>
              <w:pStyle w:val="Header"/>
              <w:jc w:val="both"/>
              <w:rPr>
                <w:b/>
                <w:sz w:val="22"/>
                <w:szCs w:val="22"/>
                <w:lang w:val="sr-Latn-RS"/>
              </w:rPr>
            </w:pPr>
            <w:r w:rsidRPr="00E04F74">
              <w:rPr>
                <w:b/>
                <w:sz w:val="22"/>
                <w:szCs w:val="22"/>
                <w:lang w:val="sr-Latn-RS"/>
              </w:rPr>
              <w:t>ukupno</w:t>
            </w:r>
          </w:p>
        </w:tc>
      </w:tr>
      <w:tr w:rsidR="006A35FB" w:rsidRPr="00E04F74" w14:paraId="058E0A3A" w14:textId="77777777" w:rsidTr="00095F06">
        <w:tc>
          <w:tcPr>
            <w:tcW w:w="1000" w:type="pct"/>
            <w:tcBorders>
              <w:top w:val="single" w:sz="4" w:space="0" w:color="000000"/>
              <w:left w:val="single" w:sz="4" w:space="0" w:color="000000"/>
              <w:bottom w:val="single" w:sz="4" w:space="0" w:color="000000"/>
              <w:right w:val="single" w:sz="4" w:space="0" w:color="000000"/>
            </w:tcBorders>
            <w:hideMark/>
          </w:tcPr>
          <w:p w14:paraId="058E0A35" w14:textId="77777777" w:rsidR="006A35FB" w:rsidRPr="00E04F74" w:rsidRDefault="006A35FB" w:rsidP="00946B2E">
            <w:pPr>
              <w:pStyle w:val="Header"/>
              <w:jc w:val="both"/>
              <w:rPr>
                <w:b/>
                <w:sz w:val="22"/>
                <w:szCs w:val="22"/>
                <w:lang w:val="sr-Latn-RS"/>
              </w:rPr>
            </w:pPr>
            <w:r w:rsidRPr="00E04F74">
              <w:rPr>
                <w:b/>
                <w:sz w:val="22"/>
                <w:szCs w:val="22"/>
                <w:lang w:val="sr-Latn-RS"/>
              </w:rPr>
              <w:t>Broj ispitanika</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36" w14:textId="77777777" w:rsidR="006A35FB" w:rsidRPr="00E04F74" w:rsidRDefault="006A35FB" w:rsidP="00946B2E">
            <w:pPr>
              <w:pStyle w:val="Header"/>
              <w:jc w:val="both"/>
              <w:rPr>
                <w:sz w:val="22"/>
                <w:szCs w:val="22"/>
                <w:lang w:val="sr-Latn-RS"/>
              </w:rPr>
            </w:pPr>
            <w:r w:rsidRPr="00E04F74">
              <w:rPr>
                <w:sz w:val="22"/>
                <w:szCs w:val="22"/>
                <w:lang w:val="sr-Latn-RS"/>
              </w:rPr>
              <w:t>282</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37" w14:textId="77777777" w:rsidR="006A35FB" w:rsidRPr="00E04F74" w:rsidRDefault="006A35FB" w:rsidP="00946B2E">
            <w:pPr>
              <w:pStyle w:val="Header"/>
              <w:jc w:val="both"/>
              <w:rPr>
                <w:sz w:val="22"/>
                <w:szCs w:val="22"/>
                <w:lang w:val="sr-Latn-RS"/>
              </w:rPr>
            </w:pPr>
            <w:r w:rsidRPr="00E04F74">
              <w:rPr>
                <w:sz w:val="22"/>
                <w:szCs w:val="22"/>
                <w:lang w:val="sr-Latn-RS"/>
              </w:rPr>
              <w:t>1094</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38" w14:textId="77777777" w:rsidR="006A35FB" w:rsidRPr="00E04F74" w:rsidRDefault="006A35FB" w:rsidP="00946B2E">
            <w:pPr>
              <w:pStyle w:val="Header"/>
              <w:jc w:val="both"/>
              <w:rPr>
                <w:sz w:val="22"/>
                <w:szCs w:val="22"/>
                <w:lang w:val="sr-Latn-RS"/>
              </w:rPr>
            </w:pPr>
            <w:r w:rsidRPr="00E04F74">
              <w:rPr>
                <w:sz w:val="22"/>
                <w:szCs w:val="22"/>
                <w:lang w:val="sr-Latn-RS"/>
              </w:rPr>
              <w:t>909</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39" w14:textId="77777777" w:rsidR="006A35FB" w:rsidRPr="00E04F74" w:rsidRDefault="006A35FB" w:rsidP="00946B2E">
            <w:pPr>
              <w:pStyle w:val="Header"/>
              <w:jc w:val="both"/>
              <w:rPr>
                <w:sz w:val="22"/>
                <w:szCs w:val="22"/>
                <w:lang w:val="sr-Latn-RS"/>
              </w:rPr>
            </w:pPr>
            <w:r w:rsidRPr="00E04F74">
              <w:rPr>
                <w:sz w:val="22"/>
                <w:szCs w:val="22"/>
                <w:lang w:val="sr-Latn-RS"/>
              </w:rPr>
              <w:t>2285</w:t>
            </w:r>
          </w:p>
        </w:tc>
      </w:tr>
      <w:tr w:rsidR="006A35FB" w:rsidRPr="00E04F74" w14:paraId="058E0A40" w14:textId="77777777" w:rsidTr="00095F06">
        <w:tc>
          <w:tcPr>
            <w:tcW w:w="1000" w:type="pct"/>
            <w:tcBorders>
              <w:top w:val="single" w:sz="4" w:space="0" w:color="000000"/>
              <w:left w:val="single" w:sz="4" w:space="0" w:color="000000"/>
              <w:bottom w:val="single" w:sz="4" w:space="0" w:color="000000"/>
              <w:right w:val="single" w:sz="4" w:space="0" w:color="000000"/>
            </w:tcBorders>
            <w:hideMark/>
          </w:tcPr>
          <w:p w14:paraId="058E0A3B" w14:textId="77777777" w:rsidR="006A35FB" w:rsidRPr="00E04F74" w:rsidRDefault="006A35FB" w:rsidP="00946B2E">
            <w:pPr>
              <w:pStyle w:val="Header"/>
              <w:jc w:val="both"/>
              <w:rPr>
                <w:b/>
                <w:sz w:val="22"/>
                <w:szCs w:val="22"/>
                <w:lang w:val="sr-Latn-RS"/>
              </w:rPr>
            </w:pPr>
            <w:r w:rsidRPr="00E04F74">
              <w:rPr>
                <w:b/>
                <w:sz w:val="22"/>
                <w:szCs w:val="22"/>
                <w:lang w:val="sr-Latn-RS"/>
              </w:rPr>
              <w:t>Broj virološkog neuspjeha</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3C" w14:textId="77777777" w:rsidR="006A35FB" w:rsidRPr="00E04F74" w:rsidRDefault="006A35FB" w:rsidP="00946B2E">
            <w:pPr>
              <w:pStyle w:val="Header"/>
              <w:jc w:val="both"/>
              <w:rPr>
                <w:sz w:val="22"/>
                <w:szCs w:val="22"/>
                <w:lang w:val="sr-Latn-RS"/>
              </w:rPr>
            </w:pPr>
            <w:r w:rsidRPr="00E04F74">
              <w:rPr>
                <w:sz w:val="22"/>
                <w:szCs w:val="22"/>
                <w:lang w:val="sr-Latn-RS"/>
              </w:rPr>
              <w:t>43</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3D" w14:textId="77777777" w:rsidR="006A35FB" w:rsidRPr="00E04F74" w:rsidRDefault="006A35FB" w:rsidP="00946B2E">
            <w:pPr>
              <w:pStyle w:val="Header"/>
              <w:jc w:val="both"/>
              <w:rPr>
                <w:sz w:val="22"/>
                <w:szCs w:val="22"/>
                <w:lang w:val="sr-Latn-RS"/>
              </w:rPr>
            </w:pPr>
            <w:r w:rsidRPr="00E04F74">
              <w:rPr>
                <w:sz w:val="22"/>
                <w:szCs w:val="22"/>
                <w:lang w:val="sr-Latn-RS"/>
              </w:rPr>
              <w:t>90</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3E" w14:textId="77777777" w:rsidR="006A35FB" w:rsidRPr="00E04F74" w:rsidRDefault="006A35FB" w:rsidP="00946B2E">
            <w:pPr>
              <w:pStyle w:val="Header"/>
              <w:jc w:val="both"/>
              <w:rPr>
                <w:sz w:val="22"/>
                <w:szCs w:val="22"/>
                <w:lang w:val="sr-Latn-RS"/>
              </w:rPr>
            </w:pPr>
            <w:r w:rsidRPr="00E04F74">
              <w:rPr>
                <w:sz w:val="22"/>
                <w:szCs w:val="22"/>
                <w:lang w:val="sr-Latn-RS"/>
              </w:rPr>
              <w:t>158</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3F" w14:textId="77777777" w:rsidR="006A35FB" w:rsidRPr="00E04F74" w:rsidRDefault="006A35FB" w:rsidP="00946B2E">
            <w:pPr>
              <w:pStyle w:val="Header"/>
              <w:jc w:val="both"/>
              <w:rPr>
                <w:sz w:val="22"/>
                <w:szCs w:val="22"/>
                <w:lang w:val="sr-Latn-RS"/>
              </w:rPr>
            </w:pPr>
            <w:r w:rsidRPr="00E04F74">
              <w:rPr>
                <w:sz w:val="22"/>
                <w:szCs w:val="22"/>
                <w:lang w:val="sr-Latn-RS"/>
              </w:rPr>
              <w:t>306</w:t>
            </w:r>
          </w:p>
        </w:tc>
      </w:tr>
      <w:tr w:rsidR="006A35FB" w:rsidRPr="00E04F74" w14:paraId="058E0A46" w14:textId="77777777" w:rsidTr="00095F06">
        <w:tc>
          <w:tcPr>
            <w:tcW w:w="1000" w:type="pct"/>
            <w:tcBorders>
              <w:top w:val="single" w:sz="4" w:space="0" w:color="000000"/>
              <w:left w:val="single" w:sz="4" w:space="0" w:color="000000"/>
              <w:bottom w:val="single" w:sz="4" w:space="0" w:color="000000"/>
              <w:right w:val="single" w:sz="4" w:space="0" w:color="000000"/>
            </w:tcBorders>
            <w:hideMark/>
          </w:tcPr>
          <w:p w14:paraId="058E0A41" w14:textId="77777777" w:rsidR="006A35FB" w:rsidRPr="00E04F74" w:rsidRDefault="006A35FB" w:rsidP="00946B2E">
            <w:pPr>
              <w:pStyle w:val="Header"/>
              <w:jc w:val="both"/>
              <w:rPr>
                <w:b/>
                <w:sz w:val="22"/>
                <w:szCs w:val="22"/>
                <w:lang w:val="sr-Latn-RS"/>
              </w:rPr>
            </w:pPr>
            <w:r w:rsidRPr="00E04F74">
              <w:rPr>
                <w:b/>
                <w:sz w:val="22"/>
                <w:szCs w:val="22"/>
                <w:lang w:val="sr-Latn-RS"/>
              </w:rPr>
              <w:t>Broj terapijskih genotipova</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42" w14:textId="77777777" w:rsidR="006A35FB" w:rsidRPr="00E04F74" w:rsidRDefault="006A35FB" w:rsidP="00946B2E">
            <w:pPr>
              <w:pStyle w:val="Header"/>
              <w:jc w:val="both"/>
              <w:rPr>
                <w:sz w:val="22"/>
                <w:szCs w:val="22"/>
                <w:lang w:val="sr-Latn-RS"/>
              </w:rPr>
            </w:pPr>
            <w:r w:rsidRPr="00E04F74">
              <w:rPr>
                <w:sz w:val="22"/>
                <w:szCs w:val="22"/>
                <w:lang w:val="sr-Latn-RS"/>
              </w:rPr>
              <w:t>40 (100%)</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43" w14:textId="77777777" w:rsidR="006A35FB" w:rsidRPr="00E04F74" w:rsidRDefault="006A35FB" w:rsidP="00946B2E">
            <w:pPr>
              <w:pStyle w:val="Header"/>
              <w:jc w:val="both"/>
              <w:rPr>
                <w:sz w:val="22"/>
                <w:szCs w:val="22"/>
                <w:lang w:val="sr-Latn-RS"/>
              </w:rPr>
            </w:pPr>
            <w:r w:rsidRPr="00E04F74">
              <w:rPr>
                <w:sz w:val="22"/>
                <w:szCs w:val="22"/>
                <w:lang w:val="sr-Latn-RS"/>
              </w:rPr>
              <w:t>51 (100%)</w:t>
            </w:r>
            <w:r w:rsidRPr="00E04F74">
              <w:rPr>
                <w:sz w:val="22"/>
                <w:szCs w:val="22"/>
                <w:vertAlign w:val="superscript"/>
                <w:lang w:val="sr-Latn-RS"/>
              </w:rPr>
              <w:t>2</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44" w14:textId="77777777" w:rsidR="006A35FB" w:rsidRPr="00E04F74" w:rsidRDefault="006A35FB" w:rsidP="00946B2E">
            <w:pPr>
              <w:pStyle w:val="Header"/>
              <w:jc w:val="both"/>
              <w:rPr>
                <w:sz w:val="22"/>
                <w:szCs w:val="22"/>
                <w:lang w:val="sr-Latn-RS"/>
              </w:rPr>
            </w:pPr>
            <w:r w:rsidRPr="00E04F74">
              <w:rPr>
                <w:sz w:val="22"/>
                <w:szCs w:val="22"/>
                <w:lang w:val="sr-Latn-RS"/>
              </w:rPr>
              <w:t>141 (100%)</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45" w14:textId="77777777" w:rsidR="006A35FB" w:rsidRPr="00E04F74" w:rsidRDefault="006A35FB" w:rsidP="00946B2E">
            <w:pPr>
              <w:pStyle w:val="Header"/>
              <w:jc w:val="both"/>
              <w:rPr>
                <w:sz w:val="22"/>
                <w:szCs w:val="22"/>
                <w:lang w:val="sr-Latn-RS"/>
              </w:rPr>
            </w:pPr>
            <w:r w:rsidRPr="00E04F74">
              <w:rPr>
                <w:sz w:val="22"/>
                <w:szCs w:val="22"/>
                <w:lang w:val="sr-Latn-RS"/>
              </w:rPr>
              <w:t>232 (100%)</w:t>
            </w:r>
          </w:p>
        </w:tc>
      </w:tr>
      <w:tr w:rsidR="006A35FB" w:rsidRPr="00E04F74" w14:paraId="058E0A4C" w14:textId="77777777" w:rsidTr="00095F06">
        <w:tc>
          <w:tcPr>
            <w:tcW w:w="1000" w:type="pct"/>
            <w:tcBorders>
              <w:top w:val="single" w:sz="4" w:space="0" w:color="000000"/>
              <w:left w:val="single" w:sz="4" w:space="0" w:color="000000"/>
              <w:bottom w:val="single" w:sz="4" w:space="0" w:color="000000"/>
              <w:right w:val="single" w:sz="4" w:space="0" w:color="000000"/>
            </w:tcBorders>
            <w:hideMark/>
          </w:tcPr>
          <w:p w14:paraId="058E0A47" w14:textId="77777777" w:rsidR="006A35FB" w:rsidRPr="00E04F74" w:rsidRDefault="006A35FB" w:rsidP="00946B2E">
            <w:pPr>
              <w:pStyle w:val="Header"/>
              <w:jc w:val="both"/>
              <w:rPr>
                <w:b/>
                <w:sz w:val="22"/>
                <w:szCs w:val="22"/>
                <w:lang w:val="sr-Latn-RS"/>
              </w:rPr>
            </w:pPr>
            <w:r w:rsidRPr="00E04F74">
              <w:rPr>
                <w:b/>
                <w:sz w:val="22"/>
                <w:szCs w:val="22"/>
                <w:lang w:val="sr-Latn-RS"/>
              </w:rPr>
              <w:t>K65R</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48" w14:textId="77777777" w:rsidR="006A35FB" w:rsidRPr="00E04F74" w:rsidRDefault="006A35FB" w:rsidP="00946B2E">
            <w:pPr>
              <w:pStyle w:val="Header"/>
              <w:jc w:val="both"/>
              <w:rPr>
                <w:sz w:val="22"/>
                <w:szCs w:val="22"/>
                <w:lang w:val="sr-Latn-RS"/>
              </w:rPr>
            </w:pPr>
            <w:r w:rsidRPr="00E04F74">
              <w:rPr>
                <w:sz w:val="22"/>
                <w:szCs w:val="22"/>
                <w:lang w:val="sr-Latn-RS"/>
              </w:rPr>
              <w:t>0</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49" w14:textId="77777777" w:rsidR="006A35FB" w:rsidRPr="00E04F74" w:rsidRDefault="006A35FB" w:rsidP="00946B2E">
            <w:pPr>
              <w:pStyle w:val="Header"/>
              <w:jc w:val="both"/>
              <w:rPr>
                <w:sz w:val="22"/>
                <w:szCs w:val="22"/>
                <w:lang w:val="sr-Latn-RS"/>
              </w:rPr>
            </w:pPr>
            <w:r w:rsidRPr="00E04F74">
              <w:rPr>
                <w:sz w:val="22"/>
                <w:szCs w:val="22"/>
                <w:lang w:val="sr-Latn-RS"/>
              </w:rPr>
              <w:t>1 (2%)</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4A" w14:textId="77777777" w:rsidR="006A35FB" w:rsidRPr="00E04F74" w:rsidRDefault="006A35FB" w:rsidP="00946B2E">
            <w:pPr>
              <w:pStyle w:val="Header"/>
              <w:jc w:val="both"/>
              <w:rPr>
                <w:sz w:val="22"/>
                <w:szCs w:val="22"/>
                <w:lang w:val="sr-Latn-RS"/>
              </w:rPr>
            </w:pPr>
            <w:r w:rsidRPr="00E04F74">
              <w:rPr>
                <w:sz w:val="22"/>
                <w:szCs w:val="22"/>
                <w:lang w:val="sr-Latn-RS"/>
              </w:rPr>
              <w:t>2 (1%)</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4B" w14:textId="77777777" w:rsidR="006A35FB" w:rsidRPr="00E04F74" w:rsidRDefault="006A35FB" w:rsidP="00946B2E">
            <w:pPr>
              <w:pStyle w:val="Header"/>
              <w:jc w:val="both"/>
              <w:rPr>
                <w:sz w:val="22"/>
                <w:szCs w:val="22"/>
                <w:lang w:val="sr-Latn-RS"/>
              </w:rPr>
            </w:pPr>
            <w:r w:rsidRPr="00E04F74">
              <w:rPr>
                <w:sz w:val="22"/>
                <w:szCs w:val="22"/>
                <w:lang w:val="sr-Latn-RS"/>
              </w:rPr>
              <w:t>3 (1%)</w:t>
            </w:r>
          </w:p>
        </w:tc>
      </w:tr>
      <w:tr w:rsidR="006A35FB" w:rsidRPr="00E04F74" w14:paraId="058E0A52" w14:textId="77777777" w:rsidTr="00095F06">
        <w:tc>
          <w:tcPr>
            <w:tcW w:w="1000" w:type="pct"/>
            <w:tcBorders>
              <w:top w:val="single" w:sz="4" w:space="0" w:color="000000"/>
              <w:left w:val="single" w:sz="4" w:space="0" w:color="000000"/>
              <w:bottom w:val="single" w:sz="4" w:space="0" w:color="000000"/>
              <w:right w:val="single" w:sz="4" w:space="0" w:color="000000"/>
            </w:tcBorders>
            <w:hideMark/>
          </w:tcPr>
          <w:p w14:paraId="058E0A4D" w14:textId="77777777" w:rsidR="006A35FB" w:rsidRPr="00E04F74" w:rsidRDefault="006A35FB" w:rsidP="00946B2E">
            <w:pPr>
              <w:pStyle w:val="Header"/>
              <w:jc w:val="both"/>
              <w:rPr>
                <w:b/>
                <w:sz w:val="22"/>
                <w:szCs w:val="22"/>
                <w:lang w:val="sr-Latn-RS"/>
              </w:rPr>
            </w:pPr>
            <w:r w:rsidRPr="00E04F74">
              <w:rPr>
                <w:b/>
                <w:sz w:val="22"/>
                <w:szCs w:val="22"/>
                <w:lang w:val="sr-Latn-RS"/>
              </w:rPr>
              <w:t>L74V</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4E" w14:textId="77777777" w:rsidR="006A35FB" w:rsidRPr="00E04F74" w:rsidRDefault="006A35FB" w:rsidP="00946B2E">
            <w:pPr>
              <w:pStyle w:val="Header"/>
              <w:jc w:val="both"/>
              <w:rPr>
                <w:sz w:val="22"/>
                <w:szCs w:val="22"/>
                <w:lang w:val="sr-Latn-RS"/>
              </w:rPr>
            </w:pPr>
            <w:r w:rsidRPr="00E04F74">
              <w:rPr>
                <w:sz w:val="22"/>
                <w:szCs w:val="22"/>
                <w:lang w:val="sr-Latn-RS"/>
              </w:rPr>
              <w:t>0</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4F" w14:textId="77777777" w:rsidR="006A35FB" w:rsidRPr="00E04F74" w:rsidRDefault="006A35FB" w:rsidP="00946B2E">
            <w:pPr>
              <w:pStyle w:val="Header"/>
              <w:jc w:val="both"/>
              <w:rPr>
                <w:sz w:val="22"/>
                <w:szCs w:val="22"/>
                <w:lang w:val="sr-Latn-RS"/>
              </w:rPr>
            </w:pPr>
            <w:r w:rsidRPr="00E04F74">
              <w:rPr>
                <w:sz w:val="22"/>
                <w:szCs w:val="22"/>
                <w:lang w:val="sr-Latn-RS"/>
              </w:rPr>
              <w:t>9 (18%)</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50" w14:textId="77777777" w:rsidR="006A35FB" w:rsidRPr="00E04F74" w:rsidRDefault="006A35FB" w:rsidP="00946B2E">
            <w:pPr>
              <w:pStyle w:val="Header"/>
              <w:jc w:val="both"/>
              <w:rPr>
                <w:sz w:val="22"/>
                <w:szCs w:val="22"/>
                <w:lang w:val="sr-Latn-RS"/>
              </w:rPr>
            </w:pPr>
            <w:r w:rsidRPr="00E04F74">
              <w:rPr>
                <w:sz w:val="22"/>
                <w:szCs w:val="22"/>
                <w:lang w:val="sr-Latn-RS"/>
              </w:rPr>
              <w:t>3 (2%)</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51" w14:textId="77777777" w:rsidR="006A35FB" w:rsidRPr="00E04F74" w:rsidRDefault="006A35FB" w:rsidP="00946B2E">
            <w:pPr>
              <w:pStyle w:val="Header"/>
              <w:jc w:val="both"/>
              <w:rPr>
                <w:sz w:val="22"/>
                <w:szCs w:val="22"/>
                <w:lang w:val="sr-Latn-RS"/>
              </w:rPr>
            </w:pPr>
            <w:r w:rsidRPr="00E04F74">
              <w:rPr>
                <w:sz w:val="22"/>
                <w:szCs w:val="22"/>
                <w:lang w:val="sr-Latn-RS"/>
              </w:rPr>
              <w:t>12 (5%)</w:t>
            </w:r>
          </w:p>
        </w:tc>
      </w:tr>
      <w:tr w:rsidR="006A35FB" w:rsidRPr="00E04F74" w14:paraId="058E0A58" w14:textId="77777777" w:rsidTr="00095F06">
        <w:tc>
          <w:tcPr>
            <w:tcW w:w="1000" w:type="pct"/>
            <w:tcBorders>
              <w:top w:val="single" w:sz="4" w:space="0" w:color="000000"/>
              <w:left w:val="single" w:sz="4" w:space="0" w:color="000000"/>
              <w:bottom w:val="single" w:sz="4" w:space="0" w:color="000000"/>
              <w:right w:val="single" w:sz="4" w:space="0" w:color="000000"/>
            </w:tcBorders>
            <w:hideMark/>
          </w:tcPr>
          <w:p w14:paraId="058E0A53" w14:textId="77777777" w:rsidR="006A35FB" w:rsidRPr="00E04F74" w:rsidRDefault="006A35FB" w:rsidP="00946B2E">
            <w:pPr>
              <w:pStyle w:val="Header"/>
              <w:jc w:val="both"/>
              <w:rPr>
                <w:b/>
                <w:sz w:val="22"/>
                <w:szCs w:val="22"/>
                <w:lang w:val="sr-Latn-RS"/>
              </w:rPr>
            </w:pPr>
            <w:r w:rsidRPr="00E04F74">
              <w:rPr>
                <w:b/>
                <w:sz w:val="22"/>
                <w:szCs w:val="22"/>
                <w:lang w:val="sr-Latn-RS"/>
              </w:rPr>
              <w:t>Y115F</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54" w14:textId="77777777" w:rsidR="006A35FB" w:rsidRPr="00E04F74" w:rsidRDefault="006A35FB" w:rsidP="00946B2E">
            <w:pPr>
              <w:pStyle w:val="Header"/>
              <w:jc w:val="both"/>
              <w:rPr>
                <w:sz w:val="22"/>
                <w:szCs w:val="22"/>
                <w:lang w:val="sr-Latn-RS"/>
              </w:rPr>
            </w:pPr>
            <w:r w:rsidRPr="00E04F74">
              <w:rPr>
                <w:sz w:val="22"/>
                <w:szCs w:val="22"/>
                <w:lang w:val="sr-Latn-RS"/>
              </w:rPr>
              <w:t>0</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55" w14:textId="77777777" w:rsidR="006A35FB" w:rsidRPr="00E04F74" w:rsidRDefault="006A35FB" w:rsidP="00946B2E">
            <w:pPr>
              <w:pStyle w:val="Header"/>
              <w:jc w:val="both"/>
              <w:rPr>
                <w:sz w:val="22"/>
                <w:szCs w:val="22"/>
                <w:lang w:val="sr-Latn-RS"/>
              </w:rPr>
            </w:pPr>
            <w:r w:rsidRPr="00E04F74">
              <w:rPr>
                <w:sz w:val="22"/>
                <w:szCs w:val="22"/>
                <w:lang w:val="sr-Latn-RS"/>
              </w:rPr>
              <w:t>2 (4%)</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56" w14:textId="77777777" w:rsidR="006A35FB" w:rsidRPr="00E04F74" w:rsidRDefault="006A35FB" w:rsidP="00946B2E">
            <w:pPr>
              <w:pStyle w:val="Header"/>
              <w:jc w:val="both"/>
              <w:rPr>
                <w:sz w:val="22"/>
                <w:szCs w:val="22"/>
                <w:lang w:val="sr-Latn-RS"/>
              </w:rPr>
            </w:pPr>
            <w:r w:rsidRPr="00E04F74">
              <w:rPr>
                <w:sz w:val="22"/>
                <w:szCs w:val="22"/>
                <w:lang w:val="sr-Latn-RS"/>
              </w:rPr>
              <w:t>0</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57" w14:textId="77777777" w:rsidR="006A35FB" w:rsidRPr="00E04F74" w:rsidRDefault="006A35FB" w:rsidP="00946B2E">
            <w:pPr>
              <w:pStyle w:val="Header"/>
              <w:jc w:val="both"/>
              <w:rPr>
                <w:sz w:val="22"/>
                <w:szCs w:val="22"/>
                <w:lang w:val="sr-Latn-RS"/>
              </w:rPr>
            </w:pPr>
            <w:r w:rsidRPr="00E04F74">
              <w:rPr>
                <w:sz w:val="22"/>
                <w:szCs w:val="22"/>
                <w:lang w:val="sr-Latn-RS"/>
              </w:rPr>
              <w:t>2 (1%)</w:t>
            </w:r>
          </w:p>
        </w:tc>
      </w:tr>
      <w:tr w:rsidR="006A35FB" w:rsidRPr="00E04F74" w14:paraId="058E0A5E" w14:textId="77777777" w:rsidTr="00095F06">
        <w:tc>
          <w:tcPr>
            <w:tcW w:w="1000" w:type="pct"/>
            <w:tcBorders>
              <w:top w:val="single" w:sz="4" w:space="0" w:color="000000"/>
              <w:left w:val="single" w:sz="4" w:space="0" w:color="000000"/>
              <w:bottom w:val="single" w:sz="4" w:space="0" w:color="000000"/>
              <w:right w:val="single" w:sz="4" w:space="0" w:color="000000"/>
            </w:tcBorders>
            <w:hideMark/>
          </w:tcPr>
          <w:p w14:paraId="058E0A59" w14:textId="77777777" w:rsidR="006A35FB" w:rsidRPr="00E04F74" w:rsidRDefault="006A35FB" w:rsidP="00946B2E">
            <w:pPr>
              <w:pStyle w:val="Header"/>
              <w:jc w:val="both"/>
              <w:rPr>
                <w:b/>
                <w:sz w:val="22"/>
                <w:szCs w:val="22"/>
                <w:lang w:val="sr-Latn-RS"/>
              </w:rPr>
            </w:pPr>
            <w:r w:rsidRPr="00E04F74">
              <w:rPr>
                <w:b/>
                <w:sz w:val="22"/>
                <w:szCs w:val="22"/>
                <w:lang w:val="sr-Latn-RS"/>
              </w:rPr>
              <w:t>M184V/I</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5A" w14:textId="77777777" w:rsidR="006A35FB" w:rsidRPr="00E04F74" w:rsidRDefault="006A35FB" w:rsidP="00946B2E">
            <w:pPr>
              <w:pStyle w:val="Header"/>
              <w:jc w:val="both"/>
              <w:rPr>
                <w:sz w:val="22"/>
                <w:szCs w:val="22"/>
                <w:lang w:val="sr-Latn-RS"/>
              </w:rPr>
            </w:pPr>
            <w:r w:rsidRPr="00E04F74">
              <w:rPr>
                <w:sz w:val="22"/>
                <w:szCs w:val="22"/>
                <w:lang w:val="sr-Latn-RS"/>
              </w:rPr>
              <w:t>34 (85%)</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5B" w14:textId="77777777" w:rsidR="006A35FB" w:rsidRPr="00E04F74" w:rsidRDefault="006A35FB" w:rsidP="00946B2E">
            <w:pPr>
              <w:pStyle w:val="Header"/>
              <w:jc w:val="both"/>
              <w:rPr>
                <w:sz w:val="22"/>
                <w:szCs w:val="22"/>
                <w:lang w:val="sr-Latn-RS"/>
              </w:rPr>
            </w:pPr>
            <w:r w:rsidRPr="00E04F74">
              <w:rPr>
                <w:sz w:val="22"/>
                <w:szCs w:val="22"/>
                <w:lang w:val="sr-Latn-RS"/>
              </w:rPr>
              <w:t>22 (43%)</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5C" w14:textId="77777777" w:rsidR="006A35FB" w:rsidRPr="00E04F74" w:rsidRDefault="006A35FB" w:rsidP="00946B2E">
            <w:pPr>
              <w:pStyle w:val="Header"/>
              <w:jc w:val="both"/>
              <w:rPr>
                <w:sz w:val="22"/>
                <w:szCs w:val="22"/>
                <w:lang w:val="sr-Latn-RS"/>
              </w:rPr>
            </w:pPr>
            <w:r w:rsidRPr="00E04F74">
              <w:rPr>
                <w:sz w:val="22"/>
                <w:szCs w:val="22"/>
                <w:lang w:val="sr-Latn-RS"/>
              </w:rPr>
              <w:t>70 (50%)</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5D" w14:textId="77777777" w:rsidR="006A35FB" w:rsidRPr="00E04F74" w:rsidRDefault="006A35FB" w:rsidP="00946B2E">
            <w:pPr>
              <w:pStyle w:val="Header"/>
              <w:jc w:val="both"/>
              <w:rPr>
                <w:sz w:val="22"/>
                <w:szCs w:val="22"/>
                <w:lang w:val="sr-Latn-RS"/>
              </w:rPr>
            </w:pPr>
            <w:r w:rsidRPr="00E04F74">
              <w:rPr>
                <w:sz w:val="22"/>
                <w:szCs w:val="22"/>
                <w:lang w:val="sr-Latn-RS"/>
              </w:rPr>
              <w:t>126 (54%)</w:t>
            </w:r>
          </w:p>
        </w:tc>
      </w:tr>
      <w:tr w:rsidR="006A35FB" w:rsidRPr="00E04F74" w14:paraId="058E0A64" w14:textId="77777777" w:rsidTr="00095F06">
        <w:tc>
          <w:tcPr>
            <w:tcW w:w="1000" w:type="pct"/>
            <w:tcBorders>
              <w:top w:val="single" w:sz="4" w:space="0" w:color="000000"/>
              <w:left w:val="single" w:sz="4" w:space="0" w:color="000000"/>
              <w:bottom w:val="single" w:sz="4" w:space="0" w:color="000000"/>
              <w:right w:val="single" w:sz="4" w:space="0" w:color="000000"/>
            </w:tcBorders>
            <w:hideMark/>
          </w:tcPr>
          <w:p w14:paraId="058E0A5F" w14:textId="77777777" w:rsidR="006A35FB" w:rsidRPr="00E04F74" w:rsidRDefault="006A35FB" w:rsidP="00946B2E">
            <w:pPr>
              <w:pStyle w:val="Header"/>
              <w:jc w:val="both"/>
              <w:rPr>
                <w:b/>
                <w:sz w:val="22"/>
                <w:szCs w:val="22"/>
                <w:lang w:val="sr-Latn-RS"/>
              </w:rPr>
            </w:pPr>
            <w:r w:rsidRPr="00E04F74">
              <w:rPr>
                <w:b/>
                <w:sz w:val="22"/>
                <w:szCs w:val="22"/>
                <w:lang w:val="sr-Latn-RS"/>
              </w:rPr>
              <w:t>TAMs</w:t>
            </w:r>
            <w:r w:rsidRPr="00E04F74">
              <w:rPr>
                <w:b/>
                <w:sz w:val="22"/>
                <w:szCs w:val="22"/>
                <w:vertAlign w:val="superscript"/>
                <w:lang w:val="sr-Latn-RS"/>
              </w:rPr>
              <w:t>3</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60" w14:textId="77777777" w:rsidR="006A35FB" w:rsidRPr="00E04F74" w:rsidRDefault="006A35FB" w:rsidP="00946B2E">
            <w:pPr>
              <w:pStyle w:val="Header"/>
              <w:jc w:val="both"/>
              <w:rPr>
                <w:sz w:val="22"/>
                <w:szCs w:val="22"/>
                <w:lang w:val="sr-Latn-RS"/>
              </w:rPr>
            </w:pPr>
            <w:r w:rsidRPr="00E04F74">
              <w:rPr>
                <w:sz w:val="22"/>
                <w:szCs w:val="22"/>
                <w:lang w:val="sr-Latn-RS"/>
              </w:rPr>
              <w:t>3 (8%)</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61" w14:textId="77777777" w:rsidR="006A35FB" w:rsidRPr="00E04F74" w:rsidRDefault="006A35FB" w:rsidP="00946B2E">
            <w:pPr>
              <w:pStyle w:val="Header"/>
              <w:jc w:val="both"/>
              <w:rPr>
                <w:sz w:val="22"/>
                <w:szCs w:val="22"/>
                <w:lang w:val="sr-Latn-RS"/>
              </w:rPr>
            </w:pPr>
            <w:r w:rsidRPr="00E04F74">
              <w:rPr>
                <w:sz w:val="22"/>
                <w:szCs w:val="22"/>
                <w:lang w:val="sr-Latn-RS"/>
              </w:rPr>
              <w:t>2 (4%)</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62" w14:textId="77777777" w:rsidR="006A35FB" w:rsidRPr="00E04F74" w:rsidRDefault="006A35FB" w:rsidP="00946B2E">
            <w:pPr>
              <w:pStyle w:val="Header"/>
              <w:jc w:val="both"/>
              <w:rPr>
                <w:sz w:val="22"/>
                <w:szCs w:val="22"/>
                <w:lang w:val="sr-Latn-RS"/>
              </w:rPr>
            </w:pPr>
            <w:r w:rsidRPr="00E04F74">
              <w:rPr>
                <w:sz w:val="22"/>
                <w:szCs w:val="22"/>
                <w:lang w:val="sr-Latn-RS"/>
              </w:rPr>
              <w:t>4 (3%)</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58E0A63" w14:textId="77777777" w:rsidR="006A35FB" w:rsidRPr="00E04F74" w:rsidRDefault="006A35FB" w:rsidP="00946B2E">
            <w:pPr>
              <w:pStyle w:val="Header"/>
              <w:jc w:val="both"/>
              <w:rPr>
                <w:sz w:val="22"/>
                <w:szCs w:val="22"/>
                <w:lang w:val="sr-Latn-RS"/>
              </w:rPr>
            </w:pPr>
            <w:r w:rsidRPr="00E04F74">
              <w:rPr>
                <w:sz w:val="22"/>
                <w:szCs w:val="22"/>
                <w:lang w:val="sr-Latn-RS"/>
              </w:rPr>
              <w:t>9 (4%)</w:t>
            </w:r>
          </w:p>
        </w:tc>
      </w:tr>
    </w:tbl>
    <w:p w14:paraId="058E0A65" w14:textId="68A0ED45" w:rsidR="006A35FB" w:rsidRPr="00E04F74" w:rsidRDefault="002870DD" w:rsidP="00946B2E">
      <w:pPr>
        <w:pStyle w:val="Header"/>
        <w:jc w:val="both"/>
        <w:rPr>
          <w:bCs/>
          <w:sz w:val="22"/>
          <w:szCs w:val="22"/>
          <w:lang w:val="sr-Latn-RS"/>
        </w:rPr>
      </w:pPr>
      <w:r w:rsidRPr="00E04F74">
        <w:rPr>
          <w:sz w:val="22"/>
          <w:szCs w:val="22"/>
          <w:lang w:val="sr-Latn-RS"/>
        </w:rPr>
        <w:t xml:space="preserve"> </w:t>
      </w:r>
      <w:r w:rsidR="006A35FB" w:rsidRPr="00E04F74">
        <w:rPr>
          <w:sz w:val="22"/>
          <w:szCs w:val="22"/>
          <w:lang w:val="sr-Latn-RS"/>
        </w:rPr>
        <w:t xml:space="preserve"> 1. Lijek Combivir predstavlja fiksnu dozu kombinacije lamivudina i zidovudina</w:t>
      </w:r>
    </w:p>
    <w:p w14:paraId="058E0A66" w14:textId="2FFD2DB1" w:rsidR="006A35FB" w:rsidRPr="00E04F74" w:rsidRDefault="002870DD" w:rsidP="00946B2E">
      <w:pPr>
        <w:pStyle w:val="Header"/>
        <w:jc w:val="both"/>
        <w:rPr>
          <w:sz w:val="22"/>
          <w:szCs w:val="22"/>
          <w:lang w:val="sr-Latn-RS"/>
        </w:rPr>
      </w:pPr>
      <w:r w:rsidRPr="00E04F74">
        <w:rPr>
          <w:sz w:val="22"/>
          <w:szCs w:val="22"/>
          <w:lang w:val="sr-Latn-RS"/>
        </w:rPr>
        <w:t xml:space="preserve">  </w:t>
      </w:r>
      <w:r w:rsidR="006A35FB" w:rsidRPr="00E04F74">
        <w:rPr>
          <w:sz w:val="22"/>
          <w:szCs w:val="22"/>
          <w:lang w:val="sr-Latn-RS"/>
        </w:rPr>
        <w:t>2. Uključuje tri nevirološka neuspjeha i četiti nepotvrđena virološka neuspjeha</w:t>
      </w:r>
    </w:p>
    <w:p w14:paraId="058E0A67" w14:textId="78209F99" w:rsidR="006A35FB" w:rsidRPr="00E04F74" w:rsidRDefault="002870DD" w:rsidP="00946B2E">
      <w:pPr>
        <w:pStyle w:val="Header"/>
        <w:jc w:val="both"/>
        <w:rPr>
          <w:sz w:val="22"/>
          <w:szCs w:val="22"/>
          <w:lang w:val="sr-Latn-RS"/>
        </w:rPr>
      </w:pPr>
      <w:r w:rsidRPr="00E04F74">
        <w:rPr>
          <w:sz w:val="22"/>
          <w:szCs w:val="22"/>
          <w:lang w:val="sr-Latn-RS"/>
        </w:rPr>
        <w:t xml:space="preserve">  </w:t>
      </w:r>
      <w:r w:rsidR="006A35FB" w:rsidRPr="00E04F74">
        <w:rPr>
          <w:sz w:val="22"/>
          <w:szCs w:val="22"/>
          <w:lang w:val="sr-Latn-RS"/>
        </w:rPr>
        <w:t>3. Broj ispitanika sa ≥1 timidinu analognih mutacija (TAMs)</w:t>
      </w:r>
    </w:p>
    <w:p w14:paraId="058E0A68" w14:textId="77777777" w:rsidR="006A35FB" w:rsidRPr="00E04F74" w:rsidRDefault="006A35FB" w:rsidP="00946B2E">
      <w:pPr>
        <w:pStyle w:val="Header"/>
        <w:jc w:val="both"/>
        <w:rPr>
          <w:sz w:val="22"/>
          <w:szCs w:val="22"/>
          <w:lang w:val="sr-Latn-RS"/>
        </w:rPr>
      </w:pPr>
    </w:p>
    <w:p w14:paraId="058E0A69" w14:textId="77777777" w:rsidR="006A35FB" w:rsidRPr="00E04F74" w:rsidRDefault="006A35FB" w:rsidP="00946B2E">
      <w:pPr>
        <w:pStyle w:val="Header"/>
        <w:jc w:val="both"/>
        <w:rPr>
          <w:sz w:val="22"/>
          <w:szCs w:val="22"/>
          <w:lang w:val="sr-Latn-RS"/>
        </w:rPr>
      </w:pPr>
      <w:r w:rsidRPr="00E04F74">
        <w:rPr>
          <w:sz w:val="22"/>
          <w:szCs w:val="22"/>
          <w:lang w:val="sr-Latn-RS"/>
        </w:rPr>
        <w:t>TAM mogu biti selektovane kada su analozi timidina primijenjeni istovremeno sa abakavirom. U okviru meta analize šest kliničkih ispitivanja, TAM nijesu bile selektovane pri terapijskim režimima koji sadrže abakavir, bez zidovudina (0/127), ali su selektovane primjenom terapijskih režima koji sadrže abakavir i timidinski analog zidovudin (22/86, 26%).</w:t>
      </w:r>
    </w:p>
    <w:p w14:paraId="058E0A6A" w14:textId="77777777" w:rsidR="006A35FB" w:rsidRPr="00E04F74" w:rsidRDefault="006A35FB" w:rsidP="00946B2E">
      <w:pPr>
        <w:pStyle w:val="Header"/>
        <w:jc w:val="both"/>
        <w:rPr>
          <w:sz w:val="22"/>
          <w:szCs w:val="22"/>
          <w:lang w:val="sr-Latn-RS"/>
        </w:rPr>
      </w:pPr>
    </w:p>
    <w:p w14:paraId="058E0A6B" w14:textId="77777777" w:rsidR="006A35FB" w:rsidRPr="00E04F74" w:rsidRDefault="006A35FB" w:rsidP="00946B2E">
      <w:pPr>
        <w:pStyle w:val="Header"/>
        <w:jc w:val="both"/>
        <w:rPr>
          <w:i/>
          <w:sz w:val="22"/>
          <w:szCs w:val="22"/>
          <w:lang w:val="sr-Latn-RS"/>
        </w:rPr>
      </w:pPr>
      <w:r w:rsidRPr="00E04F74">
        <w:rPr>
          <w:i/>
          <w:sz w:val="22"/>
          <w:szCs w:val="22"/>
          <w:lang w:val="sr-Latn-RS"/>
        </w:rPr>
        <w:t>In vivo rezistencija (prethodno liječeni pacijenti)</w:t>
      </w:r>
    </w:p>
    <w:p w14:paraId="058E0A6C" w14:textId="77777777" w:rsidR="006A35FB" w:rsidRPr="00E04F74" w:rsidRDefault="006A35FB" w:rsidP="00946B2E">
      <w:pPr>
        <w:pStyle w:val="Header"/>
        <w:jc w:val="both"/>
        <w:rPr>
          <w:i/>
          <w:sz w:val="22"/>
          <w:szCs w:val="22"/>
          <w:lang w:val="sr-Latn-RS"/>
        </w:rPr>
      </w:pPr>
    </w:p>
    <w:p w14:paraId="058E0A6D" w14:textId="3056DCE5" w:rsidR="006A35FB" w:rsidRPr="00E04F74" w:rsidRDefault="006A35FB" w:rsidP="002870DD">
      <w:pPr>
        <w:pStyle w:val="Header"/>
        <w:jc w:val="both"/>
        <w:rPr>
          <w:sz w:val="22"/>
          <w:szCs w:val="22"/>
          <w:lang w:val="sr-Latn-RS"/>
        </w:rPr>
      </w:pPr>
      <w:r w:rsidRPr="00E04F74">
        <w:rPr>
          <w:sz w:val="22"/>
          <w:szCs w:val="22"/>
          <w:lang w:val="sr-Latn-RS"/>
        </w:rPr>
        <w:t xml:space="preserve">Mutanti M184V ili M184I se javljaju kod pacijenata inficiranih HIV-1, liječenih antiretrovirusnom terapijom koja sadrži lamivudin i uzrokuju rezistenciju </w:t>
      </w:r>
      <w:r w:rsidR="00B67034" w:rsidRPr="00E04F74">
        <w:rPr>
          <w:sz w:val="22"/>
          <w:szCs w:val="22"/>
          <w:lang w:val="sr-Latn-RS"/>
        </w:rPr>
        <w:t xml:space="preserve">visokog stepena </w:t>
      </w:r>
      <w:r w:rsidRPr="00E04F74">
        <w:rPr>
          <w:sz w:val="22"/>
          <w:szCs w:val="22"/>
          <w:lang w:val="sr-Latn-RS"/>
        </w:rPr>
        <w:t xml:space="preserve">na lamivudin. Podaci dobijeni u uslovima </w:t>
      </w:r>
      <w:r w:rsidRPr="00E04F74">
        <w:rPr>
          <w:i/>
          <w:sz w:val="22"/>
          <w:szCs w:val="22"/>
          <w:lang w:val="sr-Latn-RS"/>
        </w:rPr>
        <w:t>in vitro</w:t>
      </w:r>
      <w:r w:rsidRPr="00E04F74">
        <w:rPr>
          <w:sz w:val="22"/>
          <w:szCs w:val="22"/>
          <w:lang w:val="sr-Latn-RS"/>
        </w:rPr>
        <w:t xml:space="preserve"> ukazuju da nastavak primjene lamivudina u okviru antiretrovirusnog terapijskog režima, uprkos razvoju M184V može dovesti do rezidualne antiretrovirusne aktivnosti (vjerovatno usljed oštećenja virusne aktivnosti). Nije utvrđen klinički značaj navedenih otkrića. Svakako, dostupni klinički podaci su veoma ograničeni i onemogućavaju donošenje pouzdanog zaključka u praksi. U svakom slučaju, započinjanje primjene NRTI treba uvijek </w:t>
      </w:r>
      <w:r w:rsidR="00B67034" w:rsidRPr="00E04F74">
        <w:rPr>
          <w:sz w:val="22"/>
          <w:szCs w:val="22"/>
          <w:lang w:val="sr-Latn-RS"/>
        </w:rPr>
        <w:t xml:space="preserve">preferirati u odnosu na </w:t>
      </w:r>
      <w:r w:rsidRPr="00E04F74">
        <w:rPr>
          <w:sz w:val="22"/>
          <w:szCs w:val="22"/>
          <w:lang w:val="sr-Latn-RS"/>
        </w:rPr>
        <w:t>održavanj</w:t>
      </w:r>
      <w:r w:rsidR="00B67034" w:rsidRPr="00E04F74">
        <w:rPr>
          <w:sz w:val="22"/>
          <w:szCs w:val="22"/>
          <w:lang w:val="sr-Latn-RS"/>
        </w:rPr>
        <w:t>e</w:t>
      </w:r>
      <w:r w:rsidRPr="00E04F74">
        <w:rPr>
          <w:sz w:val="22"/>
          <w:szCs w:val="22"/>
          <w:lang w:val="sr-Latn-RS"/>
        </w:rPr>
        <w:t xml:space="preserve"> terapije lamivudinom. Stoga, održavanje terapije lamivudinom, uprkos nastanku M184V mutacije, treba razmatrati isključivo u slučajevima kada nijesu dostupni drugi aktivni NRTI.</w:t>
      </w:r>
    </w:p>
    <w:p w14:paraId="058E0A6E" w14:textId="77777777" w:rsidR="006A35FB" w:rsidRPr="00E04F74" w:rsidRDefault="006A35FB" w:rsidP="002870DD">
      <w:pPr>
        <w:pStyle w:val="Header"/>
        <w:jc w:val="both"/>
        <w:rPr>
          <w:sz w:val="22"/>
          <w:szCs w:val="22"/>
          <w:lang w:val="sr-Latn-RS"/>
        </w:rPr>
      </w:pPr>
    </w:p>
    <w:p w14:paraId="058E0A6F" w14:textId="77777777" w:rsidR="006A35FB" w:rsidRPr="00E04F74" w:rsidRDefault="006A35FB" w:rsidP="002870DD">
      <w:pPr>
        <w:pStyle w:val="Header"/>
        <w:jc w:val="both"/>
        <w:rPr>
          <w:sz w:val="22"/>
          <w:szCs w:val="22"/>
          <w:lang w:val="sr-Latn-RS"/>
        </w:rPr>
      </w:pPr>
      <w:r w:rsidRPr="00E04F74">
        <w:rPr>
          <w:sz w:val="22"/>
          <w:szCs w:val="22"/>
          <w:lang w:val="sr-Latn-RS"/>
        </w:rPr>
        <w:t>Klinički značajno smanjenje osjetljivosti na abakavir je pokazano u kliničkim izolatima pacijenata sa nekontrolisanom virusnom replikacijom, koji su prethodno liječeni ostalim nukleozidnim inhibitorima i koji su na njih rezistentni. U okviru meta analize pet kliničkih ispitivanja, gdje je ABC dodat u cilju intenziviranja terapije, od 166 ispitanika, 123 (74%) je imalo M184V/I, 50 (30%) je imalo T215Y/F, 45 (27%) je imalo M41L, 30 (18%) je imalo K70R i 25 (15%) je imalo D67N. K65R nije bila prisutna i L74V i Y115F su bile povremene (≤3%). Modelovanjem logaritamskom regresijom prediktivne vrijednosti za genotip (prilagođenim osnovnim vrijednostima HIV-1RNK [vRNK] u plazmi, broju CD4+ ćelija, broju i trajanju terapija primijenjenih prije antiretrovirusne), pokazano je prisustvo 3 ili više NRTI mutacija, udruženih sa rezistencijom, koje su bile u vezi sa smanjenim odgovorm na terapiju u 4. nedjelji (p=0,015) ili 4 ili više mutacija u središnjoj 24. nedjelji (p≤0,012). Dodatno, 69 insercionih kompleksa ili Q151M mutacija, obično pronađenih u kombinaciji sa A62V, V75I, F77L i F116Y, uzrokuju visok nivo rezistencije na abakavir.</w:t>
      </w:r>
    </w:p>
    <w:p w14:paraId="058E0A71" w14:textId="7A09D87F" w:rsidR="006A35FB" w:rsidRPr="00E04F74" w:rsidRDefault="006A35FB" w:rsidP="00946B2E">
      <w:pPr>
        <w:pStyle w:val="Header"/>
        <w:jc w:val="both"/>
        <w:rPr>
          <w:sz w:val="22"/>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9"/>
        <w:gridCol w:w="1173"/>
        <w:gridCol w:w="2650"/>
        <w:gridCol w:w="2791"/>
      </w:tblGrid>
      <w:tr w:rsidR="006A35FB" w:rsidRPr="00E04F74" w14:paraId="058E0A75" w14:textId="77777777" w:rsidTr="00095F06">
        <w:tc>
          <w:tcPr>
            <w:tcW w:w="1351" w:type="pct"/>
            <w:vMerge w:val="restart"/>
            <w:tcBorders>
              <w:top w:val="single" w:sz="4" w:space="0" w:color="000000"/>
              <w:left w:val="single" w:sz="4" w:space="0" w:color="000000"/>
              <w:bottom w:val="single" w:sz="4" w:space="0" w:color="000000"/>
              <w:right w:val="single" w:sz="4" w:space="0" w:color="000000"/>
            </w:tcBorders>
            <w:vAlign w:val="center"/>
            <w:hideMark/>
          </w:tcPr>
          <w:p w14:paraId="058E0A72" w14:textId="77777777" w:rsidR="006A35FB" w:rsidRPr="00E04F74" w:rsidRDefault="006A35FB" w:rsidP="00946B2E">
            <w:pPr>
              <w:pStyle w:val="Header"/>
              <w:jc w:val="both"/>
              <w:rPr>
                <w:b/>
                <w:sz w:val="22"/>
                <w:szCs w:val="22"/>
                <w:lang w:val="sr-Latn-RS"/>
              </w:rPr>
            </w:pPr>
            <w:r w:rsidRPr="00E04F74">
              <w:rPr>
                <w:b/>
                <w:sz w:val="22"/>
                <w:szCs w:val="22"/>
                <w:lang w:val="sr-Latn-RS"/>
              </w:rPr>
              <w:t>Osnovna mutacija reverzne transkriptaze</w:t>
            </w:r>
          </w:p>
        </w:tc>
        <w:tc>
          <w:tcPr>
            <w:tcW w:w="3649" w:type="pct"/>
            <w:gridSpan w:val="3"/>
            <w:tcBorders>
              <w:top w:val="single" w:sz="4" w:space="0" w:color="000000"/>
              <w:left w:val="single" w:sz="4" w:space="0" w:color="000000"/>
              <w:bottom w:val="single" w:sz="4" w:space="0" w:color="000000"/>
              <w:right w:val="single" w:sz="4" w:space="0" w:color="000000"/>
            </w:tcBorders>
            <w:vAlign w:val="center"/>
            <w:hideMark/>
          </w:tcPr>
          <w:p w14:paraId="058E0A73" w14:textId="77777777" w:rsidR="006A35FB" w:rsidRPr="00E04F74" w:rsidRDefault="006A35FB" w:rsidP="00946B2E">
            <w:pPr>
              <w:pStyle w:val="Header"/>
              <w:jc w:val="both"/>
              <w:rPr>
                <w:b/>
                <w:sz w:val="22"/>
                <w:szCs w:val="22"/>
                <w:lang w:val="sr-Latn-RS"/>
              </w:rPr>
            </w:pPr>
            <w:r w:rsidRPr="00E04F74">
              <w:rPr>
                <w:b/>
                <w:sz w:val="22"/>
                <w:szCs w:val="22"/>
                <w:lang w:val="sr-Latn-RS"/>
              </w:rPr>
              <w:t>Nedjelja 4</w:t>
            </w:r>
          </w:p>
          <w:p w14:paraId="058E0A74" w14:textId="77777777" w:rsidR="006A35FB" w:rsidRPr="00E04F74" w:rsidRDefault="006A35FB" w:rsidP="00946B2E">
            <w:pPr>
              <w:pStyle w:val="Header"/>
              <w:jc w:val="both"/>
              <w:rPr>
                <w:b/>
                <w:sz w:val="22"/>
                <w:szCs w:val="22"/>
                <w:lang w:val="sr-Latn-RS"/>
              </w:rPr>
            </w:pPr>
            <w:r w:rsidRPr="00E04F74">
              <w:rPr>
                <w:b/>
                <w:sz w:val="22"/>
                <w:szCs w:val="22"/>
                <w:lang w:val="sr-Latn-RS"/>
              </w:rPr>
              <w:t>(n=166)</w:t>
            </w:r>
          </w:p>
        </w:tc>
      </w:tr>
      <w:tr w:rsidR="006A35FB" w:rsidRPr="00E04F74" w14:paraId="058E0A7B" w14:textId="77777777" w:rsidTr="00095F06">
        <w:tc>
          <w:tcPr>
            <w:tcW w:w="1351" w:type="pct"/>
            <w:vMerge/>
            <w:tcBorders>
              <w:top w:val="single" w:sz="4" w:space="0" w:color="000000"/>
              <w:left w:val="single" w:sz="4" w:space="0" w:color="000000"/>
              <w:bottom w:val="single" w:sz="4" w:space="0" w:color="000000"/>
              <w:right w:val="single" w:sz="4" w:space="0" w:color="000000"/>
            </w:tcBorders>
            <w:vAlign w:val="center"/>
            <w:hideMark/>
          </w:tcPr>
          <w:p w14:paraId="058E0A76" w14:textId="77777777" w:rsidR="006A35FB" w:rsidRPr="00E04F74" w:rsidRDefault="006A35FB" w:rsidP="00946B2E">
            <w:pPr>
              <w:jc w:val="both"/>
              <w:rPr>
                <w:b/>
                <w:sz w:val="22"/>
                <w:szCs w:val="22"/>
                <w:lang w:val="sr-Latn-RS"/>
              </w:rPr>
            </w:pP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058E0A77" w14:textId="77777777" w:rsidR="006A35FB" w:rsidRPr="00E04F74" w:rsidRDefault="006A35FB" w:rsidP="00946B2E">
            <w:pPr>
              <w:pStyle w:val="Header"/>
              <w:jc w:val="both"/>
              <w:rPr>
                <w:b/>
                <w:sz w:val="22"/>
                <w:szCs w:val="22"/>
                <w:lang w:val="sr-Latn-RS"/>
              </w:rPr>
            </w:pPr>
            <w:r w:rsidRPr="00E04F74">
              <w:rPr>
                <w:b/>
                <w:sz w:val="22"/>
                <w:szCs w:val="22"/>
                <w:lang w:val="sr-Latn-RS"/>
              </w:rPr>
              <w:t>n</w:t>
            </w:r>
          </w:p>
        </w:tc>
        <w:tc>
          <w:tcPr>
            <w:tcW w:w="1462" w:type="pct"/>
            <w:tcBorders>
              <w:top w:val="single" w:sz="4" w:space="0" w:color="000000"/>
              <w:left w:val="single" w:sz="4" w:space="0" w:color="000000"/>
              <w:bottom w:val="single" w:sz="4" w:space="0" w:color="000000"/>
              <w:right w:val="single" w:sz="4" w:space="0" w:color="000000"/>
            </w:tcBorders>
            <w:vAlign w:val="center"/>
            <w:hideMark/>
          </w:tcPr>
          <w:p w14:paraId="058E0A78" w14:textId="66746CF8" w:rsidR="006A35FB" w:rsidRPr="00E04F74" w:rsidRDefault="006A35FB" w:rsidP="00946B2E">
            <w:pPr>
              <w:pStyle w:val="Header"/>
              <w:jc w:val="both"/>
              <w:rPr>
                <w:b/>
                <w:sz w:val="22"/>
                <w:szCs w:val="22"/>
                <w:lang w:val="sr-Latn-RS"/>
              </w:rPr>
            </w:pPr>
            <w:r w:rsidRPr="00E04F74">
              <w:rPr>
                <w:b/>
                <w:sz w:val="22"/>
                <w:szCs w:val="22"/>
                <w:lang w:val="sr-Latn-RS"/>
              </w:rPr>
              <w:t>Prosječna promjena vRNK (log</w:t>
            </w:r>
            <w:r w:rsidRPr="00E04F74">
              <w:rPr>
                <w:b/>
                <w:sz w:val="22"/>
                <w:szCs w:val="22"/>
                <w:vertAlign w:val="subscript"/>
                <w:lang w:val="sr-Latn-RS"/>
              </w:rPr>
              <w:t>10</w:t>
            </w:r>
            <w:r w:rsidRPr="00E04F74">
              <w:rPr>
                <w:b/>
                <w:sz w:val="22"/>
                <w:szCs w:val="22"/>
                <w:lang w:val="sr-Latn-RS"/>
              </w:rPr>
              <w:t>c/m</w:t>
            </w:r>
            <w:r w:rsidR="007D1417" w:rsidRPr="00E04F74">
              <w:rPr>
                <w:b/>
                <w:sz w:val="22"/>
                <w:szCs w:val="22"/>
                <w:lang w:val="sr-Latn-RS"/>
              </w:rPr>
              <w:t>l</w:t>
            </w:r>
            <w:r w:rsidRPr="00E04F74">
              <w:rPr>
                <w:b/>
                <w:sz w:val="22"/>
                <w:szCs w:val="22"/>
                <w:lang w:val="sr-Latn-RS"/>
              </w:rPr>
              <w:t>)</w:t>
            </w:r>
          </w:p>
        </w:tc>
        <w:tc>
          <w:tcPr>
            <w:tcW w:w="1539" w:type="pct"/>
            <w:tcBorders>
              <w:top w:val="single" w:sz="4" w:space="0" w:color="000000"/>
              <w:left w:val="single" w:sz="4" w:space="0" w:color="000000"/>
              <w:bottom w:val="single" w:sz="4" w:space="0" w:color="000000"/>
              <w:right w:val="single" w:sz="4" w:space="0" w:color="000000"/>
            </w:tcBorders>
            <w:vAlign w:val="center"/>
            <w:hideMark/>
          </w:tcPr>
          <w:p w14:paraId="058E0A79" w14:textId="77777777" w:rsidR="006A35FB" w:rsidRPr="00E04F74" w:rsidRDefault="006A35FB" w:rsidP="00946B2E">
            <w:pPr>
              <w:pStyle w:val="Header"/>
              <w:jc w:val="both"/>
              <w:rPr>
                <w:b/>
                <w:sz w:val="22"/>
                <w:szCs w:val="22"/>
                <w:lang w:val="sr-Latn-RS"/>
              </w:rPr>
            </w:pPr>
            <w:r w:rsidRPr="00E04F74">
              <w:rPr>
                <w:b/>
                <w:sz w:val="22"/>
                <w:szCs w:val="22"/>
                <w:lang w:val="sr-Latn-RS"/>
              </w:rPr>
              <w:t xml:space="preserve">Procenat sa </w:t>
            </w:r>
          </w:p>
          <w:p w14:paraId="058E0A7A" w14:textId="1B855AD6" w:rsidR="006A35FB" w:rsidRPr="00E04F74" w:rsidRDefault="006A35FB" w:rsidP="00946B2E">
            <w:pPr>
              <w:pStyle w:val="Header"/>
              <w:jc w:val="both"/>
              <w:rPr>
                <w:b/>
                <w:sz w:val="22"/>
                <w:szCs w:val="22"/>
                <w:lang w:val="sr-Latn-RS"/>
              </w:rPr>
            </w:pPr>
            <w:r w:rsidRPr="00E04F74">
              <w:rPr>
                <w:b/>
                <w:sz w:val="22"/>
                <w:szCs w:val="22"/>
                <w:lang w:val="sr-Latn-RS"/>
              </w:rPr>
              <w:t>&lt;400 kopija/m</w:t>
            </w:r>
            <w:r w:rsidR="007D1417" w:rsidRPr="00E04F74">
              <w:rPr>
                <w:b/>
                <w:sz w:val="22"/>
                <w:szCs w:val="22"/>
                <w:lang w:val="sr-Latn-RS"/>
              </w:rPr>
              <w:t>l</w:t>
            </w:r>
            <w:r w:rsidRPr="00E04F74">
              <w:rPr>
                <w:b/>
                <w:sz w:val="22"/>
                <w:szCs w:val="22"/>
                <w:lang w:val="sr-Latn-RS"/>
              </w:rPr>
              <w:t xml:space="preserve"> vRNK</w:t>
            </w:r>
          </w:p>
        </w:tc>
      </w:tr>
      <w:tr w:rsidR="006A35FB" w:rsidRPr="00E04F74" w14:paraId="058E0A80" w14:textId="77777777" w:rsidTr="00095F06">
        <w:tc>
          <w:tcPr>
            <w:tcW w:w="1351" w:type="pct"/>
            <w:tcBorders>
              <w:top w:val="single" w:sz="4" w:space="0" w:color="000000"/>
              <w:left w:val="single" w:sz="4" w:space="0" w:color="000000"/>
              <w:bottom w:val="single" w:sz="4" w:space="0" w:color="000000"/>
              <w:right w:val="single" w:sz="4" w:space="0" w:color="000000"/>
            </w:tcBorders>
            <w:vAlign w:val="center"/>
            <w:hideMark/>
          </w:tcPr>
          <w:p w14:paraId="058E0A7C" w14:textId="77777777" w:rsidR="006A35FB" w:rsidRPr="00E04F74" w:rsidRDefault="006A35FB" w:rsidP="00946B2E">
            <w:pPr>
              <w:pStyle w:val="Header"/>
              <w:jc w:val="both"/>
              <w:rPr>
                <w:b/>
                <w:sz w:val="22"/>
                <w:szCs w:val="22"/>
                <w:lang w:val="sr-Latn-RS"/>
              </w:rPr>
            </w:pPr>
            <w:r w:rsidRPr="00E04F74">
              <w:rPr>
                <w:b/>
                <w:sz w:val="22"/>
                <w:szCs w:val="22"/>
                <w:lang w:val="sr-Latn-RS"/>
              </w:rPr>
              <w:t>Nijedna</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058E0A7D" w14:textId="77777777" w:rsidR="006A35FB" w:rsidRPr="00E04F74" w:rsidRDefault="006A35FB" w:rsidP="00946B2E">
            <w:pPr>
              <w:pStyle w:val="Header"/>
              <w:jc w:val="both"/>
              <w:rPr>
                <w:sz w:val="22"/>
                <w:szCs w:val="22"/>
                <w:lang w:val="sr-Latn-RS"/>
              </w:rPr>
            </w:pPr>
            <w:r w:rsidRPr="00E04F74">
              <w:rPr>
                <w:sz w:val="22"/>
                <w:szCs w:val="22"/>
                <w:lang w:val="sr-Latn-RS"/>
              </w:rPr>
              <w:t>15</w:t>
            </w:r>
          </w:p>
        </w:tc>
        <w:tc>
          <w:tcPr>
            <w:tcW w:w="1462" w:type="pct"/>
            <w:tcBorders>
              <w:top w:val="single" w:sz="4" w:space="0" w:color="000000"/>
              <w:left w:val="single" w:sz="4" w:space="0" w:color="000000"/>
              <w:bottom w:val="single" w:sz="4" w:space="0" w:color="000000"/>
              <w:right w:val="single" w:sz="4" w:space="0" w:color="000000"/>
            </w:tcBorders>
            <w:vAlign w:val="center"/>
            <w:hideMark/>
          </w:tcPr>
          <w:p w14:paraId="058E0A7E" w14:textId="77777777" w:rsidR="006A35FB" w:rsidRPr="00E04F74" w:rsidRDefault="006A35FB" w:rsidP="00946B2E">
            <w:pPr>
              <w:pStyle w:val="Header"/>
              <w:jc w:val="both"/>
              <w:rPr>
                <w:sz w:val="22"/>
                <w:szCs w:val="22"/>
                <w:lang w:val="sr-Latn-RS"/>
              </w:rPr>
            </w:pPr>
            <w:r w:rsidRPr="00E04F74">
              <w:rPr>
                <w:sz w:val="22"/>
                <w:szCs w:val="22"/>
                <w:lang w:val="sr-Latn-RS"/>
              </w:rPr>
              <w:t>-0,86</w:t>
            </w:r>
          </w:p>
        </w:tc>
        <w:tc>
          <w:tcPr>
            <w:tcW w:w="1539" w:type="pct"/>
            <w:tcBorders>
              <w:top w:val="single" w:sz="4" w:space="0" w:color="000000"/>
              <w:left w:val="single" w:sz="4" w:space="0" w:color="000000"/>
              <w:bottom w:val="single" w:sz="4" w:space="0" w:color="000000"/>
              <w:right w:val="single" w:sz="4" w:space="0" w:color="000000"/>
            </w:tcBorders>
            <w:vAlign w:val="center"/>
            <w:hideMark/>
          </w:tcPr>
          <w:p w14:paraId="058E0A7F" w14:textId="77777777" w:rsidR="006A35FB" w:rsidRPr="00E04F74" w:rsidRDefault="006A35FB" w:rsidP="00946B2E">
            <w:pPr>
              <w:pStyle w:val="Header"/>
              <w:jc w:val="both"/>
              <w:rPr>
                <w:sz w:val="22"/>
                <w:szCs w:val="22"/>
                <w:lang w:val="sr-Latn-RS"/>
              </w:rPr>
            </w:pPr>
            <w:r w:rsidRPr="00E04F74">
              <w:rPr>
                <w:sz w:val="22"/>
                <w:szCs w:val="22"/>
                <w:lang w:val="sr-Latn-RS"/>
              </w:rPr>
              <w:t>40%</w:t>
            </w:r>
          </w:p>
        </w:tc>
      </w:tr>
      <w:tr w:rsidR="006A35FB" w:rsidRPr="00E04F74" w14:paraId="058E0A85" w14:textId="77777777" w:rsidTr="00095F06">
        <w:tc>
          <w:tcPr>
            <w:tcW w:w="1351" w:type="pct"/>
            <w:tcBorders>
              <w:top w:val="single" w:sz="4" w:space="0" w:color="000000"/>
              <w:left w:val="single" w:sz="4" w:space="0" w:color="000000"/>
              <w:bottom w:val="single" w:sz="4" w:space="0" w:color="000000"/>
              <w:right w:val="single" w:sz="4" w:space="0" w:color="000000"/>
            </w:tcBorders>
            <w:vAlign w:val="center"/>
            <w:hideMark/>
          </w:tcPr>
          <w:p w14:paraId="058E0A81" w14:textId="77777777" w:rsidR="006A35FB" w:rsidRPr="00E04F74" w:rsidRDefault="006A35FB" w:rsidP="00946B2E">
            <w:pPr>
              <w:pStyle w:val="Header"/>
              <w:jc w:val="both"/>
              <w:rPr>
                <w:b/>
                <w:sz w:val="22"/>
                <w:szCs w:val="22"/>
                <w:lang w:val="sr-Latn-RS"/>
              </w:rPr>
            </w:pPr>
            <w:r w:rsidRPr="00E04F74">
              <w:rPr>
                <w:b/>
                <w:sz w:val="22"/>
                <w:szCs w:val="22"/>
                <w:lang w:val="sr-Latn-RS"/>
              </w:rPr>
              <w:t>Isključivo M184V</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058E0A82" w14:textId="77777777" w:rsidR="006A35FB" w:rsidRPr="00E04F74" w:rsidRDefault="006A35FB" w:rsidP="00946B2E">
            <w:pPr>
              <w:pStyle w:val="Header"/>
              <w:jc w:val="both"/>
              <w:rPr>
                <w:sz w:val="22"/>
                <w:szCs w:val="22"/>
                <w:lang w:val="sr-Latn-RS"/>
              </w:rPr>
            </w:pPr>
            <w:r w:rsidRPr="00E04F74">
              <w:rPr>
                <w:sz w:val="22"/>
                <w:szCs w:val="22"/>
                <w:lang w:val="sr-Latn-RS"/>
              </w:rPr>
              <w:t>75</w:t>
            </w:r>
          </w:p>
        </w:tc>
        <w:tc>
          <w:tcPr>
            <w:tcW w:w="1462" w:type="pct"/>
            <w:tcBorders>
              <w:top w:val="single" w:sz="4" w:space="0" w:color="000000"/>
              <w:left w:val="single" w:sz="4" w:space="0" w:color="000000"/>
              <w:bottom w:val="single" w:sz="4" w:space="0" w:color="000000"/>
              <w:right w:val="single" w:sz="4" w:space="0" w:color="000000"/>
            </w:tcBorders>
            <w:vAlign w:val="center"/>
            <w:hideMark/>
          </w:tcPr>
          <w:p w14:paraId="058E0A83" w14:textId="77777777" w:rsidR="006A35FB" w:rsidRPr="00E04F74" w:rsidRDefault="006A35FB" w:rsidP="00946B2E">
            <w:pPr>
              <w:pStyle w:val="Header"/>
              <w:jc w:val="both"/>
              <w:rPr>
                <w:sz w:val="22"/>
                <w:szCs w:val="22"/>
                <w:lang w:val="sr-Latn-RS"/>
              </w:rPr>
            </w:pPr>
            <w:r w:rsidRPr="00E04F74">
              <w:rPr>
                <w:sz w:val="22"/>
                <w:szCs w:val="22"/>
                <w:lang w:val="sr-Latn-RS"/>
              </w:rPr>
              <w:t>-0,74</w:t>
            </w:r>
          </w:p>
        </w:tc>
        <w:tc>
          <w:tcPr>
            <w:tcW w:w="1539" w:type="pct"/>
            <w:tcBorders>
              <w:top w:val="single" w:sz="4" w:space="0" w:color="000000"/>
              <w:left w:val="single" w:sz="4" w:space="0" w:color="000000"/>
              <w:bottom w:val="single" w:sz="4" w:space="0" w:color="000000"/>
              <w:right w:val="single" w:sz="4" w:space="0" w:color="000000"/>
            </w:tcBorders>
            <w:vAlign w:val="center"/>
            <w:hideMark/>
          </w:tcPr>
          <w:p w14:paraId="058E0A84" w14:textId="77777777" w:rsidR="006A35FB" w:rsidRPr="00E04F74" w:rsidRDefault="006A35FB" w:rsidP="00946B2E">
            <w:pPr>
              <w:pStyle w:val="Header"/>
              <w:jc w:val="both"/>
              <w:rPr>
                <w:sz w:val="22"/>
                <w:szCs w:val="22"/>
                <w:lang w:val="sr-Latn-RS"/>
              </w:rPr>
            </w:pPr>
            <w:r w:rsidRPr="00E04F74">
              <w:rPr>
                <w:sz w:val="22"/>
                <w:szCs w:val="22"/>
                <w:lang w:val="sr-Latn-RS"/>
              </w:rPr>
              <w:t>64%</w:t>
            </w:r>
          </w:p>
        </w:tc>
      </w:tr>
      <w:tr w:rsidR="006A35FB" w:rsidRPr="00E04F74" w14:paraId="058E0A8A" w14:textId="77777777" w:rsidTr="00095F06">
        <w:tc>
          <w:tcPr>
            <w:tcW w:w="1351" w:type="pct"/>
            <w:tcBorders>
              <w:top w:val="single" w:sz="4" w:space="0" w:color="000000"/>
              <w:left w:val="single" w:sz="4" w:space="0" w:color="000000"/>
              <w:bottom w:val="single" w:sz="4" w:space="0" w:color="000000"/>
              <w:right w:val="single" w:sz="4" w:space="0" w:color="000000"/>
            </w:tcBorders>
            <w:vAlign w:val="center"/>
            <w:hideMark/>
          </w:tcPr>
          <w:p w14:paraId="058E0A86" w14:textId="77777777" w:rsidR="006A35FB" w:rsidRPr="00E04F74" w:rsidRDefault="006A35FB" w:rsidP="00946B2E">
            <w:pPr>
              <w:pStyle w:val="Header"/>
              <w:jc w:val="both"/>
              <w:rPr>
                <w:b/>
                <w:sz w:val="22"/>
                <w:szCs w:val="22"/>
                <w:lang w:val="sr-Latn-RS"/>
              </w:rPr>
            </w:pPr>
            <w:r w:rsidRPr="00E04F74">
              <w:rPr>
                <w:b/>
                <w:sz w:val="22"/>
                <w:szCs w:val="22"/>
                <w:lang w:val="sr-Latn-RS"/>
              </w:rPr>
              <w:lastRenderedPageBreak/>
              <w:t>Bilo koja NRTI mutacija</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058E0A87" w14:textId="77777777" w:rsidR="006A35FB" w:rsidRPr="00E04F74" w:rsidRDefault="006A35FB" w:rsidP="00946B2E">
            <w:pPr>
              <w:pStyle w:val="Header"/>
              <w:jc w:val="both"/>
              <w:rPr>
                <w:sz w:val="22"/>
                <w:szCs w:val="22"/>
                <w:lang w:val="sr-Latn-RS"/>
              </w:rPr>
            </w:pPr>
            <w:r w:rsidRPr="00E04F74">
              <w:rPr>
                <w:sz w:val="22"/>
                <w:szCs w:val="22"/>
                <w:lang w:val="sr-Latn-RS"/>
              </w:rPr>
              <w:t>82</w:t>
            </w:r>
          </w:p>
        </w:tc>
        <w:tc>
          <w:tcPr>
            <w:tcW w:w="1462" w:type="pct"/>
            <w:tcBorders>
              <w:top w:val="single" w:sz="4" w:space="0" w:color="000000"/>
              <w:left w:val="single" w:sz="4" w:space="0" w:color="000000"/>
              <w:bottom w:val="single" w:sz="4" w:space="0" w:color="000000"/>
              <w:right w:val="single" w:sz="4" w:space="0" w:color="000000"/>
            </w:tcBorders>
            <w:vAlign w:val="center"/>
            <w:hideMark/>
          </w:tcPr>
          <w:p w14:paraId="058E0A88" w14:textId="77777777" w:rsidR="006A35FB" w:rsidRPr="00E04F74" w:rsidRDefault="006A35FB" w:rsidP="00946B2E">
            <w:pPr>
              <w:pStyle w:val="Header"/>
              <w:jc w:val="both"/>
              <w:rPr>
                <w:sz w:val="22"/>
                <w:szCs w:val="22"/>
                <w:lang w:val="sr-Latn-RS"/>
              </w:rPr>
            </w:pPr>
            <w:r w:rsidRPr="00E04F74">
              <w:rPr>
                <w:sz w:val="22"/>
                <w:szCs w:val="22"/>
                <w:lang w:val="sr-Latn-RS"/>
              </w:rPr>
              <w:t>-0,72</w:t>
            </w:r>
          </w:p>
        </w:tc>
        <w:tc>
          <w:tcPr>
            <w:tcW w:w="1539" w:type="pct"/>
            <w:tcBorders>
              <w:top w:val="single" w:sz="4" w:space="0" w:color="000000"/>
              <w:left w:val="single" w:sz="4" w:space="0" w:color="000000"/>
              <w:bottom w:val="single" w:sz="4" w:space="0" w:color="000000"/>
              <w:right w:val="single" w:sz="4" w:space="0" w:color="000000"/>
            </w:tcBorders>
            <w:vAlign w:val="center"/>
            <w:hideMark/>
          </w:tcPr>
          <w:p w14:paraId="058E0A89" w14:textId="77777777" w:rsidR="006A35FB" w:rsidRPr="00E04F74" w:rsidRDefault="006A35FB" w:rsidP="00946B2E">
            <w:pPr>
              <w:pStyle w:val="Header"/>
              <w:jc w:val="both"/>
              <w:rPr>
                <w:sz w:val="22"/>
                <w:szCs w:val="22"/>
                <w:lang w:val="sr-Latn-RS"/>
              </w:rPr>
            </w:pPr>
            <w:r w:rsidRPr="00E04F74">
              <w:rPr>
                <w:sz w:val="22"/>
                <w:szCs w:val="22"/>
                <w:lang w:val="sr-Latn-RS"/>
              </w:rPr>
              <w:t>65%</w:t>
            </w:r>
          </w:p>
        </w:tc>
      </w:tr>
      <w:tr w:rsidR="006A35FB" w:rsidRPr="00E04F74" w14:paraId="058E0A8F" w14:textId="77777777" w:rsidTr="00095F06">
        <w:tc>
          <w:tcPr>
            <w:tcW w:w="1351" w:type="pct"/>
            <w:tcBorders>
              <w:top w:val="single" w:sz="4" w:space="0" w:color="000000"/>
              <w:left w:val="single" w:sz="4" w:space="0" w:color="000000"/>
              <w:bottom w:val="single" w:sz="4" w:space="0" w:color="000000"/>
              <w:right w:val="single" w:sz="4" w:space="0" w:color="000000"/>
            </w:tcBorders>
            <w:vAlign w:val="center"/>
            <w:hideMark/>
          </w:tcPr>
          <w:p w14:paraId="058E0A8B" w14:textId="77777777" w:rsidR="006A35FB" w:rsidRPr="00E04F74" w:rsidRDefault="006A35FB" w:rsidP="00946B2E">
            <w:pPr>
              <w:pStyle w:val="Header"/>
              <w:jc w:val="both"/>
              <w:rPr>
                <w:b/>
                <w:sz w:val="22"/>
                <w:szCs w:val="22"/>
                <w:lang w:val="sr-Latn-RS"/>
              </w:rPr>
            </w:pPr>
            <w:r w:rsidRPr="00E04F74">
              <w:rPr>
                <w:b/>
                <w:sz w:val="22"/>
                <w:szCs w:val="22"/>
                <w:lang w:val="sr-Latn-RS"/>
              </w:rPr>
              <w:t>Bilo koje dvije mutacije udružene sa NRTI</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058E0A8C" w14:textId="77777777" w:rsidR="006A35FB" w:rsidRPr="00E04F74" w:rsidRDefault="006A35FB" w:rsidP="00946B2E">
            <w:pPr>
              <w:pStyle w:val="Header"/>
              <w:jc w:val="both"/>
              <w:rPr>
                <w:sz w:val="22"/>
                <w:szCs w:val="22"/>
                <w:lang w:val="sr-Latn-RS"/>
              </w:rPr>
            </w:pPr>
            <w:r w:rsidRPr="00E04F74">
              <w:rPr>
                <w:sz w:val="22"/>
                <w:szCs w:val="22"/>
                <w:lang w:val="sr-Latn-RS"/>
              </w:rPr>
              <w:t>22</w:t>
            </w:r>
          </w:p>
        </w:tc>
        <w:tc>
          <w:tcPr>
            <w:tcW w:w="1462" w:type="pct"/>
            <w:tcBorders>
              <w:top w:val="single" w:sz="4" w:space="0" w:color="000000"/>
              <w:left w:val="single" w:sz="4" w:space="0" w:color="000000"/>
              <w:bottom w:val="single" w:sz="4" w:space="0" w:color="000000"/>
              <w:right w:val="single" w:sz="4" w:space="0" w:color="000000"/>
            </w:tcBorders>
            <w:vAlign w:val="center"/>
            <w:hideMark/>
          </w:tcPr>
          <w:p w14:paraId="058E0A8D" w14:textId="77777777" w:rsidR="006A35FB" w:rsidRPr="00E04F74" w:rsidRDefault="006A35FB" w:rsidP="00946B2E">
            <w:pPr>
              <w:pStyle w:val="Header"/>
              <w:jc w:val="both"/>
              <w:rPr>
                <w:sz w:val="22"/>
                <w:szCs w:val="22"/>
                <w:lang w:val="sr-Latn-RS"/>
              </w:rPr>
            </w:pPr>
            <w:r w:rsidRPr="00E04F74">
              <w:rPr>
                <w:sz w:val="22"/>
                <w:szCs w:val="22"/>
                <w:lang w:val="sr-Latn-RS"/>
              </w:rPr>
              <w:t>-0,82</w:t>
            </w:r>
          </w:p>
        </w:tc>
        <w:tc>
          <w:tcPr>
            <w:tcW w:w="1539" w:type="pct"/>
            <w:tcBorders>
              <w:top w:val="single" w:sz="4" w:space="0" w:color="000000"/>
              <w:left w:val="single" w:sz="4" w:space="0" w:color="000000"/>
              <w:bottom w:val="single" w:sz="4" w:space="0" w:color="000000"/>
              <w:right w:val="single" w:sz="4" w:space="0" w:color="000000"/>
            </w:tcBorders>
            <w:vAlign w:val="center"/>
            <w:hideMark/>
          </w:tcPr>
          <w:p w14:paraId="058E0A8E" w14:textId="77777777" w:rsidR="006A35FB" w:rsidRPr="00E04F74" w:rsidRDefault="006A35FB" w:rsidP="00946B2E">
            <w:pPr>
              <w:pStyle w:val="Header"/>
              <w:jc w:val="both"/>
              <w:rPr>
                <w:sz w:val="22"/>
                <w:szCs w:val="22"/>
                <w:lang w:val="sr-Latn-RS"/>
              </w:rPr>
            </w:pPr>
            <w:r w:rsidRPr="00E04F74">
              <w:rPr>
                <w:sz w:val="22"/>
                <w:szCs w:val="22"/>
                <w:lang w:val="sr-Latn-RS"/>
              </w:rPr>
              <w:t>32%</w:t>
            </w:r>
          </w:p>
        </w:tc>
      </w:tr>
      <w:tr w:rsidR="006A35FB" w:rsidRPr="00E04F74" w14:paraId="058E0A94" w14:textId="77777777" w:rsidTr="00095F06">
        <w:tc>
          <w:tcPr>
            <w:tcW w:w="1351" w:type="pct"/>
            <w:tcBorders>
              <w:top w:val="single" w:sz="4" w:space="0" w:color="000000"/>
              <w:left w:val="single" w:sz="4" w:space="0" w:color="000000"/>
              <w:bottom w:val="single" w:sz="4" w:space="0" w:color="000000"/>
              <w:right w:val="single" w:sz="4" w:space="0" w:color="000000"/>
            </w:tcBorders>
            <w:vAlign w:val="center"/>
            <w:hideMark/>
          </w:tcPr>
          <w:p w14:paraId="058E0A90" w14:textId="77777777" w:rsidR="006A35FB" w:rsidRPr="00E04F74" w:rsidRDefault="006A35FB" w:rsidP="00946B2E">
            <w:pPr>
              <w:pStyle w:val="Header"/>
              <w:jc w:val="both"/>
              <w:rPr>
                <w:b/>
                <w:sz w:val="22"/>
                <w:szCs w:val="22"/>
                <w:lang w:val="sr-Latn-RS"/>
              </w:rPr>
            </w:pPr>
            <w:r w:rsidRPr="00E04F74">
              <w:rPr>
                <w:b/>
                <w:sz w:val="22"/>
                <w:szCs w:val="22"/>
                <w:lang w:val="sr-Latn-RS"/>
              </w:rPr>
              <w:t>Bilo koje tri mutacije udružene sa NRTI</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058E0A91" w14:textId="77777777" w:rsidR="006A35FB" w:rsidRPr="00E04F74" w:rsidRDefault="006A35FB" w:rsidP="00946B2E">
            <w:pPr>
              <w:pStyle w:val="Header"/>
              <w:jc w:val="both"/>
              <w:rPr>
                <w:sz w:val="22"/>
                <w:szCs w:val="22"/>
                <w:lang w:val="sr-Latn-RS"/>
              </w:rPr>
            </w:pPr>
            <w:r w:rsidRPr="00E04F74">
              <w:rPr>
                <w:sz w:val="22"/>
                <w:szCs w:val="22"/>
                <w:lang w:val="sr-Latn-RS"/>
              </w:rPr>
              <w:t>19</w:t>
            </w:r>
          </w:p>
        </w:tc>
        <w:tc>
          <w:tcPr>
            <w:tcW w:w="1462" w:type="pct"/>
            <w:tcBorders>
              <w:top w:val="single" w:sz="4" w:space="0" w:color="000000"/>
              <w:left w:val="single" w:sz="4" w:space="0" w:color="000000"/>
              <w:bottom w:val="single" w:sz="4" w:space="0" w:color="000000"/>
              <w:right w:val="single" w:sz="4" w:space="0" w:color="000000"/>
            </w:tcBorders>
            <w:vAlign w:val="center"/>
            <w:hideMark/>
          </w:tcPr>
          <w:p w14:paraId="058E0A92" w14:textId="77777777" w:rsidR="006A35FB" w:rsidRPr="00E04F74" w:rsidRDefault="006A35FB" w:rsidP="00946B2E">
            <w:pPr>
              <w:pStyle w:val="Header"/>
              <w:jc w:val="both"/>
              <w:rPr>
                <w:sz w:val="22"/>
                <w:szCs w:val="22"/>
                <w:lang w:val="sr-Latn-RS"/>
              </w:rPr>
            </w:pPr>
            <w:r w:rsidRPr="00E04F74">
              <w:rPr>
                <w:sz w:val="22"/>
                <w:szCs w:val="22"/>
                <w:lang w:val="sr-Latn-RS"/>
              </w:rPr>
              <w:t>-0,30</w:t>
            </w:r>
          </w:p>
        </w:tc>
        <w:tc>
          <w:tcPr>
            <w:tcW w:w="1539" w:type="pct"/>
            <w:tcBorders>
              <w:top w:val="single" w:sz="4" w:space="0" w:color="000000"/>
              <w:left w:val="single" w:sz="4" w:space="0" w:color="000000"/>
              <w:bottom w:val="single" w:sz="4" w:space="0" w:color="000000"/>
              <w:right w:val="single" w:sz="4" w:space="0" w:color="000000"/>
            </w:tcBorders>
            <w:vAlign w:val="center"/>
            <w:hideMark/>
          </w:tcPr>
          <w:p w14:paraId="058E0A93" w14:textId="77777777" w:rsidR="006A35FB" w:rsidRPr="00E04F74" w:rsidRDefault="006A35FB" w:rsidP="00946B2E">
            <w:pPr>
              <w:pStyle w:val="Header"/>
              <w:jc w:val="both"/>
              <w:rPr>
                <w:sz w:val="22"/>
                <w:szCs w:val="22"/>
                <w:lang w:val="sr-Latn-RS"/>
              </w:rPr>
            </w:pPr>
            <w:r w:rsidRPr="00E04F74">
              <w:rPr>
                <w:sz w:val="22"/>
                <w:szCs w:val="22"/>
                <w:lang w:val="sr-Latn-RS"/>
              </w:rPr>
              <w:t>5%</w:t>
            </w:r>
          </w:p>
        </w:tc>
      </w:tr>
      <w:tr w:rsidR="006A35FB" w:rsidRPr="00E04F74" w14:paraId="058E0A99" w14:textId="77777777" w:rsidTr="00095F06">
        <w:tc>
          <w:tcPr>
            <w:tcW w:w="1351" w:type="pct"/>
            <w:tcBorders>
              <w:top w:val="single" w:sz="4" w:space="0" w:color="000000"/>
              <w:left w:val="single" w:sz="4" w:space="0" w:color="000000"/>
              <w:bottom w:val="single" w:sz="4" w:space="0" w:color="000000"/>
              <w:right w:val="single" w:sz="4" w:space="0" w:color="000000"/>
            </w:tcBorders>
            <w:vAlign w:val="center"/>
            <w:hideMark/>
          </w:tcPr>
          <w:p w14:paraId="058E0A95" w14:textId="77777777" w:rsidR="006A35FB" w:rsidRPr="00E04F74" w:rsidRDefault="006A35FB" w:rsidP="00946B2E">
            <w:pPr>
              <w:pStyle w:val="Header"/>
              <w:jc w:val="both"/>
              <w:rPr>
                <w:b/>
                <w:sz w:val="22"/>
                <w:szCs w:val="22"/>
                <w:lang w:val="sr-Latn-RS"/>
              </w:rPr>
            </w:pPr>
            <w:r w:rsidRPr="00E04F74">
              <w:rPr>
                <w:b/>
                <w:sz w:val="22"/>
                <w:szCs w:val="22"/>
                <w:lang w:val="sr-Latn-RS"/>
              </w:rPr>
              <w:t>Četiri ili više mutacija udružene sa NRTI</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058E0A96" w14:textId="77777777" w:rsidR="006A35FB" w:rsidRPr="00E04F74" w:rsidRDefault="006A35FB" w:rsidP="00946B2E">
            <w:pPr>
              <w:pStyle w:val="Header"/>
              <w:jc w:val="both"/>
              <w:rPr>
                <w:sz w:val="22"/>
                <w:szCs w:val="22"/>
                <w:lang w:val="sr-Latn-RS"/>
              </w:rPr>
            </w:pPr>
            <w:r w:rsidRPr="00E04F74">
              <w:rPr>
                <w:sz w:val="22"/>
                <w:szCs w:val="22"/>
                <w:lang w:val="sr-Latn-RS"/>
              </w:rPr>
              <w:t>28</w:t>
            </w:r>
          </w:p>
        </w:tc>
        <w:tc>
          <w:tcPr>
            <w:tcW w:w="1462" w:type="pct"/>
            <w:tcBorders>
              <w:top w:val="single" w:sz="4" w:space="0" w:color="000000"/>
              <w:left w:val="single" w:sz="4" w:space="0" w:color="000000"/>
              <w:bottom w:val="single" w:sz="4" w:space="0" w:color="000000"/>
              <w:right w:val="single" w:sz="4" w:space="0" w:color="000000"/>
            </w:tcBorders>
            <w:vAlign w:val="center"/>
            <w:hideMark/>
          </w:tcPr>
          <w:p w14:paraId="058E0A97" w14:textId="77777777" w:rsidR="006A35FB" w:rsidRPr="00E04F74" w:rsidRDefault="006A35FB" w:rsidP="00946B2E">
            <w:pPr>
              <w:pStyle w:val="Header"/>
              <w:jc w:val="both"/>
              <w:rPr>
                <w:sz w:val="22"/>
                <w:szCs w:val="22"/>
                <w:lang w:val="sr-Latn-RS"/>
              </w:rPr>
            </w:pPr>
            <w:r w:rsidRPr="00E04F74">
              <w:rPr>
                <w:sz w:val="22"/>
                <w:szCs w:val="22"/>
                <w:lang w:val="sr-Latn-RS"/>
              </w:rPr>
              <w:t>-0,07</w:t>
            </w:r>
          </w:p>
        </w:tc>
        <w:tc>
          <w:tcPr>
            <w:tcW w:w="1539" w:type="pct"/>
            <w:tcBorders>
              <w:top w:val="single" w:sz="4" w:space="0" w:color="000000"/>
              <w:left w:val="single" w:sz="4" w:space="0" w:color="000000"/>
              <w:bottom w:val="single" w:sz="4" w:space="0" w:color="000000"/>
              <w:right w:val="single" w:sz="4" w:space="0" w:color="000000"/>
            </w:tcBorders>
            <w:vAlign w:val="center"/>
            <w:hideMark/>
          </w:tcPr>
          <w:p w14:paraId="058E0A98" w14:textId="77777777" w:rsidR="006A35FB" w:rsidRPr="00E04F74" w:rsidRDefault="006A35FB" w:rsidP="00946B2E">
            <w:pPr>
              <w:pStyle w:val="Header"/>
              <w:jc w:val="both"/>
              <w:rPr>
                <w:sz w:val="22"/>
                <w:szCs w:val="22"/>
                <w:lang w:val="sr-Latn-RS"/>
              </w:rPr>
            </w:pPr>
            <w:r w:rsidRPr="00E04F74">
              <w:rPr>
                <w:sz w:val="22"/>
                <w:szCs w:val="22"/>
                <w:lang w:val="sr-Latn-RS"/>
              </w:rPr>
              <w:t>11%</w:t>
            </w:r>
          </w:p>
        </w:tc>
      </w:tr>
    </w:tbl>
    <w:p w14:paraId="058E0A9A" w14:textId="77777777" w:rsidR="006A35FB" w:rsidRPr="00E04F74" w:rsidRDefault="006A35FB" w:rsidP="00946B2E">
      <w:pPr>
        <w:pStyle w:val="Header"/>
        <w:jc w:val="both"/>
        <w:rPr>
          <w:bCs/>
          <w:sz w:val="22"/>
          <w:szCs w:val="22"/>
          <w:lang w:val="sr-Latn-RS"/>
        </w:rPr>
      </w:pPr>
    </w:p>
    <w:p w14:paraId="058E0A9B" w14:textId="77777777" w:rsidR="006A35FB" w:rsidRPr="00E04F74" w:rsidRDefault="006A35FB" w:rsidP="00946B2E">
      <w:pPr>
        <w:pStyle w:val="Header"/>
        <w:jc w:val="both"/>
        <w:rPr>
          <w:i/>
          <w:sz w:val="22"/>
          <w:szCs w:val="22"/>
          <w:lang w:val="sr-Latn-RS"/>
        </w:rPr>
      </w:pPr>
      <w:r w:rsidRPr="00E04F74">
        <w:rPr>
          <w:i/>
          <w:sz w:val="22"/>
          <w:szCs w:val="22"/>
          <w:lang w:val="sr-Latn-RS"/>
        </w:rPr>
        <w:t>Fenotipska rezistencija i ukrštena rezistencija</w:t>
      </w:r>
    </w:p>
    <w:p w14:paraId="058E0A9C" w14:textId="77777777" w:rsidR="006A35FB" w:rsidRPr="00E04F74" w:rsidRDefault="006A35FB" w:rsidP="00946B2E">
      <w:pPr>
        <w:pStyle w:val="Header"/>
        <w:jc w:val="both"/>
        <w:rPr>
          <w:i/>
          <w:sz w:val="22"/>
          <w:szCs w:val="22"/>
          <w:lang w:val="sr-Latn-RS"/>
        </w:rPr>
      </w:pPr>
    </w:p>
    <w:p w14:paraId="058E0A9D" w14:textId="77777777" w:rsidR="006A35FB" w:rsidRPr="00E04F74" w:rsidRDefault="006A35FB" w:rsidP="00946B2E">
      <w:pPr>
        <w:pStyle w:val="Header"/>
        <w:jc w:val="both"/>
        <w:rPr>
          <w:sz w:val="22"/>
          <w:szCs w:val="22"/>
          <w:lang w:val="sr-Latn-RS"/>
        </w:rPr>
      </w:pPr>
      <w:r w:rsidRPr="00E04F74">
        <w:rPr>
          <w:sz w:val="22"/>
          <w:szCs w:val="22"/>
          <w:lang w:val="sr-Latn-RS"/>
        </w:rPr>
        <w:t>Fenotipska rezistencija na abakavir zahtijeva M184V sa najmanje jednom abakavir-selektovanom mutacijom, ili M184V sa multiplim TAM. Fenotipska ukrštena rezistencija na druge NRTI sa isključivo M184V ili M184I mutacijom je ograničena. Zidovudin, didanozin, stavudin i tenofovir zadržavaju antiretrovirusne aktivnosti protiv navedenih HIV-1 mutacija. Prisustvo M184V sa K65R poboljšava ukrštenu rezistenciju između abakavira, tenofovira, didanozina i lamivudina i M184V sa L74V poboljšava ukrštenu rezistenciju između abakavira, didanozina i lamivudina. Prisustvo M184V sa Y115F poboljšava ukrštenu rezistenciju između abakavira i lamivudina. Lako dostupne algoritamske interpretacije genotipske rezistencije na lijek i komercijalno dostupni testovi osjetljivosti su odredili kliničke prekide primjene usljed smanjene aktivnosti lamivudina i abakavira, kao odvojenih terapijskih entiteta, čime je predviđena osjetljivost, parcijalna osjetljivost ili rezistencija, zasnovana ili na direktnoj procjeni osjetljivosti ili izračunavanjem HIV-1 fenotipske rezistencije na osnovu virusnog genotipa. Odgovarajuća upotreba lamivudina i abakavira može biti rukovođena primjenom navedenih, trenutno preporučenih algoritama rezistencije.</w:t>
      </w:r>
    </w:p>
    <w:p w14:paraId="058E0A9E" w14:textId="77777777" w:rsidR="006A35FB" w:rsidRPr="00E04F74" w:rsidRDefault="006A35FB" w:rsidP="00946B2E">
      <w:pPr>
        <w:pStyle w:val="Header"/>
        <w:jc w:val="both"/>
        <w:rPr>
          <w:sz w:val="22"/>
          <w:szCs w:val="22"/>
          <w:lang w:val="sr-Latn-RS"/>
        </w:rPr>
      </w:pPr>
    </w:p>
    <w:p w14:paraId="058E0A9F" w14:textId="0F650281" w:rsidR="006A35FB" w:rsidRPr="00E04F74" w:rsidRDefault="006A35FB" w:rsidP="00946B2E">
      <w:pPr>
        <w:pStyle w:val="Header"/>
        <w:jc w:val="both"/>
        <w:rPr>
          <w:sz w:val="22"/>
          <w:szCs w:val="22"/>
          <w:lang w:val="sr-Latn-RS"/>
        </w:rPr>
      </w:pPr>
      <w:r w:rsidRPr="00E04F74">
        <w:rPr>
          <w:sz w:val="22"/>
          <w:szCs w:val="22"/>
          <w:lang w:val="sr-Latn-RS"/>
        </w:rPr>
        <w:t>Malo je vjerovatna ukrštena rezistencija između lamivudina i abakavira i antiretrovirusnih ljekova iz ostalih klasa, npr. PI ili NNRTI.</w:t>
      </w:r>
      <w:r w:rsidR="002870DD" w:rsidRPr="00E04F74">
        <w:rPr>
          <w:sz w:val="22"/>
          <w:szCs w:val="22"/>
          <w:lang w:val="sr-Latn-RS"/>
        </w:rPr>
        <w:t xml:space="preserve"> </w:t>
      </w:r>
      <w:r w:rsidRPr="00E04F74">
        <w:rPr>
          <w:sz w:val="22"/>
          <w:szCs w:val="22"/>
          <w:lang w:val="sr-Latn-RS"/>
        </w:rPr>
        <w:t xml:space="preserve"> </w:t>
      </w:r>
    </w:p>
    <w:p w14:paraId="058E0AA0" w14:textId="77777777" w:rsidR="006A35FB" w:rsidRPr="00E04F74" w:rsidRDefault="006A35FB" w:rsidP="00946B2E">
      <w:pPr>
        <w:pStyle w:val="Header"/>
        <w:jc w:val="both"/>
        <w:rPr>
          <w:sz w:val="22"/>
          <w:szCs w:val="22"/>
          <w:lang w:val="sr-Latn-RS"/>
        </w:rPr>
      </w:pPr>
    </w:p>
    <w:p w14:paraId="058E0AA1" w14:textId="77777777" w:rsidR="006A35FB" w:rsidRPr="00E04F74" w:rsidRDefault="006A35FB" w:rsidP="00946B2E">
      <w:pPr>
        <w:pStyle w:val="Header"/>
        <w:jc w:val="both"/>
        <w:rPr>
          <w:i/>
          <w:sz w:val="22"/>
          <w:szCs w:val="22"/>
          <w:u w:val="single"/>
          <w:lang w:val="sr-Latn-RS"/>
        </w:rPr>
      </w:pPr>
      <w:r w:rsidRPr="00E04F74">
        <w:rPr>
          <w:i/>
          <w:sz w:val="22"/>
          <w:szCs w:val="22"/>
          <w:u w:val="single"/>
          <w:lang w:val="sr-Latn-RS"/>
        </w:rPr>
        <w:t>Kliničko iskustvo</w:t>
      </w:r>
    </w:p>
    <w:p w14:paraId="058E0AA2" w14:textId="77777777" w:rsidR="006A35FB" w:rsidRPr="00E04F74" w:rsidRDefault="006A35FB" w:rsidP="00946B2E">
      <w:pPr>
        <w:pStyle w:val="Header"/>
        <w:jc w:val="both"/>
        <w:rPr>
          <w:sz w:val="22"/>
          <w:szCs w:val="22"/>
          <w:lang w:val="sr-Latn-RS"/>
        </w:rPr>
      </w:pPr>
    </w:p>
    <w:p w14:paraId="058E0AA3" w14:textId="77777777" w:rsidR="006A35FB" w:rsidRPr="00E04F74" w:rsidRDefault="006A35FB" w:rsidP="00946B2E">
      <w:pPr>
        <w:pStyle w:val="Header"/>
        <w:jc w:val="both"/>
        <w:rPr>
          <w:iCs/>
          <w:sz w:val="22"/>
          <w:szCs w:val="22"/>
          <w:lang w:val="sr-Latn-RS"/>
        </w:rPr>
      </w:pPr>
      <w:r w:rsidRPr="00E04F74">
        <w:rPr>
          <w:iCs/>
          <w:sz w:val="22"/>
          <w:szCs w:val="22"/>
          <w:lang w:val="sr-Latn-RS"/>
        </w:rPr>
        <w:t xml:space="preserve">Kliničko iskustvo sa primjenom kombinovane terapije </w:t>
      </w:r>
      <w:r w:rsidRPr="00E04F74">
        <w:rPr>
          <w:sz w:val="22"/>
          <w:szCs w:val="22"/>
          <w:lang w:val="sr-Latn-RS"/>
        </w:rPr>
        <w:t>lamivudinom i abakavirom</w:t>
      </w:r>
      <w:r w:rsidRPr="00E04F74">
        <w:rPr>
          <w:iCs/>
          <w:sz w:val="22"/>
          <w:szCs w:val="22"/>
          <w:lang w:val="sr-Latn-RS"/>
        </w:rPr>
        <w:t xml:space="preserve">, u terapijskom režimu jednom dnevno, se uglavnom zasniva na četiri kliničke studije kod pacijenata koji prethodno nijesu liječeni, CNA30021, EPZ104057 (HEAT klinička studija), ACTG5202 i CAN 109586 (ASSERT klinička studija) i dvije kliničke studije kod pacijenata koji su prethodno liječeni, CAL30001 i ESS3008. </w:t>
      </w:r>
    </w:p>
    <w:p w14:paraId="058E0AA4" w14:textId="77777777" w:rsidR="006A35FB" w:rsidRPr="00E04F74" w:rsidRDefault="006A35FB" w:rsidP="00946B2E">
      <w:pPr>
        <w:pStyle w:val="Header"/>
        <w:jc w:val="both"/>
        <w:rPr>
          <w:iCs/>
          <w:sz w:val="22"/>
          <w:szCs w:val="22"/>
          <w:u w:val="single"/>
          <w:lang w:val="sr-Latn-RS"/>
        </w:rPr>
      </w:pPr>
    </w:p>
    <w:p w14:paraId="058E0AA5" w14:textId="77777777" w:rsidR="006A35FB" w:rsidRPr="00E04F74" w:rsidRDefault="006A35FB" w:rsidP="00946B2E">
      <w:pPr>
        <w:pStyle w:val="Header"/>
        <w:jc w:val="both"/>
        <w:rPr>
          <w:iCs/>
          <w:sz w:val="22"/>
          <w:szCs w:val="22"/>
          <w:u w:val="single"/>
          <w:lang w:val="sr-Latn-RS"/>
        </w:rPr>
      </w:pPr>
      <w:r w:rsidRPr="00E04F74">
        <w:rPr>
          <w:iCs/>
          <w:sz w:val="22"/>
          <w:szCs w:val="22"/>
          <w:u w:val="single"/>
          <w:lang w:val="sr-Latn-RS"/>
        </w:rPr>
        <w:t>Prethodno neliječeni pacijenti</w:t>
      </w:r>
    </w:p>
    <w:p w14:paraId="058E0AA6" w14:textId="77777777" w:rsidR="006A35FB" w:rsidRPr="00E04F74" w:rsidRDefault="006A35FB" w:rsidP="00946B2E">
      <w:pPr>
        <w:pStyle w:val="Header"/>
        <w:jc w:val="both"/>
        <w:rPr>
          <w:sz w:val="22"/>
          <w:szCs w:val="22"/>
          <w:lang w:val="sr-Latn-RS"/>
        </w:rPr>
      </w:pPr>
    </w:p>
    <w:p w14:paraId="058E0AA7" w14:textId="311DC304" w:rsidR="006A35FB" w:rsidRPr="00E04F74" w:rsidRDefault="006A35FB" w:rsidP="00946B2E">
      <w:pPr>
        <w:pStyle w:val="Header"/>
        <w:jc w:val="both"/>
        <w:rPr>
          <w:sz w:val="22"/>
          <w:szCs w:val="22"/>
          <w:lang w:val="sr-Latn-RS"/>
        </w:rPr>
      </w:pPr>
      <w:r w:rsidRPr="00E04F74">
        <w:rPr>
          <w:sz w:val="22"/>
          <w:szCs w:val="22"/>
          <w:lang w:val="sr-Latn-RS"/>
        </w:rPr>
        <w:t>Kombinacija lamivudina i abakavira pri režimu doziranja lijeka jednom dnevno podržana je multicentričnom, dvostruko slijepom, kontrolisanom studijom na 770 odraslih prethodno neliječenih odraslih osoba inficiranih HIV-om, u trajanju od 48 nedjelja (CNA30021). Radilo se o prvenstveno asimptomatskim, inficiranim pacijentima (CDC stadijum A). Metodom slučajnog izbora pacijenti su podijeljeni tako da dobijaju bilo abakavir (ABC) 600 mg jednom dnevno ili 300 mg dva puta dnevno, u kombinaciji sa lamivudinom 300 mg jednom dnevno i efaviren</w:t>
      </w:r>
      <w:r w:rsidR="00AC01F3" w:rsidRPr="00E04F74">
        <w:rPr>
          <w:sz w:val="22"/>
          <w:szCs w:val="22"/>
          <w:lang w:val="sr-Latn-RS"/>
        </w:rPr>
        <w:t>z</w:t>
      </w:r>
      <w:r w:rsidRPr="00E04F74">
        <w:rPr>
          <w:sz w:val="22"/>
          <w:szCs w:val="22"/>
          <w:lang w:val="sr-Latn-RS"/>
        </w:rPr>
        <w:t>om u dozi od 600 mg jednom dnevno. Rezultati su zbirno prikazani u navedenoj tabeli:</w:t>
      </w:r>
    </w:p>
    <w:p w14:paraId="058E0AA8" w14:textId="77777777" w:rsidR="006A35FB" w:rsidRPr="00E04F74" w:rsidRDefault="006A35FB" w:rsidP="00946B2E">
      <w:pPr>
        <w:pStyle w:val="Header"/>
        <w:jc w:val="both"/>
        <w:rPr>
          <w:sz w:val="22"/>
          <w:szCs w:val="22"/>
          <w:lang w:val="sr-Latn-RS"/>
        </w:rPr>
      </w:pPr>
    </w:p>
    <w:p w14:paraId="058E0AA9" w14:textId="5DCF341D" w:rsidR="006A35FB" w:rsidRPr="00E04F74" w:rsidRDefault="006A35FB" w:rsidP="00946B2E">
      <w:pPr>
        <w:pStyle w:val="Header"/>
        <w:jc w:val="both"/>
        <w:rPr>
          <w:b/>
          <w:sz w:val="22"/>
          <w:szCs w:val="22"/>
          <w:lang w:val="sr-Latn-RS"/>
        </w:rPr>
      </w:pPr>
      <w:r w:rsidRPr="00E04F74">
        <w:rPr>
          <w:b/>
          <w:sz w:val="22"/>
          <w:szCs w:val="22"/>
          <w:lang w:val="sr-Latn-RS"/>
        </w:rPr>
        <w:t>Ishod efikasnosti u 48. nedjelji u okviru CNA30021 u odnosu na osnovne vrijednosti HIV-1 RNK i kategorije CD4 (ITTe populacija pacijenta koji prethodno nijesu liječeni TLOVR</w:t>
      </w:r>
      <w:r w:rsidR="002870DD" w:rsidRPr="00E04F74">
        <w:rPr>
          <w:b/>
          <w:sz w:val="22"/>
          <w:szCs w:val="22"/>
          <w:lang w:val="sr-Latn-RS"/>
        </w:rPr>
        <w:t xml:space="preserve"> </w:t>
      </w:r>
      <w:r w:rsidRPr="00E04F74">
        <w:rPr>
          <w:b/>
          <w:sz w:val="22"/>
          <w:szCs w:val="22"/>
          <w:lang w:val="sr-Latn-RS"/>
        </w:rPr>
        <w:t>ART)</w:t>
      </w:r>
    </w:p>
    <w:p w14:paraId="058E0AAB" w14:textId="77777777" w:rsidR="006A35FB" w:rsidRPr="00E04F74" w:rsidRDefault="006A35FB" w:rsidP="00946B2E">
      <w:pPr>
        <w:pStyle w:val="Header"/>
        <w:jc w:val="both"/>
        <w:rPr>
          <w:sz w:val="22"/>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2835"/>
        <w:gridCol w:w="2547"/>
      </w:tblGrid>
      <w:tr w:rsidR="006A35FB" w:rsidRPr="00E04F74" w14:paraId="058E0AB1" w14:textId="77777777" w:rsidTr="00095F06">
        <w:tc>
          <w:tcPr>
            <w:tcW w:w="2031" w:type="pct"/>
            <w:tcBorders>
              <w:top w:val="single" w:sz="4" w:space="0" w:color="000000"/>
              <w:left w:val="single" w:sz="4" w:space="0" w:color="000000"/>
              <w:bottom w:val="single" w:sz="4" w:space="0" w:color="000000"/>
              <w:right w:val="single" w:sz="4" w:space="0" w:color="000000"/>
            </w:tcBorders>
          </w:tcPr>
          <w:p w14:paraId="058E0AAC" w14:textId="77777777" w:rsidR="006A35FB" w:rsidRPr="00E04F74" w:rsidRDefault="006A35FB" w:rsidP="00946B2E">
            <w:pPr>
              <w:pStyle w:val="Header"/>
              <w:jc w:val="both"/>
              <w:rPr>
                <w:sz w:val="22"/>
                <w:szCs w:val="22"/>
                <w:lang w:val="sr-Latn-RS"/>
              </w:rPr>
            </w:pPr>
          </w:p>
        </w:tc>
        <w:tc>
          <w:tcPr>
            <w:tcW w:w="1564" w:type="pct"/>
            <w:tcBorders>
              <w:top w:val="single" w:sz="4" w:space="0" w:color="000000"/>
              <w:left w:val="single" w:sz="4" w:space="0" w:color="000000"/>
              <w:bottom w:val="single" w:sz="4" w:space="0" w:color="000000"/>
              <w:right w:val="single" w:sz="4" w:space="0" w:color="000000"/>
            </w:tcBorders>
            <w:hideMark/>
          </w:tcPr>
          <w:p w14:paraId="058E0AAD" w14:textId="77777777" w:rsidR="006A35FB" w:rsidRPr="00E04F74" w:rsidRDefault="006A35FB" w:rsidP="00946B2E">
            <w:pPr>
              <w:pStyle w:val="Header"/>
              <w:jc w:val="both"/>
              <w:rPr>
                <w:b/>
                <w:sz w:val="22"/>
                <w:szCs w:val="22"/>
                <w:lang w:val="sr-Latn-RS"/>
              </w:rPr>
            </w:pPr>
            <w:r w:rsidRPr="00E04F74">
              <w:rPr>
                <w:b/>
                <w:sz w:val="22"/>
                <w:szCs w:val="22"/>
                <w:lang w:val="sr-Latn-RS"/>
              </w:rPr>
              <w:t>ABC QD + 3TC + EFV</w:t>
            </w:r>
          </w:p>
          <w:p w14:paraId="058E0AAE" w14:textId="77777777" w:rsidR="006A35FB" w:rsidRPr="00E04F74" w:rsidRDefault="006A35FB" w:rsidP="00946B2E">
            <w:pPr>
              <w:pStyle w:val="Header"/>
              <w:jc w:val="both"/>
              <w:rPr>
                <w:b/>
                <w:sz w:val="22"/>
                <w:szCs w:val="22"/>
                <w:lang w:val="sr-Latn-RS"/>
              </w:rPr>
            </w:pPr>
            <w:r w:rsidRPr="00E04F74">
              <w:rPr>
                <w:b/>
                <w:sz w:val="22"/>
                <w:szCs w:val="22"/>
                <w:lang w:val="sr-Latn-RS"/>
              </w:rPr>
              <w:t>(n=384)</w:t>
            </w:r>
          </w:p>
        </w:tc>
        <w:tc>
          <w:tcPr>
            <w:tcW w:w="1405" w:type="pct"/>
            <w:tcBorders>
              <w:top w:val="single" w:sz="4" w:space="0" w:color="000000"/>
              <w:left w:val="single" w:sz="4" w:space="0" w:color="000000"/>
              <w:bottom w:val="single" w:sz="4" w:space="0" w:color="000000"/>
              <w:right w:val="single" w:sz="4" w:space="0" w:color="000000"/>
            </w:tcBorders>
            <w:hideMark/>
          </w:tcPr>
          <w:p w14:paraId="058E0AAF" w14:textId="77777777" w:rsidR="006A35FB" w:rsidRPr="00E04F74" w:rsidRDefault="006A35FB" w:rsidP="00946B2E">
            <w:pPr>
              <w:pStyle w:val="Header"/>
              <w:jc w:val="both"/>
              <w:rPr>
                <w:b/>
                <w:sz w:val="22"/>
                <w:szCs w:val="22"/>
                <w:lang w:val="sr-Latn-RS"/>
              </w:rPr>
            </w:pPr>
            <w:r w:rsidRPr="00E04F74">
              <w:rPr>
                <w:b/>
                <w:sz w:val="22"/>
                <w:szCs w:val="22"/>
                <w:lang w:val="sr-Latn-RS"/>
              </w:rPr>
              <w:t>ABC BID + 3TC + EFV</w:t>
            </w:r>
          </w:p>
          <w:p w14:paraId="058E0AB0" w14:textId="77777777" w:rsidR="006A35FB" w:rsidRPr="00E04F74" w:rsidRDefault="006A35FB" w:rsidP="00946B2E">
            <w:pPr>
              <w:pStyle w:val="Header"/>
              <w:jc w:val="both"/>
              <w:rPr>
                <w:b/>
                <w:sz w:val="22"/>
                <w:szCs w:val="22"/>
                <w:lang w:val="sr-Latn-RS"/>
              </w:rPr>
            </w:pPr>
            <w:r w:rsidRPr="00E04F74">
              <w:rPr>
                <w:b/>
                <w:sz w:val="22"/>
                <w:szCs w:val="22"/>
                <w:lang w:val="sr-Latn-RS"/>
              </w:rPr>
              <w:t>(n=386)</w:t>
            </w:r>
          </w:p>
        </w:tc>
      </w:tr>
      <w:tr w:rsidR="006A35FB" w:rsidRPr="00E04F74" w14:paraId="058E0AB5" w14:textId="77777777" w:rsidTr="00095F06">
        <w:tc>
          <w:tcPr>
            <w:tcW w:w="2031" w:type="pct"/>
            <w:tcBorders>
              <w:top w:val="single" w:sz="4" w:space="0" w:color="000000"/>
              <w:left w:val="single" w:sz="4" w:space="0" w:color="000000"/>
              <w:bottom w:val="single" w:sz="4" w:space="0" w:color="000000"/>
              <w:right w:val="single" w:sz="4" w:space="0" w:color="000000"/>
            </w:tcBorders>
            <w:hideMark/>
          </w:tcPr>
          <w:p w14:paraId="058E0AB2" w14:textId="77777777" w:rsidR="006A35FB" w:rsidRPr="00E04F74" w:rsidRDefault="006A35FB" w:rsidP="00946B2E">
            <w:pPr>
              <w:pStyle w:val="Header"/>
              <w:jc w:val="both"/>
              <w:rPr>
                <w:b/>
                <w:sz w:val="22"/>
                <w:szCs w:val="22"/>
                <w:lang w:val="sr-Latn-RS"/>
              </w:rPr>
            </w:pPr>
            <w:r w:rsidRPr="00E04F74">
              <w:rPr>
                <w:b/>
                <w:sz w:val="22"/>
                <w:szCs w:val="22"/>
                <w:lang w:val="sr-Latn-RS"/>
              </w:rPr>
              <w:t>ITT-E populacija</w:t>
            </w:r>
          </w:p>
          <w:p w14:paraId="058E0AB3" w14:textId="77777777" w:rsidR="006A35FB" w:rsidRPr="00E04F74" w:rsidRDefault="006A35FB" w:rsidP="00946B2E">
            <w:pPr>
              <w:pStyle w:val="Header"/>
              <w:jc w:val="both"/>
              <w:rPr>
                <w:b/>
                <w:sz w:val="22"/>
                <w:szCs w:val="22"/>
                <w:lang w:val="sr-Latn-RS"/>
              </w:rPr>
            </w:pPr>
            <w:r w:rsidRPr="00E04F74">
              <w:rPr>
                <w:b/>
                <w:sz w:val="22"/>
                <w:szCs w:val="22"/>
                <w:lang w:val="sr-Latn-RS"/>
              </w:rPr>
              <w:t>TLOVR analiza</w:t>
            </w:r>
          </w:p>
        </w:tc>
        <w:tc>
          <w:tcPr>
            <w:tcW w:w="2969" w:type="pct"/>
            <w:gridSpan w:val="2"/>
            <w:tcBorders>
              <w:top w:val="single" w:sz="4" w:space="0" w:color="000000"/>
              <w:left w:val="single" w:sz="4" w:space="0" w:color="000000"/>
              <w:bottom w:val="single" w:sz="4" w:space="0" w:color="000000"/>
              <w:right w:val="single" w:sz="4" w:space="0" w:color="000000"/>
            </w:tcBorders>
            <w:hideMark/>
          </w:tcPr>
          <w:p w14:paraId="058E0AB4" w14:textId="65FA7711" w:rsidR="006A35FB" w:rsidRPr="00E04F74" w:rsidRDefault="006A35FB" w:rsidP="00946B2E">
            <w:pPr>
              <w:pStyle w:val="Header"/>
              <w:jc w:val="both"/>
              <w:rPr>
                <w:sz w:val="22"/>
                <w:szCs w:val="22"/>
                <w:lang w:val="sr-Latn-RS"/>
              </w:rPr>
            </w:pPr>
            <w:r w:rsidRPr="00E04F74">
              <w:rPr>
                <w:sz w:val="22"/>
                <w:szCs w:val="22"/>
                <w:lang w:val="sr-Latn-RS"/>
              </w:rPr>
              <w:t>Proporcija sa HIV-1 RNK &lt;50 kopija/m</w:t>
            </w:r>
            <w:r w:rsidR="007D1417" w:rsidRPr="00E04F74">
              <w:rPr>
                <w:sz w:val="22"/>
                <w:szCs w:val="22"/>
                <w:lang w:val="sr-Latn-RS"/>
              </w:rPr>
              <w:t>l</w:t>
            </w:r>
          </w:p>
        </w:tc>
      </w:tr>
      <w:tr w:rsidR="006A35FB" w:rsidRPr="00E04F74" w14:paraId="058E0AB9" w14:textId="77777777" w:rsidTr="00095F06">
        <w:tc>
          <w:tcPr>
            <w:tcW w:w="2031" w:type="pct"/>
            <w:tcBorders>
              <w:top w:val="single" w:sz="4" w:space="0" w:color="000000"/>
              <w:left w:val="single" w:sz="4" w:space="0" w:color="000000"/>
              <w:bottom w:val="single" w:sz="4" w:space="0" w:color="000000"/>
              <w:right w:val="single" w:sz="4" w:space="0" w:color="000000"/>
            </w:tcBorders>
            <w:hideMark/>
          </w:tcPr>
          <w:p w14:paraId="058E0AB6" w14:textId="77777777" w:rsidR="006A35FB" w:rsidRPr="00E04F74" w:rsidRDefault="006A35FB" w:rsidP="00946B2E">
            <w:pPr>
              <w:pStyle w:val="Header"/>
              <w:jc w:val="both"/>
              <w:rPr>
                <w:b/>
                <w:sz w:val="22"/>
                <w:szCs w:val="22"/>
                <w:lang w:val="sr-Latn-RS"/>
              </w:rPr>
            </w:pPr>
            <w:r w:rsidRPr="00E04F74">
              <w:rPr>
                <w:b/>
                <w:sz w:val="22"/>
                <w:szCs w:val="22"/>
                <w:lang w:val="sr-Latn-RS"/>
              </w:rPr>
              <w:t>Svi ispitanici</w:t>
            </w:r>
          </w:p>
        </w:tc>
        <w:tc>
          <w:tcPr>
            <w:tcW w:w="1564" w:type="pct"/>
            <w:tcBorders>
              <w:top w:val="single" w:sz="4" w:space="0" w:color="000000"/>
              <w:left w:val="single" w:sz="4" w:space="0" w:color="000000"/>
              <w:bottom w:val="single" w:sz="4" w:space="0" w:color="000000"/>
              <w:right w:val="single" w:sz="4" w:space="0" w:color="000000"/>
            </w:tcBorders>
            <w:hideMark/>
          </w:tcPr>
          <w:p w14:paraId="058E0AB7" w14:textId="77777777" w:rsidR="006A35FB" w:rsidRPr="00E04F74" w:rsidRDefault="006A35FB" w:rsidP="00946B2E">
            <w:pPr>
              <w:pStyle w:val="Header"/>
              <w:jc w:val="both"/>
              <w:rPr>
                <w:sz w:val="22"/>
                <w:szCs w:val="22"/>
                <w:lang w:val="sr-Latn-RS"/>
              </w:rPr>
            </w:pPr>
            <w:r w:rsidRPr="00E04F74">
              <w:rPr>
                <w:sz w:val="22"/>
                <w:szCs w:val="22"/>
                <w:lang w:val="sr-Latn-RS"/>
              </w:rPr>
              <w:t>253/384 (66%)</w:t>
            </w:r>
          </w:p>
        </w:tc>
        <w:tc>
          <w:tcPr>
            <w:tcW w:w="1405" w:type="pct"/>
            <w:tcBorders>
              <w:top w:val="single" w:sz="4" w:space="0" w:color="000000"/>
              <w:left w:val="single" w:sz="4" w:space="0" w:color="000000"/>
              <w:bottom w:val="single" w:sz="4" w:space="0" w:color="000000"/>
              <w:right w:val="single" w:sz="4" w:space="0" w:color="000000"/>
            </w:tcBorders>
            <w:hideMark/>
          </w:tcPr>
          <w:p w14:paraId="058E0AB8" w14:textId="77777777" w:rsidR="006A35FB" w:rsidRPr="00E04F74" w:rsidRDefault="006A35FB" w:rsidP="00946B2E">
            <w:pPr>
              <w:pStyle w:val="Header"/>
              <w:jc w:val="both"/>
              <w:rPr>
                <w:sz w:val="22"/>
                <w:szCs w:val="22"/>
                <w:lang w:val="sr-Latn-RS"/>
              </w:rPr>
            </w:pPr>
            <w:r w:rsidRPr="00E04F74">
              <w:rPr>
                <w:sz w:val="22"/>
                <w:szCs w:val="22"/>
                <w:lang w:val="sr-Latn-RS"/>
              </w:rPr>
              <w:t>261/386 (68%)</w:t>
            </w:r>
          </w:p>
        </w:tc>
      </w:tr>
      <w:tr w:rsidR="006A35FB" w:rsidRPr="00E04F74" w14:paraId="058E0ABE" w14:textId="77777777" w:rsidTr="00095F06">
        <w:tc>
          <w:tcPr>
            <w:tcW w:w="2031" w:type="pct"/>
            <w:tcBorders>
              <w:top w:val="single" w:sz="4" w:space="0" w:color="000000"/>
              <w:left w:val="single" w:sz="4" w:space="0" w:color="000000"/>
              <w:bottom w:val="single" w:sz="4" w:space="0" w:color="000000"/>
              <w:right w:val="single" w:sz="4" w:space="0" w:color="000000"/>
            </w:tcBorders>
            <w:hideMark/>
          </w:tcPr>
          <w:p w14:paraId="058E0ABA" w14:textId="77777777" w:rsidR="006A35FB" w:rsidRPr="00E04F74" w:rsidRDefault="006A35FB" w:rsidP="00946B2E">
            <w:pPr>
              <w:pStyle w:val="Header"/>
              <w:jc w:val="both"/>
              <w:rPr>
                <w:b/>
                <w:sz w:val="22"/>
                <w:szCs w:val="22"/>
                <w:lang w:val="sr-Latn-RS"/>
              </w:rPr>
            </w:pPr>
            <w:r w:rsidRPr="00E04F74">
              <w:rPr>
                <w:b/>
                <w:sz w:val="22"/>
                <w:szCs w:val="22"/>
                <w:lang w:val="sr-Latn-RS"/>
              </w:rPr>
              <w:t>Osnovne vrijednosti RNK kategorije</w:t>
            </w:r>
          </w:p>
          <w:p w14:paraId="058E0ABB" w14:textId="54B6B146" w:rsidR="006A35FB" w:rsidRPr="00E04F74" w:rsidRDefault="006A35FB" w:rsidP="00946B2E">
            <w:pPr>
              <w:pStyle w:val="Header"/>
              <w:jc w:val="both"/>
              <w:rPr>
                <w:b/>
                <w:sz w:val="22"/>
                <w:szCs w:val="22"/>
                <w:lang w:val="sr-Latn-RS"/>
              </w:rPr>
            </w:pPr>
            <w:r w:rsidRPr="00E04F74">
              <w:rPr>
                <w:b/>
                <w:sz w:val="22"/>
                <w:szCs w:val="22"/>
                <w:lang w:val="sr-Latn-RS"/>
              </w:rPr>
              <w:t>&lt;100 000 kopija/m</w:t>
            </w:r>
            <w:r w:rsidR="007D1417" w:rsidRPr="00E04F74">
              <w:rPr>
                <w:b/>
                <w:sz w:val="22"/>
                <w:szCs w:val="22"/>
                <w:lang w:val="sr-Latn-RS"/>
              </w:rPr>
              <w:t>l</w:t>
            </w:r>
          </w:p>
        </w:tc>
        <w:tc>
          <w:tcPr>
            <w:tcW w:w="1564" w:type="pct"/>
            <w:tcBorders>
              <w:top w:val="single" w:sz="4" w:space="0" w:color="000000"/>
              <w:left w:val="single" w:sz="4" w:space="0" w:color="000000"/>
              <w:bottom w:val="single" w:sz="4" w:space="0" w:color="000000"/>
              <w:right w:val="single" w:sz="4" w:space="0" w:color="000000"/>
            </w:tcBorders>
            <w:hideMark/>
          </w:tcPr>
          <w:p w14:paraId="058E0ABC" w14:textId="77777777" w:rsidR="006A35FB" w:rsidRPr="00E04F74" w:rsidRDefault="006A35FB" w:rsidP="00946B2E">
            <w:pPr>
              <w:pStyle w:val="Header"/>
              <w:jc w:val="both"/>
              <w:rPr>
                <w:sz w:val="22"/>
                <w:szCs w:val="22"/>
                <w:lang w:val="sr-Latn-RS"/>
              </w:rPr>
            </w:pPr>
            <w:r w:rsidRPr="00E04F74">
              <w:rPr>
                <w:sz w:val="22"/>
                <w:szCs w:val="22"/>
                <w:lang w:val="sr-Latn-RS"/>
              </w:rPr>
              <w:t>141/217 (65%)</w:t>
            </w:r>
          </w:p>
        </w:tc>
        <w:tc>
          <w:tcPr>
            <w:tcW w:w="1405" w:type="pct"/>
            <w:tcBorders>
              <w:top w:val="single" w:sz="4" w:space="0" w:color="000000"/>
              <w:left w:val="single" w:sz="4" w:space="0" w:color="000000"/>
              <w:bottom w:val="single" w:sz="4" w:space="0" w:color="000000"/>
              <w:right w:val="single" w:sz="4" w:space="0" w:color="000000"/>
            </w:tcBorders>
            <w:hideMark/>
          </w:tcPr>
          <w:p w14:paraId="058E0ABD" w14:textId="77777777" w:rsidR="006A35FB" w:rsidRPr="00E04F74" w:rsidRDefault="006A35FB" w:rsidP="00946B2E">
            <w:pPr>
              <w:pStyle w:val="Header"/>
              <w:jc w:val="both"/>
              <w:rPr>
                <w:sz w:val="22"/>
                <w:szCs w:val="22"/>
                <w:lang w:val="sr-Latn-RS"/>
              </w:rPr>
            </w:pPr>
            <w:r w:rsidRPr="00E04F74">
              <w:rPr>
                <w:sz w:val="22"/>
                <w:szCs w:val="22"/>
                <w:lang w:val="sr-Latn-RS"/>
              </w:rPr>
              <w:t>145/217 (67%)</w:t>
            </w:r>
          </w:p>
        </w:tc>
      </w:tr>
      <w:tr w:rsidR="006A35FB" w:rsidRPr="00E04F74" w14:paraId="058E0AC3" w14:textId="77777777" w:rsidTr="00095F06">
        <w:tc>
          <w:tcPr>
            <w:tcW w:w="2031" w:type="pct"/>
            <w:tcBorders>
              <w:top w:val="single" w:sz="4" w:space="0" w:color="000000"/>
              <w:left w:val="single" w:sz="4" w:space="0" w:color="000000"/>
              <w:bottom w:val="single" w:sz="4" w:space="0" w:color="000000"/>
              <w:right w:val="single" w:sz="4" w:space="0" w:color="000000"/>
            </w:tcBorders>
            <w:hideMark/>
          </w:tcPr>
          <w:p w14:paraId="058E0ABF" w14:textId="77777777" w:rsidR="006A35FB" w:rsidRPr="00E04F74" w:rsidRDefault="006A35FB" w:rsidP="00946B2E">
            <w:pPr>
              <w:pStyle w:val="Header"/>
              <w:jc w:val="both"/>
              <w:rPr>
                <w:b/>
                <w:sz w:val="22"/>
                <w:szCs w:val="22"/>
                <w:lang w:val="sr-Latn-RS"/>
              </w:rPr>
            </w:pPr>
            <w:r w:rsidRPr="00E04F74">
              <w:rPr>
                <w:b/>
                <w:sz w:val="22"/>
                <w:szCs w:val="22"/>
                <w:lang w:val="sr-Latn-RS"/>
              </w:rPr>
              <w:t>Osnovne vrijednosti RNK kategorije</w:t>
            </w:r>
          </w:p>
          <w:p w14:paraId="058E0AC0" w14:textId="7FBBAC0F" w:rsidR="006A35FB" w:rsidRPr="00E04F74" w:rsidRDefault="006A35FB" w:rsidP="00946B2E">
            <w:pPr>
              <w:pStyle w:val="Header"/>
              <w:jc w:val="both"/>
              <w:rPr>
                <w:b/>
                <w:sz w:val="22"/>
                <w:szCs w:val="22"/>
                <w:lang w:val="sr-Latn-RS"/>
              </w:rPr>
            </w:pPr>
            <w:r w:rsidRPr="00E04F74">
              <w:rPr>
                <w:b/>
                <w:sz w:val="22"/>
                <w:szCs w:val="22"/>
                <w:lang w:val="sr-Latn-RS"/>
              </w:rPr>
              <w:t>≥100 000 kopija/m</w:t>
            </w:r>
            <w:r w:rsidR="007D1417" w:rsidRPr="00E04F74">
              <w:rPr>
                <w:b/>
                <w:sz w:val="22"/>
                <w:szCs w:val="22"/>
                <w:lang w:val="sr-Latn-RS"/>
              </w:rPr>
              <w:t>l</w:t>
            </w:r>
          </w:p>
        </w:tc>
        <w:tc>
          <w:tcPr>
            <w:tcW w:w="1564" w:type="pct"/>
            <w:tcBorders>
              <w:top w:val="single" w:sz="4" w:space="0" w:color="000000"/>
              <w:left w:val="single" w:sz="4" w:space="0" w:color="000000"/>
              <w:bottom w:val="single" w:sz="4" w:space="0" w:color="000000"/>
              <w:right w:val="single" w:sz="4" w:space="0" w:color="000000"/>
            </w:tcBorders>
            <w:hideMark/>
          </w:tcPr>
          <w:p w14:paraId="058E0AC1" w14:textId="77777777" w:rsidR="006A35FB" w:rsidRPr="00E04F74" w:rsidRDefault="006A35FB" w:rsidP="00946B2E">
            <w:pPr>
              <w:pStyle w:val="Header"/>
              <w:jc w:val="both"/>
              <w:rPr>
                <w:sz w:val="22"/>
                <w:szCs w:val="22"/>
                <w:lang w:val="sr-Latn-RS"/>
              </w:rPr>
            </w:pPr>
            <w:r w:rsidRPr="00E04F74">
              <w:rPr>
                <w:sz w:val="22"/>
                <w:szCs w:val="22"/>
                <w:lang w:val="sr-Latn-RS"/>
              </w:rPr>
              <w:t>112/167 (67%)</w:t>
            </w:r>
          </w:p>
        </w:tc>
        <w:tc>
          <w:tcPr>
            <w:tcW w:w="1405" w:type="pct"/>
            <w:tcBorders>
              <w:top w:val="single" w:sz="4" w:space="0" w:color="000000"/>
              <w:left w:val="single" w:sz="4" w:space="0" w:color="000000"/>
              <w:bottom w:val="single" w:sz="4" w:space="0" w:color="000000"/>
              <w:right w:val="single" w:sz="4" w:space="0" w:color="000000"/>
            </w:tcBorders>
            <w:hideMark/>
          </w:tcPr>
          <w:p w14:paraId="058E0AC2" w14:textId="77777777" w:rsidR="006A35FB" w:rsidRPr="00E04F74" w:rsidRDefault="006A35FB" w:rsidP="00946B2E">
            <w:pPr>
              <w:pStyle w:val="Header"/>
              <w:jc w:val="both"/>
              <w:rPr>
                <w:sz w:val="22"/>
                <w:szCs w:val="22"/>
                <w:lang w:val="sr-Latn-RS"/>
              </w:rPr>
            </w:pPr>
            <w:r w:rsidRPr="00E04F74">
              <w:rPr>
                <w:sz w:val="22"/>
                <w:szCs w:val="22"/>
                <w:lang w:val="sr-Latn-RS"/>
              </w:rPr>
              <w:t>116/169 (69%)</w:t>
            </w:r>
          </w:p>
        </w:tc>
      </w:tr>
      <w:tr w:rsidR="006A35FB" w:rsidRPr="00E04F74" w14:paraId="058E0AC7" w14:textId="77777777" w:rsidTr="00095F06">
        <w:tc>
          <w:tcPr>
            <w:tcW w:w="2031" w:type="pct"/>
            <w:tcBorders>
              <w:top w:val="single" w:sz="4" w:space="0" w:color="000000"/>
              <w:left w:val="single" w:sz="4" w:space="0" w:color="000000"/>
              <w:bottom w:val="single" w:sz="4" w:space="0" w:color="000000"/>
              <w:right w:val="single" w:sz="4" w:space="0" w:color="000000"/>
            </w:tcBorders>
            <w:hideMark/>
          </w:tcPr>
          <w:p w14:paraId="058E0AC4" w14:textId="77777777" w:rsidR="006A35FB" w:rsidRPr="00E04F74" w:rsidRDefault="006A35FB" w:rsidP="00946B2E">
            <w:pPr>
              <w:pStyle w:val="Header"/>
              <w:jc w:val="both"/>
              <w:rPr>
                <w:b/>
                <w:sz w:val="22"/>
                <w:szCs w:val="22"/>
                <w:lang w:val="sr-Latn-RS"/>
              </w:rPr>
            </w:pPr>
            <w:r w:rsidRPr="00E04F74">
              <w:rPr>
                <w:b/>
                <w:sz w:val="22"/>
                <w:szCs w:val="22"/>
                <w:lang w:val="sr-Latn-RS"/>
              </w:rPr>
              <w:lastRenderedPageBreak/>
              <w:t>Osnovne vrijednosti CD4 kategorije &lt;50</w:t>
            </w:r>
          </w:p>
        </w:tc>
        <w:tc>
          <w:tcPr>
            <w:tcW w:w="1564" w:type="pct"/>
            <w:tcBorders>
              <w:top w:val="single" w:sz="4" w:space="0" w:color="000000"/>
              <w:left w:val="single" w:sz="4" w:space="0" w:color="000000"/>
              <w:bottom w:val="single" w:sz="4" w:space="0" w:color="000000"/>
              <w:right w:val="single" w:sz="4" w:space="0" w:color="000000"/>
            </w:tcBorders>
            <w:hideMark/>
          </w:tcPr>
          <w:p w14:paraId="058E0AC5" w14:textId="77777777" w:rsidR="006A35FB" w:rsidRPr="00E04F74" w:rsidRDefault="006A35FB" w:rsidP="00946B2E">
            <w:pPr>
              <w:pStyle w:val="Header"/>
              <w:jc w:val="both"/>
              <w:rPr>
                <w:sz w:val="22"/>
                <w:szCs w:val="22"/>
                <w:lang w:val="sr-Latn-RS"/>
              </w:rPr>
            </w:pPr>
            <w:r w:rsidRPr="00E04F74">
              <w:rPr>
                <w:sz w:val="22"/>
                <w:szCs w:val="22"/>
                <w:lang w:val="sr-Latn-RS"/>
              </w:rPr>
              <w:t>3/6 (50%)</w:t>
            </w:r>
          </w:p>
        </w:tc>
        <w:tc>
          <w:tcPr>
            <w:tcW w:w="1405" w:type="pct"/>
            <w:tcBorders>
              <w:top w:val="single" w:sz="4" w:space="0" w:color="000000"/>
              <w:left w:val="single" w:sz="4" w:space="0" w:color="000000"/>
              <w:bottom w:val="single" w:sz="4" w:space="0" w:color="000000"/>
              <w:right w:val="single" w:sz="4" w:space="0" w:color="000000"/>
            </w:tcBorders>
            <w:hideMark/>
          </w:tcPr>
          <w:p w14:paraId="058E0AC6" w14:textId="77777777" w:rsidR="006A35FB" w:rsidRPr="00E04F74" w:rsidRDefault="006A35FB" w:rsidP="00946B2E">
            <w:pPr>
              <w:pStyle w:val="Header"/>
              <w:jc w:val="both"/>
              <w:rPr>
                <w:sz w:val="22"/>
                <w:szCs w:val="22"/>
                <w:lang w:val="sr-Latn-RS"/>
              </w:rPr>
            </w:pPr>
            <w:r w:rsidRPr="00E04F74">
              <w:rPr>
                <w:sz w:val="22"/>
                <w:szCs w:val="22"/>
                <w:lang w:val="sr-Latn-RS"/>
              </w:rPr>
              <w:t>4/6 (67%)</w:t>
            </w:r>
          </w:p>
        </w:tc>
      </w:tr>
      <w:tr w:rsidR="006A35FB" w:rsidRPr="00E04F74" w14:paraId="058E0ACB" w14:textId="77777777" w:rsidTr="00095F06">
        <w:tc>
          <w:tcPr>
            <w:tcW w:w="2031" w:type="pct"/>
            <w:tcBorders>
              <w:top w:val="single" w:sz="4" w:space="0" w:color="000000"/>
              <w:left w:val="single" w:sz="4" w:space="0" w:color="000000"/>
              <w:bottom w:val="single" w:sz="4" w:space="0" w:color="000000"/>
              <w:right w:val="single" w:sz="4" w:space="0" w:color="000000"/>
            </w:tcBorders>
            <w:hideMark/>
          </w:tcPr>
          <w:p w14:paraId="058E0AC8" w14:textId="77777777" w:rsidR="006A35FB" w:rsidRPr="00E04F74" w:rsidRDefault="006A35FB" w:rsidP="00946B2E">
            <w:pPr>
              <w:pStyle w:val="Header"/>
              <w:jc w:val="both"/>
              <w:rPr>
                <w:b/>
                <w:sz w:val="22"/>
                <w:szCs w:val="22"/>
                <w:lang w:val="sr-Latn-RS"/>
              </w:rPr>
            </w:pPr>
            <w:r w:rsidRPr="00E04F74">
              <w:rPr>
                <w:b/>
                <w:sz w:val="22"/>
                <w:szCs w:val="22"/>
                <w:lang w:val="sr-Latn-RS"/>
              </w:rPr>
              <w:t>Osnovne vrijednosti CD4 kategorije 50-100</w:t>
            </w:r>
          </w:p>
        </w:tc>
        <w:tc>
          <w:tcPr>
            <w:tcW w:w="1564" w:type="pct"/>
            <w:tcBorders>
              <w:top w:val="single" w:sz="4" w:space="0" w:color="000000"/>
              <w:left w:val="single" w:sz="4" w:space="0" w:color="000000"/>
              <w:bottom w:val="single" w:sz="4" w:space="0" w:color="000000"/>
              <w:right w:val="single" w:sz="4" w:space="0" w:color="000000"/>
            </w:tcBorders>
            <w:hideMark/>
          </w:tcPr>
          <w:p w14:paraId="058E0AC9" w14:textId="77777777" w:rsidR="006A35FB" w:rsidRPr="00E04F74" w:rsidRDefault="006A35FB" w:rsidP="00946B2E">
            <w:pPr>
              <w:pStyle w:val="Header"/>
              <w:jc w:val="both"/>
              <w:rPr>
                <w:sz w:val="22"/>
                <w:szCs w:val="22"/>
                <w:lang w:val="sr-Latn-RS"/>
              </w:rPr>
            </w:pPr>
            <w:r w:rsidRPr="00E04F74">
              <w:rPr>
                <w:sz w:val="22"/>
                <w:szCs w:val="22"/>
                <w:lang w:val="sr-Latn-RS"/>
              </w:rPr>
              <w:t>21/40 (53%)</w:t>
            </w:r>
          </w:p>
        </w:tc>
        <w:tc>
          <w:tcPr>
            <w:tcW w:w="1405" w:type="pct"/>
            <w:tcBorders>
              <w:top w:val="single" w:sz="4" w:space="0" w:color="000000"/>
              <w:left w:val="single" w:sz="4" w:space="0" w:color="000000"/>
              <w:bottom w:val="single" w:sz="4" w:space="0" w:color="000000"/>
              <w:right w:val="single" w:sz="4" w:space="0" w:color="000000"/>
            </w:tcBorders>
            <w:hideMark/>
          </w:tcPr>
          <w:p w14:paraId="058E0ACA" w14:textId="77777777" w:rsidR="006A35FB" w:rsidRPr="00E04F74" w:rsidRDefault="006A35FB" w:rsidP="00946B2E">
            <w:pPr>
              <w:pStyle w:val="Header"/>
              <w:jc w:val="both"/>
              <w:rPr>
                <w:sz w:val="22"/>
                <w:szCs w:val="22"/>
                <w:lang w:val="sr-Latn-RS"/>
              </w:rPr>
            </w:pPr>
            <w:r w:rsidRPr="00E04F74">
              <w:rPr>
                <w:sz w:val="22"/>
                <w:szCs w:val="22"/>
                <w:lang w:val="sr-Latn-RS"/>
              </w:rPr>
              <w:t>23/37 (62%)</w:t>
            </w:r>
          </w:p>
        </w:tc>
      </w:tr>
      <w:tr w:rsidR="006A35FB" w:rsidRPr="00E04F74" w14:paraId="058E0ACF" w14:textId="77777777" w:rsidTr="00095F06">
        <w:tc>
          <w:tcPr>
            <w:tcW w:w="2031" w:type="pct"/>
            <w:tcBorders>
              <w:top w:val="single" w:sz="4" w:space="0" w:color="000000"/>
              <w:left w:val="single" w:sz="4" w:space="0" w:color="000000"/>
              <w:bottom w:val="single" w:sz="4" w:space="0" w:color="000000"/>
              <w:right w:val="single" w:sz="4" w:space="0" w:color="000000"/>
            </w:tcBorders>
            <w:hideMark/>
          </w:tcPr>
          <w:p w14:paraId="058E0ACC" w14:textId="77777777" w:rsidR="006A35FB" w:rsidRPr="00E04F74" w:rsidRDefault="006A35FB" w:rsidP="00946B2E">
            <w:pPr>
              <w:pStyle w:val="Header"/>
              <w:jc w:val="both"/>
              <w:rPr>
                <w:b/>
                <w:sz w:val="22"/>
                <w:szCs w:val="22"/>
                <w:lang w:val="sr-Latn-RS"/>
              </w:rPr>
            </w:pPr>
            <w:r w:rsidRPr="00E04F74">
              <w:rPr>
                <w:b/>
                <w:sz w:val="22"/>
                <w:szCs w:val="22"/>
                <w:lang w:val="sr-Latn-RS"/>
              </w:rPr>
              <w:t>Osnovne vrijednosti CD4 kategorije 101-200</w:t>
            </w:r>
          </w:p>
        </w:tc>
        <w:tc>
          <w:tcPr>
            <w:tcW w:w="1564" w:type="pct"/>
            <w:tcBorders>
              <w:top w:val="single" w:sz="4" w:space="0" w:color="000000"/>
              <w:left w:val="single" w:sz="4" w:space="0" w:color="000000"/>
              <w:bottom w:val="single" w:sz="4" w:space="0" w:color="000000"/>
              <w:right w:val="single" w:sz="4" w:space="0" w:color="000000"/>
            </w:tcBorders>
            <w:hideMark/>
          </w:tcPr>
          <w:p w14:paraId="058E0ACD" w14:textId="77777777" w:rsidR="006A35FB" w:rsidRPr="00E04F74" w:rsidRDefault="006A35FB" w:rsidP="00946B2E">
            <w:pPr>
              <w:pStyle w:val="Header"/>
              <w:jc w:val="both"/>
              <w:rPr>
                <w:sz w:val="22"/>
                <w:szCs w:val="22"/>
                <w:lang w:val="sr-Latn-RS"/>
              </w:rPr>
            </w:pPr>
            <w:r w:rsidRPr="00E04F74">
              <w:rPr>
                <w:sz w:val="22"/>
                <w:szCs w:val="22"/>
                <w:lang w:val="sr-Latn-RS"/>
              </w:rPr>
              <w:t>57/85 (67%)</w:t>
            </w:r>
          </w:p>
        </w:tc>
        <w:tc>
          <w:tcPr>
            <w:tcW w:w="1405" w:type="pct"/>
            <w:tcBorders>
              <w:top w:val="single" w:sz="4" w:space="0" w:color="000000"/>
              <w:left w:val="single" w:sz="4" w:space="0" w:color="000000"/>
              <w:bottom w:val="single" w:sz="4" w:space="0" w:color="000000"/>
              <w:right w:val="single" w:sz="4" w:space="0" w:color="000000"/>
            </w:tcBorders>
            <w:hideMark/>
          </w:tcPr>
          <w:p w14:paraId="058E0ACE" w14:textId="77777777" w:rsidR="006A35FB" w:rsidRPr="00E04F74" w:rsidRDefault="006A35FB" w:rsidP="00946B2E">
            <w:pPr>
              <w:pStyle w:val="Header"/>
              <w:jc w:val="both"/>
              <w:rPr>
                <w:sz w:val="22"/>
                <w:szCs w:val="22"/>
                <w:lang w:val="sr-Latn-RS"/>
              </w:rPr>
            </w:pPr>
            <w:r w:rsidRPr="00E04F74">
              <w:rPr>
                <w:sz w:val="22"/>
                <w:szCs w:val="22"/>
                <w:lang w:val="sr-Latn-RS"/>
              </w:rPr>
              <w:t>43/67 (64%)</w:t>
            </w:r>
          </w:p>
        </w:tc>
      </w:tr>
      <w:tr w:rsidR="006A35FB" w:rsidRPr="00E04F74" w14:paraId="058E0AD3" w14:textId="77777777" w:rsidTr="00095F06">
        <w:tc>
          <w:tcPr>
            <w:tcW w:w="2031" w:type="pct"/>
            <w:tcBorders>
              <w:top w:val="single" w:sz="4" w:space="0" w:color="000000"/>
              <w:left w:val="single" w:sz="4" w:space="0" w:color="000000"/>
              <w:bottom w:val="single" w:sz="4" w:space="0" w:color="000000"/>
              <w:right w:val="single" w:sz="4" w:space="0" w:color="000000"/>
            </w:tcBorders>
            <w:hideMark/>
          </w:tcPr>
          <w:p w14:paraId="058E0AD0" w14:textId="77777777" w:rsidR="006A35FB" w:rsidRPr="00E04F74" w:rsidRDefault="006A35FB" w:rsidP="00946B2E">
            <w:pPr>
              <w:pStyle w:val="Header"/>
              <w:jc w:val="both"/>
              <w:rPr>
                <w:b/>
                <w:sz w:val="22"/>
                <w:szCs w:val="22"/>
                <w:lang w:val="sr-Latn-RS"/>
              </w:rPr>
            </w:pPr>
            <w:r w:rsidRPr="00E04F74">
              <w:rPr>
                <w:b/>
                <w:sz w:val="22"/>
                <w:szCs w:val="22"/>
                <w:lang w:val="sr-Latn-RS"/>
              </w:rPr>
              <w:t>Osnovne vrijednosti CD4 kategorije 201-350</w:t>
            </w:r>
          </w:p>
        </w:tc>
        <w:tc>
          <w:tcPr>
            <w:tcW w:w="1564" w:type="pct"/>
            <w:tcBorders>
              <w:top w:val="single" w:sz="4" w:space="0" w:color="000000"/>
              <w:left w:val="single" w:sz="4" w:space="0" w:color="000000"/>
              <w:bottom w:val="single" w:sz="4" w:space="0" w:color="000000"/>
              <w:right w:val="single" w:sz="4" w:space="0" w:color="000000"/>
            </w:tcBorders>
            <w:hideMark/>
          </w:tcPr>
          <w:p w14:paraId="058E0AD1" w14:textId="77777777" w:rsidR="006A35FB" w:rsidRPr="00E04F74" w:rsidRDefault="006A35FB" w:rsidP="00946B2E">
            <w:pPr>
              <w:pStyle w:val="Header"/>
              <w:jc w:val="both"/>
              <w:rPr>
                <w:sz w:val="22"/>
                <w:szCs w:val="22"/>
                <w:lang w:val="sr-Latn-RS"/>
              </w:rPr>
            </w:pPr>
            <w:r w:rsidRPr="00E04F74">
              <w:rPr>
                <w:sz w:val="22"/>
                <w:szCs w:val="22"/>
                <w:lang w:val="sr-Latn-RS"/>
              </w:rPr>
              <w:t>101/143 (71%)</w:t>
            </w:r>
          </w:p>
        </w:tc>
        <w:tc>
          <w:tcPr>
            <w:tcW w:w="1405" w:type="pct"/>
            <w:tcBorders>
              <w:top w:val="single" w:sz="4" w:space="0" w:color="000000"/>
              <w:left w:val="single" w:sz="4" w:space="0" w:color="000000"/>
              <w:bottom w:val="single" w:sz="4" w:space="0" w:color="000000"/>
              <w:right w:val="single" w:sz="4" w:space="0" w:color="000000"/>
            </w:tcBorders>
            <w:hideMark/>
          </w:tcPr>
          <w:p w14:paraId="058E0AD2" w14:textId="77777777" w:rsidR="006A35FB" w:rsidRPr="00E04F74" w:rsidRDefault="006A35FB" w:rsidP="00946B2E">
            <w:pPr>
              <w:pStyle w:val="Header"/>
              <w:jc w:val="both"/>
              <w:rPr>
                <w:sz w:val="22"/>
                <w:szCs w:val="22"/>
                <w:lang w:val="sr-Latn-RS"/>
              </w:rPr>
            </w:pPr>
            <w:r w:rsidRPr="00E04F74">
              <w:rPr>
                <w:sz w:val="22"/>
                <w:szCs w:val="22"/>
                <w:lang w:val="sr-Latn-RS"/>
              </w:rPr>
              <w:t>114/170 (67%)</w:t>
            </w:r>
          </w:p>
        </w:tc>
      </w:tr>
      <w:tr w:rsidR="006A35FB" w:rsidRPr="00E04F74" w14:paraId="058E0AD7" w14:textId="77777777" w:rsidTr="00095F06">
        <w:tc>
          <w:tcPr>
            <w:tcW w:w="2031" w:type="pct"/>
            <w:tcBorders>
              <w:top w:val="single" w:sz="4" w:space="0" w:color="000000"/>
              <w:left w:val="single" w:sz="4" w:space="0" w:color="000000"/>
              <w:bottom w:val="single" w:sz="4" w:space="0" w:color="000000"/>
              <w:right w:val="single" w:sz="4" w:space="0" w:color="000000"/>
            </w:tcBorders>
            <w:hideMark/>
          </w:tcPr>
          <w:p w14:paraId="058E0AD4" w14:textId="77777777" w:rsidR="006A35FB" w:rsidRPr="00E04F74" w:rsidRDefault="006A35FB" w:rsidP="00946B2E">
            <w:pPr>
              <w:pStyle w:val="Header"/>
              <w:jc w:val="both"/>
              <w:rPr>
                <w:b/>
                <w:sz w:val="22"/>
                <w:szCs w:val="22"/>
                <w:lang w:val="sr-Latn-RS"/>
              </w:rPr>
            </w:pPr>
            <w:r w:rsidRPr="00E04F74">
              <w:rPr>
                <w:b/>
                <w:sz w:val="22"/>
                <w:szCs w:val="22"/>
                <w:lang w:val="sr-Latn-RS"/>
              </w:rPr>
              <w:t>Osnovne vrijednosti CD4 kategorije &gt;350</w:t>
            </w:r>
          </w:p>
        </w:tc>
        <w:tc>
          <w:tcPr>
            <w:tcW w:w="1564" w:type="pct"/>
            <w:tcBorders>
              <w:top w:val="single" w:sz="4" w:space="0" w:color="000000"/>
              <w:left w:val="single" w:sz="4" w:space="0" w:color="000000"/>
              <w:bottom w:val="single" w:sz="4" w:space="0" w:color="000000"/>
              <w:right w:val="single" w:sz="4" w:space="0" w:color="000000"/>
            </w:tcBorders>
            <w:hideMark/>
          </w:tcPr>
          <w:p w14:paraId="058E0AD5" w14:textId="77777777" w:rsidR="006A35FB" w:rsidRPr="00E04F74" w:rsidRDefault="006A35FB" w:rsidP="00946B2E">
            <w:pPr>
              <w:pStyle w:val="Header"/>
              <w:jc w:val="both"/>
              <w:rPr>
                <w:sz w:val="22"/>
                <w:szCs w:val="22"/>
                <w:lang w:val="sr-Latn-RS"/>
              </w:rPr>
            </w:pPr>
            <w:r w:rsidRPr="00E04F74">
              <w:rPr>
                <w:sz w:val="22"/>
                <w:szCs w:val="22"/>
                <w:lang w:val="sr-Latn-RS"/>
              </w:rPr>
              <w:t>71/109 (65%)</w:t>
            </w:r>
          </w:p>
        </w:tc>
        <w:tc>
          <w:tcPr>
            <w:tcW w:w="1405" w:type="pct"/>
            <w:tcBorders>
              <w:top w:val="single" w:sz="4" w:space="0" w:color="000000"/>
              <w:left w:val="single" w:sz="4" w:space="0" w:color="000000"/>
              <w:bottom w:val="single" w:sz="4" w:space="0" w:color="000000"/>
              <w:right w:val="single" w:sz="4" w:space="0" w:color="000000"/>
            </w:tcBorders>
            <w:hideMark/>
          </w:tcPr>
          <w:p w14:paraId="058E0AD6" w14:textId="77777777" w:rsidR="006A35FB" w:rsidRPr="00E04F74" w:rsidRDefault="006A35FB" w:rsidP="00946B2E">
            <w:pPr>
              <w:pStyle w:val="Header"/>
              <w:jc w:val="both"/>
              <w:rPr>
                <w:sz w:val="22"/>
                <w:szCs w:val="22"/>
                <w:lang w:val="sr-Latn-RS"/>
              </w:rPr>
            </w:pPr>
            <w:r w:rsidRPr="00E04F74">
              <w:rPr>
                <w:sz w:val="22"/>
                <w:szCs w:val="22"/>
                <w:lang w:val="sr-Latn-RS"/>
              </w:rPr>
              <w:t>76/105 (72%)</w:t>
            </w:r>
          </w:p>
        </w:tc>
      </w:tr>
      <w:tr w:rsidR="006A35FB" w:rsidRPr="00E04F74" w14:paraId="058E0ADC" w14:textId="77777777" w:rsidTr="00095F06">
        <w:tc>
          <w:tcPr>
            <w:tcW w:w="2031" w:type="pct"/>
            <w:tcBorders>
              <w:top w:val="single" w:sz="4" w:space="0" w:color="000000"/>
              <w:left w:val="single" w:sz="4" w:space="0" w:color="000000"/>
              <w:bottom w:val="single" w:sz="4" w:space="0" w:color="000000"/>
              <w:right w:val="single" w:sz="4" w:space="0" w:color="000000"/>
            </w:tcBorders>
            <w:hideMark/>
          </w:tcPr>
          <w:p w14:paraId="058E0AD8" w14:textId="5DC4AF49" w:rsidR="006A35FB" w:rsidRPr="00E04F74" w:rsidRDefault="006A35FB" w:rsidP="00946B2E">
            <w:pPr>
              <w:pStyle w:val="Header"/>
              <w:jc w:val="both"/>
              <w:rPr>
                <w:b/>
                <w:sz w:val="22"/>
                <w:szCs w:val="22"/>
                <w:lang w:val="sr-Latn-RS"/>
              </w:rPr>
            </w:pPr>
            <w:r w:rsidRPr="00E04F74">
              <w:rPr>
                <w:b/>
                <w:sz w:val="22"/>
                <w:szCs w:val="22"/>
                <w:lang w:val="sr-Latn-RS"/>
              </w:rPr>
              <w:t>&gt;1 log smanjenje HIV RNK ili &lt;50 kp/m</w:t>
            </w:r>
            <w:r w:rsidR="007D1417" w:rsidRPr="00E04F74">
              <w:rPr>
                <w:b/>
                <w:sz w:val="22"/>
                <w:szCs w:val="22"/>
                <w:lang w:val="sr-Latn-RS"/>
              </w:rPr>
              <w:t>l</w:t>
            </w:r>
          </w:p>
          <w:p w14:paraId="058E0AD9" w14:textId="77777777" w:rsidR="006A35FB" w:rsidRPr="00E04F74" w:rsidRDefault="006A35FB" w:rsidP="00946B2E">
            <w:pPr>
              <w:pStyle w:val="Header"/>
              <w:jc w:val="both"/>
              <w:rPr>
                <w:b/>
                <w:sz w:val="22"/>
                <w:szCs w:val="22"/>
                <w:lang w:val="sr-Latn-RS"/>
              </w:rPr>
            </w:pPr>
            <w:r w:rsidRPr="00E04F74">
              <w:rPr>
                <w:b/>
                <w:sz w:val="22"/>
                <w:szCs w:val="22"/>
                <w:lang w:val="sr-Latn-RS"/>
              </w:rPr>
              <w:t>Svi pacijenti</w:t>
            </w:r>
          </w:p>
        </w:tc>
        <w:tc>
          <w:tcPr>
            <w:tcW w:w="1564" w:type="pct"/>
            <w:tcBorders>
              <w:top w:val="single" w:sz="4" w:space="0" w:color="000000"/>
              <w:left w:val="single" w:sz="4" w:space="0" w:color="000000"/>
              <w:bottom w:val="single" w:sz="4" w:space="0" w:color="000000"/>
              <w:right w:val="single" w:sz="4" w:space="0" w:color="000000"/>
            </w:tcBorders>
            <w:hideMark/>
          </w:tcPr>
          <w:p w14:paraId="058E0ADA" w14:textId="77777777" w:rsidR="006A35FB" w:rsidRPr="00E04F74" w:rsidRDefault="006A35FB" w:rsidP="00946B2E">
            <w:pPr>
              <w:pStyle w:val="Header"/>
              <w:jc w:val="both"/>
              <w:rPr>
                <w:sz w:val="22"/>
                <w:szCs w:val="22"/>
                <w:lang w:val="sr-Latn-RS"/>
              </w:rPr>
            </w:pPr>
            <w:r w:rsidRPr="00E04F74">
              <w:rPr>
                <w:sz w:val="22"/>
                <w:szCs w:val="22"/>
                <w:lang w:val="sr-Latn-RS"/>
              </w:rPr>
              <w:t>372/384 (97%)</w:t>
            </w:r>
          </w:p>
        </w:tc>
        <w:tc>
          <w:tcPr>
            <w:tcW w:w="1405" w:type="pct"/>
            <w:tcBorders>
              <w:top w:val="single" w:sz="4" w:space="0" w:color="000000"/>
              <w:left w:val="single" w:sz="4" w:space="0" w:color="000000"/>
              <w:bottom w:val="single" w:sz="4" w:space="0" w:color="000000"/>
              <w:right w:val="single" w:sz="4" w:space="0" w:color="000000"/>
            </w:tcBorders>
            <w:hideMark/>
          </w:tcPr>
          <w:p w14:paraId="058E0ADB" w14:textId="77777777" w:rsidR="006A35FB" w:rsidRPr="00E04F74" w:rsidRDefault="006A35FB" w:rsidP="00946B2E">
            <w:pPr>
              <w:pStyle w:val="Header"/>
              <w:jc w:val="both"/>
              <w:rPr>
                <w:sz w:val="22"/>
                <w:szCs w:val="22"/>
                <w:lang w:val="sr-Latn-RS"/>
              </w:rPr>
            </w:pPr>
            <w:r w:rsidRPr="00E04F74">
              <w:rPr>
                <w:sz w:val="22"/>
                <w:szCs w:val="22"/>
                <w:lang w:val="sr-Latn-RS"/>
              </w:rPr>
              <w:t>373/386 (97%)</w:t>
            </w:r>
          </w:p>
        </w:tc>
      </w:tr>
    </w:tbl>
    <w:p w14:paraId="058E0ADD" w14:textId="77777777" w:rsidR="006A35FB" w:rsidRPr="00E04F74" w:rsidRDefault="006A35FB" w:rsidP="00946B2E">
      <w:pPr>
        <w:pStyle w:val="Header"/>
        <w:jc w:val="both"/>
        <w:rPr>
          <w:bCs/>
          <w:sz w:val="22"/>
          <w:szCs w:val="22"/>
          <w:lang w:val="sr-Latn-RS"/>
        </w:rPr>
      </w:pPr>
      <w:r w:rsidRPr="00E04F74">
        <w:rPr>
          <w:sz w:val="22"/>
          <w:szCs w:val="22"/>
          <w:lang w:val="sr-Latn-RS"/>
        </w:rPr>
        <w:t xml:space="preserve"> </w:t>
      </w:r>
    </w:p>
    <w:p w14:paraId="058E0ADE" w14:textId="77777777" w:rsidR="006A35FB" w:rsidRPr="00E04F74" w:rsidRDefault="006A35FB" w:rsidP="00946B2E">
      <w:pPr>
        <w:pStyle w:val="Header"/>
        <w:jc w:val="both"/>
        <w:rPr>
          <w:sz w:val="22"/>
          <w:szCs w:val="22"/>
          <w:lang w:val="sr-Latn-RS"/>
        </w:rPr>
      </w:pPr>
      <w:r w:rsidRPr="00E04F74">
        <w:rPr>
          <w:sz w:val="22"/>
          <w:szCs w:val="22"/>
          <w:lang w:val="sr-Latn-RS"/>
        </w:rPr>
        <w:t>Sličan klinički uspjeh (tačka procjene razlike u liječenju: -1,7; 95% CI - 8,4;4,9) zapažen je kod oba terapijska režima. Na osnovu ovih rezultata se može zaključiti sa 95% sigurnosti da prava razlika nije veća od 8,4% u korist režima primjene dva puta dnevno. Navedena potencijalna razlika je dovoljno mala da bi se izvukao opšti zaključak u smislu da abakavir primijenjen jednom dnevno nije inferioran u odnosu na abakavir dva puta dnevno.</w:t>
      </w:r>
    </w:p>
    <w:p w14:paraId="058E0ADF" w14:textId="77777777" w:rsidR="006A35FB" w:rsidRPr="00E04F74" w:rsidRDefault="006A35FB" w:rsidP="00946B2E">
      <w:pPr>
        <w:pStyle w:val="Header"/>
        <w:jc w:val="both"/>
        <w:rPr>
          <w:sz w:val="22"/>
          <w:szCs w:val="22"/>
          <w:lang w:val="sr-Latn-RS"/>
        </w:rPr>
      </w:pPr>
    </w:p>
    <w:p w14:paraId="058E0AE0" w14:textId="5D857CD4" w:rsidR="006A35FB" w:rsidRPr="00E04F74" w:rsidRDefault="006A35FB" w:rsidP="00946B2E">
      <w:pPr>
        <w:pStyle w:val="Header"/>
        <w:jc w:val="both"/>
        <w:rPr>
          <w:sz w:val="22"/>
          <w:szCs w:val="22"/>
          <w:lang w:val="sr-Latn-RS"/>
        </w:rPr>
      </w:pPr>
      <w:r w:rsidRPr="00E04F74">
        <w:rPr>
          <w:sz w:val="22"/>
          <w:szCs w:val="22"/>
          <w:lang w:val="sr-Latn-RS"/>
        </w:rPr>
        <w:t>Registrovana je mala, slična ukupna incidenca virološkog neuspjeha terapije (broj virusa &gt; 50 kopija/m</w:t>
      </w:r>
      <w:r w:rsidR="007D1417" w:rsidRPr="00E04F74">
        <w:rPr>
          <w:sz w:val="22"/>
          <w:szCs w:val="22"/>
          <w:lang w:val="sr-Latn-RS"/>
        </w:rPr>
        <w:t>l</w:t>
      </w:r>
      <w:r w:rsidRPr="00E04F74">
        <w:rPr>
          <w:sz w:val="22"/>
          <w:szCs w:val="22"/>
          <w:lang w:val="sr-Latn-RS"/>
        </w:rPr>
        <w:t xml:space="preserve">) u obije terapijske grupe sa terpijskim režimom jednom ili dva puta dnevno (10% i 8%, respektivno). U malom uzorku za genotipsku analizu postojala je tendencija ka većoj stopi mutacija povezanih sa NRTI kod režima doziranja abakavira jednom dnevno u odnosu na režim doziranja dva puta dnevno. Usljed ograničenosti dobijenih podataka iz navedene kliničke studije, nije moguće donijeti čvrsti zaključak. </w:t>
      </w:r>
    </w:p>
    <w:p w14:paraId="058E0AE1" w14:textId="77777777" w:rsidR="006A35FB" w:rsidRPr="00E04F74" w:rsidRDefault="006A35FB" w:rsidP="00946B2E">
      <w:pPr>
        <w:pStyle w:val="Header"/>
        <w:jc w:val="both"/>
        <w:rPr>
          <w:sz w:val="22"/>
          <w:szCs w:val="22"/>
          <w:lang w:val="sr-Latn-RS"/>
        </w:rPr>
      </w:pPr>
    </w:p>
    <w:p w14:paraId="058E0AE2" w14:textId="77777777" w:rsidR="006A35FB" w:rsidRPr="00E04F74" w:rsidRDefault="006A35FB" w:rsidP="00946B2E">
      <w:pPr>
        <w:pStyle w:val="Header"/>
        <w:jc w:val="both"/>
        <w:rPr>
          <w:sz w:val="22"/>
          <w:szCs w:val="22"/>
          <w:lang w:val="sr-Latn-RS"/>
        </w:rPr>
      </w:pPr>
      <w:r w:rsidRPr="00E04F74">
        <w:rPr>
          <w:sz w:val="22"/>
          <w:szCs w:val="22"/>
          <w:lang w:val="sr-Latn-RS"/>
        </w:rPr>
        <w:t xml:space="preserve">Postoje kontradiktorni podaci pojedinih komparativnih studija primjene lijeka KIVEXA, npr. </w:t>
      </w:r>
      <w:r w:rsidRPr="00E04F74">
        <w:rPr>
          <w:i/>
          <w:sz w:val="22"/>
          <w:szCs w:val="22"/>
          <w:lang w:val="sr-Latn-RS"/>
        </w:rPr>
        <w:t>HEAT, ACTG5202 i ASSERT</w:t>
      </w:r>
      <w:r w:rsidRPr="00E04F74">
        <w:rPr>
          <w:sz w:val="22"/>
          <w:szCs w:val="22"/>
          <w:lang w:val="sr-Latn-RS"/>
        </w:rPr>
        <w:t>:</w:t>
      </w:r>
    </w:p>
    <w:p w14:paraId="058E0AE3" w14:textId="77777777" w:rsidR="006A35FB" w:rsidRPr="00E04F74" w:rsidRDefault="006A35FB" w:rsidP="00946B2E">
      <w:pPr>
        <w:pStyle w:val="Header"/>
        <w:jc w:val="both"/>
        <w:rPr>
          <w:sz w:val="22"/>
          <w:szCs w:val="22"/>
          <w:lang w:val="sr-Latn-RS"/>
        </w:rPr>
      </w:pPr>
    </w:p>
    <w:p w14:paraId="058E0AE4" w14:textId="77777777" w:rsidR="006A35FB" w:rsidRPr="00E04F74" w:rsidRDefault="006A35FB" w:rsidP="00946B2E">
      <w:pPr>
        <w:pStyle w:val="Header"/>
        <w:jc w:val="both"/>
        <w:rPr>
          <w:sz w:val="22"/>
          <w:szCs w:val="22"/>
          <w:lang w:val="sr-Latn-RS"/>
        </w:rPr>
      </w:pPr>
      <w:r w:rsidRPr="00E04F74">
        <w:rPr>
          <w:sz w:val="22"/>
          <w:szCs w:val="22"/>
          <w:lang w:val="sr-Latn-RS"/>
        </w:rPr>
        <w:t>EPZ104057 (HEAT studija) je bila randomizovana, dvostruko slijepa, placebo podudarna, multicentrična studija u trajanju od 96 nedjelja, sa primarnim ciljem procjene relativne efikasnosti primjene lamivudina/abakavira (3TC/ ABC, 300 mg/600 mg) i tenofovira/emtricitabina (TDF/FTC, 300 mg/200 mg), primijenjenih jednom dnevno, u kombinaciji sa lopinavirom/ritonavirom (LPV/r, 800 mg/200 mg) kod HIV inficiranih, prethodno neliječenih odraslih osoba. Analiza primarne efikasnosti je realizovana 48. nedjelje sa nastavkom kliničke studije do 96. nedjelje i nije pokazala postojanje terapijske inferiornosti. Zbirni rezultati su navedeni u tekstu niže:</w:t>
      </w:r>
    </w:p>
    <w:p w14:paraId="058E0AE5" w14:textId="77777777" w:rsidR="006A35FB" w:rsidRPr="00E04F74" w:rsidRDefault="006A35FB" w:rsidP="00946B2E">
      <w:pPr>
        <w:pStyle w:val="Header"/>
        <w:jc w:val="both"/>
        <w:rPr>
          <w:sz w:val="22"/>
          <w:szCs w:val="22"/>
          <w:lang w:val="sr-Latn-RS"/>
        </w:rPr>
      </w:pPr>
    </w:p>
    <w:p w14:paraId="058E0AE6" w14:textId="710F1732" w:rsidR="006A35FB" w:rsidRPr="00E04F74" w:rsidRDefault="006A35FB">
      <w:pPr>
        <w:pStyle w:val="Header"/>
        <w:jc w:val="center"/>
        <w:rPr>
          <w:b/>
          <w:sz w:val="22"/>
          <w:szCs w:val="22"/>
          <w:lang w:val="sr-Latn-RS"/>
        </w:rPr>
      </w:pPr>
      <w:r w:rsidRPr="00E04F74">
        <w:rPr>
          <w:b/>
          <w:sz w:val="22"/>
          <w:szCs w:val="22"/>
          <w:lang w:val="sr-Latn-RS"/>
        </w:rPr>
        <w:t xml:space="preserve">Virološki odgovor zasnovan na nivou HIV-1 RNK u </w:t>
      </w:r>
      <w:r w:rsidR="00A61569" w:rsidRPr="00E04F74">
        <w:rPr>
          <w:b/>
          <w:sz w:val="22"/>
          <w:szCs w:val="22"/>
          <w:lang w:val="sr-Latn-RS"/>
        </w:rPr>
        <w:t>p</w:t>
      </w:r>
      <w:r w:rsidRPr="00E04F74">
        <w:rPr>
          <w:b/>
          <w:sz w:val="22"/>
          <w:szCs w:val="22"/>
          <w:lang w:val="sr-Latn-RS"/>
        </w:rPr>
        <w:t>lazmi &lt; 50 kopija/m</w:t>
      </w:r>
      <w:r w:rsidR="007D1417" w:rsidRPr="00E04F74">
        <w:rPr>
          <w:b/>
          <w:sz w:val="22"/>
          <w:szCs w:val="22"/>
          <w:lang w:val="sr-Latn-RS"/>
        </w:rPr>
        <w:t>l</w:t>
      </w:r>
    </w:p>
    <w:p w14:paraId="058E0AE7" w14:textId="77777777" w:rsidR="006A35FB" w:rsidRPr="00E04F74" w:rsidRDefault="006A35FB">
      <w:pPr>
        <w:pStyle w:val="Header"/>
        <w:jc w:val="center"/>
        <w:rPr>
          <w:b/>
          <w:sz w:val="22"/>
          <w:szCs w:val="22"/>
          <w:lang w:val="sr-Latn-RS"/>
        </w:rPr>
      </w:pPr>
      <w:r w:rsidRPr="00E04F74">
        <w:rPr>
          <w:b/>
          <w:sz w:val="22"/>
          <w:szCs w:val="22"/>
          <w:lang w:val="sr-Latn-RS"/>
        </w:rPr>
        <w:t>Populacija izložena ITT M=F uključen prelaz</w:t>
      </w:r>
    </w:p>
    <w:p w14:paraId="058E0AE8" w14:textId="77777777" w:rsidR="006A35FB" w:rsidRPr="00E04F74" w:rsidRDefault="006A35FB" w:rsidP="00946B2E">
      <w:pPr>
        <w:pStyle w:val="Header"/>
        <w:jc w:val="both"/>
        <w:rPr>
          <w:sz w:val="22"/>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1555"/>
        <w:gridCol w:w="1555"/>
        <w:gridCol w:w="1425"/>
        <w:gridCol w:w="1423"/>
      </w:tblGrid>
      <w:tr w:rsidR="006A35FB" w:rsidRPr="00E04F74" w14:paraId="058E0AEE" w14:textId="77777777" w:rsidTr="00095F06">
        <w:tc>
          <w:tcPr>
            <w:tcW w:w="1713" w:type="pct"/>
            <w:vMerge w:val="restart"/>
            <w:tcBorders>
              <w:top w:val="single" w:sz="4" w:space="0" w:color="000000"/>
              <w:left w:val="single" w:sz="4" w:space="0" w:color="000000"/>
              <w:bottom w:val="single" w:sz="4" w:space="0" w:color="000000"/>
              <w:right w:val="single" w:sz="4" w:space="0" w:color="000000"/>
            </w:tcBorders>
            <w:vAlign w:val="center"/>
            <w:hideMark/>
          </w:tcPr>
          <w:p w14:paraId="058E0AE9" w14:textId="77777777" w:rsidR="006A35FB" w:rsidRPr="00E04F74" w:rsidRDefault="006A35FB" w:rsidP="00946B2E">
            <w:pPr>
              <w:pStyle w:val="Header"/>
              <w:jc w:val="both"/>
              <w:rPr>
                <w:b/>
                <w:sz w:val="22"/>
                <w:szCs w:val="22"/>
                <w:lang w:val="sr-Latn-RS"/>
              </w:rPr>
            </w:pPr>
            <w:r w:rsidRPr="00E04F74">
              <w:rPr>
                <w:b/>
                <w:sz w:val="22"/>
                <w:szCs w:val="22"/>
                <w:lang w:val="sr-Latn-RS"/>
              </w:rPr>
              <w:t>Virološki odgovor</w:t>
            </w:r>
          </w:p>
        </w:tc>
        <w:tc>
          <w:tcPr>
            <w:tcW w:w="1715" w:type="pct"/>
            <w:gridSpan w:val="2"/>
            <w:tcBorders>
              <w:top w:val="single" w:sz="4" w:space="0" w:color="000000"/>
              <w:left w:val="single" w:sz="4" w:space="0" w:color="000000"/>
              <w:bottom w:val="single" w:sz="4" w:space="0" w:color="000000"/>
              <w:right w:val="single" w:sz="4" w:space="0" w:color="000000"/>
            </w:tcBorders>
            <w:hideMark/>
          </w:tcPr>
          <w:p w14:paraId="058E0AEA" w14:textId="77777777" w:rsidR="006A35FB" w:rsidRPr="00E04F74" w:rsidRDefault="006A35FB" w:rsidP="00946B2E">
            <w:pPr>
              <w:pStyle w:val="Header"/>
              <w:jc w:val="both"/>
              <w:rPr>
                <w:b/>
                <w:sz w:val="22"/>
                <w:szCs w:val="22"/>
                <w:lang w:val="sr-Latn-RS"/>
              </w:rPr>
            </w:pPr>
            <w:r w:rsidRPr="00E04F74">
              <w:rPr>
                <w:b/>
                <w:sz w:val="22"/>
                <w:szCs w:val="22"/>
                <w:lang w:val="sr-Latn-RS"/>
              </w:rPr>
              <w:t>ABC/3TC + LPV/r</w:t>
            </w:r>
          </w:p>
          <w:p w14:paraId="058E0AEB" w14:textId="77777777" w:rsidR="006A35FB" w:rsidRPr="00E04F74" w:rsidRDefault="006A35FB" w:rsidP="00946B2E">
            <w:pPr>
              <w:pStyle w:val="Header"/>
              <w:jc w:val="both"/>
              <w:rPr>
                <w:b/>
                <w:sz w:val="22"/>
                <w:szCs w:val="22"/>
                <w:lang w:val="sr-Latn-RS"/>
              </w:rPr>
            </w:pPr>
            <w:r w:rsidRPr="00E04F74">
              <w:rPr>
                <w:b/>
                <w:sz w:val="22"/>
                <w:szCs w:val="22"/>
                <w:lang w:val="sr-Latn-RS"/>
              </w:rPr>
              <w:t>(N=343)</w:t>
            </w:r>
          </w:p>
        </w:tc>
        <w:tc>
          <w:tcPr>
            <w:tcW w:w="1572" w:type="pct"/>
            <w:gridSpan w:val="2"/>
            <w:tcBorders>
              <w:top w:val="single" w:sz="4" w:space="0" w:color="000000"/>
              <w:left w:val="single" w:sz="4" w:space="0" w:color="000000"/>
              <w:bottom w:val="single" w:sz="4" w:space="0" w:color="000000"/>
              <w:right w:val="single" w:sz="4" w:space="0" w:color="000000"/>
            </w:tcBorders>
            <w:hideMark/>
          </w:tcPr>
          <w:p w14:paraId="058E0AEC" w14:textId="77777777" w:rsidR="006A35FB" w:rsidRPr="00E04F74" w:rsidRDefault="006A35FB" w:rsidP="00946B2E">
            <w:pPr>
              <w:pStyle w:val="Header"/>
              <w:jc w:val="both"/>
              <w:rPr>
                <w:b/>
                <w:sz w:val="22"/>
                <w:szCs w:val="22"/>
                <w:lang w:val="sr-Latn-RS"/>
              </w:rPr>
            </w:pPr>
            <w:r w:rsidRPr="00E04F74">
              <w:rPr>
                <w:b/>
                <w:sz w:val="22"/>
                <w:szCs w:val="22"/>
                <w:lang w:val="sr-Latn-RS"/>
              </w:rPr>
              <w:t>TDF/FTC + LPV/r</w:t>
            </w:r>
          </w:p>
          <w:p w14:paraId="058E0AED" w14:textId="77777777" w:rsidR="006A35FB" w:rsidRPr="00E04F74" w:rsidRDefault="006A35FB" w:rsidP="00946B2E">
            <w:pPr>
              <w:pStyle w:val="Header"/>
              <w:jc w:val="both"/>
              <w:rPr>
                <w:b/>
                <w:sz w:val="22"/>
                <w:szCs w:val="22"/>
                <w:lang w:val="sr-Latn-RS"/>
              </w:rPr>
            </w:pPr>
            <w:r w:rsidRPr="00E04F74">
              <w:rPr>
                <w:b/>
                <w:sz w:val="22"/>
                <w:szCs w:val="22"/>
                <w:lang w:val="sr-Latn-RS"/>
              </w:rPr>
              <w:t>(N=345)</w:t>
            </w:r>
          </w:p>
        </w:tc>
      </w:tr>
      <w:tr w:rsidR="006A35FB" w:rsidRPr="00E04F74" w14:paraId="058E0AF4" w14:textId="77777777" w:rsidTr="00095F06">
        <w:tc>
          <w:tcPr>
            <w:tcW w:w="1713" w:type="pct"/>
            <w:vMerge/>
            <w:tcBorders>
              <w:top w:val="single" w:sz="4" w:space="0" w:color="000000"/>
              <w:left w:val="single" w:sz="4" w:space="0" w:color="000000"/>
              <w:bottom w:val="single" w:sz="4" w:space="0" w:color="000000"/>
              <w:right w:val="single" w:sz="4" w:space="0" w:color="000000"/>
            </w:tcBorders>
            <w:vAlign w:val="center"/>
            <w:hideMark/>
          </w:tcPr>
          <w:p w14:paraId="058E0AEF" w14:textId="77777777" w:rsidR="006A35FB" w:rsidRPr="00E04F74" w:rsidRDefault="006A35FB" w:rsidP="00946B2E">
            <w:pPr>
              <w:jc w:val="both"/>
              <w:rPr>
                <w:b/>
                <w:sz w:val="22"/>
                <w:szCs w:val="22"/>
                <w:lang w:val="sr-Latn-RS"/>
              </w:rPr>
            </w:pPr>
          </w:p>
        </w:tc>
        <w:tc>
          <w:tcPr>
            <w:tcW w:w="858" w:type="pct"/>
            <w:tcBorders>
              <w:top w:val="single" w:sz="4" w:space="0" w:color="000000"/>
              <w:left w:val="single" w:sz="4" w:space="0" w:color="000000"/>
              <w:bottom w:val="single" w:sz="4" w:space="0" w:color="000000"/>
              <w:right w:val="single" w:sz="4" w:space="0" w:color="000000"/>
            </w:tcBorders>
            <w:hideMark/>
          </w:tcPr>
          <w:p w14:paraId="058E0AF0" w14:textId="77777777" w:rsidR="006A35FB" w:rsidRPr="00E04F74" w:rsidRDefault="006A35FB" w:rsidP="00946B2E">
            <w:pPr>
              <w:pStyle w:val="Header"/>
              <w:jc w:val="both"/>
              <w:rPr>
                <w:b/>
                <w:sz w:val="22"/>
                <w:szCs w:val="22"/>
                <w:lang w:val="sr-Latn-RS"/>
              </w:rPr>
            </w:pPr>
            <w:r w:rsidRPr="00E04F74">
              <w:rPr>
                <w:b/>
                <w:sz w:val="22"/>
                <w:szCs w:val="22"/>
                <w:lang w:val="sr-Latn-RS"/>
              </w:rPr>
              <w:t>Nedjelja 48</w:t>
            </w:r>
          </w:p>
        </w:tc>
        <w:tc>
          <w:tcPr>
            <w:tcW w:w="858" w:type="pct"/>
            <w:tcBorders>
              <w:top w:val="single" w:sz="4" w:space="0" w:color="000000"/>
              <w:left w:val="single" w:sz="4" w:space="0" w:color="000000"/>
              <w:bottom w:val="single" w:sz="4" w:space="0" w:color="000000"/>
              <w:right w:val="single" w:sz="4" w:space="0" w:color="000000"/>
            </w:tcBorders>
            <w:hideMark/>
          </w:tcPr>
          <w:p w14:paraId="058E0AF1" w14:textId="77777777" w:rsidR="006A35FB" w:rsidRPr="00E04F74" w:rsidRDefault="006A35FB" w:rsidP="00946B2E">
            <w:pPr>
              <w:pStyle w:val="Header"/>
              <w:jc w:val="both"/>
              <w:rPr>
                <w:b/>
                <w:sz w:val="22"/>
                <w:szCs w:val="22"/>
                <w:lang w:val="sr-Latn-RS"/>
              </w:rPr>
            </w:pPr>
            <w:r w:rsidRPr="00E04F74">
              <w:rPr>
                <w:b/>
                <w:sz w:val="22"/>
                <w:szCs w:val="22"/>
                <w:lang w:val="sr-Latn-RS"/>
              </w:rPr>
              <w:t>Nedjelja 96</w:t>
            </w:r>
          </w:p>
        </w:tc>
        <w:tc>
          <w:tcPr>
            <w:tcW w:w="786" w:type="pct"/>
            <w:tcBorders>
              <w:top w:val="single" w:sz="4" w:space="0" w:color="000000"/>
              <w:left w:val="single" w:sz="4" w:space="0" w:color="000000"/>
              <w:bottom w:val="single" w:sz="4" w:space="0" w:color="000000"/>
              <w:right w:val="single" w:sz="4" w:space="0" w:color="000000"/>
            </w:tcBorders>
            <w:hideMark/>
          </w:tcPr>
          <w:p w14:paraId="058E0AF2" w14:textId="77777777" w:rsidR="006A35FB" w:rsidRPr="00E04F74" w:rsidRDefault="006A35FB" w:rsidP="00946B2E">
            <w:pPr>
              <w:pStyle w:val="Header"/>
              <w:jc w:val="both"/>
              <w:rPr>
                <w:b/>
                <w:sz w:val="22"/>
                <w:szCs w:val="22"/>
                <w:lang w:val="sr-Latn-RS"/>
              </w:rPr>
            </w:pPr>
            <w:r w:rsidRPr="00E04F74">
              <w:rPr>
                <w:b/>
                <w:sz w:val="22"/>
                <w:szCs w:val="22"/>
                <w:lang w:val="sr-Latn-RS"/>
              </w:rPr>
              <w:t>Nedjelja 48</w:t>
            </w:r>
          </w:p>
        </w:tc>
        <w:tc>
          <w:tcPr>
            <w:tcW w:w="786" w:type="pct"/>
            <w:tcBorders>
              <w:top w:val="single" w:sz="4" w:space="0" w:color="000000"/>
              <w:left w:val="single" w:sz="4" w:space="0" w:color="000000"/>
              <w:bottom w:val="single" w:sz="4" w:space="0" w:color="000000"/>
              <w:right w:val="single" w:sz="4" w:space="0" w:color="000000"/>
            </w:tcBorders>
            <w:hideMark/>
          </w:tcPr>
          <w:p w14:paraId="058E0AF3" w14:textId="77777777" w:rsidR="006A35FB" w:rsidRPr="00E04F74" w:rsidRDefault="006A35FB" w:rsidP="00946B2E">
            <w:pPr>
              <w:pStyle w:val="Header"/>
              <w:jc w:val="both"/>
              <w:rPr>
                <w:b/>
                <w:sz w:val="22"/>
                <w:szCs w:val="22"/>
                <w:lang w:val="sr-Latn-RS"/>
              </w:rPr>
            </w:pPr>
            <w:r w:rsidRPr="00E04F74">
              <w:rPr>
                <w:b/>
                <w:sz w:val="22"/>
                <w:szCs w:val="22"/>
                <w:lang w:val="sr-Latn-RS"/>
              </w:rPr>
              <w:t>Nedjelja 96</w:t>
            </w:r>
          </w:p>
        </w:tc>
      </w:tr>
      <w:tr w:rsidR="006A35FB" w:rsidRPr="00E04F74" w14:paraId="058E0AFE" w14:textId="77777777" w:rsidTr="00095F06">
        <w:tc>
          <w:tcPr>
            <w:tcW w:w="1713" w:type="pct"/>
            <w:tcBorders>
              <w:top w:val="single" w:sz="4" w:space="0" w:color="000000"/>
              <w:left w:val="single" w:sz="4" w:space="0" w:color="000000"/>
              <w:bottom w:val="single" w:sz="4" w:space="0" w:color="000000"/>
              <w:right w:val="single" w:sz="4" w:space="0" w:color="000000"/>
            </w:tcBorders>
            <w:vAlign w:val="center"/>
            <w:hideMark/>
          </w:tcPr>
          <w:p w14:paraId="058E0AF5" w14:textId="77777777" w:rsidR="006A35FB" w:rsidRPr="00E04F74" w:rsidRDefault="006A35FB" w:rsidP="00946B2E">
            <w:pPr>
              <w:pStyle w:val="Header"/>
              <w:jc w:val="both"/>
              <w:rPr>
                <w:b/>
                <w:sz w:val="22"/>
                <w:szCs w:val="22"/>
                <w:lang w:val="sr-Latn-RS"/>
              </w:rPr>
            </w:pPr>
            <w:r w:rsidRPr="00E04F74">
              <w:rPr>
                <w:b/>
                <w:sz w:val="22"/>
                <w:szCs w:val="22"/>
                <w:lang w:val="sr-Latn-RS"/>
              </w:rPr>
              <w:t>Ukupni odgovor (stratifikovan prema osnovnoj vrijednosti HIV-1 RNK)</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058E0AF6" w14:textId="77777777" w:rsidR="006A35FB" w:rsidRPr="00E04F74" w:rsidRDefault="006A35FB" w:rsidP="00946B2E">
            <w:pPr>
              <w:pStyle w:val="Header"/>
              <w:jc w:val="both"/>
              <w:rPr>
                <w:sz w:val="22"/>
                <w:szCs w:val="22"/>
                <w:lang w:val="sr-Latn-RS"/>
              </w:rPr>
            </w:pPr>
            <w:r w:rsidRPr="00E04F74">
              <w:rPr>
                <w:sz w:val="22"/>
                <w:szCs w:val="22"/>
                <w:lang w:val="sr-Latn-RS"/>
              </w:rPr>
              <w:t>231/343</w:t>
            </w:r>
          </w:p>
          <w:p w14:paraId="058E0AF7" w14:textId="77777777" w:rsidR="006A35FB" w:rsidRPr="00E04F74" w:rsidRDefault="006A35FB" w:rsidP="00946B2E">
            <w:pPr>
              <w:pStyle w:val="Header"/>
              <w:jc w:val="both"/>
              <w:rPr>
                <w:sz w:val="22"/>
                <w:szCs w:val="22"/>
                <w:lang w:val="sr-Latn-RS"/>
              </w:rPr>
            </w:pPr>
            <w:r w:rsidRPr="00E04F74">
              <w:rPr>
                <w:sz w:val="22"/>
                <w:szCs w:val="22"/>
                <w:lang w:val="sr-Latn-RS"/>
              </w:rPr>
              <w:t>(68%)</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058E0AF8" w14:textId="77777777" w:rsidR="006A35FB" w:rsidRPr="00E04F74" w:rsidRDefault="006A35FB" w:rsidP="00946B2E">
            <w:pPr>
              <w:pStyle w:val="Header"/>
              <w:jc w:val="both"/>
              <w:rPr>
                <w:sz w:val="22"/>
                <w:szCs w:val="22"/>
                <w:lang w:val="sr-Latn-RS"/>
              </w:rPr>
            </w:pPr>
            <w:r w:rsidRPr="00E04F74">
              <w:rPr>
                <w:sz w:val="22"/>
                <w:szCs w:val="22"/>
                <w:lang w:val="sr-Latn-RS"/>
              </w:rPr>
              <w:t>205/343</w:t>
            </w:r>
          </w:p>
          <w:p w14:paraId="058E0AF9" w14:textId="77777777" w:rsidR="006A35FB" w:rsidRPr="00E04F74" w:rsidRDefault="006A35FB" w:rsidP="00946B2E">
            <w:pPr>
              <w:pStyle w:val="Header"/>
              <w:jc w:val="both"/>
              <w:rPr>
                <w:sz w:val="22"/>
                <w:szCs w:val="22"/>
                <w:lang w:val="sr-Latn-RS"/>
              </w:rPr>
            </w:pPr>
            <w:r w:rsidRPr="00E04F74">
              <w:rPr>
                <w:sz w:val="22"/>
                <w:szCs w:val="22"/>
                <w:lang w:val="sr-Latn-RS"/>
              </w:rPr>
              <w:t>(60%)</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058E0AFA" w14:textId="77777777" w:rsidR="006A35FB" w:rsidRPr="00E04F74" w:rsidRDefault="006A35FB" w:rsidP="00946B2E">
            <w:pPr>
              <w:pStyle w:val="Header"/>
              <w:jc w:val="both"/>
              <w:rPr>
                <w:sz w:val="22"/>
                <w:szCs w:val="22"/>
                <w:lang w:val="sr-Latn-RS"/>
              </w:rPr>
            </w:pPr>
            <w:r w:rsidRPr="00E04F74">
              <w:rPr>
                <w:sz w:val="22"/>
                <w:szCs w:val="22"/>
                <w:lang w:val="sr-Latn-RS"/>
              </w:rPr>
              <w:t>232/345</w:t>
            </w:r>
          </w:p>
          <w:p w14:paraId="058E0AFB" w14:textId="77777777" w:rsidR="006A35FB" w:rsidRPr="00E04F74" w:rsidRDefault="006A35FB" w:rsidP="00946B2E">
            <w:pPr>
              <w:pStyle w:val="Header"/>
              <w:jc w:val="both"/>
              <w:rPr>
                <w:sz w:val="22"/>
                <w:szCs w:val="22"/>
                <w:lang w:val="sr-Latn-RS"/>
              </w:rPr>
            </w:pPr>
            <w:r w:rsidRPr="00E04F74">
              <w:rPr>
                <w:sz w:val="22"/>
                <w:szCs w:val="22"/>
                <w:lang w:val="sr-Latn-RS"/>
              </w:rPr>
              <w:t>(67%)</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058E0AFC" w14:textId="77777777" w:rsidR="006A35FB" w:rsidRPr="00E04F74" w:rsidRDefault="006A35FB" w:rsidP="00946B2E">
            <w:pPr>
              <w:pStyle w:val="Header"/>
              <w:jc w:val="both"/>
              <w:rPr>
                <w:sz w:val="22"/>
                <w:szCs w:val="22"/>
                <w:lang w:val="sr-Latn-RS"/>
              </w:rPr>
            </w:pPr>
            <w:r w:rsidRPr="00E04F74">
              <w:rPr>
                <w:sz w:val="22"/>
                <w:szCs w:val="22"/>
                <w:lang w:val="sr-Latn-RS"/>
              </w:rPr>
              <w:t>200/345</w:t>
            </w:r>
          </w:p>
          <w:p w14:paraId="058E0AFD" w14:textId="77777777" w:rsidR="006A35FB" w:rsidRPr="00E04F74" w:rsidRDefault="006A35FB" w:rsidP="00946B2E">
            <w:pPr>
              <w:pStyle w:val="Header"/>
              <w:jc w:val="both"/>
              <w:rPr>
                <w:sz w:val="22"/>
                <w:szCs w:val="22"/>
                <w:lang w:val="sr-Latn-RS"/>
              </w:rPr>
            </w:pPr>
            <w:r w:rsidRPr="00E04F74">
              <w:rPr>
                <w:sz w:val="22"/>
                <w:szCs w:val="22"/>
                <w:lang w:val="sr-Latn-RS"/>
              </w:rPr>
              <w:t>(58%)</w:t>
            </w:r>
          </w:p>
        </w:tc>
      </w:tr>
      <w:tr w:rsidR="006A35FB" w:rsidRPr="00E04F74" w14:paraId="058E0B09" w14:textId="77777777" w:rsidTr="00095F06">
        <w:tc>
          <w:tcPr>
            <w:tcW w:w="1713" w:type="pct"/>
            <w:tcBorders>
              <w:top w:val="single" w:sz="4" w:space="0" w:color="000000"/>
              <w:left w:val="single" w:sz="4" w:space="0" w:color="000000"/>
              <w:bottom w:val="single" w:sz="4" w:space="0" w:color="000000"/>
              <w:right w:val="single" w:sz="4" w:space="0" w:color="000000"/>
            </w:tcBorders>
            <w:vAlign w:val="center"/>
            <w:hideMark/>
          </w:tcPr>
          <w:p w14:paraId="058E0AFF" w14:textId="77777777" w:rsidR="006A35FB" w:rsidRPr="00E04F74" w:rsidRDefault="006A35FB" w:rsidP="00946B2E">
            <w:pPr>
              <w:pStyle w:val="Header"/>
              <w:jc w:val="both"/>
              <w:rPr>
                <w:b/>
                <w:sz w:val="22"/>
                <w:szCs w:val="22"/>
                <w:lang w:val="sr-Latn-RS"/>
              </w:rPr>
            </w:pPr>
            <w:r w:rsidRPr="00E04F74">
              <w:rPr>
                <w:b/>
                <w:sz w:val="22"/>
                <w:szCs w:val="22"/>
                <w:lang w:val="sr-Latn-RS"/>
              </w:rPr>
              <w:t>Odgovor prema osnovnoj vrijednosti HIV-1 RNK</w:t>
            </w:r>
          </w:p>
          <w:p w14:paraId="058E0B00" w14:textId="18A18030" w:rsidR="006A35FB" w:rsidRPr="00E04F74" w:rsidRDefault="006A35FB" w:rsidP="00946B2E">
            <w:pPr>
              <w:pStyle w:val="Header"/>
              <w:jc w:val="both"/>
              <w:rPr>
                <w:b/>
                <w:sz w:val="22"/>
                <w:szCs w:val="22"/>
                <w:lang w:val="sr-Latn-RS"/>
              </w:rPr>
            </w:pPr>
            <w:r w:rsidRPr="00E04F74">
              <w:rPr>
                <w:b/>
                <w:sz w:val="22"/>
                <w:szCs w:val="22"/>
                <w:lang w:val="sr-Latn-RS"/>
              </w:rPr>
              <w:t>&lt;100 000 k/m</w:t>
            </w:r>
            <w:r w:rsidR="007D1417" w:rsidRPr="00E04F74">
              <w:rPr>
                <w:b/>
                <w:sz w:val="22"/>
                <w:szCs w:val="22"/>
                <w:lang w:val="sr-Latn-RS"/>
              </w:rPr>
              <w:t>l</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058E0B01" w14:textId="77777777" w:rsidR="006A35FB" w:rsidRPr="00E04F74" w:rsidRDefault="006A35FB" w:rsidP="00946B2E">
            <w:pPr>
              <w:pStyle w:val="Header"/>
              <w:jc w:val="both"/>
              <w:rPr>
                <w:sz w:val="22"/>
                <w:szCs w:val="22"/>
                <w:lang w:val="sr-Latn-RS"/>
              </w:rPr>
            </w:pPr>
            <w:r w:rsidRPr="00E04F74">
              <w:rPr>
                <w:sz w:val="22"/>
                <w:szCs w:val="22"/>
                <w:lang w:val="sr-Latn-RS"/>
              </w:rPr>
              <w:t>134/188</w:t>
            </w:r>
          </w:p>
          <w:p w14:paraId="058E0B02" w14:textId="77777777" w:rsidR="006A35FB" w:rsidRPr="00E04F74" w:rsidRDefault="006A35FB" w:rsidP="00946B2E">
            <w:pPr>
              <w:pStyle w:val="Header"/>
              <w:jc w:val="both"/>
              <w:rPr>
                <w:sz w:val="22"/>
                <w:szCs w:val="22"/>
                <w:lang w:val="sr-Latn-RS"/>
              </w:rPr>
            </w:pPr>
            <w:r w:rsidRPr="00E04F74">
              <w:rPr>
                <w:sz w:val="22"/>
                <w:szCs w:val="22"/>
                <w:lang w:val="sr-Latn-RS"/>
              </w:rPr>
              <w:t>(71%)</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058E0B03" w14:textId="77777777" w:rsidR="006A35FB" w:rsidRPr="00E04F74" w:rsidRDefault="006A35FB" w:rsidP="00946B2E">
            <w:pPr>
              <w:pStyle w:val="Header"/>
              <w:jc w:val="both"/>
              <w:rPr>
                <w:sz w:val="22"/>
                <w:szCs w:val="22"/>
                <w:lang w:val="sr-Latn-RS"/>
              </w:rPr>
            </w:pPr>
            <w:r w:rsidRPr="00E04F74">
              <w:rPr>
                <w:sz w:val="22"/>
                <w:szCs w:val="22"/>
                <w:lang w:val="sr-Latn-RS"/>
              </w:rPr>
              <w:t>118/188</w:t>
            </w:r>
          </w:p>
          <w:p w14:paraId="058E0B04" w14:textId="77777777" w:rsidR="006A35FB" w:rsidRPr="00E04F74" w:rsidRDefault="006A35FB" w:rsidP="00946B2E">
            <w:pPr>
              <w:pStyle w:val="Header"/>
              <w:jc w:val="both"/>
              <w:rPr>
                <w:sz w:val="22"/>
                <w:szCs w:val="22"/>
                <w:lang w:val="sr-Latn-RS"/>
              </w:rPr>
            </w:pPr>
            <w:r w:rsidRPr="00E04F74">
              <w:rPr>
                <w:sz w:val="22"/>
                <w:szCs w:val="22"/>
                <w:lang w:val="sr-Latn-RS"/>
              </w:rPr>
              <w:t>(63%)</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058E0B05" w14:textId="77777777" w:rsidR="006A35FB" w:rsidRPr="00E04F74" w:rsidRDefault="006A35FB" w:rsidP="00946B2E">
            <w:pPr>
              <w:pStyle w:val="Header"/>
              <w:jc w:val="both"/>
              <w:rPr>
                <w:sz w:val="22"/>
                <w:szCs w:val="22"/>
                <w:lang w:val="sr-Latn-RS"/>
              </w:rPr>
            </w:pPr>
            <w:r w:rsidRPr="00E04F74">
              <w:rPr>
                <w:sz w:val="22"/>
                <w:szCs w:val="22"/>
                <w:lang w:val="sr-Latn-RS"/>
              </w:rPr>
              <w:t>141/205</w:t>
            </w:r>
          </w:p>
          <w:p w14:paraId="058E0B06" w14:textId="77777777" w:rsidR="006A35FB" w:rsidRPr="00E04F74" w:rsidRDefault="006A35FB" w:rsidP="00946B2E">
            <w:pPr>
              <w:pStyle w:val="Header"/>
              <w:jc w:val="both"/>
              <w:rPr>
                <w:sz w:val="22"/>
                <w:szCs w:val="22"/>
                <w:lang w:val="sr-Latn-RS"/>
              </w:rPr>
            </w:pPr>
            <w:r w:rsidRPr="00E04F74">
              <w:rPr>
                <w:sz w:val="22"/>
                <w:szCs w:val="22"/>
                <w:lang w:val="sr-Latn-RS"/>
              </w:rPr>
              <w:t>(69%)</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058E0B07" w14:textId="77777777" w:rsidR="006A35FB" w:rsidRPr="00E04F74" w:rsidRDefault="006A35FB" w:rsidP="00946B2E">
            <w:pPr>
              <w:pStyle w:val="Header"/>
              <w:jc w:val="both"/>
              <w:rPr>
                <w:sz w:val="22"/>
                <w:szCs w:val="22"/>
                <w:lang w:val="sr-Latn-RS"/>
              </w:rPr>
            </w:pPr>
            <w:r w:rsidRPr="00E04F74">
              <w:rPr>
                <w:sz w:val="22"/>
                <w:szCs w:val="22"/>
                <w:lang w:val="sr-Latn-RS"/>
              </w:rPr>
              <w:t>119/205</w:t>
            </w:r>
          </w:p>
          <w:p w14:paraId="058E0B08" w14:textId="77777777" w:rsidR="006A35FB" w:rsidRPr="00E04F74" w:rsidRDefault="006A35FB" w:rsidP="00946B2E">
            <w:pPr>
              <w:pStyle w:val="Header"/>
              <w:jc w:val="both"/>
              <w:rPr>
                <w:sz w:val="22"/>
                <w:szCs w:val="22"/>
                <w:lang w:val="sr-Latn-RS"/>
              </w:rPr>
            </w:pPr>
            <w:r w:rsidRPr="00E04F74">
              <w:rPr>
                <w:sz w:val="22"/>
                <w:szCs w:val="22"/>
                <w:lang w:val="sr-Latn-RS"/>
              </w:rPr>
              <w:t>(58%)</w:t>
            </w:r>
          </w:p>
        </w:tc>
      </w:tr>
      <w:tr w:rsidR="006A35FB" w:rsidRPr="00E04F74" w14:paraId="058E0B14" w14:textId="77777777" w:rsidTr="00095F06">
        <w:tc>
          <w:tcPr>
            <w:tcW w:w="1713" w:type="pct"/>
            <w:tcBorders>
              <w:top w:val="single" w:sz="4" w:space="0" w:color="000000"/>
              <w:left w:val="single" w:sz="4" w:space="0" w:color="000000"/>
              <w:bottom w:val="single" w:sz="4" w:space="0" w:color="000000"/>
              <w:right w:val="single" w:sz="4" w:space="0" w:color="000000"/>
            </w:tcBorders>
            <w:vAlign w:val="center"/>
            <w:hideMark/>
          </w:tcPr>
          <w:p w14:paraId="058E0B0A" w14:textId="77777777" w:rsidR="006A35FB" w:rsidRPr="00E04F74" w:rsidRDefault="006A35FB" w:rsidP="00946B2E">
            <w:pPr>
              <w:pStyle w:val="Header"/>
              <w:jc w:val="both"/>
              <w:rPr>
                <w:b/>
                <w:sz w:val="22"/>
                <w:szCs w:val="22"/>
                <w:lang w:val="sr-Latn-RS"/>
              </w:rPr>
            </w:pPr>
            <w:r w:rsidRPr="00E04F74">
              <w:rPr>
                <w:b/>
                <w:sz w:val="22"/>
                <w:szCs w:val="22"/>
                <w:lang w:val="sr-Latn-RS"/>
              </w:rPr>
              <w:t>Odgovor prema osnovnoj vrijednosti HIV-1 RNK</w:t>
            </w:r>
          </w:p>
          <w:p w14:paraId="058E0B0B" w14:textId="06BF8390" w:rsidR="006A35FB" w:rsidRPr="00E04F74" w:rsidRDefault="006A35FB" w:rsidP="00946B2E">
            <w:pPr>
              <w:pStyle w:val="Header"/>
              <w:jc w:val="both"/>
              <w:rPr>
                <w:b/>
                <w:sz w:val="22"/>
                <w:szCs w:val="22"/>
                <w:lang w:val="sr-Latn-RS"/>
              </w:rPr>
            </w:pPr>
            <w:r w:rsidRPr="00E04F74">
              <w:rPr>
                <w:b/>
                <w:sz w:val="22"/>
                <w:szCs w:val="22"/>
                <w:lang w:val="sr-Latn-RS"/>
              </w:rPr>
              <w:t>≥100 000 k/m</w:t>
            </w:r>
            <w:r w:rsidR="007D1417" w:rsidRPr="00E04F74">
              <w:rPr>
                <w:b/>
                <w:sz w:val="22"/>
                <w:szCs w:val="22"/>
                <w:lang w:val="sr-Latn-RS"/>
              </w:rPr>
              <w:t>l</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058E0B0C" w14:textId="77777777" w:rsidR="006A35FB" w:rsidRPr="00E04F74" w:rsidRDefault="006A35FB" w:rsidP="00946B2E">
            <w:pPr>
              <w:pStyle w:val="Header"/>
              <w:jc w:val="both"/>
              <w:rPr>
                <w:sz w:val="22"/>
                <w:szCs w:val="22"/>
                <w:lang w:val="sr-Latn-RS"/>
              </w:rPr>
            </w:pPr>
            <w:r w:rsidRPr="00E04F74">
              <w:rPr>
                <w:sz w:val="22"/>
                <w:szCs w:val="22"/>
                <w:lang w:val="sr-Latn-RS"/>
              </w:rPr>
              <w:t>97/155</w:t>
            </w:r>
          </w:p>
          <w:p w14:paraId="058E0B0D" w14:textId="77777777" w:rsidR="006A35FB" w:rsidRPr="00E04F74" w:rsidRDefault="006A35FB" w:rsidP="00946B2E">
            <w:pPr>
              <w:pStyle w:val="Header"/>
              <w:jc w:val="both"/>
              <w:rPr>
                <w:sz w:val="22"/>
                <w:szCs w:val="22"/>
                <w:lang w:val="sr-Latn-RS"/>
              </w:rPr>
            </w:pPr>
            <w:r w:rsidRPr="00E04F74">
              <w:rPr>
                <w:sz w:val="22"/>
                <w:szCs w:val="22"/>
                <w:lang w:val="sr-Latn-RS"/>
              </w:rPr>
              <w:t>(63%)</w:t>
            </w:r>
          </w:p>
        </w:tc>
        <w:tc>
          <w:tcPr>
            <w:tcW w:w="858" w:type="pct"/>
            <w:tcBorders>
              <w:top w:val="single" w:sz="4" w:space="0" w:color="000000"/>
              <w:left w:val="single" w:sz="4" w:space="0" w:color="000000"/>
              <w:bottom w:val="single" w:sz="4" w:space="0" w:color="000000"/>
              <w:right w:val="single" w:sz="4" w:space="0" w:color="000000"/>
            </w:tcBorders>
            <w:vAlign w:val="center"/>
            <w:hideMark/>
          </w:tcPr>
          <w:p w14:paraId="058E0B0E" w14:textId="77777777" w:rsidR="006A35FB" w:rsidRPr="00E04F74" w:rsidRDefault="006A35FB" w:rsidP="00946B2E">
            <w:pPr>
              <w:pStyle w:val="Header"/>
              <w:jc w:val="both"/>
              <w:rPr>
                <w:sz w:val="22"/>
                <w:szCs w:val="22"/>
                <w:lang w:val="sr-Latn-RS"/>
              </w:rPr>
            </w:pPr>
            <w:r w:rsidRPr="00E04F74">
              <w:rPr>
                <w:sz w:val="22"/>
                <w:szCs w:val="22"/>
                <w:lang w:val="sr-Latn-RS"/>
              </w:rPr>
              <w:t>87/155</w:t>
            </w:r>
          </w:p>
          <w:p w14:paraId="058E0B0F" w14:textId="77777777" w:rsidR="006A35FB" w:rsidRPr="00E04F74" w:rsidRDefault="006A35FB" w:rsidP="00946B2E">
            <w:pPr>
              <w:pStyle w:val="Header"/>
              <w:jc w:val="both"/>
              <w:rPr>
                <w:sz w:val="22"/>
                <w:szCs w:val="22"/>
                <w:lang w:val="sr-Latn-RS"/>
              </w:rPr>
            </w:pPr>
            <w:r w:rsidRPr="00E04F74">
              <w:rPr>
                <w:sz w:val="22"/>
                <w:szCs w:val="22"/>
                <w:lang w:val="sr-Latn-RS"/>
              </w:rPr>
              <w:t>(56%)</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058E0B10" w14:textId="77777777" w:rsidR="006A35FB" w:rsidRPr="00E04F74" w:rsidRDefault="006A35FB" w:rsidP="00946B2E">
            <w:pPr>
              <w:pStyle w:val="Header"/>
              <w:jc w:val="both"/>
              <w:rPr>
                <w:sz w:val="22"/>
                <w:szCs w:val="22"/>
                <w:lang w:val="sr-Latn-RS"/>
              </w:rPr>
            </w:pPr>
            <w:r w:rsidRPr="00E04F74">
              <w:rPr>
                <w:sz w:val="22"/>
                <w:szCs w:val="22"/>
                <w:lang w:val="sr-Latn-RS"/>
              </w:rPr>
              <w:t>91/140</w:t>
            </w:r>
          </w:p>
          <w:p w14:paraId="058E0B11" w14:textId="77777777" w:rsidR="006A35FB" w:rsidRPr="00E04F74" w:rsidRDefault="006A35FB" w:rsidP="00946B2E">
            <w:pPr>
              <w:pStyle w:val="Header"/>
              <w:jc w:val="both"/>
              <w:rPr>
                <w:sz w:val="22"/>
                <w:szCs w:val="22"/>
                <w:lang w:val="sr-Latn-RS"/>
              </w:rPr>
            </w:pPr>
            <w:r w:rsidRPr="00E04F74">
              <w:rPr>
                <w:sz w:val="22"/>
                <w:szCs w:val="22"/>
                <w:lang w:val="sr-Latn-RS"/>
              </w:rPr>
              <w:t>(65%)</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058E0B12" w14:textId="77777777" w:rsidR="006A35FB" w:rsidRPr="00E04F74" w:rsidRDefault="006A35FB" w:rsidP="00946B2E">
            <w:pPr>
              <w:pStyle w:val="Header"/>
              <w:jc w:val="both"/>
              <w:rPr>
                <w:sz w:val="22"/>
                <w:szCs w:val="22"/>
                <w:lang w:val="sr-Latn-RS"/>
              </w:rPr>
            </w:pPr>
            <w:r w:rsidRPr="00E04F74">
              <w:rPr>
                <w:sz w:val="22"/>
                <w:szCs w:val="22"/>
                <w:lang w:val="sr-Latn-RS"/>
              </w:rPr>
              <w:t>81/140</w:t>
            </w:r>
          </w:p>
          <w:p w14:paraId="058E0B13" w14:textId="77777777" w:rsidR="006A35FB" w:rsidRPr="00E04F74" w:rsidRDefault="006A35FB" w:rsidP="00946B2E">
            <w:pPr>
              <w:pStyle w:val="Header"/>
              <w:jc w:val="both"/>
              <w:rPr>
                <w:sz w:val="22"/>
                <w:szCs w:val="22"/>
                <w:lang w:val="sr-Latn-RS"/>
              </w:rPr>
            </w:pPr>
            <w:r w:rsidRPr="00E04F74">
              <w:rPr>
                <w:sz w:val="22"/>
                <w:szCs w:val="22"/>
                <w:lang w:val="sr-Latn-RS"/>
              </w:rPr>
              <w:t>(58%)</w:t>
            </w:r>
          </w:p>
        </w:tc>
      </w:tr>
    </w:tbl>
    <w:p w14:paraId="058E0B15" w14:textId="77777777" w:rsidR="006A35FB" w:rsidRPr="00E04F74" w:rsidRDefault="006A35FB" w:rsidP="00946B2E">
      <w:pPr>
        <w:pStyle w:val="Header"/>
        <w:jc w:val="both"/>
        <w:rPr>
          <w:bCs/>
          <w:sz w:val="22"/>
          <w:szCs w:val="22"/>
          <w:lang w:val="sr-Latn-RS"/>
        </w:rPr>
      </w:pPr>
    </w:p>
    <w:p w14:paraId="058E0B16" w14:textId="77777777" w:rsidR="006A35FB" w:rsidRPr="00E04F74" w:rsidRDefault="006A35FB" w:rsidP="00946B2E">
      <w:pPr>
        <w:pStyle w:val="Header"/>
        <w:jc w:val="both"/>
        <w:rPr>
          <w:sz w:val="22"/>
          <w:szCs w:val="22"/>
          <w:lang w:val="sr-Latn-RS"/>
        </w:rPr>
      </w:pPr>
      <w:r w:rsidRPr="00E04F74">
        <w:rPr>
          <w:sz w:val="22"/>
          <w:szCs w:val="22"/>
          <w:lang w:val="sr-Latn-RS"/>
        </w:rPr>
        <w:t>Sličan virološki odgovor je uočen za oba terapijska režima (tačka procjene terapijske razlike u nedjelji 48. 0,39%, 95% CI: -6,63; 7,40).</w:t>
      </w:r>
    </w:p>
    <w:p w14:paraId="058E0B17" w14:textId="77777777" w:rsidR="006A35FB" w:rsidRPr="00E04F74" w:rsidRDefault="006A35FB" w:rsidP="00946B2E">
      <w:pPr>
        <w:pStyle w:val="Header"/>
        <w:jc w:val="both"/>
        <w:rPr>
          <w:sz w:val="22"/>
          <w:szCs w:val="22"/>
          <w:lang w:val="sr-Latn-RS"/>
        </w:rPr>
      </w:pPr>
    </w:p>
    <w:p w14:paraId="058E0B19" w14:textId="0CD88B20" w:rsidR="006A35FB" w:rsidRPr="00E04F74" w:rsidRDefault="006A35FB" w:rsidP="00946B2E">
      <w:pPr>
        <w:pStyle w:val="Header"/>
        <w:jc w:val="both"/>
        <w:rPr>
          <w:iCs/>
          <w:color w:val="FF0000"/>
          <w:sz w:val="22"/>
          <w:szCs w:val="22"/>
          <w:lang w:val="sr-Latn-RS"/>
        </w:rPr>
      </w:pPr>
      <w:r w:rsidRPr="00E04F74">
        <w:rPr>
          <w:sz w:val="22"/>
          <w:szCs w:val="22"/>
          <w:lang w:val="sr-Latn-RS"/>
        </w:rPr>
        <w:lastRenderedPageBreak/>
        <w:t>Studija ACTG 5202 je bila multicentrična, komparativna, randomizovana studija dvostruko slijepe primjene lamivudina/abakavira ili emtricitabina/tenofovira u kombinaciji sa otvorenom primjenom efaviren</w:t>
      </w:r>
      <w:r w:rsidR="00A61569" w:rsidRPr="00E04F74">
        <w:rPr>
          <w:sz w:val="22"/>
          <w:szCs w:val="22"/>
          <w:lang w:val="sr-Latn-RS"/>
        </w:rPr>
        <w:t>z</w:t>
      </w:r>
      <w:r w:rsidRPr="00E04F74">
        <w:rPr>
          <w:sz w:val="22"/>
          <w:szCs w:val="22"/>
          <w:lang w:val="sr-Latn-RS"/>
        </w:rPr>
        <w:t>a ili atazanavira/ritonavira u terpiji prethodno neliječenih HIV inficiranih pacijenata. Pacijenti su bili stratifikovani na osnovu skriningom utvrđenih vrijednosti HIV-1 RNK u plazmi &lt;100 000 i ≥ 100 000 kopija/m</w:t>
      </w:r>
      <w:r w:rsidR="007D1417" w:rsidRPr="00E04F74">
        <w:rPr>
          <w:sz w:val="22"/>
          <w:szCs w:val="22"/>
          <w:lang w:val="sr-Latn-RS"/>
        </w:rPr>
        <w:t>l</w:t>
      </w:r>
      <w:r w:rsidRPr="00E04F74">
        <w:rPr>
          <w:sz w:val="22"/>
          <w:szCs w:val="22"/>
          <w:lang w:val="sr-Latn-RS"/>
        </w:rPr>
        <w:t>.</w:t>
      </w:r>
    </w:p>
    <w:p w14:paraId="058E0B1A" w14:textId="32D8BDE5" w:rsidR="006A35FB" w:rsidRPr="00E04F74" w:rsidRDefault="00A61569" w:rsidP="00946B2E">
      <w:pPr>
        <w:pStyle w:val="Header"/>
        <w:jc w:val="both"/>
        <w:rPr>
          <w:iCs/>
          <w:sz w:val="22"/>
          <w:szCs w:val="22"/>
          <w:lang w:val="sr-Latn-RS"/>
        </w:rPr>
      </w:pPr>
      <w:r w:rsidRPr="00E04F74">
        <w:rPr>
          <w:iCs/>
          <w:sz w:val="22"/>
          <w:szCs w:val="22"/>
          <w:lang w:val="sr-Latn-RS"/>
        </w:rPr>
        <w:t xml:space="preserve">Interim </w:t>
      </w:r>
      <w:r w:rsidR="006A35FB" w:rsidRPr="00E04F74">
        <w:rPr>
          <w:iCs/>
          <w:sz w:val="22"/>
          <w:szCs w:val="22"/>
          <w:lang w:val="sr-Latn-RS"/>
        </w:rPr>
        <w:t>analiza ACTG 5202 pokazala je da je primjena lamivudina/abakavira udružena sa statistički značajno višim rizikom od virološkog neuspjeha terapije, u poređenju sa</w:t>
      </w:r>
      <w:r w:rsidR="002870DD" w:rsidRPr="00E04F74">
        <w:rPr>
          <w:iCs/>
          <w:sz w:val="22"/>
          <w:szCs w:val="22"/>
          <w:lang w:val="sr-Latn-RS"/>
        </w:rPr>
        <w:t xml:space="preserve"> </w:t>
      </w:r>
      <w:r w:rsidR="006A35FB" w:rsidRPr="00E04F74">
        <w:rPr>
          <w:iCs/>
          <w:sz w:val="22"/>
          <w:szCs w:val="22"/>
          <w:lang w:val="sr-Latn-RS"/>
        </w:rPr>
        <w:t>primjenom emtricitabina/tenofovira (definisano na broj virusa &gt;1000 kopija/m</w:t>
      </w:r>
      <w:r w:rsidR="007D1417" w:rsidRPr="00E04F74">
        <w:rPr>
          <w:iCs/>
          <w:sz w:val="22"/>
          <w:szCs w:val="22"/>
          <w:lang w:val="sr-Latn-RS"/>
        </w:rPr>
        <w:t>l</w:t>
      </w:r>
      <w:r w:rsidR="006A35FB" w:rsidRPr="00E04F74">
        <w:rPr>
          <w:iCs/>
          <w:sz w:val="22"/>
          <w:szCs w:val="22"/>
          <w:lang w:val="sr-Latn-RS"/>
        </w:rPr>
        <w:t xml:space="preserve"> u ili nakon 16. nedjelje i prije 24. nedjelje ili nivo HIV RNK &gt;200 kopija/m</w:t>
      </w:r>
      <w:r w:rsidR="007D1417" w:rsidRPr="00E04F74">
        <w:rPr>
          <w:iCs/>
          <w:sz w:val="22"/>
          <w:szCs w:val="22"/>
          <w:lang w:val="sr-Latn-RS"/>
        </w:rPr>
        <w:t>l</w:t>
      </w:r>
      <w:r w:rsidR="006A35FB" w:rsidRPr="00E04F74">
        <w:rPr>
          <w:iCs/>
          <w:sz w:val="22"/>
          <w:szCs w:val="22"/>
          <w:lang w:val="sr-Latn-RS"/>
        </w:rPr>
        <w:t xml:space="preserve"> u ili nakon 24. nedjelje) kod ispitanika sa skriningom utvrđenim brojem virusa ≥100 000 kopija/m</w:t>
      </w:r>
      <w:r w:rsidR="007D1417" w:rsidRPr="00E04F74">
        <w:rPr>
          <w:iCs/>
          <w:sz w:val="22"/>
          <w:szCs w:val="22"/>
          <w:lang w:val="sr-Latn-RS"/>
        </w:rPr>
        <w:t>l</w:t>
      </w:r>
      <w:r w:rsidR="006A35FB" w:rsidRPr="00E04F74">
        <w:rPr>
          <w:iCs/>
          <w:sz w:val="22"/>
          <w:szCs w:val="22"/>
          <w:lang w:val="sr-Latn-RS"/>
        </w:rPr>
        <w:t xml:space="preserve"> (procijenjeni odnos rizika; 2,33; 95% CI: 1,46, 3,72; p=0,0003). The </w:t>
      </w:r>
      <w:r w:rsidR="006A35FB" w:rsidRPr="00E04F74">
        <w:rPr>
          <w:i/>
          <w:iCs/>
          <w:sz w:val="22"/>
          <w:szCs w:val="22"/>
          <w:lang w:val="sr-Latn-RS"/>
        </w:rPr>
        <w:t>Data Safety Monitoring Board</w:t>
      </w:r>
      <w:r w:rsidR="006A35FB" w:rsidRPr="00E04F74">
        <w:rPr>
          <w:iCs/>
          <w:sz w:val="22"/>
          <w:szCs w:val="22"/>
          <w:lang w:val="sr-Latn-RS"/>
        </w:rPr>
        <w:t xml:space="preserve"> (DSMB) preporučio je da je potrebno razmotriti mogućnost promjene u terapijskom pristupu kod svih ispitanika grupe sa visokim brojem virusa, zbog uočenih razlika u efikasnosti. Ispitanici iz grupe sa niskim brojem virusa ostali su uključeni u slijepu studiju.</w:t>
      </w:r>
    </w:p>
    <w:p w14:paraId="058E0B1B" w14:textId="77777777" w:rsidR="006A35FB" w:rsidRPr="00E04F74" w:rsidRDefault="006A35FB" w:rsidP="00946B2E">
      <w:pPr>
        <w:pStyle w:val="Header"/>
        <w:jc w:val="both"/>
        <w:rPr>
          <w:iCs/>
          <w:color w:val="FF0000"/>
          <w:sz w:val="22"/>
          <w:szCs w:val="22"/>
          <w:lang w:val="sr-Latn-RS"/>
        </w:rPr>
      </w:pPr>
    </w:p>
    <w:p w14:paraId="058E0B1C" w14:textId="77777777" w:rsidR="006A35FB" w:rsidRPr="00E04F74" w:rsidRDefault="006A35FB" w:rsidP="00946B2E">
      <w:pPr>
        <w:pStyle w:val="Header"/>
        <w:jc w:val="both"/>
        <w:rPr>
          <w:iCs/>
          <w:sz w:val="22"/>
          <w:szCs w:val="22"/>
          <w:lang w:val="sr-Latn-RS"/>
        </w:rPr>
      </w:pPr>
      <w:r w:rsidRPr="00E04F74">
        <w:rPr>
          <w:iCs/>
          <w:sz w:val="22"/>
          <w:szCs w:val="22"/>
          <w:lang w:val="sr-Latn-RS"/>
        </w:rPr>
        <w:t>Analize podataka dobijenih od ispitanika iz grupe sa niskim brojem virusa, nijesu pokazale demonstrativnu razliku između nukleozidnih osnova terapije u proporciji pacijenata bez virološkog neuspjeha terapije u 96. nedjelji. Rezultati su prikazani u daljem tekstu:</w:t>
      </w:r>
    </w:p>
    <w:p w14:paraId="058E0B1D" w14:textId="77777777" w:rsidR="006A35FB" w:rsidRPr="00E04F74" w:rsidRDefault="006A35FB" w:rsidP="00946B2E">
      <w:pPr>
        <w:pStyle w:val="Header"/>
        <w:jc w:val="both"/>
        <w:rPr>
          <w:iCs/>
          <w:sz w:val="22"/>
          <w:szCs w:val="22"/>
          <w:lang w:val="sr-Latn-RS"/>
        </w:rPr>
      </w:pPr>
    </w:p>
    <w:p w14:paraId="058E0B1E" w14:textId="3FF9C5F2" w:rsidR="006A35FB" w:rsidRPr="00E04F74" w:rsidRDefault="006A35FB" w:rsidP="00946B2E">
      <w:pPr>
        <w:pStyle w:val="Header"/>
        <w:ind w:left="284"/>
        <w:jc w:val="both"/>
        <w:rPr>
          <w:iCs/>
          <w:sz w:val="22"/>
          <w:szCs w:val="22"/>
          <w:lang w:val="sr-Latn-RS"/>
        </w:rPr>
      </w:pPr>
      <w:r w:rsidRPr="00E04F74">
        <w:rPr>
          <w:iCs/>
          <w:sz w:val="22"/>
          <w:szCs w:val="22"/>
          <w:lang w:val="sr-Latn-RS"/>
        </w:rPr>
        <w:t xml:space="preserve">- 88,3% sa ABC/3TC </w:t>
      </w:r>
      <w:r w:rsidR="00A61569" w:rsidRPr="00E04F74">
        <w:rPr>
          <w:iCs/>
          <w:sz w:val="22"/>
          <w:szCs w:val="22"/>
          <w:lang w:val="sr-Latn-RS"/>
        </w:rPr>
        <w:t>naspram</w:t>
      </w:r>
      <w:r w:rsidRPr="00E04F74">
        <w:rPr>
          <w:iCs/>
          <w:sz w:val="22"/>
          <w:szCs w:val="22"/>
          <w:lang w:val="sr-Latn-RS"/>
        </w:rPr>
        <w:t xml:space="preserve"> 90,3% sa TDF/FTC, prilikom istovremene primjene sa atazanovirom/ritonavirom kao trećim lijekom, terapijska razlika -2,0% (95% CI -7,5%, 3,4%),</w:t>
      </w:r>
    </w:p>
    <w:p w14:paraId="058E0B1F" w14:textId="60C82BB5" w:rsidR="006A35FB" w:rsidRPr="00E04F74" w:rsidRDefault="006A35FB" w:rsidP="00946B2E">
      <w:pPr>
        <w:pStyle w:val="Header"/>
        <w:ind w:left="284"/>
        <w:jc w:val="both"/>
        <w:rPr>
          <w:iCs/>
          <w:sz w:val="22"/>
          <w:szCs w:val="22"/>
          <w:lang w:val="sr-Latn-RS"/>
        </w:rPr>
      </w:pPr>
      <w:r w:rsidRPr="00E04F74">
        <w:rPr>
          <w:iCs/>
          <w:sz w:val="22"/>
          <w:szCs w:val="22"/>
          <w:lang w:val="sr-Latn-RS"/>
        </w:rPr>
        <w:t xml:space="preserve">- </w:t>
      </w:r>
      <w:r w:rsidR="00A61569" w:rsidRPr="00E04F74">
        <w:rPr>
          <w:iCs/>
          <w:sz w:val="22"/>
          <w:szCs w:val="22"/>
          <w:lang w:val="sr-Latn-RS"/>
        </w:rPr>
        <w:t xml:space="preserve">  </w:t>
      </w:r>
      <w:r w:rsidRPr="00E04F74">
        <w:rPr>
          <w:iCs/>
          <w:sz w:val="22"/>
          <w:szCs w:val="22"/>
          <w:lang w:val="sr-Latn-RS"/>
        </w:rPr>
        <w:t xml:space="preserve">87,4% sa ABC/3TC </w:t>
      </w:r>
      <w:r w:rsidR="00A61569" w:rsidRPr="00E04F74">
        <w:rPr>
          <w:iCs/>
          <w:sz w:val="22"/>
          <w:szCs w:val="22"/>
          <w:lang w:val="sr-Latn-RS"/>
        </w:rPr>
        <w:t>naspram</w:t>
      </w:r>
      <w:r w:rsidRPr="00E04F74">
        <w:rPr>
          <w:iCs/>
          <w:sz w:val="22"/>
          <w:szCs w:val="22"/>
          <w:lang w:val="sr-Latn-RS"/>
        </w:rPr>
        <w:t xml:space="preserve"> 89,2% sa TDF/FTC, prilikom istovremene primjene sa efaviren</w:t>
      </w:r>
      <w:r w:rsidR="00A61569" w:rsidRPr="00E04F74">
        <w:rPr>
          <w:iCs/>
          <w:sz w:val="22"/>
          <w:szCs w:val="22"/>
          <w:lang w:val="sr-Latn-RS"/>
        </w:rPr>
        <w:t>z</w:t>
      </w:r>
      <w:r w:rsidRPr="00E04F74">
        <w:rPr>
          <w:iCs/>
          <w:sz w:val="22"/>
          <w:szCs w:val="22"/>
          <w:lang w:val="sr-Latn-RS"/>
        </w:rPr>
        <w:t>om kao trećim lijekom, terapijska razlika -1,8% (95% CI -7,5%, 3,9%),</w:t>
      </w:r>
    </w:p>
    <w:p w14:paraId="058E0B20" w14:textId="77777777" w:rsidR="006A35FB" w:rsidRPr="00E04F74" w:rsidRDefault="006A35FB" w:rsidP="00946B2E">
      <w:pPr>
        <w:pStyle w:val="Header"/>
        <w:jc w:val="both"/>
        <w:rPr>
          <w:iCs/>
          <w:sz w:val="22"/>
          <w:szCs w:val="22"/>
          <w:lang w:val="sr-Latn-RS"/>
        </w:rPr>
      </w:pPr>
    </w:p>
    <w:p w14:paraId="058E0B21" w14:textId="7A41B9B5" w:rsidR="006A35FB" w:rsidRPr="00E04F74" w:rsidRDefault="006A35FB" w:rsidP="00946B2E">
      <w:pPr>
        <w:pStyle w:val="Header"/>
        <w:jc w:val="both"/>
        <w:rPr>
          <w:iCs/>
          <w:sz w:val="22"/>
          <w:szCs w:val="22"/>
          <w:lang w:val="sr-Latn-RS"/>
        </w:rPr>
      </w:pPr>
      <w:r w:rsidRPr="00E04F74">
        <w:rPr>
          <w:iCs/>
          <w:sz w:val="22"/>
          <w:szCs w:val="22"/>
          <w:lang w:val="sr-Latn-RS"/>
        </w:rPr>
        <w:t>CNA 109586 (ASSERT studija), multicentrična, otvorena, randomizovana studija primjene kombinacije lamivudina/abakavira (ABC/3TC, 600 mg/300 mg) i tenofovira/emtricitabina (TDF/FTC, 300 mg/200 mg), svake primijenjene jednom dnevno sa efaviren</w:t>
      </w:r>
      <w:r w:rsidR="00AC01F3" w:rsidRPr="00E04F74">
        <w:rPr>
          <w:iCs/>
          <w:sz w:val="22"/>
          <w:szCs w:val="22"/>
          <w:lang w:val="sr-Latn-RS"/>
        </w:rPr>
        <w:t>z</w:t>
      </w:r>
      <w:r w:rsidRPr="00E04F74">
        <w:rPr>
          <w:iCs/>
          <w:sz w:val="22"/>
          <w:szCs w:val="22"/>
          <w:lang w:val="sr-Latn-RS"/>
        </w:rPr>
        <w:t>om (EFV, 600 mg) kod prethodno neliječenih ART, HLA-B*5701 negativnih, HIV-1 inficiranih odraslih osoba. Virološki rezultati su zbirno prikazani u niženavedenoj tabeli:</w:t>
      </w:r>
    </w:p>
    <w:p w14:paraId="058E0B22" w14:textId="77777777" w:rsidR="006A35FB" w:rsidRPr="00E04F74" w:rsidRDefault="006A35FB" w:rsidP="00946B2E">
      <w:pPr>
        <w:pStyle w:val="Header"/>
        <w:jc w:val="both"/>
        <w:rPr>
          <w:iCs/>
          <w:sz w:val="22"/>
          <w:szCs w:val="22"/>
          <w:lang w:val="sr-Latn-RS"/>
        </w:rPr>
      </w:pPr>
    </w:p>
    <w:p w14:paraId="058E0B23" w14:textId="33A4D206" w:rsidR="006A35FB" w:rsidRPr="00E04F74" w:rsidRDefault="006A35FB" w:rsidP="00946B2E">
      <w:pPr>
        <w:pStyle w:val="Header"/>
        <w:jc w:val="both"/>
        <w:rPr>
          <w:b/>
          <w:iCs/>
          <w:sz w:val="22"/>
          <w:szCs w:val="22"/>
          <w:lang w:val="sr-Latn-RS"/>
        </w:rPr>
      </w:pPr>
      <w:r w:rsidRPr="00E04F74">
        <w:rPr>
          <w:b/>
          <w:iCs/>
          <w:sz w:val="22"/>
          <w:szCs w:val="22"/>
          <w:lang w:val="sr-Latn-RS"/>
        </w:rPr>
        <w:t>Virološki odgovor u 48. nedjelji kod ITT izložene populacije &lt;50 kopija/m</w:t>
      </w:r>
      <w:r w:rsidR="007D1417" w:rsidRPr="00E04F74">
        <w:rPr>
          <w:b/>
          <w:iCs/>
          <w:sz w:val="22"/>
          <w:szCs w:val="22"/>
          <w:lang w:val="sr-Latn-RS"/>
        </w:rPr>
        <w:t>l</w:t>
      </w:r>
      <w:r w:rsidRPr="00E04F74">
        <w:rPr>
          <w:b/>
          <w:iCs/>
          <w:sz w:val="22"/>
          <w:szCs w:val="22"/>
          <w:lang w:val="sr-Latn-RS"/>
        </w:rPr>
        <w:t xml:space="preserve"> TLOVR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1"/>
        <w:gridCol w:w="2839"/>
        <w:gridCol w:w="3003"/>
      </w:tblGrid>
      <w:tr w:rsidR="006A35FB" w:rsidRPr="00E04F74" w14:paraId="058E0B29" w14:textId="77777777" w:rsidTr="00095F06">
        <w:tc>
          <w:tcPr>
            <w:tcW w:w="1777" w:type="pct"/>
            <w:tcBorders>
              <w:top w:val="single" w:sz="4" w:space="0" w:color="000000"/>
              <w:left w:val="single" w:sz="4" w:space="0" w:color="000000"/>
              <w:bottom w:val="single" w:sz="4" w:space="0" w:color="000000"/>
              <w:right w:val="single" w:sz="4" w:space="0" w:color="000000"/>
            </w:tcBorders>
          </w:tcPr>
          <w:p w14:paraId="058E0B24" w14:textId="77777777" w:rsidR="006A35FB" w:rsidRPr="00E04F74" w:rsidRDefault="006A35FB" w:rsidP="00946B2E">
            <w:pPr>
              <w:pStyle w:val="Header"/>
              <w:jc w:val="both"/>
              <w:rPr>
                <w:b/>
                <w:iCs/>
                <w:sz w:val="22"/>
                <w:szCs w:val="22"/>
                <w:lang w:val="sr-Latn-RS"/>
              </w:rPr>
            </w:pPr>
          </w:p>
        </w:tc>
        <w:tc>
          <w:tcPr>
            <w:tcW w:w="1566" w:type="pct"/>
            <w:tcBorders>
              <w:top w:val="single" w:sz="4" w:space="0" w:color="000000"/>
              <w:left w:val="single" w:sz="4" w:space="0" w:color="000000"/>
              <w:bottom w:val="single" w:sz="4" w:space="0" w:color="000000"/>
              <w:right w:val="single" w:sz="4" w:space="0" w:color="000000"/>
            </w:tcBorders>
            <w:hideMark/>
          </w:tcPr>
          <w:p w14:paraId="058E0B25" w14:textId="77777777" w:rsidR="006A35FB" w:rsidRPr="00E04F74" w:rsidRDefault="006A35FB" w:rsidP="00946B2E">
            <w:pPr>
              <w:pStyle w:val="Header"/>
              <w:jc w:val="both"/>
              <w:rPr>
                <w:b/>
                <w:iCs/>
                <w:sz w:val="22"/>
                <w:szCs w:val="22"/>
                <w:lang w:val="sr-Latn-RS"/>
              </w:rPr>
            </w:pPr>
            <w:r w:rsidRPr="00E04F74">
              <w:rPr>
                <w:b/>
                <w:iCs/>
                <w:sz w:val="22"/>
                <w:szCs w:val="22"/>
                <w:lang w:val="sr-Latn-RS"/>
              </w:rPr>
              <w:t>ABC/3TC + EFV</w:t>
            </w:r>
          </w:p>
          <w:p w14:paraId="058E0B26" w14:textId="77777777" w:rsidR="006A35FB" w:rsidRPr="00E04F74" w:rsidRDefault="006A35FB" w:rsidP="00946B2E">
            <w:pPr>
              <w:pStyle w:val="Header"/>
              <w:jc w:val="both"/>
              <w:rPr>
                <w:b/>
                <w:iCs/>
                <w:sz w:val="22"/>
                <w:szCs w:val="22"/>
                <w:lang w:val="sr-Latn-RS"/>
              </w:rPr>
            </w:pPr>
            <w:r w:rsidRPr="00E04F74">
              <w:rPr>
                <w:b/>
                <w:iCs/>
                <w:sz w:val="22"/>
                <w:szCs w:val="22"/>
                <w:lang w:val="sr-Latn-RS"/>
              </w:rPr>
              <w:t>(N=192)</w:t>
            </w:r>
          </w:p>
        </w:tc>
        <w:tc>
          <w:tcPr>
            <w:tcW w:w="1657" w:type="pct"/>
            <w:tcBorders>
              <w:top w:val="single" w:sz="4" w:space="0" w:color="000000"/>
              <w:left w:val="single" w:sz="4" w:space="0" w:color="000000"/>
              <w:bottom w:val="single" w:sz="4" w:space="0" w:color="000000"/>
              <w:right w:val="single" w:sz="4" w:space="0" w:color="000000"/>
            </w:tcBorders>
            <w:hideMark/>
          </w:tcPr>
          <w:p w14:paraId="058E0B27" w14:textId="77777777" w:rsidR="006A35FB" w:rsidRPr="00E04F74" w:rsidRDefault="006A35FB" w:rsidP="00946B2E">
            <w:pPr>
              <w:pStyle w:val="Header"/>
              <w:jc w:val="both"/>
              <w:rPr>
                <w:b/>
                <w:iCs/>
                <w:sz w:val="22"/>
                <w:szCs w:val="22"/>
                <w:lang w:val="sr-Latn-RS"/>
              </w:rPr>
            </w:pPr>
            <w:r w:rsidRPr="00E04F74">
              <w:rPr>
                <w:b/>
                <w:iCs/>
                <w:sz w:val="22"/>
                <w:szCs w:val="22"/>
                <w:lang w:val="sr-Latn-RS"/>
              </w:rPr>
              <w:t>TDF/FTC + EFV</w:t>
            </w:r>
          </w:p>
          <w:p w14:paraId="058E0B28" w14:textId="77777777" w:rsidR="006A35FB" w:rsidRPr="00E04F74" w:rsidRDefault="006A35FB" w:rsidP="00946B2E">
            <w:pPr>
              <w:pStyle w:val="Header"/>
              <w:jc w:val="both"/>
              <w:rPr>
                <w:b/>
                <w:iCs/>
                <w:sz w:val="22"/>
                <w:szCs w:val="22"/>
                <w:lang w:val="sr-Latn-RS"/>
              </w:rPr>
            </w:pPr>
            <w:r w:rsidRPr="00E04F74">
              <w:rPr>
                <w:b/>
                <w:iCs/>
                <w:sz w:val="22"/>
                <w:szCs w:val="22"/>
                <w:lang w:val="sr-Latn-RS"/>
              </w:rPr>
              <w:t>(N=193)</w:t>
            </w:r>
          </w:p>
        </w:tc>
      </w:tr>
      <w:tr w:rsidR="006A35FB" w:rsidRPr="00E04F74" w14:paraId="058E0B2F" w14:textId="77777777" w:rsidTr="00095F06">
        <w:tc>
          <w:tcPr>
            <w:tcW w:w="1777" w:type="pct"/>
            <w:tcBorders>
              <w:top w:val="single" w:sz="4" w:space="0" w:color="000000"/>
              <w:left w:val="single" w:sz="4" w:space="0" w:color="000000"/>
              <w:bottom w:val="single" w:sz="4" w:space="0" w:color="000000"/>
              <w:right w:val="single" w:sz="4" w:space="0" w:color="000000"/>
            </w:tcBorders>
            <w:hideMark/>
          </w:tcPr>
          <w:p w14:paraId="058E0B2A" w14:textId="77777777" w:rsidR="006A35FB" w:rsidRPr="00E04F74" w:rsidRDefault="006A35FB" w:rsidP="00946B2E">
            <w:pPr>
              <w:pStyle w:val="Header"/>
              <w:jc w:val="both"/>
              <w:rPr>
                <w:b/>
                <w:iCs/>
                <w:sz w:val="22"/>
                <w:szCs w:val="22"/>
                <w:lang w:val="sr-Latn-RS"/>
              </w:rPr>
            </w:pPr>
            <w:r w:rsidRPr="00E04F74">
              <w:rPr>
                <w:b/>
                <w:iCs/>
                <w:sz w:val="22"/>
                <w:szCs w:val="22"/>
                <w:lang w:val="sr-Latn-RS"/>
              </w:rPr>
              <w:t>Ukupni odgovor</w:t>
            </w:r>
          </w:p>
        </w:tc>
        <w:tc>
          <w:tcPr>
            <w:tcW w:w="1566" w:type="pct"/>
            <w:tcBorders>
              <w:top w:val="single" w:sz="4" w:space="0" w:color="000000"/>
              <w:left w:val="single" w:sz="4" w:space="0" w:color="000000"/>
              <w:bottom w:val="single" w:sz="4" w:space="0" w:color="000000"/>
              <w:right w:val="single" w:sz="4" w:space="0" w:color="000000"/>
            </w:tcBorders>
            <w:hideMark/>
          </w:tcPr>
          <w:p w14:paraId="058E0B2B" w14:textId="77777777" w:rsidR="006A35FB" w:rsidRPr="00E04F74" w:rsidRDefault="006A35FB" w:rsidP="00946B2E">
            <w:pPr>
              <w:pStyle w:val="Header"/>
              <w:jc w:val="both"/>
              <w:rPr>
                <w:iCs/>
                <w:sz w:val="22"/>
                <w:szCs w:val="22"/>
                <w:lang w:val="sr-Latn-RS"/>
              </w:rPr>
            </w:pPr>
            <w:r w:rsidRPr="00E04F74">
              <w:rPr>
                <w:iCs/>
                <w:sz w:val="22"/>
                <w:szCs w:val="22"/>
                <w:lang w:val="sr-Latn-RS"/>
              </w:rPr>
              <w:t>114/192</w:t>
            </w:r>
          </w:p>
          <w:p w14:paraId="058E0B2C" w14:textId="77777777" w:rsidR="006A35FB" w:rsidRPr="00E04F74" w:rsidRDefault="006A35FB" w:rsidP="00946B2E">
            <w:pPr>
              <w:pStyle w:val="Header"/>
              <w:jc w:val="both"/>
              <w:rPr>
                <w:iCs/>
                <w:sz w:val="22"/>
                <w:szCs w:val="22"/>
                <w:lang w:val="sr-Latn-RS"/>
              </w:rPr>
            </w:pPr>
            <w:r w:rsidRPr="00E04F74">
              <w:rPr>
                <w:iCs/>
                <w:sz w:val="22"/>
                <w:szCs w:val="22"/>
                <w:lang w:val="sr-Latn-RS"/>
              </w:rPr>
              <w:t>(59%)</w:t>
            </w:r>
          </w:p>
        </w:tc>
        <w:tc>
          <w:tcPr>
            <w:tcW w:w="1657" w:type="pct"/>
            <w:tcBorders>
              <w:top w:val="single" w:sz="4" w:space="0" w:color="000000"/>
              <w:left w:val="single" w:sz="4" w:space="0" w:color="000000"/>
              <w:bottom w:val="single" w:sz="4" w:space="0" w:color="000000"/>
              <w:right w:val="single" w:sz="4" w:space="0" w:color="000000"/>
            </w:tcBorders>
            <w:hideMark/>
          </w:tcPr>
          <w:p w14:paraId="058E0B2D" w14:textId="77777777" w:rsidR="006A35FB" w:rsidRPr="00E04F74" w:rsidRDefault="006A35FB" w:rsidP="00946B2E">
            <w:pPr>
              <w:pStyle w:val="Header"/>
              <w:jc w:val="both"/>
              <w:rPr>
                <w:iCs/>
                <w:sz w:val="22"/>
                <w:szCs w:val="22"/>
                <w:lang w:val="sr-Latn-RS"/>
              </w:rPr>
            </w:pPr>
            <w:r w:rsidRPr="00E04F74">
              <w:rPr>
                <w:iCs/>
                <w:sz w:val="22"/>
                <w:szCs w:val="22"/>
                <w:lang w:val="sr-Latn-RS"/>
              </w:rPr>
              <w:t>137/193</w:t>
            </w:r>
          </w:p>
          <w:p w14:paraId="058E0B2E" w14:textId="77777777" w:rsidR="006A35FB" w:rsidRPr="00E04F74" w:rsidRDefault="006A35FB" w:rsidP="00946B2E">
            <w:pPr>
              <w:pStyle w:val="Header"/>
              <w:jc w:val="both"/>
              <w:rPr>
                <w:iCs/>
                <w:sz w:val="22"/>
                <w:szCs w:val="22"/>
                <w:lang w:val="sr-Latn-RS"/>
              </w:rPr>
            </w:pPr>
            <w:r w:rsidRPr="00E04F74">
              <w:rPr>
                <w:iCs/>
                <w:sz w:val="22"/>
                <w:szCs w:val="22"/>
                <w:lang w:val="sr-Latn-RS"/>
              </w:rPr>
              <w:t>(71%)</w:t>
            </w:r>
          </w:p>
        </w:tc>
      </w:tr>
      <w:tr w:rsidR="006A35FB" w:rsidRPr="00E04F74" w14:paraId="058E0B35" w14:textId="77777777" w:rsidTr="00095F06">
        <w:tc>
          <w:tcPr>
            <w:tcW w:w="1777" w:type="pct"/>
            <w:tcBorders>
              <w:top w:val="single" w:sz="4" w:space="0" w:color="000000"/>
              <w:left w:val="single" w:sz="4" w:space="0" w:color="000000"/>
              <w:bottom w:val="single" w:sz="4" w:space="0" w:color="000000"/>
              <w:right w:val="single" w:sz="4" w:space="0" w:color="000000"/>
            </w:tcBorders>
            <w:hideMark/>
          </w:tcPr>
          <w:p w14:paraId="058E0B30" w14:textId="551A0C91" w:rsidR="006A35FB" w:rsidRPr="00E04F74" w:rsidRDefault="006A35FB" w:rsidP="00946B2E">
            <w:pPr>
              <w:pStyle w:val="Header"/>
              <w:jc w:val="both"/>
              <w:rPr>
                <w:b/>
                <w:sz w:val="22"/>
                <w:szCs w:val="22"/>
                <w:lang w:val="sr-Latn-RS"/>
              </w:rPr>
            </w:pPr>
            <w:r w:rsidRPr="00E04F74">
              <w:rPr>
                <w:b/>
                <w:sz w:val="22"/>
                <w:szCs w:val="22"/>
                <w:lang w:val="sr-Latn-RS"/>
              </w:rPr>
              <w:t>Odgovor prema osnovnoj vrijednosti HIV-1 RNK &lt;100 000 k/m</w:t>
            </w:r>
            <w:r w:rsidR="007D1417" w:rsidRPr="00E04F74">
              <w:rPr>
                <w:b/>
                <w:sz w:val="22"/>
                <w:szCs w:val="22"/>
                <w:lang w:val="sr-Latn-RS"/>
              </w:rPr>
              <w:t>l</w:t>
            </w:r>
          </w:p>
        </w:tc>
        <w:tc>
          <w:tcPr>
            <w:tcW w:w="1566" w:type="pct"/>
            <w:tcBorders>
              <w:top w:val="single" w:sz="4" w:space="0" w:color="000000"/>
              <w:left w:val="single" w:sz="4" w:space="0" w:color="000000"/>
              <w:bottom w:val="single" w:sz="4" w:space="0" w:color="000000"/>
              <w:right w:val="single" w:sz="4" w:space="0" w:color="000000"/>
            </w:tcBorders>
            <w:hideMark/>
          </w:tcPr>
          <w:p w14:paraId="058E0B31" w14:textId="77777777" w:rsidR="006A35FB" w:rsidRPr="00E04F74" w:rsidRDefault="006A35FB" w:rsidP="00946B2E">
            <w:pPr>
              <w:pStyle w:val="Header"/>
              <w:jc w:val="both"/>
              <w:rPr>
                <w:iCs/>
                <w:sz w:val="22"/>
                <w:szCs w:val="22"/>
                <w:lang w:val="sr-Latn-RS"/>
              </w:rPr>
            </w:pPr>
            <w:r w:rsidRPr="00E04F74">
              <w:rPr>
                <w:iCs/>
                <w:sz w:val="22"/>
                <w:szCs w:val="22"/>
                <w:lang w:val="sr-Latn-RS"/>
              </w:rPr>
              <w:t>61/95</w:t>
            </w:r>
          </w:p>
          <w:p w14:paraId="058E0B32" w14:textId="77777777" w:rsidR="006A35FB" w:rsidRPr="00E04F74" w:rsidRDefault="006A35FB" w:rsidP="00946B2E">
            <w:pPr>
              <w:pStyle w:val="Header"/>
              <w:jc w:val="both"/>
              <w:rPr>
                <w:iCs/>
                <w:sz w:val="22"/>
                <w:szCs w:val="22"/>
                <w:lang w:val="sr-Latn-RS"/>
              </w:rPr>
            </w:pPr>
            <w:r w:rsidRPr="00E04F74">
              <w:rPr>
                <w:iCs/>
                <w:sz w:val="22"/>
                <w:szCs w:val="22"/>
                <w:lang w:val="sr-Latn-RS"/>
              </w:rPr>
              <w:t>(64%)</w:t>
            </w:r>
          </w:p>
        </w:tc>
        <w:tc>
          <w:tcPr>
            <w:tcW w:w="1657" w:type="pct"/>
            <w:tcBorders>
              <w:top w:val="single" w:sz="4" w:space="0" w:color="000000"/>
              <w:left w:val="single" w:sz="4" w:space="0" w:color="000000"/>
              <w:bottom w:val="single" w:sz="4" w:space="0" w:color="000000"/>
              <w:right w:val="single" w:sz="4" w:space="0" w:color="000000"/>
            </w:tcBorders>
            <w:hideMark/>
          </w:tcPr>
          <w:p w14:paraId="058E0B33" w14:textId="77777777" w:rsidR="006A35FB" w:rsidRPr="00E04F74" w:rsidRDefault="006A35FB" w:rsidP="00946B2E">
            <w:pPr>
              <w:pStyle w:val="Header"/>
              <w:jc w:val="both"/>
              <w:rPr>
                <w:iCs/>
                <w:sz w:val="22"/>
                <w:szCs w:val="22"/>
                <w:lang w:val="sr-Latn-RS"/>
              </w:rPr>
            </w:pPr>
            <w:r w:rsidRPr="00E04F74">
              <w:rPr>
                <w:iCs/>
                <w:sz w:val="22"/>
                <w:szCs w:val="22"/>
                <w:lang w:val="sr-Latn-RS"/>
              </w:rPr>
              <w:t>62/83</w:t>
            </w:r>
          </w:p>
          <w:p w14:paraId="058E0B34" w14:textId="77777777" w:rsidR="006A35FB" w:rsidRPr="00E04F74" w:rsidRDefault="006A35FB" w:rsidP="00946B2E">
            <w:pPr>
              <w:pStyle w:val="Header"/>
              <w:jc w:val="both"/>
              <w:rPr>
                <w:iCs/>
                <w:sz w:val="22"/>
                <w:szCs w:val="22"/>
                <w:lang w:val="sr-Latn-RS"/>
              </w:rPr>
            </w:pPr>
            <w:r w:rsidRPr="00E04F74">
              <w:rPr>
                <w:iCs/>
                <w:sz w:val="22"/>
                <w:szCs w:val="22"/>
                <w:lang w:val="sr-Latn-RS"/>
              </w:rPr>
              <w:t>(75%)</w:t>
            </w:r>
          </w:p>
        </w:tc>
      </w:tr>
      <w:tr w:rsidR="006A35FB" w:rsidRPr="00E04F74" w14:paraId="058E0B3B" w14:textId="77777777" w:rsidTr="00095F06">
        <w:tc>
          <w:tcPr>
            <w:tcW w:w="1777" w:type="pct"/>
            <w:tcBorders>
              <w:top w:val="single" w:sz="4" w:space="0" w:color="000000"/>
              <w:left w:val="single" w:sz="4" w:space="0" w:color="000000"/>
              <w:bottom w:val="single" w:sz="4" w:space="0" w:color="000000"/>
              <w:right w:val="single" w:sz="4" w:space="0" w:color="000000"/>
            </w:tcBorders>
            <w:hideMark/>
          </w:tcPr>
          <w:p w14:paraId="058E0B36" w14:textId="6360EF17" w:rsidR="006A35FB" w:rsidRPr="00E04F74" w:rsidRDefault="006A35FB" w:rsidP="00946B2E">
            <w:pPr>
              <w:pStyle w:val="Header"/>
              <w:jc w:val="both"/>
              <w:rPr>
                <w:b/>
                <w:sz w:val="22"/>
                <w:szCs w:val="22"/>
                <w:lang w:val="sr-Latn-RS"/>
              </w:rPr>
            </w:pPr>
            <w:r w:rsidRPr="00E04F74">
              <w:rPr>
                <w:b/>
                <w:sz w:val="22"/>
                <w:szCs w:val="22"/>
                <w:lang w:val="sr-Latn-RS"/>
              </w:rPr>
              <w:t>Odgovor prema osnovnoj vrijednosti HIV-1 RNK ≥100 000 k/m</w:t>
            </w:r>
            <w:r w:rsidR="007D1417" w:rsidRPr="00E04F74">
              <w:rPr>
                <w:b/>
                <w:sz w:val="22"/>
                <w:szCs w:val="22"/>
                <w:lang w:val="sr-Latn-RS"/>
              </w:rPr>
              <w:t>l</w:t>
            </w:r>
          </w:p>
        </w:tc>
        <w:tc>
          <w:tcPr>
            <w:tcW w:w="1566" w:type="pct"/>
            <w:tcBorders>
              <w:top w:val="single" w:sz="4" w:space="0" w:color="000000"/>
              <w:left w:val="single" w:sz="4" w:space="0" w:color="000000"/>
              <w:bottom w:val="single" w:sz="4" w:space="0" w:color="000000"/>
              <w:right w:val="single" w:sz="4" w:space="0" w:color="000000"/>
            </w:tcBorders>
            <w:hideMark/>
          </w:tcPr>
          <w:p w14:paraId="058E0B37" w14:textId="77777777" w:rsidR="006A35FB" w:rsidRPr="00E04F74" w:rsidRDefault="006A35FB" w:rsidP="00946B2E">
            <w:pPr>
              <w:pStyle w:val="Header"/>
              <w:jc w:val="both"/>
              <w:rPr>
                <w:iCs/>
                <w:sz w:val="22"/>
                <w:szCs w:val="22"/>
                <w:lang w:val="sr-Latn-RS"/>
              </w:rPr>
            </w:pPr>
            <w:r w:rsidRPr="00E04F74">
              <w:rPr>
                <w:iCs/>
                <w:sz w:val="22"/>
                <w:szCs w:val="22"/>
                <w:lang w:val="sr-Latn-RS"/>
              </w:rPr>
              <w:t>53/97</w:t>
            </w:r>
          </w:p>
          <w:p w14:paraId="058E0B38" w14:textId="77777777" w:rsidR="006A35FB" w:rsidRPr="00E04F74" w:rsidRDefault="006A35FB" w:rsidP="00946B2E">
            <w:pPr>
              <w:pStyle w:val="Header"/>
              <w:jc w:val="both"/>
              <w:rPr>
                <w:iCs/>
                <w:sz w:val="22"/>
                <w:szCs w:val="22"/>
                <w:lang w:val="sr-Latn-RS"/>
              </w:rPr>
            </w:pPr>
            <w:r w:rsidRPr="00E04F74">
              <w:rPr>
                <w:iCs/>
                <w:sz w:val="22"/>
                <w:szCs w:val="22"/>
                <w:lang w:val="sr-Latn-RS"/>
              </w:rPr>
              <w:t>(55%)</w:t>
            </w:r>
          </w:p>
        </w:tc>
        <w:tc>
          <w:tcPr>
            <w:tcW w:w="1657" w:type="pct"/>
            <w:tcBorders>
              <w:top w:val="single" w:sz="4" w:space="0" w:color="000000"/>
              <w:left w:val="single" w:sz="4" w:space="0" w:color="000000"/>
              <w:bottom w:val="single" w:sz="4" w:space="0" w:color="000000"/>
              <w:right w:val="single" w:sz="4" w:space="0" w:color="000000"/>
            </w:tcBorders>
            <w:hideMark/>
          </w:tcPr>
          <w:p w14:paraId="058E0B39" w14:textId="77777777" w:rsidR="006A35FB" w:rsidRPr="00E04F74" w:rsidRDefault="006A35FB" w:rsidP="00946B2E">
            <w:pPr>
              <w:pStyle w:val="Header"/>
              <w:jc w:val="both"/>
              <w:rPr>
                <w:iCs/>
                <w:sz w:val="22"/>
                <w:szCs w:val="22"/>
                <w:lang w:val="sr-Latn-RS"/>
              </w:rPr>
            </w:pPr>
            <w:r w:rsidRPr="00E04F74">
              <w:rPr>
                <w:iCs/>
                <w:sz w:val="22"/>
                <w:szCs w:val="22"/>
                <w:lang w:val="sr-Latn-RS"/>
              </w:rPr>
              <w:t>75/110</w:t>
            </w:r>
          </w:p>
          <w:p w14:paraId="058E0B3A" w14:textId="77777777" w:rsidR="006A35FB" w:rsidRPr="00E04F74" w:rsidRDefault="006A35FB" w:rsidP="00946B2E">
            <w:pPr>
              <w:pStyle w:val="Header"/>
              <w:jc w:val="both"/>
              <w:rPr>
                <w:iCs/>
                <w:sz w:val="22"/>
                <w:szCs w:val="22"/>
                <w:lang w:val="sr-Latn-RS"/>
              </w:rPr>
            </w:pPr>
            <w:r w:rsidRPr="00E04F74">
              <w:rPr>
                <w:iCs/>
                <w:sz w:val="22"/>
                <w:szCs w:val="22"/>
                <w:lang w:val="sr-Latn-RS"/>
              </w:rPr>
              <w:t>(68%)</w:t>
            </w:r>
          </w:p>
        </w:tc>
      </w:tr>
    </w:tbl>
    <w:p w14:paraId="058E0B3C" w14:textId="77777777" w:rsidR="006A35FB" w:rsidRPr="00E04F74" w:rsidRDefault="006A35FB" w:rsidP="00946B2E">
      <w:pPr>
        <w:pStyle w:val="Header"/>
        <w:jc w:val="both"/>
        <w:rPr>
          <w:bCs/>
          <w:iCs/>
          <w:sz w:val="22"/>
          <w:szCs w:val="22"/>
          <w:lang w:val="sr-Latn-RS"/>
        </w:rPr>
      </w:pPr>
    </w:p>
    <w:p w14:paraId="058E0B3D" w14:textId="77777777" w:rsidR="006A35FB" w:rsidRPr="00E04F74" w:rsidRDefault="006A35FB" w:rsidP="00946B2E">
      <w:pPr>
        <w:pStyle w:val="Header"/>
        <w:jc w:val="both"/>
        <w:rPr>
          <w:iCs/>
          <w:sz w:val="22"/>
          <w:szCs w:val="22"/>
          <w:lang w:val="sr-Latn-RS"/>
        </w:rPr>
      </w:pPr>
      <w:r w:rsidRPr="00E04F74">
        <w:rPr>
          <w:iCs/>
          <w:sz w:val="22"/>
          <w:szCs w:val="22"/>
          <w:lang w:val="sr-Latn-RS"/>
        </w:rPr>
        <w:t>U 48. nedjelji, uočen je niži procenat virološkog odgovora za terapiju ABC/3TC u poređenju sa TDF/FTC (tačka procjene terapijske razlike: 11,6%, 95% CI: 2,2; 21,1).</w:t>
      </w:r>
    </w:p>
    <w:p w14:paraId="058E0B3E" w14:textId="77777777" w:rsidR="006A35FB" w:rsidRPr="00E04F74" w:rsidRDefault="006A35FB" w:rsidP="00946B2E">
      <w:pPr>
        <w:pStyle w:val="Header"/>
        <w:jc w:val="both"/>
        <w:rPr>
          <w:iCs/>
          <w:sz w:val="22"/>
          <w:szCs w:val="22"/>
          <w:lang w:val="sr-Latn-RS"/>
        </w:rPr>
      </w:pPr>
    </w:p>
    <w:p w14:paraId="058E0B3F" w14:textId="77777777" w:rsidR="006A35FB" w:rsidRPr="00E04F74" w:rsidRDefault="006A35FB" w:rsidP="00946B2E">
      <w:pPr>
        <w:pStyle w:val="Header"/>
        <w:jc w:val="both"/>
        <w:rPr>
          <w:iCs/>
          <w:sz w:val="22"/>
          <w:szCs w:val="22"/>
          <w:u w:val="single"/>
          <w:lang w:val="sr-Latn-RS"/>
        </w:rPr>
      </w:pPr>
      <w:r w:rsidRPr="00E04F74">
        <w:rPr>
          <w:iCs/>
          <w:sz w:val="22"/>
          <w:szCs w:val="22"/>
          <w:u w:val="single"/>
          <w:lang w:val="sr-Latn-RS"/>
        </w:rPr>
        <w:t>Prethodno liječeni pacijenti</w:t>
      </w:r>
    </w:p>
    <w:p w14:paraId="058E0B40" w14:textId="77777777" w:rsidR="006A35FB" w:rsidRPr="00E04F74" w:rsidRDefault="006A35FB" w:rsidP="00946B2E">
      <w:pPr>
        <w:pStyle w:val="Header"/>
        <w:jc w:val="both"/>
        <w:rPr>
          <w:sz w:val="22"/>
          <w:szCs w:val="22"/>
          <w:lang w:val="sr-Latn-RS"/>
        </w:rPr>
      </w:pPr>
    </w:p>
    <w:p w14:paraId="058E0B41" w14:textId="77777777" w:rsidR="006A35FB" w:rsidRPr="00E04F74" w:rsidRDefault="006A35FB" w:rsidP="00946B2E">
      <w:pPr>
        <w:pStyle w:val="Header"/>
        <w:jc w:val="both"/>
        <w:rPr>
          <w:sz w:val="22"/>
          <w:szCs w:val="22"/>
          <w:lang w:val="sr-Latn-RS"/>
        </w:rPr>
      </w:pPr>
      <w:r w:rsidRPr="00E04F74">
        <w:rPr>
          <w:sz w:val="22"/>
          <w:szCs w:val="22"/>
          <w:lang w:val="sr-Latn-RS"/>
        </w:rPr>
        <w:t>Podaci dobijeni iz dvije kliničke studije, CAL30001 i ESS30008 pokazali su da primjena lijeka KIVEXA jednom dnevno ima sličnu terapijsku efikasnost kao primjena lamivudina 300 mg jedom dnevno plus abakavira 300 mg dva puta dnevno ili 150 mg dva puta dnevo kod prethodno liječenih pacijenata.</w:t>
      </w:r>
    </w:p>
    <w:p w14:paraId="058E0B42" w14:textId="77777777" w:rsidR="006A35FB" w:rsidRPr="00E04F74" w:rsidRDefault="006A35FB" w:rsidP="00946B2E">
      <w:pPr>
        <w:pStyle w:val="Header"/>
        <w:jc w:val="both"/>
        <w:rPr>
          <w:sz w:val="22"/>
          <w:szCs w:val="22"/>
          <w:lang w:val="sr-Latn-RS"/>
        </w:rPr>
      </w:pPr>
    </w:p>
    <w:p w14:paraId="058E0B43" w14:textId="64FAE409" w:rsidR="006A35FB" w:rsidRPr="00E04F74" w:rsidRDefault="006A35FB" w:rsidP="00946B2E">
      <w:pPr>
        <w:pStyle w:val="Header"/>
        <w:jc w:val="both"/>
        <w:rPr>
          <w:sz w:val="22"/>
          <w:szCs w:val="22"/>
          <w:lang w:val="sr-Latn-RS"/>
        </w:rPr>
      </w:pPr>
      <w:r w:rsidRPr="00E04F74">
        <w:rPr>
          <w:sz w:val="22"/>
          <w:szCs w:val="22"/>
          <w:lang w:val="sr-Latn-RS"/>
        </w:rPr>
        <w:t>U studiji CAL30001, 182 prethodno liječena pacijenta sa virološkim neuspjehom terapije bila su podijeljena i prim</w:t>
      </w:r>
      <w:r w:rsidR="00007173" w:rsidRPr="00E04F74">
        <w:rPr>
          <w:sz w:val="22"/>
          <w:szCs w:val="22"/>
          <w:lang w:val="sr-Latn-RS"/>
        </w:rPr>
        <w:t>ili su</w:t>
      </w:r>
      <w:r w:rsidRPr="00E04F74">
        <w:rPr>
          <w:sz w:val="22"/>
          <w:szCs w:val="22"/>
          <w:lang w:val="sr-Latn-RS"/>
        </w:rPr>
        <w:t xml:space="preserve">  ili lijek KIVEXA jednom dnevno, ili lamivudin 300 mg jedom dnevno plus abakavir 300 mg dva puta dnevno, oba lijeka u kombinaciji sa tenofovirom i PI ili nekim NNRTI tokom 48 nedjelja. Rezultati pokazuju da grupa koja je primala lijek KIVEXA nije bila inferiorna u odnosu na grupu sa primjenom lamivudina plus abakavira dva puta dnevno, na osnovu sličnih smanjenja u HIV-1 </w:t>
      </w:r>
      <w:r w:rsidRPr="00E04F74">
        <w:rPr>
          <w:sz w:val="22"/>
          <w:szCs w:val="22"/>
          <w:lang w:val="sr-Latn-RS"/>
        </w:rPr>
        <w:lastRenderedPageBreak/>
        <w:t>RNK, mjereno putem prosječne površine ispod krive minus osnovne vrijednosti (APIKMB, -1,65 log</w:t>
      </w:r>
      <w:r w:rsidRPr="00E04F74">
        <w:rPr>
          <w:sz w:val="22"/>
          <w:szCs w:val="22"/>
          <w:vertAlign w:val="subscript"/>
          <w:lang w:val="sr-Latn-RS"/>
        </w:rPr>
        <w:t>10</w:t>
      </w:r>
      <w:r w:rsidRPr="00E04F74">
        <w:rPr>
          <w:sz w:val="22"/>
          <w:szCs w:val="22"/>
          <w:lang w:val="sr-Latn-RS"/>
        </w:rPr>
        <w:t xml:space="preserve"> kopija/m</w:t>
      </w:r>
      <w:r w:rsidR="007D1417" w:rsidRPr="00E04F74">
        <w:rPr>
          <w:sz w:val="22"/>
          <w:szCs w:val="22"/>
          <w:lang w:val="sr-Latn-RS"/>
        </w:rPr>
        <w:t>l</w:t>
      </w:r>
      <w:r w:rsidRPr="00E04F74">
        <w:rPr>
          <w:sz w:val="22"/>
          <w:szCs w:val="22"/>
          <w:lang w:val="sr-Latn-RS"/>
        </w:rPr>
        <w:t xml:space="preserve"> u odnosu na -1,83 log</w:t>
      </w:r>
      <w:r w:rsidRPr="00E04F74">
        <w:rPr>
          <w:sz w:val="22"/>
          <w:szCs w:val="22"/>
          <w:vertAlign w:val="subscript"/>
          <w:lang w:val="sr-Latn-RS"/>
        </w:rPr>
        <w:t>10</w:t>
      </w:r>
      <w:r w:rsidRPr="00E04F74">
        <w:rPr>
          <w:sz w:val="22"/>
          <w:szCs w:val="22"/>
          <w:lang w:val="sr-Latn-RS"/>
        </w:rPr>
        <w:t xml:space="preserve"> kopije/m</w:t>
      </w:r>
      <w:r w:rsidR="007D1417" w:rsidRPr="00E04F74">
        <w:rPr>
          <w:sz w:val="22"/>
          <w:szCs w:val="22"/>
          <w:lang w:val="sr-Latn-RS"/>
        </w:rPr>
        <w:t>l</w:t>
      </w:r>
      <w:r w:rsidRPr="00E04F74">
        <w:rPr>
          <w:sz w:val="22"/>
          <w:szCs w:val="22"/>
          <w:lang w:val="sr-Latn-RS"/>
        </w:rPr>
        <w:t>; 95% IC -0,13; 0,38). Procenti sa HIV-1 RNK &lt;50 kopija/m</w:t>
      </w:r>
      <w:r w:rsidR="00007173" w:rsidRPr="00E04F74">
        <w:rPr>
          <w:sz w:val="22"/>
          <w:szCs w:val="22"/>
          <w:lang w:val="sr-Latn-RS"/>
        </w:rPr>
        <w:t>l</w:t>
      </w:r>
      <w:r w:rsidRPr="00E04F74">
        <w:rPr>
          <w:sz w:val="22"/>
          <w:szCs w:val="22"/>
          <w:lang w:val="sr-Latn-RS"/>
        </w:rPr>
        <w:t xml:space="preserve"> (50% prema 47%) i &lt;400 kopija/m</w:t>
      </w:r>
      <w:r w:rsidR="007D1417" w:rsidRPr="00E04F74">
        <w:rPr>
          <w:sz w:val="22"/>
          <w:szCs w:val="22"/>
          <w:lang w:val="sr-Latn-RS"/>
        </w:rPr>
        <w:t>l</w:t>
      </w:r>
      <w:r w:rsidRPr="00E04F74">
        <w:rPr>
          <w:sz w:val="22"/>
          <w:szCs w:val="22"/>
          <w:lang w:val="sr-Latn-RS"/>
        </w:rPr>
        <w:t xml:space="preserve"> (54% prema 57%) bili su takođe slični u svakoj grupi u 48. nedjelji (ITT populacija). Međutim, kako su u ispitivanje bili uključeni samo pacijenti prethodno liječeni u umjerenom stepenu,</w:t>
      </w:r>
      <w:r w:rsidR="002870DD" w:rsidRPr="00E04F74">
        <w:rPr>
          <w:sz w:val="22"/>
          <w:szCs w:val="22"/>
          <w:lang w:val="sr-Latn-RS"/>
        </w:rPr>
        <w:t xml:space="preserve"> </w:t>
      </w:r>
      <w:r w:rsidRPr="00E04F74">
        <w:rPr>
          <w:sz w:val="22"/>
          <w:szCs w:val="22"/>
          <w:lang w:val="sr-Latn-RS"/>
        </w:rPr>
        <w:t>neujednačeni po grupama u pogledu inicijalne viremije, navedene rezultate bi trebalo obazrivo tumačiti.</w:t>
      </w:r>
    </w:p>
    <w:p w14:paraId="058E0B44" w14:textId="77777777" w:rsidR="006A35FB" w:rsidRPr="00E04F74" w:rsidRDefault="006A35FB" w:rsidP="00946B2E">
      <w:pPr>
        <w:pStyle w:val="Header"/>
        <w:jc w:val="both"/>
        <w:rPr>
          <w:sz w:val="22"/>
          <w:szCs w:val="22"/>
          <w:lang w:val="sr-Latn-RS"/>
        </w:rPr>
      </w:pPr>
    </w:p>
    <w:p w14:paraId="058E0B45" w14:textId="77CDCA73" w:rsidR="006A35FB" w:rsidRPr="00E04F74" w:rsidRDefault="006A35FB" w:rsidP="00946B2E">
      <w:pPr>
        <w:pStyle w:val="Header"/>
        <w:jc w:val="both"/>
        <w:rPr>
          <w:sz w:val="22"/>
          <w:szCs w:val="22"/>
          <w:lang w:val="sr-Latn-RS"/>
        </w:rPr>
      </w:pPr>
      <w:r w:rsidRPr="00E04F74">
        <w:rPr>
          <w:sz w:val="22"/>
          <w:szCs w:val="22"/>
          <w:lang w:val="sr-Latn-RS"/>
        </w:rPr>
        <w:t>U studiji ESS30008, 260 pacijenata sa virološkom supresijom pri primjeni terapije prve linije, koja je sadržala lamivudina 150 mg plus abakavira 300 mg, oba primjenjivana dva puta dnevno, i PI ili NNRTI, bilo je randomizovano da nastavi navedeni terapijski režim, ili da pređe na primjenu lijeka KIVEXA plus PI ili NNRTI tokom 48 nedjelja. Rezultati u 48. nedjelji pokazuju da je grupa kojoj je primijenjen lijek KIVEXA bila povezana sa sličnim virološkim ishodom (nije bila inferiorna), u poređenju sa grupom kojoj je primijenjen lamivudin plus abakavir, na osnovu procenta osoba sa HIV-1 RNK &lt;50 kopija/m</w:t>
      </w:r>
      <w:r w:rsidR="007D1417" w:rsidRPr="00E04F74">
        <w:rPr>
          <w:sz w:val="22"/>
          <w:szCs w:val="22"/>
          <w:lang w:val="sr-Latn-RS"/>
        </w:rPr>
        <w:t>l</w:t>
      </w:r>
      <w:r w:rsidRPr="00E04F74">
        <w:rPr>
          <w:sz w:val="22"/>
          <w:szCs w:val="22"/>
          <w:lang w:val="sr-Latn-RS"/>
        </w:rPr>
        <w:t xml:space="preserve"> (90% i 85%, respektivno, 95% IC -2,7; 13,5).</w:t>
      </w:r>
    </w:p>
    <w:p w14:paraId="058E0B46" w14:textId="77777777" w:rsidR="006A35FB" w:rsidRPr="00E04F74" w:rsidRDefault="006A35FB" w:rsidP="00946B2E">
      <w:pPr>
        <w:pStyle w:val="Header"/>
        <w:tabs>
          <w:tab w:val="left" w:pos="284"/>
        </w:tabs>
        <w:jc w:val="both"/>
        <w:rPr>
          <w:sz w:val="22"/>
          <w:szCs w:val="22"/>
          <w:lang w:val="sr-Latn-RS"/>
        </w:rPr>
      </w:pPr>
    </w:p>
    <w:p w14:paraId="058E0B47" w14:textId="2C745635" w:rsidR="006A35FB" w:rsidRPr="00E04F74" w:rsidRDefault="006A35FB" w:rsidP="00946B2E">
      <w:pPr>
        <w:pStyle w:val="Header"/>
        <w:tabs>
          <w:tab w:val="left" w:pos="284"/>
        </w:tabs>
        <w:jc w:val="both"/>
        <w:rPr>
          <w:sz w:val="22"/>
          <w:szCs w:val="22"/>
          <w:lang w:val="sr-Latn-RS"/>
        </w:rPr>
      </w:pPr>
      <w:r w:rsidRPr="00E04F74">
        <w:rPr>
          <w:sz w:val="22"/>
          <w:szCs w:val="22"/>
          <w:lang w:val="sr-Latn-RS"/>
        </w:rPr>
        <w:t>Rezultat genotipske senzitivnosti (</w:t>
      </w:r>
      <w:r w:rsidRPr="00E04F74">
        <w:rPr>
          <w:i/>
          <w:sz w:val="22"/>
          <w:szCs w:val="22"/>
          <w:lang w:val="sr-Latn-RS"/>
        </w:rPr>
        <w:t>genotypic sensitivity score</w:t>
      </w:r>
      <w:r w:rsidRPr="00E04F74">
        <w:rPr>
          <w:sz w:val="22"/>
          <w:szCs w:val="22"/>
          <w:lang w:val="sr-Latn-RS"/>
        </w:rPr>
        <w:t xml:space="preserve"> (GSS)) nije utvrđen od strane MAH za primjenu kombinovane terapije lamivudinom/abakavirom. Tabelarno je prikazana proporcija prethodno liječenih pacijenata u studiji CAL30001 sa HIV-RNK &lt;50 kopija/m</w:t>
      </w:r>
      <w:r w:rsidR="007D1417" w:rsidRPr="00E04F74">
        <w:rPr>
          <w:sz w:val="22"/>
          <w:szCs w:val="22"/>
          <w:lang w:val="sr-Latn-RS"/>
        </w:rPr>
        <w:t>l</w:t>
      </w:r>
      <w:r w:rsidRPr="00E04F74">
        <w:rPr>
          <w:sz w:val="22"/>
          <w:szCs w:val="22"/>
          <w:lang w:val="sr-Latn-RS"/>
        </w:rPr>
        <w:t xml:space="preserve"> u 48. nedjelji sa rezultatom genotipske senzitivnosti, pri optimalnoj terapijskoj primjeni (OBT). Takođe je procijenjen uticaj velikih mutacija, definisanih IAS-USA na abakavir ili lamivudin i mutacija udruženih sa multi-NRTI rezistencijom, na broj osnovnih mutacija u odgovoru. GSS je dobijen na osnovu Monogram izvještaja sa vrijednostima od ‘1-4’ pripisanim osjetljivom virusu, na osnovu broja ljekova u terapijskom režimu i sa vrijednošću ‘0’ pripisanom virusu sa smanjenom osjetljivošću. Rezultati genotipske senzitivnosti nijesu dobijeni za sve pacijente na početku studije. Slič</w:t>
      </w:r>
      <w:r w:rsidR="00007173" w:rsidRPr="00E04F74">
        <w:rPr>
          <w:sz w:val="22"/>
          <w:szCs w:val="22"/>
          <w:lang w:val="sr-Latn-RS"/>
        </w:rPr>
        <w:t>an</w:t>
      </w:r>
      <w:r w:rsidRPr="00E04F74">
        <w:rPr>
          <w:sz w:val="22"/>
          <w:szCs w:val="22"/>
          <w:lang w:val="sr-Latn-RS"/>
        </w:rPr>
        <w:t xml:space="preserve"> </w:t>
      </w:r>
      <w:r w:rsidR="00007173" w:rsidRPr="00E04F74">
        <w:rPr>
          <w:sz w:val="22"/>
          <w:szCs w:val="22"/>
          <w:lang w:val="sr-Latn-RS"/>
        </w:rPr>
        <w:t>udio</w:t>
      </w:r>
      <w:r w:rsidRPr="00E04F74">
        <w:rPr>
          <w:sz w:val="22"/>
          <w:szCs w:val="22"/>
          <w:lang w:val="sr-Latn-RS"/>
        </w:rPr>
        <w:t xml:space="preserve"> pacijenata u terapijskim granama studije CAL30001, koj</w:t>
      </w:r>
      <w:r w:rsidR="00007173" w:rsidRPr="00E04F74">
        <w:rPr>
          <w:sz w:val="22"/>
          <w:szCs w:val="22"/>
          <w:lang w:val="sr-Latn-RS"/>
        </w:rPr>
        <w:t>i</w:t>
      </w:r>
      <w:r w:rsidRPr="00E04F74">
        <w:rPr>
          <w:sz w:val="22"/>
          <w:szCs w:val="22"/>
          <w:lang w:val="sr-Latn-RS"/>
        </w:rPr>
        <w:t xml:space="preserve"> su jednom dnevno i dva puta dnevno primal</w:t>
      </w:r>
      <w:r w:rsidR="00007173" w:rsidRPr="00E04F74">
        <w:rPr>
          <w:sz w:val="22"/>
          <w:szCs w:val="22"/>
          <w:lang w:val="sr-Latn-RS"/>
        </w:rPr>
        <w:t>i</w:t>
      </w:r>
      <w:r w:rsidRPr="00E04F74">
        <w:rPr>
          <w:sz w:val="22"/>
          <w:szCs w:val="22"/>
          <w:lang w:val="sr-Latn-RS"/>
        </w:rPr>
        <w:t xml:space="preserve"> abakavir, imal</w:t>
      </w:r>
      <w:r w:rsidR="00007173" w:rsidRPr="00E04F74">
        <w:rPr>
          <w:sz w:val="22"/>
          <w:szCs w:val="22"/>
          <w:lang w:val="sr-Latn-RS"/>
        </w:rPr>
        <w:t>i</w:t>
      </w:r>
      <w:r w:rsidRPr="00E04F74">
        <w:rPr>
          <w:sz w:val="22"/>
          <w:szCs w:val="22"/>
          <w:lang w:val="sr-Latn-RS"/>
        </w:rPr>
        <w:t xml:space="preserve"> su GSS &lt;2 ili ≥2 i uspješnu supresiju do &lt;50 kopija/m</w:t>
      </w:r>
      <w:r w:rsidR="007D1417" w:rsidRPr="00E04F74">
        <w:rPr>
          <w:sz w:val="22"/>
          <w:szCs w:val="22"/>
          <w:lang w:val="sr-Latn-RS"/>
        </w:rPr>
        <w:t>l</w:t>
      </w:r>
      <w:r w:rsidRPr="00E04F74">
        <w:rPr>
          <w:sz w:val="22"/>
          <w:szCs w:val="22"/>
          <w:lang w:val="sr-Latn-RS"/>
        </w:rPr>
        <w:t xml:space="preserve"> do 48. nedjelje.</w:t>
      </w:r>
    </w:p>
    <w:p w14:paraId="058E0B48" w14:textId="77777777" w:rsidR="006A35FB" w:rsidRPr="00E04F74" w:rsidRDefault="006A35FB" w:rsidP="00946B2E">
      <w:pPr>
        <w:pStyle w:val="Header"/>
        <w:tabs>
          <w:tab w:val="left" w:pos="284"/>
        </w:tabs>
        <w:jc w:val="both"/>
        <w:rPr>
          <w:sz w:val="22"/>
          <w:szCs w:val="22"/>
          <w:lang w:val="sr-Latn-RS"/>
        </w:rPr>
      </w:pPr>
    </w:p>
    <w:p w14:paraId="058E0B49" w14:textId="77D5C618" w:rsidR="006A35FB" w:rsidRPr="00E04F74" w:rsidRDefault="00007173" w:rsidP="00946B2E">
      <w:pPr>
        <w:pStyle w:val="Header"/>
        <w:jc w:val="both"/>
        <w:rPr>
          <w:b/>
          <w:sz w:val="22"/>
          <w:szCs w:val="22"/>
          <w:lang w:val="sr-Latn-RS"/>
        </w:rPr>
      </w:pPr>
      <w:r w:rsidRPr="00E04F74">
        <w:rPr>
          <w:b/>
          <w:sz w:val="22"/>
          <w:szCs w:val="22"/>
          <w:lang w:val="sr-Latn-RS"/>
        </w:rPr>
        <w:t xml:space="preserve">Udio pacijenata </w:t>
      </w:r>
      <w:r w:rsidR="006A35FB" w:rsidRPr="00E04F74">
        <w:rPr>
          <w:b/>
          <w:sz w:val="22"/>
          <w:szCs w:val="22"/>
          <w:lang w:val="sr-Latn-RS"/>
        </w:rPr>
        <w:t>u studiji CAL30001 sa &lt;50 kopija/m</w:t>
      </w:r>
      <w:r w:rsidR="007D1417" w:rsidRPr="00E04F74">
        <w:rPr>
          <w:b/>
          <w:sz w:val="22"/>
          <w:szCs w:val="22"/>
          <w:lang w:val="sr-Latn-RS"/>
        </w:rPr>
        <w:t>l</w:t>
      </w:r>
      <w:r w:rsidR="006A35FB" w:rsidRPr="00E04F74">
        <w:rPr>
          <w:b/>
          <w:sz w:val="22"/>
          <w:szCs w:val="22"/>
          <w:lang w:val="sr-Latn-RS"/>
        </w:rPr>
        <w:t xml:space="preserve"> u 48. nedjelji dobijen rezultatom genotipske senzitivnosti pri OBT i broj osnovnih mutacija</w:t>
      </w:r>
    </w:p>
    <w:p w14:paraId="058E0B4A" w14:textId="77777777" w:rsidR="006A35FB" w:rsidRPr="00E04F74" w:rsidRDefault="006A35FB" w:rsidP="00946B2E">
      <w:pPr>
        <w:pStyle w:val="Header"/>
        <w:jc w:val="both"/>
        <w:rPr>
          <w:b/>
          <w:sz w:val="22"/>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9"/>
        <w:gridCol w:w="1510"/>
        <w:gridCol w:w="1510"/>
        <w:gridCol w:w="1512"/>
        <w:gridCol w:w="1512"/>
        <w:gridCol w:w="1510"/>
      </w:tblGrid>
      <w:tr w:rsidR="006A35FB" w:rsidRPr="00E04F74" w14:paraId="058E0B51" w14:textId="77777777" w:rsidTr="00095F06">
        <w:tc>
          <w:tcPr>
            <w:tcW w:w="833" w:type="pct"/>
            <w:tcBorders>
              <w:top w:val="single" w:sz="4" w:space="0" w:color="000000"/>
              <w:left w:val="single" w:sz="4" w:space="0" w:color="000000"/>
              <w:bottom w:val="single" w:sz="4" w:space="0" w:color="000000"/>
              <w:right w:val="single" w:sz="4" w:space="0" w:color="000000"/>
            </w:tcBorders>
          </w:tcPr>
          <w:p w14:paraId="058E0B4B" w14:textId="77777777" w:rsidR="006A35FB" w:rsidRPr="00E04F74" w:rsidRDefault="006A35FB" w:rsidP="00946B2E">
            <w:pPr>
              <w:pStyle w:val="Header"/>
              <w:jc w:val="both"/>
              <w:rPr>
                <w:b/>
                <w:sz w:val="22"/>
                <w:szCs w:val="22"/>
                <w:lang w:val="sr-Latn-RS"/>
              </w:rPr>
            </w:pPr>
          </w:p>
        </w:tc>
        <w:tc>
          <w:tcPr>
            <w:tcW w:w="3333" w:type="pct"/>
            <w:gridSpan w:val="4"/>
            <w:tcBorders>
              <w:top w:val="single" w:sz="4" w:space="0" w:color="000000"/>
              <w:left w:val="single" w:sz="4" w:space="0" w:color="000000"/>
              <w:bottom w:val="single" w:sz="4" w:space="0" w:color="000000"/>
              <w:right w:val="single" w:sz="4" w:space="0" w:color="000000"/>
            </w:tcBorders>
            <w:hideMark/>
          </w:tcPr>
          <w:p w14:paraId="058E0B4C" w14:textId="77777777" w:rsidR="006A35FB" w:rsidRPr="00E04F74" w:rsidRDefault="006A35FB">
            <w:pPr>
              <w:pStyle w:val="Header"/>
              <w:jc w:val="center"/>
              <w:rPr>
                <w:b/>
                <w:sz w:val="22"/>
                <w:szCs w:val="22"/>
                <w:lang w:val="sr-Latn-RS"/>
              </w:rPr>
            </w:pPr>
            <w:r w:rsidRPr="00E04F74">
              <w:rPr>
                <w:b/>
                <w:sz w:val="22"/>
                <w:szCs w:val="22"/>
                <w:lang w:val="sr-Latn-RS"/>
              </w:rPr>
              <w:t>ABC/3TC FDC QD</w:t>
            </w:r>
          </w:p>
          <w:p w14:paraId="058E0B4D" w14:textId="77777777" w:rsidR="006A35FB" w:rsidRPr="00E04F74" w:rsidRDefault="006A35FB">
            <w:pPr>
              <w:pStyle w:val="Header"/>
              <w:jc w:val="center"/>
              <w:rPr>
                <w:b/>
                <w:sz w:val="22"/>
                <w:szCs w:val="22"/>
                <w:lang w:val="sr-Latn-RS"/>
              </w:rPr>
            </w:pPr>
            <w:r w:rsidRPr="00E04F74">
              <w:rPr>
                <w:b/>
                <w:sz w:val="22"/>
                <w:szCs w:val="22"/>
                <w:lang w:val="sr-Latn-RS"/>
              </w:rPr>
              <w:t>(n=94)</w:t>
            </w:r>
          </w:p>
          <w:p w14:paraId="058E0B4E" w14:textId="77777777" w:rsidR="006A35FB" w:rsidRPr="00E04F74" w:rsidRDefault="006A35FB">
            <w:pPr>
              <w:pStyle w:val="Header"/>
              <w:jc w:val="center"/>
              <w:rPr>
                <w:sz w:val="22"/>
                <w:szCs w:val="22"/>
                <w:lang w:val="sr-Latn-RS"/>
              </w:rPr>
            </w:pPr>
            <w:r w:rsidRPr="00E04F74">
              <w:rPr>
                <w:sz w:val="22"/>
                <w:szCs w:val="22"/>
                <w:lang w:val="sr-Latn-RS"/>
              </w:rPr>
              <w:t>Broj osnovnih mutacija</w:t>
            </w:r>
            <w:r w:rsidRPr="00E04F74">
              <w:rPr>
                <w:sz w:val="22"/>
                <w:szCs w:val="22"/>
                <w:vertAlign w:val="superscript"/>
                <w:lang w:val="sr-Latn-RS"/>
              </w:rPr>
              <w:t>1</w:t>
            </w:r>
          </w:p>
        </w:tc>
        <w:tc>
          <w:tcPr>
            <w:tcW w:w="834" w:type="pct"/>
            <w:tcBorders>
              <w:top w:val="single" w:sz="4" w:space="0" w:color="000000"/>
              <w:left w:val="single" w:sz="4" w:space="0" w:color="000000"/>
              <w:bottom w:val="single" w:sz="4" w:space="0" w:color="000000"/>
              <w:right w:val="single" w:sz="4" w:space="0" w:color="000000"/>
            </w:tcBorders>
            <w:hideMark/>
          </w:tcPr>
          <w:p w14:paraId="058E0B4F" w14:textId="77777777" w:rsidR="006A35FB" w:rsidRPr="00E04F74" w:rsidRDefault="006A35FB" w:rsidP="00946B2E">
            <w:pPr>
              <w:pStyle w:val="Header"/>
              <w:jc w:val="both"/>
              <w:rPr>
                <w:b/>
                <w:sz w:val="22"/>
                <w:szCs w:val="22"/>
                <w:lang w:val="sr-Latn-RS"/>
              </w:rPr>
            </w:pPr>
            <w:r w:rsidRPr="00E04F74">
              <w:rPr>
                <w:b/>
                <w:sz w:val="22"/>
                <w:szCs w:val="22"/>
                <w:lang w:val="sr-Latn-RS"/>
              </w:rPr>
              <w:t>ABC BID + 3TC QD</w:t>
            </w:r>
          </w:p>
          <w:p w14:paraId="058E0B50" w14:textId="77777777" w:rsidR="006A35FB" w:rsidRPr="00E04F74" w:rsidRDefault="006A35FB" w:rsidP="00946B2E">
            <w:pPr>
              <w:pStyle w:val="Header"/>
              <w:jc w:val="both"/>
              <w:rPr>
                <w:b/>
                <w:sz w:val="22"/>
                <w:szCs w:val="22"/>
                <w:lang w:val="sr-Latn-RS"/>
              </w:rPr>
            </w:pPr>
            <w:r w:rsidRPr="00E04F74">
              <w:rPr>
                <w:b/>
                <w:sz w:val="22"/>
                <w:szCs w:val="22"/>
                <w:lang w:val="sr-Latn-RS"/>
              </w:rPr>
              <w:t>(n=88)</w:t>
            </w:r>
          </w:p>
        </w:tc>
      </w:tr>
      <w:tr w:rsidR="006A35FB" w:rsidRPr="00E04F74" w14:paraId="058E0B58" w14:textId="77777777" w:rsidTr="00095F06">
        <w:tc>
          <w:tcPr>
            <w:tcW w:w="833" w:type="pct"/>
            <w:tcBorders>
              <w:top w:val="single" w:sz="4" w:space="0" w:color="000000"/>
              <w:left w:val="single" w:sz="4" w:space="0" w:color="000000"/>
              <w:bottom w:val="single" w:sz="4" w:space="0" w:color="000000"/>
              <w:right w:val="single" w:sz="4" w:space="0" w:color="000000"/>
            </w:tcBorders>
            <w:hideMark/>
          </w:tcPr>
          <w:p w14:paraId="058E0B52" w14:textId="77777777" w:rsidR="006A35FB" w:rsidRPr="00E04F74" w:rsidRDefault="006A35FB" w:rsidP="00946B2E">
            <w:pPr>
              <w:pStyle w:val="Header"/>
              <w:jc w:val="both"/>
              <w:rPr>
                <w:b/>
                <w:sz w:val="22"/>
                <w:szCs w:val="22"/>
                <w:lang w:val="sr-Latn-RS"/>
              </w:rPr>
            </w:pPr>
            <w:r w:rsidRPr="00E04F74">
              <w:rPr>
                <w:b/>
                <w:sz w:val="22"/>
                <w:szCs w:val="22"/>
                <w:lang w:val="sr-Latn-RS"/>
              </w:rPr>
              <w:t>GSS u OBT</w:t>
            </w:r>
          </w:p>
        </w:tc>
        <w:tc>
          <w:tcPr>
            <w:tcW w:w="833" w:type="pct"/>
            <w:tcBorders>
              <w:top w:val="single" w:sz="4" w:space="0" w:color="000000"/>
              <w:left w:val="single" w:sz="4" w:space="0" w:color="000000"/>
              <w:bottom w:val="single" w:sz="4" w:space="0" w:color="000000"/>
              <w:right w:val="single" w:sz="4" w:space="0" w:color="000000"/>
            </w:tcBorders>
            <w:hideMark/>
          </w:tcPr>
          <w:p w14:paraId="058E0B53" w14:textId="77777777" w:rsidR="006A35FB" w:rsidRPr="00E04F74" w:rsidRDefault="006A35FB" w:rsidP="00946B2E">
            <w:pPr>
              <w:pStyle w:val="Header"/>
              <w:jc w:val="both"/>
              <w:rPr>
                <w:sz w:val="22"/>
                <w:szCs w:val="22"/>
                <w:lang w:val="sr-Latn-RS"/>
              </w:rPr>
            </w:pPr>
            <w:r w:rsidRPr="00E04F74">
              <w:rPr>
                <w:sz w:val="22"/>
                <w:szCs w:val="22"/>
                <w:lang w:val="sr-Latn-RS"/>
              </w:rPr>
              <w:t>Svi</w:t>
            </w:r>
          </w:p>
        </w:tc>
        <w:tc>
          <w:tcPr>
            <w:tcW w:w="833" w:type="pct"/>
            <w:tcBorders>
              <w:top w:val="single" w:sz="4" w:space="0" w:color="000000"/>
              <w:left w:val="single" w:sz="4" w:space="0" w:color="000000"/>
              <w:bottom w:val="single" w:sz="4" w:space="0" w:color="000000"/>
              <w:right w:val="single" w:sz="4" w:space="0" w:color="000000"/>
            </w:tcBorders>
            <w:hideMark/>
          </w:tcPr>
          <w:p w14:paraId="058E0B54" w14:textId="77777777" w:rsidR="006A35FB" w:rsidRPr="00E04F74" w:rsidRDefault="006A35FB" w:rsidP="00946B2E">
            <w:pPr>
              <w:pStyle w:val="Header"/>
              <w:jc w:val="both"/>
              <w:rPr>
                <w:sz w:val="22"/>
                <w:szCs w:val="22"/>
                <w:lang w:val="sr-Latn-RS"/>
              </w:rPr>
            </w:pPr>
            <w:r w:rsidRPr="00E04F74">
              <w:rPr>
                <w:sz w:val="22"/>
                <w:szCs w:val="22"/>
                <w:lang w:val="sr-Latn-RS"/>
              </w:rPr>
              <w:t>0-1</w:t>
            </w:r>
          </w:p>
        </w:tc>
        <w:tc>
          <w:tcPr>
            <w:tcW w:w="834" w:type="pct"/>
            <w:tcBorders>
              <w:top w:val="single" w:sz="4" w:space="0" w:color="000000"/>
              <w:left w:val="single" w:sz="4" w:space="0" w:color="000000"/>
              <w:bottom w:val="single" w:sz="4" w:space="0" w:color="000000"/>
              <w:right w:val="single" w:sz="4" w:space="0" w:color="000000"/>
            </w:tcBorders>
            <w:hideMark/>
          </w:tcPr>
          <w:p w14:paraId="058E0B55" w14:textId="77777777" w:rsidR="006A35FB" w:rsidRPr="00E04F74" w:rsidRDefault="006A35FB" w:rsidP="00946B2E">
            <w:pPr>
              <w:pStyle w:val="Header"/>
              <w:jc w:val="both"/>
              <w:rPr>
                <w:sz w:val="22"/>
                <w:szCs w:val="22"/>
                <w:lang w:val="sr-Latn-RS"/>
              </w:rPr>
            </w:pPr>
            <w:r w:rsidRPr="00E04F74">
              <w:rPr>
                <w:sz w:val="22"/>
                <w:szCs w:val="22"/>
                <w:lang w:val="sr-Latn-RS"/>
              </w:rPr>
              <w:t>2-5</w:t>
            </w:r>
          </w:p>
        </w:tc>
        <w:tc>
          <w:tcPr>
            <w:tcW w:w="834" w:type="pct"/>
            <w:tcBorders>
              <w:top w:val="single" w:sz="4" w:space="0" w:color="000000"/>
              <w:left w:val="single" w:sz="4" w:space="0" w:color="000000"/>
              <w:bottom w:val="single" w:sz="4" w:space="0" w:color="000000"/>
              <w:right w:val="single" w:sz="4" w:space="0" w:color="000000"/>
            </w:tcBorders>
            <w:hideMark/>
          </w:tcPr>
          <w:p w14:paraId="058E0B56" w14:textId="77777777" w:rsidR="006A35FB" w:rsidRPr="00E04F74" w:rsidRDefault="006A35FB" w:rsidP="00946B2E">
            <w:pPr>
              <w:pStyle w:val="Header"/>
              <w:jc w:val="both"/>
              <w:rPr>
                <w:sz w:val="22"/>
                <w:szCs w:val="22"/>
                <w:lang w:val="sr-Latn-RS"/>
              </w:rPr>
            </w:pPr>
            <w:r w:rsidRPr="00E04F74">
              <w:rPr>
                <w:sz w:val="22"/>
                <w:szCs w:val="22"/>
                <w:lang w:val="sr-Latn-RS"/>
              </w:rPr>
              <w:t>6+</w:t>
            </w:r>
          </w:p>
        </w:tc>
        <w:tc>
          <w:tcPr>
            <w:tcW w:w="834" w:type="pct"/>
            <w:tcBorders>
              <w:top w:val="single" w:sz="4" w:space="0" w:color="000000"/>
              <w:left w:val="single" w:sz="4" w:space="0" w:color="000000"/>
              <w:bottom w:val="single" w:sz="4" w:space="0" w:color="000000"/>
              <w:right w:val="single" w:sz="4" w:space="0" w:color="000000"/>
            </w:tcBorders>
            <w:hideMark/>
          </w:tcPr>
          <w:p w14:paraId="058E0B57" w14:textId="77777777" w:rsidR="006A35FB" w:rsidRPr="00E04F74" w:rsidRDefault="006A35FB" w:rsidP="00946B2E">
            <w:pPr>
              <w:pStyle w:val="Header"/>
              <w:jc w:val="both"/>
              <w:rPr>
                <w:sz w:val="22"/>
                <w:szCs w:val="22"/>
                <w:lang w:val="sr-Latn-RS"/>
              </w:rPr>
            </w:pPr>
            <w:r w:rsidRPr="00E04F74">
              <w:rPr>
                <w:sz w:val="22"/>
                <w:szCs w:val="22"/>
                <w:lang w:val="sr-Latn-RS"/>
              </w:rPr>
              <w:t>Svi</w:t>
            </w:r>
          </w:p>
        </w:tc>
      </w:tr>
      <w:tr w:rsidR="006A35FB" w:rsidRPr="00E04F74" w14:paraId="058E0B5F" w14:textId="77777777" w:rsidTr="00095F06">
        <w:tc>
          <w:tcPr>
            <w:tcW w:w="833" w:type="pct"/>
            <w:tcBorders>
              <w:top w:val="single" w:sz="4" w:space="0" w:color="000000"/>
              <w:left w:val="single" w:sz="4" w:space="0" w:color="000000"/>
              <w:bottom w:val="single" w:sz="4" w:space="0" w:color="000000"/>
              <w:right w:val="single" w:sz="4" w:space="0" w:color="000000"/>
            </w:tcBorders>
            <w:hideMark/>
          </w:tcPr>
          <w:p w14:paraId="058E0B59" w14:textId="77777777" w:rsidR="006A35FB" w:rsidRPr="00E04F74" w:rsidRDefault="006A35FB" w:rsidP="00946B2E">
            <w:pPr>
              <w:pStyle w:val="Header"/>
              <w:jc w:val="both"/>
              <w:rPr>
                <w:b/>
                <w:sz w:val="22"/>
                <w:szCs w:val="22"/>
                <w:lang w:val="sr-Latn-RS"/>
              </w:rPr>
            </w:pPr>
            <w:r w:rsidRPr="00E04F74">
              <w:rPr>
                <w:b/>
                <w:sz w:val="22"/>
                <w:szCs w:val="22"/>
                <w:lang w:val="sr-Latn-RS"/>
              </w:rPr>
              <w:t>≤2</w:t>
            </w:r>
          </w:p>
        </w:tc>
        <w:tc>
          <w:tcPr>
            <w:tcW w:w="833" w:type="pct"/>
            <w:tcBorders>
              <w:top w:val="single" w:sz="4" w:space="0" w:color="000000"/>
              <w:left w:val="single" w:sz="4" w:space="0" w:color="000000"/>
              <w:bottom w:val="single" w:sz="4" w:space="0" w:color="000000"/>
              <w:right w:val="single" w:sz="4" w:space="0" w:color="000000"/>
            </w:tcBorders>
            <w:hideMark/>
          </w:tcPr>
          <w:p w14:paraId="058E0B5A" w14:textId="77777777" w:rsidR="006A35FB" w:rsidRPr="00E04F74" w:rsidRDefault="006A35FB" w:rsidP="00946B2E">
            <w:pPr>
              <w:pStyle w:val="Header"/>
              <w:jc w:val="both"/>
              <w:rPr>
                <w:sz w:val="22"/>
                <w:szCs w:val="22"/>
                <w:lang w:val="sr-Latn-RS"/>
              </w:rPr>
            </w:pPr>
            <w:r w:rsidRPr="00E04F74">
              <w:rPr>
                <w:sz w:val="22"/>
                <w:szCs w:val="22"/>
                <w:lang w:val="sr-Latn-RS"/>
              </w:rPr>
              <w:t>10/24 (42%)</w:t>
            </w:r>
          </w:p>
        </w:tc>
        <w:tc>
          <w:tcPr>
            <w:tcW w:w="833" w:type="pct"/>
            <w:tcBorders>
              <w:top w:val="single" w:sz="4" w:space="0" w:color="000000"/>
              <w:left w:val="single" w:sz="4" w:space="0" w:color="000000"/>
              <w:bottom w:val="single" w:sz="4" w:space="0" w:color="000000"/>
              <w:right w:val="single" w:sz="4" w:space="0" w:color="000000"/>
            </w:tcBorders>
            <w:hideMark/>
          </w:tcPr>
          <w:p w14:paraId="058E0B5B" w14:textId="77777777" w:rsidR="006A35FB" w:rsidRPr="00E04F74" w:rsidRDefault="006A35FB" w:rsidP="00946B2E">
            <w:pPr>
              <w:pStyle w:val="Header"/>
              <w:jc w:val="both"/>
              <w:rPr>
                <w:sz w:val="22"/>
                <w:szCs w:val="22"/>
                <w:lang w:val="sr-Latn-RS"/>
              </w:rPr>
            </w:pPr>
            <w:r w:rsidRPr="00E04F74">
              <w:rPr>
                <w:sz w:val="22"/>
                <w:szCs w:val="22"/>
                <w:lang w:val="sr-Latn-RS"/>
              </w:rPr>
              <w:t>3/24 (13%)</w:t>
            </w:r>
          </w:p>
        </w:tc>
        <w:tc>
          <w:tcPr>
            <w:tcW w:w="834" w:type="pct"/>
            <w:tcBorders>
              <w:top w:val="single" w:sz="4" w:space="0" w:color="000000"/>
              <w:left w:val="single" w:sz="4" w:space="0" w:color="000000"/>
              <w:bottom w:val="single" w:sz="4" w:space="0" w:color="000000"/>
              <w:right w:val="single" w:sz="4" w:space="0" w:color="000000"/>
            </w:tcBorders>
            <w:hideMark/>
          </w:tcPr>
          <w:p w14:paraId="058E0B5C" w14:textId="77777777" w:rsidR="006A35FB" w:rsidRPr="00E04F74" w:rsidRDefault="006A35FB" w:rsidP="00946B2E">
            <w:pPr>
              <w:pStyle w:val="Header"/>
              <w:jc w:val="both"/>
              <w:rPr>
                <w:sz w:val="22"/>
                <w:szCs w:val="22"/>
                <w:lang w:val="sr-Latn-RS"/>
              </w:rPr>
            </w:pPr>
            <w:r w:rsidRPr="00E04F74">
              <w:rPr>
                <w:sz w:val="22"/>
                <w:szCs w:val="22"/>
                <w:lang w:val="sr-Latn-RS"/>
              </w:rPr>
              <w:t>7/24 (29%)</w:t>
            </w:r>
          </w:p>
        </w:tc>
        <w:tc>
          <w:tcPr>
            <w:tcW w:w="834" w:type="pct"/>
            <w:tcBorders>
              <w:top w:val="single" w:sz="4" w:space="0" w:color="000000"/>
              <w:left w:val="single" w:sz="4" w:space="0" w:color="000000"/>
              <w:bottom w:val="single" w:sz="4" w:space="0" w:color="000000"/>
              <w:right w:val="single" w:sz="4" w:space="0" w:color="000000"/>
            </w:tcBorders>
            <w:hideMark/>
          </w:tcPr>
          <w:p w14:paraId="058E0B5D" w14:textId="77777777" w:rsidR="006A35FB" w:rsidRPr="00E04F74" w:rsidRDefault="006A35FB" w:rsidP="00946B2E">
            <w:pPr>
              <w:pStyle w:val="Header"/>
              <w:jc w:val="both"/>
              <w:rPr>
                <w:sz w:val="22"/>
                <w:szCs w:val="22"/>
                <w:lang w:val="sr-Latn-RS"/>
              </w:rPr>
            </w:pPr>
            <w:r w:rsidRPr="00E04F74">
              <w:rPr>
                <w:sz w:val="22"/>
                <w:szCs w:val="22"/>
                <w:lang w:val="sr-Latn-RS"/>
              </w:rPr>
              <w:t>0</w:t>
            </w:r>
          </w:p>
        </w:tc>
        <w:tc>
          <w:tcPr>
            <w:tcW w:w="834" w:type="pct"/>
            <w:tcBorders>
              <w:top w:val="single" w:sz="4" w:space="0" w:color="000000"/>
              <w:left w:val="single" w:sz="4" w:space="0" w:color="000000"/>
              <w:bottom w:val="single" w:sz="4" w:space="0" w:color="000000"/>
              <w:right w:val="single" w:sz="4" w:space="0" w:color="000000"/>
            </w:tcBorders>
            <w:hideMark/>
          </w:tcPr>
          <w:p w14:paraId="058E0B5E" w14:textId="77777777" w:rsidR="006A35FB" w:rsidRPr="00E04F74" w:rsidRDefault="006A35FB" w:rsidP="00946B2E">
            <w:pPr>
              <w:pStyle w:val="Header"/>
              <w:jc w:val="both"/>
              <w:rPr>
                <w:sz w:val="22"/>
                <w:szCs w:val="22"/>
                <w:lang w:val="sr-Latn-RS"/>
              </w:rPr>
            </w:pPr>
            <w:r w:rsidRPr="00E04F74">
              <w:rPr>
                <w:sz w:val="22"/>
                <w:szCs w:val="22"/>
                <w:lang w:val="sr-Latn-RS"/>
              </w:rPr>
              <w:t>12/26 (46%)</w:t>
            </w:r>
          </w:p>
        </w:tc>
      </w:tr>
      <w:tr w:rsidR="006A35FB" w:rsidRPr="00E04F74" w14:paraId="058E0B66" w14:textId="77777777" w:rsidTr="00095F06">
        <w:tc>
          <w:tcPr>
            <w:tcW w:w="833" w:type="pct"/>
            <w:tcBorders>
              <w:top w:val="single" w:sz="4" w:space="0" w:color="000000"/>
              <w:left w:val="single" w:sz="4" w:space="0" w:color="000000"/>
              <w:bottom w:val="single" w:sz="4" w:space="0" w:color="000000"/>
              <w:right w:val="single" w:sz="4" w:space="0" w:color="000000"/>
            </w:tcBorders>
            <w:hideMark/>
          </w:tcPr>
          <w:p w14:paraId="058E0B60" w14:textId="77777777" w:rsidR="006A35FB" w:rsidRPr="00E04F74" w:rsidRDefault="006A35FB" w:rsidP="00946B2E">
            <w:pPr>
              <w:pStyle w:val="Header"/>
              <w:jc w:val="both"/>
              <w:rPr>
                <w:b/>
                <w:sz w:val="22"/>
                <w:szCs w:val="22"/>
                <w:lang w:val="sr-Latn-RS"/>
              </w:rPr>
            </w:pPr>
            <w:r w:rsidRPr="00E04F74">
              <w:rPr>
                <w:b/>
                <w:sz w:val="22"/>
                <w:szCs w:val="22"/>
                <w:lang w:val="sr-Latn-RS"/>
              </w:rPr>
              <w:t>&gt;2</w:t>
            </w:r>
          </w:p>
        </w:tc>
        <w:tc>
          <w:tcPr>
            <w:tcW w:w="833" w:type="pct"/>
            <w:tcBorders>
              <w:top w:val="single" w:sz="4" w:space="0" w:color="000000"/>
              <w:left w:val="single" w:sz="4" w:space="0" w:color="000000"/>
              <w:bottom w:val="single" w:sz="4" w:space="0" w:color="000000"/>
              <w:right w:val="single" w:sz="4" w:space="0" w:color="000000"/>
            </w:tcBorders>
            <w:hideMark/>
          </w:tcPr>
          <w:p w14:paraId="058E0B61" w14:textId="77777777" w:rsidR="006A35FB" w:rsidRPr="00E04F74" w:rsidRDefault="006A35FB" w:rsidP="00946B2E">
            <w:pPr>
              <w:pStyle w:val="Header"/>
              <w:jc w:val="both"/>
              <w:rPr>
                <w:sz w:val="22"/>
                <w:szCs w:val="22"/>
                <w:lang w:val="sr-Latn-RS"/>
              </w:rPr>
            </w:pPr>
            <w:r w:rsidRPr="00E04F74">
              <w:rPr>
                <w:sz w:val="22"/>
                <w:szCs w:val="22"/>
                <w:lang w:val="sr-Latn-RS"/>
              </w:rPr>
              <w:t>29/56 (52%)</w:t>
            </w:r>
          </w:p>
        </w:tc>
        <w:tc>
          <w:tcPr>
            <w:tcW w:w="833" w:type="pct"/>
            <w:tcBorders>
              <w:top w:val="single" w:sz="4" w:space="0" w:color="000000"/>
              <w:left w:val="single" w:sz="4" w:space="0" w:color="000000"/>
              <w:bottom w:val="single" w:sz="4" w:space="0" w:color="000000"/>
              <w:right w:val="single" w:sz="4" w:space="0" w:color="000000"/>
            </w:tcBorders>
            <w:hideMark/>
          </w:tcPr>
          <w:p w14:paraId="058E0B62" w14:textId="77777777" w:rsidR="006A35FB" w:rsidRPr="00E04F74" w:rsidRDefault="006A35FB" w:rsidP="00946B2E">
            <w:pPr>
              <w:pStyle w:val="Header"/>
              <w:jc w:val="both"/>
              <w:rPr>
                <w:sz w:val="22"/>
                <w:szCs w:val="22"/>
                <w:lang w:val="sr-Latn-RS"/>
              </w:rPr>
            </w:pPr>
            <w:r w:rsidRPr="00E04F74">
              <w:rPr>
                <w:sz w:val="22"/>
                <w:szCs w:val="22"/>
                <w:lang w:val="sr-Latn-RS"/>
              </w:rPr>
              <w:t>21/56 (38%)</w:t>
            </w:r>
          </w:p>
        </w:tc>
        <w:tc>
          <w:tcPr>
            <w:tcW w:w="834" w:type="pct"/>
            <w:tcBorders>
              <w:top w:val="single" w:sz="4" w:space="0" w:color="000000"/>
              <w:left w:val="single" w:sz="4" w:space="0" w:color="000000"/>
              <w:bottom w:val="single" w:sz="4" w:space="0" w:color="000000"/>
              <w:right w:val="single" w:sz="4" w:space="0" w:color="000000"/>
            </w:tcBorders>
            <w:hideMark/>
          </w:tcPr>
          <w:p w14:paraId="058E0B63" w14:textId="77777777" w:rsidR="006A35FB" w:rsidRPr="00E04F74" w:rsidRDefault="006A35FB" w:rsidP="00946B2E">
            <w:pPr>
              <w:pStyle w:val="Header"/>
              <w:jc w:val="both"/>
              <w:rPr>
                <w:sz w:val="22"/>
                <w:szCs w:val="22"/>
                <w:lang w:val="sr-Latn-RS"/>
              </w:rPr>
            </w:pPr>
            <w:r w:rsidRPr="00E04F74">
              <w:rPr>
                <w:sz w:val="22"/>
                <w:szCs w:val="22"/>
                <w:lang w:val="sr-Latn-RS"/>
              </w:rPr>
              <w:t>8/56 (14%)</w:t>
            </w:r>
          </w:p>
        </w:tc>
        <w:tc>
          <w:tcPr>
            <w:tcW w:w="834" w:type="pct"/>
            <w:tcBorders>
              <w:top w:val="single" w:sz="4" w:space="0" w:color="000000"/>
              <w:left w:val="single" w:sz="4" w:space="0" w:color="000000"/>
              <w:bottom w:val="single" w:sz="4" w:space="0" w:color="000000"/>
              <w:right w:val="single" w:sz="4" w:space="0" w:color="000000"/>
            </w:tcBorders>
            <w:hideMark/>
          </w:tcPr>
          <w:p w14:paraId="058E0B64" w14:textId="77777777" w:rsidR="006A35FB" w:rsidRPr="00E04F74" w:rsidRDefault="006A35FB" w:rsidP="00946B2E">
            <w:pPr>
              <w:pStyle w:val="Header"/>
              <w:jc w:val="both"/>
              <w:rPr>
                <w:sz w:val="22"/>
                <w:szCs w:val="22"/>
                <w:lang w:val="sr-Latn-RS"/>
              </w:rPr>
            </w:pPr>
            <w:r w:rsidRPr="00E04F74">
              <w:rPr>
                <w:sz w:val="22"/>
                <w:szCs w:val="22"/>
                <w:lang w:val="sr-Latn-RS"/>
              </w:rPr>
              <w:t>0</w:t>
            </w:r>
          </w:p>
        </w:tc>
        <w:tc>
          <w:tcPr>
            <w:tcW w:w="834" w:type="pct"/>
            <w:tcBorders>
              <w:top w:val="single" w:sz="4" w:space="0" w:color="000000"/>
              <w:left w:val="single" w:sz="4" w:space="0" w:color="000000"/>
              <w:bottom w:val="single" w:sz="4" w:space="0" w:color="000000"/>
              <w:right w:val="single" w:sz="4" w:space="0" w:color="000000"/>
            </w:tcBorders>
            <w:hideMark/>
          </w:tcPr>
          <w:p w14:paraId="058E0B65" w14:textId="77777777" w:rsidR="006A35FB" w:rsidRPr="00E04F74" w:rsidRDefault="006A35FB" w:rsidP="00946B2E">
            <w:pPr>
              <w:pStyle w:val="Header"/>
              <w:jc w:val="both"/>
              <w:rPr>
                <w:sz w:val="22"/>
                <w:szCs w:val="22"/>
                <w:lang w:val="sr-Latn-RS"/>
              </w:rPr>
            </w:pPr>
            <w:r w:rsidRPr="00E04F74">
              <w:rPr>
                <w:sz w:val="22"/>
                <w:szCs w:val="22"/>
                <w:lang w:val="sr-Latn-RS"/>
              </w:rPr>
              <w:t>27/56 (48%)</w:t>
            </w:r>
          </w:p>
        </w:tc>
      </w:tr>
      <w:tr w:rsidR="006A35FB" w:rsidRPr="00E04F74" w14:paraId="058E0B6D" w14:textId="77777777" w:rsidTr="00095F06">
        <w:tc>
          <w:tcPr>
            <w:tcW w:w="833" w:type="pct"/>
            <w:tcBorders>
              <w:top w:val="single" w:sz="4" w:space="0" w:color="000000"/>
              <w:left w:val="single" w:sz="4" w:space="0" w:color="000000"/>
              <w:bottom w:val="single" w:sz="4" w:space="0" w:color="000000"/>
              <w:right w:val="single" w:sz="4" w:space="0" w:color="000000"/>
            </w:tcBorders>
            <w:hideMark/>
          </w:tcPr>
          <w:p w14:paraId="058E0B67" w14:textId="77777777" w:rsidR="006A35FB" w:rsidRPr="00E04F74" w:rsidRDefault="006A35FB" w:rsidP="00946B2E">
            <w:pPr>
              <w:pStyle w:val="Header"/>
              <w:jc w:val="both"/>
              <w:rPr>
                <w:b/>
                <w:sz w:val="22"/>
                <w:szCs w:val="22"/>
                <w:lang w:val="sr-Latn-RS"/>
              </w:rPr>
            </w:pPr>
            <w:r w:rsidRPr="00E04F74">
              <w:rPr>
                <w:b/>
                <w:sz w:val="22"/>
                <w:szCs w:val="22"/>
                <w:lang w:val="sr-Latn-RS"/>
              </w:rPr>
              <w:t>Nepoznato</w:t>
            </w:r>
          </w:p>
        </w:tc>
        <w:tc>
          <w:tcPr>
            <w:tcW w:w="833" w:type="pct"/>
            <w:tcBorders>
              <w:top w:val="single" w:sz="4" w:space="0" w:color="000000"/>
              <w:left w:val="single" w:sz="4" w:space="0" w:color="000000"/>
              <w:bottom w:val="single" w:sz="4" w:space="0" w:color="000000"/>
              <w:right w:val="single" w:sz="4" w:space="0" w:color="000000"/>
            </w:tcBorders>
            <w:hideMark/>
          </w:tcPr>
          <w:p w14:paraId="058E0B68" w14:textId="77777777" w:rsidR="006A35FB" w:rsidRPr="00E04F74" w:rsidRDefault="006A35FB" w:rsidP="00946B2E">
            <w:pPr>
              <w:pStyle w:val="Header"/>
              <w:jc w:val="both"/>
              <w:rPr>
                <w:sz w:val="22"/>
                <w:szCs w:val="22"/>
                <w:lang w:val="sr-Latn-RS"/>
              </w:rPr>
            </w:pPr>
            <w:r w:rsidRPr="00E04F74">
              <w:rPr>
                <w:sz w:val="22"/>
                <w:szCs w:val="22"/>
                <w:lang w:val="sr-Latn-RS"/>
              </w:rPr>
              <w:t>8/14 (57%)</w:t>
            </w:r>
          </w:p>
        </w:tc>
        <w:tc>
          <w:tcPr>
            <w:tcW w:w="833" w:type="pct"/>
            <w:tcBorders>
              <w:top w:val="single" w:sz="4" w:space="0" w:color="000000"/>
              <w:left w:val="single" w:sz="4" w:space="0" w:color="000000"/>
              <w:bottom w:val="single" w:sz="4" w:space="0" w:color="000000"/>
              <w:right w:val="single" w:sz="4" w:space="0" w:color="000000"/>
            </w:tcBorders>
            <w:hideMark/>
          </w:tcPr>
          <w:p w14:paraId="058E0B69" w14:textId="77777777" w:rsidR="006A35FB" w:rsidRPr="00E04F74" w:rsidRDefault="006A35FB" w:rsidP="00946B2E">
            <w:pPr>
              <w:pStyle w:val="Header"/>
              <w:jc w:val="both"/>
              <w:rPr>
                <w:sz w:val="22"/>
                <w:szCs w:val="22"/>
                <w:lang w:val="sr-Latn-RS"/>
              </w:rPr>
            </w:pPr>
            <w:r w:rsidRPr="00E04F74">
              <w:rPr>
                <w:sz w:val="22"/>
                <w:szCs w:val="22"/>
                <w:lang w:val="sr-Latn-RS"/>
              </w:rPr>
              <w:t>6/14 (43%)</w:t>
            </w:r>
          </w:p>
        </w:tc>
        <w:tc>
          <w:tcPr>
            <w:tcW w:w="834" w:type="pct"/>
            <w:tcBorders>
              <w:top w:val="single" w:sz="4" w:space="0" w:color="000000"/>
              <w:left w:val="single" w:sz="4" w:space="0" w:color="000000"/>
              <w:bottom w:val="single" w:sz="4" w:space="0" w:color="000000"/>
              <w:right w:val="single" w:sz="4" w:space="0" w:color="000000"/>
            </w:tcBorders>
            <w:hideMark/>
          </w:tcPr>
          <w:p w14:paraId="058E0B6A" w14:textId="77777777" w:rsidR="006A35FB" w:rsidRPr="00E04F74" w:rsidRDefault="006A35FB" w:rsidP="00946B2E">
            <w:pPr>
              <w:pStyle w:val="Header"/>
              <w:jc w:val="both"/>
              <w:rPr>
                <w:sz w:val="22"/>
                <w:szCs w:val="22"/>
                <w:lang w:val="sr-Latn-RS"/>
              </w:rPr>
            </w:pPr>
            <w:r w:rsidRPr="00E04F74">
              <w:rPr>
                <w:sz w:val="22"/>
                <w:szCs w:val="22"/>
                <w:lang w:val="sr-Latn-RS"/>
              </w:rPr>
              <w:t>2/14 (14%)</w:t>
            </w:r>
          </w:p>
        </w:tc>
        <w:tc>
          <w:tcPr>
            <w:tcW w:w="834" w:type="pct"/>
            <w:tcBorders>
              <w:top w:val="single" w:sz="4" w:space="0" w:color="000000"/>
              <w:left w:val="single" w:sz="4" w:space="0" w:color="000000"/>
              <w:bottom w:val="single" w:sz="4" w:space="0" w:color="000000"/>
              <w:right w:val="single" w:sz="4" w:space="0" w:color="000000"/>
            </w:tcBorders>
            <w:hideMark/>
          </w:tcPr>
          <w:p w14:paraId="058E0B6B" w14:textId="77777777" w:rsidR="006A35FB" w:rsidRPr="00E04F74" w:rsidRDefault="006A35FB" w:rsidP="00946B2E">
            <w:pPr>
              <w:pStyle w:val="Header"/>
              <w:jc w:val="both"/>
              <w:rPr>
                <w:sz w:val="22"/>
                <w:szCs w:val="22"/>
                <w:lang w:val="sr-Latn-RS"/>
              </w:rPr>
            </w:pPr>
            <w:r w:rsidRPr="00E04F74">
              <w:rPr>
                <w:sz w:val="22"/>
                <w:szCs w:val="22"/>
                <w:lang w:val="sr-Latn-RS"/>
              </w:rPr>
              <w:t>0</w:t>
            </w:r>
          </w:p>
        </w:tc>
        <w:tc>
          <w:tcPr>
            <w:tcW w:w="834" w:type="pct"/>
            <w:tcBorders>
              <w:top w:val="single" w:sz="4" w:space="0" w:color="000000"/>
              <w:left w:val="single" w:sz="4" w:space="0" w:color="000000"/>
              <w:bottom w:val="single" w:sz="4" w:space="0" w:color="000000"/>
              <w:right w:val="single" w:sz="4" w:space="0" w:color="000000"/>
            </w:tcBorders>
            <w:hideMark/>
          </w:tcPr>
          <w:p w14:paraId="058E0B6C" w14:textId="77777777" w:rsidR="006A35FB" w:rsidRPr="00E04F74" w:rsidRDefault="006A35FB" w:rsidP="00946B2E">
            <w:pPr>
              <w:pStyle w:val="Header"/>
              <w:jc w:val="both"/>
              <w:rPr>
                <w:sz w:val="22"/>
                <w:szCs w:val="22"/>
                <w:lang w:val="sr-Latn-RS"/>
              </w:rPr>
            </w:pPr>
            <w:r w:rsidRPr="00E04F74">
              <w:rPr>
                <w:sz w:val="22"/>
                <w:szCs w:val="22"/>
                <w:lang w:val="sr-Latn-RS"/>
              </w:rPr>
              <w:t>2/6 (33%)</w:t>
            </w:r>
          </w:p>
        </w:tc>
      </w:tr>
      <w:tr w:rsidR="006A35FB" w:rsidRPr="00E04F74" w14:paraId="058E0B74" w14:textId="77777777" w:rsidTr="00095F06">
        <w:tc>
          <w:tcPr>
            <w:tcW w:w="833" w:type="pct"/>
            <w:tcBorders>
              <w:top w:val="single" w:sz="4" w:space="0" w:color="000000"/>
              <w:left w:val="single" w:sz="4" w:space="0" w:color="000000"/>
              <w:bottom w:val="single" w:sz="4" w:space="0" w:color="000000"/>
              <w:right w:val="single" w:sz="4" w:space="0" w:color="000000"/>
            </w:tcBorders>
            <w:hideMark/>
          </w:tcPr>
          <w:p w14:paraId="058E0B6E" w14:textId="77777777" w:rsidR="006A35FB" w:rsidRPr="00E04F74" w:rsidRDefault="006A35FB" w:rsidP="00946B2E">
            <w:pPr>
              <w:pStyle w:val="Header"/>
              <w:jc w:val="both"/>
              <w:rPr>
                <w:b/>
                <w:sz w:val="22"/>
                <w:szCs w:val="22"/>
                <w:lang w:val="sr-Latn-RS"/>
              </w:rPr>
            </w:pPr>
            <w:r w:rsidRPr="00E04F74">
              <w:rPr>
                <w:b/>
                <w:sz w:val="22"/>
                <w:szCs w:val="22"/>
                <w:lang w:val="sr-Latn-RS"/>
              </w:rPr>
              <w:t>Svi</w:t>
            </w:r>
          </w:p>
        </w:tc>
        <w:tc>
          <w:tcPr>
            <w:tcW w:w="833" w:type="pct"/>
            <w:tcBorders>
              <w:top w:val="single" w:sz="4" w:space="0" w:color="000000"/>
              <w:left w:val="single" w:sz="4" w:space="0" w:color="000000"/>
              <w:bottom w:val="single" w:sz="4" w:space="0" w:color="000000"/>
              <w:right w:val="single" w:sz="4" w:space="0" w:color="000000"/>
            </w:tcBorders>
            <w:hideMark/>
          </w:tcPr>
          <w:p w14:paraId="058E0B6F" w14:textId="77777777" w:rsidR="006A35FB" w:rsidRPr="00E04F74" w:rsidRDefault="006A35FB" w:rsidP="00946B2E">
            <w:pPr>
              <w:pStyle w:val="Header"/>
              <w:jc w:val="both"/>
              <w:rPr>
                <w:sz w:val="22"/>
                <w:szCs w:val="22"/>
                <w:lang w:val="sr-Latn-RS"/>
              </w:rPr>
            </w:pPr>
            <w:r w:rsidRPr="00E04F74">
              <w:rPr>
                <w:sz w:val="22"/>
                <w:szCs w:val="22"/>
                <w:lang w:val="sr-Latn-RS"/>
              </w:rPr>
              <w:t>47/94 (50%)</w:t>
            </w:r>
          </w:p>
        </w:tc>
        <w:tc>
          <w:tcPr>
            <w:tcW w:w="833" w:type="pct"/>
            <w:tcBorders>
              <w:top w:val="single" w:sz="4" w:space="0" w:color="000000"/>
              <w:left w:val="single" w:sz="4" w:space="0" w:color="000000"/>
              <w:bottom w:val="single" w:sz="4" w:space="0" w:color="000000"/>
              <w:right w:val="single" w:sz="4" w:space="0" w:color="000000"/>
            </w:tcBorders>
            <w:hideMark/>
          </w:tcPr>
          <w:p w14:paraId="058E0B70" w14:textId="77777777" w:rsidR="006A35FB" w:rsidRPr="00E04F74" w:rsidRDefault="006A35FB" w:rsidP="00946B2E">
            <w:pPr>
              <w:pStyle w:val="Header"/>
              <w:jc w:val="both"/>
              <w:rPr>
                <w:sz w:val="22"/>
                <w:szCs w:val="22"/>
                <w:lang w:val="sr-Latn-RS"/>
              </w:rPr>
            </w:pPr>
            <w:r w:rsidRPr="00E04F74">
              <w:rPr>
                <w:sz w:val="22"/>
                <w:szCs w:val="22"/>
                <w:lang w:val="sr-Latn-RS"/>
              </w:rPr>
              <w:t>30/94 (32%)</w:t>
            </w:r>
          </w:p>
        </w:tc>
        <w:tc>
          <w:tcPr>
            <w:tcW w:w="834" w:type="pct"/>
            <w:tcBorders>
              <w:top w:val="single" w:sz="4" w:space="0" w:color="000000"/>
              <w:left w:val="single" w:sz="4" w:space="0" w:color="000000"/>
              <w:bottom w:val="single" w:sz="4" w:space="0" w:color="000000"/>
              <w:right w:val="single" w:sz="4" w:space="0" w:color="000000"/>
            </w:tcBorders>
            <w:hideMark/>
          </w:tcPr>
          <w:p w14:paraId="058E0B71" w14:textId="77777777" w:rsidR="006A35FB" w:rsidRPr="00E04F74" w:rsidRDefault="006A35FB" w:rsidP="00946B2E">
            <w:pPr>
              <w:pStyle w:val="Header"/>
              <w:jc w:val="both"/>
              <w:rPr>
                <w:sz w:val="22"/>
                <w:szCs w:val="22"/>
                <w:lang w:val="sr-Latn-RS"/>
              </w:rPr>
            </w:pPr>
            <w:r w:rsidRPr="00E04F74">
              <w:rPr>
                <w:sz w:val="22"/>
                <w:szCs w:val="22"/>
                <w:lang w:val="sr-Latn-RS"/>
              </w:rPr>
              <w:t>17/94 (18%)</w:t>
            </w:r>
          </w:p>
        </w:tc>
        <w:tc>
          <w:tcPr>
            <w:tcW w:w="834" w:type="pct"/>
            <w:tcBorders>
              <w:top w:val="single" w:sz="4" w:space="0" w:color="000000"/>
              <w:left w:val="single" w:sz="4" w:space="0" w:color="000000"/>
              <w:bottom w:val="single" w:sz="4" w:space="0" w:color="000000"/>
              <w:right w:val="single" w:sz="4" w:space="0" w:color="000000"/>
            </w:tcBorders>
            <w:hideMark/>
          </w:tcPr>
          <w:p w14:paraId="058E0B72" w14:textId="77777777" w:rsidR="006A35FB" w:rsidRPr="00E04F74" w:rsidRDefault="006A35FB" w:rsidP="00946B2E">
            <w:pPr>
              <w:pStyle w:val="Header"/>
              <w:jc w:val="both"/>
              <w:rPr>
                <w:sz w:val="22"/>
                <w:szCs w:val="22"/>
                <w:lang w:val="sr-Latn-RS"/>
              </w:rPr>
            </w:pPr>
            <w:r w:rsidRPr="00E04F74">
              <w:rPr>
                <w:sz w:val="22"/>
                <w:szCs w:val="22"/>
                <w:lang w:val="sr-Latn-RS"/>
              </w:rPr>
              <w:t>0</w:t>
            </w:r>
          </w:p>
        </w:tc>
        <w:tc>
          <w:tcPr>
            <w:tcW w:w="834" w:type="pct"/>
            <w:tcBorders>
              <w:top w:val="single" w:sz="4" w:space="0" w:color="000000"/>
              <w:left w:val="single" w:sz="4" w:space="0" w:color="000000"/>
              <w:bottom w:val="single" w:sz="4" w:space="0" w:color="000000"/>
              <w:right w:val="single" w:sz="4" w:space="0" w:color="000000"/>
            </w:tcBorders>
            <w:hideMark/>
          </w:tcPr>
          <w:p w14:paraId="058E0B73" w14:textId="77777777" w:rsidR="006A35FB" w:rsidRPr="00E04F74" w:rsidRDefault="006A35FB" w:rsidP="00946B2E">
            <w:pPr>
              <w:pStyle w:val="Header"/>
              <w:jc w:val="both"/>
              <w:rPr>
                <w:sz w:val="22"/>
                <w:szCs w:val="22"/>
                <w:lang w:val="sr-Latn-RS"/>
              </w:rPr>
            </w:pPr>
            <w:r w:rsidRPr="00E04F74">
              <w:rPr>
                <w:sz w:val="22"/>
                <w:szCs w:val="22"/>
                <w:lang w:val="sr-Latn-RS"/>
              </w:rPr>
              <w:t>41/88 (47%)</w:t>
            </w:r>
          </w:p>
        </w:tc>
      </w:tr>
    </w:tbl>
    <w:p w14:paraId="058E0B75" w14:textId="77777777" w:rsidR="006A35FB" w:rsidRPr="00E04F74" w:rsidRDefault="006A35FB" w:rsidP="00946B2E">
      <w:pPr>
        <w:pStyle w:val="Header"/>
        <w:jc w:val="both"/>
        <w:rPr>
          <w:bCs/>
          <w:sz w:val="22"/>
          <w:szCs w:val="22"/>
          <w:lang w:val="sr-Latn-RS"/>
        </w:rPr>
      </w:pPr>
      <w:r w:rsidRPr="00E04F74">
        <w:rPr>
          <w:b/>
          <w:sz w:val="22"/>
          <w:szCs w:val="22"/>
          <w:vertAlign w:val="superscript"/>
          <w:lang w:val="sr-Latn-RS"/>
        </w:rPr>
        <w:t>1</w:t>
      </w:r>
      <w:r w:rsidRPr="00E04F74">
        <w:rPr>
          <w:b/>
          <w:sz w:val="22"/>
          <w:szCs w:val="22"/>
          <w:lang w:val="sr-Latn-RS"/>
        </w:rPr>
        <w:t xml:space="preserve"> </w:t>
      </w:r>
      <w:r w:rsidRPr="00E04F74">
        <w:rPr>
          <w:sz w:val="22"/>
          <w:szCs w:val="22"/>
          <w:lang w:val="sr-Latn-RS"/>
        </w:rPr>
        <w:t>Velike mutacije, definisane IAS-USA na abakavir ili lamivudin i mutacije udružene sa multi-NRTI rezistencijom</w:t>
      </w:r>
    </w:p>
    <w:p w14:paraId="058E0B76" w14:textId="77777777" w:rsidR="006A35FB" w:rsidRPr="00E04F74" w:rsidRDefault="006A35FB" w:rsidP="00946B2E">
      <w:pPr>
        <w:pStyle w:val="Header"/>
        <w:jc w:val="both"/>
        <w:rPr>
          <w:sz w:val="22"/>
          <w:szCs w:val="22"/>
          <w:lang w:val="sr-Latn-RS"/>
        </w:rPr>
      </w:pPr>
    </w:p>
    <w:p w14:paraId="058E0B77" w14:textId="77777777" w:rsidR="006A35FB" w:rsidRPr="00E04F74" w:rsidRDefault="006A35FB" w:rsidP="00946B2E">
      <w:pPr>
        <w:pStyle w:val="Header"/>
        <w:jc w:val="both"/>
        <w:rPr>
          <w:sz w:val="22"/>
          <w:szCs w:val="22"/>
          <w:lang w:val="sr-Latn-RS"/>
        </w:rPr>
      </w:pPr>
      <w:r w:rsidRPr="00E04F74">
        <w:rPr>
          <w:sz w:val="22"/>
          <w:szCs w:val="22"/>
          <w:lang w:val="sr-Latn-RS"/>
        </w:rPr>
        <w:t>Za studije CNA109586 (ASSERT) i CNA30021 sa prethodno neliječenim pacijentima, genotipski podaci su dobijeni za isključivo podgrupu pacijenata na skriningu ili sa osnovnim vrijednostima, kao i kod onih pacijenata koji zadovoljavaju kriterijum virološkog neuspjeha terapije. Dostupni podaci za parcijalnu podgrupu pacijenata studije CNA30021 su prikazani tabelarno u daljem tekstu, ali je neophodno da se interpretiraju uz oprez. Rezultati osjetljivosti na lijek su podijeljeni prema svakom virusnom genotipu kod pacijenata, korišćenjem ANRS 2009 HIV-1 algoritma genotipske rezistencije na lijek. Svakom lijeku za koji postoji osjetljivost u terapijskom režimu dodijeljena je vrijednost 1, a ljekovima za koje ANRS algoritam predviđa postojanje rezistentnosti, pripisana je vrijednost’0’.</w:t>
      </w:r>
    </w:p>
    <w:p w14:paraId="058E0B78" w14:textId="77777777" w:rsidR="006A35FB" w:rsidRPr="00E04F74" w:rsidRDefault="006A35FB" w:rsidP="00946B2E">
      <w:pPr>
        <w:pStyle w:val="Header"/>
        <w:jc w:val="both"/>
        <w:rPr>
          <w:sz w:val="22"/>
          <w:szCs w:val="22"/>
          <w:lang w:val="sr-Latn-RS"/>
        </w:rPr>
      </w:pPr>
    </w:p>
    <w:p w14:paraId="058E0B79" w14:textId="0783A374" w:rsidR="006A35FB" w:rsidRPr="00E04F74" w:rsidRDefault="00007173" w:rsidP="00946B2E">
      <w:pPr>
        <w:pStyle w:val="Header"/>
        <w:jc w:val="both"/>
        <w:rPr>
          <w:b/>
          <w:sz w:val="22"/>
          <w:szCs w:val="22"/>
          <w:lang w:val="sr-Latn-RS"/>
        </w:rPr>
      </w:pPr>
      <w:r w:rsidRPr="00E04F74">
        <w:rPr>
          <w:b/>
          <w:sz w:val="22"/>
          <w:szCs w:val="22"/>
          <w:lang w:val="sr-Latn-RS"/>
        </w:rPr>
        <w:t xml:space="preserve">Udio </w:t>
      </w:r>
      <w:r w:rsidR="006A35FB" w:rsidRPr="00E04F74">
        <w:rPr>
          <w:b/>
          <w:sz w:val="22"/>
          <w:szCs w:val="22"/>
          <w:lang w:val="sr-Latn-RS"/>
        </w:rPr>
        <w:t>pacijenata u studiji CNA30021 sa &lt;50 kopija/m</w:t>
      </w:r>
      <w:r w:rsidR="007D1417" w:rsidRPr="00E04F74">
        <w:rPr>
          <w:b/>
          <w:sz w:val="22"/>
          <w:szCs w:val="22"/>
          <w:lang w:val="sr-Latn-RS"/>
        </w:rPr>
        <w:t>l</w:t>
      </w:r>
      <w:r w:rsidR="006A35FB" w:rsidRPr="00E04F74">
        <w:rPr>
          <w:b/>
          <w:sz w:val="22"/>
          <w:szCs w:val="22"/>
          <w:lang w:val="sr-Latn-RS"/>
        </w:rPr>
        <w:t xml:space="preserve"> u 48. nedjelji dobijen rezultatom genotipske senzitivnosti pri OBT i broj osnovnih mutacija</w:t>
      </w:r>
    </w:p>
    <w:p w14:paraId="058E0B7A" w14:textId="77777777" w:rsidR="006A35FB" w:rsidRPr="00E04F74" w:rsidRDefault="006A35FB" w:rsidP="00946B2E">
      <w:pPr>
        <w:pStyle w:val="Header"/>
        <w:jc w:val="both"/>
        <w:rPr>
          <w:b/>
          <w:sz w:val="22"/>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9"/>
        <w:gridCol w:w="1510"/>
        <w:gridCol w:w="1510"/>
        <w:gridCol w:w="1512"/>
        <w:gridCol w:w="1512"/>
        <w:gridCol w:w="1510"/>
      </w:tblGrid>
      <w:tr w:rsidR="006A35FB" w:rsidRPr="00E04F74" w14:paraId="058E0B82" w14:textId="77777777" w:rsidTr="00095F06">
        <w:tc>
          <w:tcPr>
            <w:tcW w:w="833" w:type="pct"/>
            <w:tcBorders>
              <w:top w:val="single" w:sz="4" w:space="0" w:color="000000"/>
              <w:left w:val="single" w:sz="4" w:space="0" w:color="000000"/>
              <w:bottom w:val="single" w:sz="4" w:space="0" w:color="000000"/>
              <w:right w:val="single" w:sz="4" w:space="0" w:color="000000"/>
            </w:tcBorders>
          </w:tcPr>
          <w:p w14:paraId="058E0B7B" w14:textId="77777777" w:rsidR="006A35FB" w:rsidRPr="00E04F74" w:rsidRDefault="006A35FB" w:rsidP="00946B2E">
            <w:pPr>
              <w:pStyle w:val="Header"/>
              <w:jc w:val="both"/>
              <w:rPr>
                <w:b/>
                <w:sz w:val="22"/>
                <w:szCs w:val="22"/>
                <w:lang w:val="sr-Latn-RS"/>
              </w:rPr>
            </w:pPr>
          </w:p>
        </w:tc>
        <w:tc>
          <w:tcPr>
            <w:tcW w:w="3333" w:type="pct"/>
            <w:gridSpan w:val="4"/>
            <w:tcBorders>
              <w:top w:val="single" w:sz="4" w:space="0" w:color="000000"/>
              <w:left w:val="single" w:sz="4" w:space="0" w:color="000000"/>
              <w:bottom w:val="single" w:sz="4" w:space="0" w:color="000000"/>
              <w:right w:val="single" w:sz="4" w:space="0" w:color="000000"/>
            </w:tcBorders>
            <w:hideMark/>
          </w:tcPr>
          <w:p w14:paraId="058E0B7C" w14:textId="77777777" w:rsidR="006A35FB" w:rsidRPr="00E04F74" w:rsidRDefault="006A35FB" w:rsidP="00946B2E">
            <w:pPr>
              <w:pStyle w:val="Header"/>
              <w:jc w:val="both"/>
              <w:rPr>
                <w:b/>
                <w:sz w:val="22"/>
                <w:szCs w:val="22"/>
                <w:lang w:val="sr-Latn-RS"/>
              </w:rPr>
            </w:pPr>
            <w:r w:rsidRPr="00E04F74">
              <w:rPr>
                <w:b/>
                <w:sz w:val="22"/>
                <w:szCs w:val="22"/>
                <w:lang w:val="sr-Latn-RS"/>
              </w:rPr>
              <w:t>ABC QD + 3TC QD + EFV QD</w:t>
            </w:r>
          </w:p>
          <w:p w14:paraId="058E0B7D" w14:textId="77777777" w:rsidR="006A35FB" w:rsidRPr="00E04F74" w:rsidRDefault="006A35FB" w:rsidP="00946B2E">
            <w:pPr>
              <w:pStyle w:val="Header"/>
              <w:jc w:val="both"/>
              <w:rPr>
                <w:b/>
                <w:sz w:val="22"/>
                <w:szCs w:val="22"/>
                <w:lang w:val="sr-Latn-RS"/>
              </w:rPr>
            </w:pPr>
            <w:r w:rsidRPr="00E04F74">
              <w:rPr>
                <w:b/>
                <w:sz w:val="22"/>
                <w:szCs w:val="22"/>
                <w:lang w:val="sr-Latn-RS"/>
              </w:rPr>
              <w:t>(N=384)</w:t>
            </w:r>
          </w:p>
          <w:p w14:paraId="058E0B7E" w14:textId="77777777" w:rsidR="006A35FB" w:rsidRPr="00E04F74" w:rsidRDefault="006A35FB" w:rsidP="00946B2E">
            <w:pPr>
              <w:pStyle w:val="Header"/>
              <w:jc w:val="both"/>
              <w:rPr>
                <w:sz w:val="22"/>
                <w:szCs w:val="22"/>
                <w:lang w:val="sr-Latn-RS"/>
              </w:rPr>
            </w:pPr>
            <w:r w:rsidRPr="00E04F74">
              <w:rPr>
                <w:sz w:val="22"/>
                <w:szCs w:val="22"/>
                <w:lang w:val="sr-Latn-RS"/>
              </w:rPr>
              <w:t>Broj osnovnih mutacija</w:t>
            </w:r>
            <w:r w:rsidRPr="00E04F74">
              <w:rPr>
                <w:sz w:val="22"/>
                <w:szCs w:val="22"/>
                <w:vertAlign w:val="superscript"/>
                <w:lang w:val="sr-Latn-RS"/>
              </w:rPr>
              <w:t>1</w:t>
            </w:r>
          </w:p>
        </w:tc>
        <w:tc>
          <w:tcPr>
            <w:tcW w:w="834" w:type="pct"/>
            <w:tcBorders>
              <w:top w:val="single" w:sz="4" w:space="0" w:color="000000"/>
              <w:left w:val="single" w:sz="4" w:space="0" w:color="000000"/>
              <w:bottom w:val="single" w:sz="4" w:space="0" w:color="000000"/>
              <w:right w:val="single" w:sz="4" w:space="0" w:color="000000"/>
            </w:tcBorders>
            <w:hideMark/>
          </w:tcPr>
          <w:p w14:paraId="058E0B7F" w14:textId="77777777" w:rsidR="006A35FB" w:rsidRPr="00E04F74" w:rsidRDefault="006A35FB" w:rsidP="00946B2E">
            <w:pPr>
              <w:pStyle w:val="Header"/>
              <w:jc w:val="both"/>
              <w:rPr>
                <w:b/>
                <w:sz w:val="22"/>
                <w:szCs w:val="22"/>
                <w:lang w:val="sr-Latn-RS"/>
              </w:rPr>
            </w:pPr>
            <w:r w:rsidRPr="00E04F74">
              <w:rPr>
                <w:b/>
                <w:sz w:val="22"/>
                <w:szCs w:val="22"/>
                <w:lang w:val="sr-Latn-RS"/>
              </w:rPr>
              <w:t>ABC BID + 3TC QD +</w:t>
            </w:r>
          </w:p>
          <w:p w14:paraId="058E0B80" w14:textId="77777777" w:rsidR="006A35FB" w:rsidRPr="00E04F74" w:rsidRDefault="006A35FB" w:rsidP="00946B2E">
            <w:pPr>
              <w:pStyle w:val="Header"/>
              <w:jc w:val="both"/>
              <w:rPr>
                <w:b/>
                <w:sz w:val="22"/>
                <w:szCs w:val="22"/>
                <w:lang w:val="sr-Latn-RS"/>
              </w:rPr>
            </w:pPr>
            <w:r w:rsidRPr="00E04F74">
              <w:rPr>
                <w:b/>
                <w:sz w:val="22"/>
                <w:szCs w:val="22"/>
                <w:lang w:val="sr-Latn-RS"/>
              </w:rPr>
              <w:t>EFV QD</w:t>
            </w:r>
          </w:p>
          <w:p w14:paraId="058E0B81" w14:textId="77777777" w:rsidR="006A35FB" w:rsidRPr="00E04F74" w:rsidRDefault="006A35FB" w:rsidP="00946B2E">
            <w:pPr>
              <w:pStyle w:val="Header"/>
              <w:jc w:val="both"/>
              <w:rPr>
                <w:b/>
                <w:sz w:val="22"/>
                <w:szCs w:val="22"/>
                <w:lang w:val="sr-Latn-RS"/>
              </w:rPr>
            </w:pPr>
            <w:r w:rsidRPr="00E04F74">
              <w:rPr>
                <w:b/>
                <w:sz w:val="22"/>
                <w:szCs w:val="22"/>
                <w:lang w:val="sr-Latn-RS"/>
              </w:rPr>
              <w:t>(N=386)</w:t>
            </w:r>
          </w:p>
        </w:tc>
      </w:tr>
      <w:tr w:rsidR="006A35FB" w:rsidRPr="00E04F74" w14:paraId="058E0B89" w14:textId="77777777" w:rsidTr="00095F06">
        <w:tc>
          <w:tcPr>
            <w:tcW w:w="833" w:type="pct"/>
            <w:tcBorders>
              <w:top w:val="single" w:sz="4" w:space="0" w:color="000000"/>
              <w:left w:val="single" w:sz="4" w:space="0" w:color="000000"/>
              <w:bottom w:val="single" w:sz="4" w:space="0" w:color="000000"/>
              <w:right w:val="single" w:sz="4" w:space="0" w:color="000000"/>
            </w:tcBorders>
            <w:hideMark/>
          </w:tcPr>
          <w:p w14:paraId="058E0B83" w14:textId="77777777" w:rsidR="006A35FB" w:rsidRPr="00E04F74" w:rsidRDefault="006A35FB" w:rsidP="00946B2E">
            <w:pPr>
              <w:pStyle w:val="Header"/>
              <w:jc w:val="both"/>
              <w:rPr>
                <w:b/>
                <w:sz w:val="22"/>
                <w:szCs w:val="22"/>
                <w:lang w:val="sr-Latn-RS"/>
              </w:rPr>
            </w:pPr>
            <w:r w:rsidRPr="00E04F74">
              <w:rPr>
                <w:b/>
                <w:sz w:val="22"/>
                <w:szCs w:val="22"/>
                <w:lang w:val="sr-Latn-RS"/>
              </w:rPr>
              <w:lastRenderedPageBreak/>
              <w:t>GSS u OBT</w:t>
            </w:r>
          </w:p>
        </w:tc>
        <w:tc>
          <w:tcPr>
            <w:tcW w:w="833" w:type="pct"/>
            <w:tcBorders>
              <w:top w:val="single" w:sz="4" w:space="0" w:color="000000"/>
              <w:left w:val="single" w:sz="4" w:space="0" w:color="000000"/>
              <w:bottom w:val="single" w:sz="4" w:space="0" w:color="000000"/>
              <w:right w:val="single" w:sz="4" w:space="0" w:color="000000"/>
            </w:tcBorders>
            <w:hideMark/>
          </w:tcPr>
          <w:p w14:paraId="058E0B84" w14:textId="77777777" w:rsidR="006A35FB" w:rsidRPr="00E04F74" w:rsidRDefault="006A35FB" w:rsidP="00946B2E">
            <w:pPr>
              <w:pStyle w:val="Header"/>
              <w:jc w:val="both"/>
              <w:rPr>
                <w:sz w:val="22"/>
                <w:szCs w:val="22"/>
                <w:lang w:val="sr-Latn-RS"/>
              </w:rPr>
            </w:pPr>
            <w:r w:rsidRPr="00E04F74">
              <w:rPr>
                <w:sz w:val="22"/>
                <w:szCs w:val="22"/>
                <w:lang w:val="sr-Latn-RS"/>
              </w:rPr>
              <w:t>Svi</w:t>
            </w:r>
          </w:p>
        </w:tc>
        <w:tc>
          <w:tcPr>
            <w:tcW w:w="833" w:type="pct"/>
            <w:tcBorders>
              <w:top w:val="single" w:sz="4" w:space="0" w:color="000000"/>
              <w:left w:val="single" w:sz="4" w:space="0" w:color="000000"/>
              <w:bottom w:val="single" w:sz="4" w:space="0" w:color="000000"/>
              <w:right w:val="single" w:sz="4" w:space="0" w:color="000000"/>
            </w:tcBorders>
            <w:hideMark/>
          </w:tcPr>
          <w:p w14:paraId="058E0B85" w14:textId="77777777" w:rsidR="006A35FB" w:rsidRPr="00E04F74" w:rsidRDefault="006A35FB" w:rsidP="00946B2E">
            <w:pPr>
              <w:pStyle w:val="Header"/>
              <w:jc w:val="both"/>
              <w:rPr>
                <w:sz w:val="22"/>
                <w:szCs w:val="22"/>
                <w:lang w:val="sr-Latn-RS"/>
              </w:rPr>
            </w:pPr>
            <w:r w:rsidRPr="00E04F74">
              <w:rPr>
                <w:sz w:val="22"/>
                <w:szCs w:val="22"/>
                <w:lang w:val="sr-Latn-RS"/>
              </w:rPr>
              <w:t>0-1</w:t>
            </w:r>
          </w:p>
        </w:tc>
        <w:tc>
          <w:tcPr>
            <w:tcW w:w="834" w:type="pct"/>
            <w:tcBorders>
              <w:top w:val="single" w:sz="4" w:space="0" w:color="000000"/>
              <w:left w:val="single" w:sz="4" w:space="0" w:color="000000"/>
              <w:bottom w:val="single" w:sz="4" w:space="0" w:color="000000"/>
              <w:right w:val="single" w:sz="4" w:space="0" w:color="000000"/>
            </w:tcBorders>
            <w:hideMark/>
          </w:tcPr>
          <w:p w14:paraId="058E0B86" w14:textId="77777777" w:rsidR="006A35FB" w:rsidRPr="00E04F74" w:rsidRDefault="006A35FB" w:rsidP="00946B2E">
            <w:pPr>
              <w:pStyle w:val="Header"/>
              <w:jc w:val="both"/>
              <w:rPr>
                <w:sz w:val="22"/>
                <w:szCs w:val="22"/>
                <w:lang w:val="sr-Latn-RS"/>
              </w:rPr>
            </w:pPr>
            <w:r w:rsidRPr="00E04F74">
              <w:rPr>
                <w:sz w:val="22"/>
                <w:szCs w:val="22"/>
                <w:lang w:val="sr-Latn-RS"/>
              </w:rPr>
              <w:t>2-5</w:t>
            </w:r>
          </w:p>
        </w:tc>
        <w:tc>
          <w:tcPr>
            <w:tcW w:w="834" w:type="pct"/>
            <w:tcBorders>
              <w:top w:val="single" w:sz="4" w:space="0" w:color="000000"/>
              <w:left w:val="single" w:sz="4" w:space="0" w:color="000000"/>
              <w:bottom w:val="single" w:sz="4" w:space="0" w:color="000000"/>
              <w:right w:val="single" w:sz="4" w:space="0" w:color="000000"/>
            </w:tcBorders>
            <w:hideMark/>
          </w:tcPr>
          <w:p w14:paraId="058E0B87" w14:textId="77777777" w:rsidR="006A35FB" w:rsidRPr="00E04F74" w:rsidRDefault="006A35FB" w:rsidP="00946B2E">
            <w:pPr>
              <w:pStyle w:val="Header"/>
              <w:jc w:val="both"/>
              <w:rPr>
                <w:sz w:val="22"/>
                <w:szCs w:val="22"/>
                <w:lang w:val="sr-Latn-RS"/>
              </w:rPr>
            </w:pPr>
            <w:r w:rsidRPr="00E04F74">
              <w:rPr>
                <w:sz w:val="22"/>
                <w:szCs w:val="22"/>
                <w:lang w:val="sr-Latn-RS"/>
              </w:rPr>
              <w:t>6+</w:t>
            </w:r>
          </w:p>
        </w:tc>
        <w:tc>
          <w:tcPr>
            <w:tcW w:w="834" w:type="pct"/>
            <w:tcBorders>
              <w:top w:val="single" w:sz="4" w:space="0" w:color="000000"/>
              <w:left w:val="single" w:sz="4" w:space="0" w:color="000000"/>
              <w:bottom w:val="single" w:sz="4" w:space="0" w:color="000000"/>
              <w:right w:val="single" w:sz="4" w:space="0" w:color="000000"/>
            </w:tcBorders>
            <w:hideMark/>
          </w:tcPr>
          <w:p w14:paraId="058E0B88" w14:textId="77777777" w:rsidR="006A35FB" w:rsidRPr="00E04F74" w:rsidRDefault="006A35FB" w:rsidP="00946B2E">
            <w:pPr>
              <w:pStyle w:val="Header"/>
              <w:jc w:val="both"/>
              <w:rPr>
                <w:sz w:val="22"/>
                <w:szCs w:val="22"/>
                <w:lang w:val="sr-Latn-RS"/>
              </w:rPr>
            </w:pPr>
            <w:r w:rsidRPr="00E04F74">
              <w:rPr>
                <w:sz w:val="22"/>
                <w:szCs w:val="22"/>
                <w:lang w:val="sr-Latn-RS"/>
              </w:rPr>
              <w:t>Svi</w:t>
            </w:r>
          </w:p>
        </w:tc>
      </w:tr>
      <w:tr w:rsidR="006A35FB" w:rsidRPr="00E04F74" w14:paraId="058E0B90" w14:textId="77777777" w:rsidTr="00095F06">
        <w:tc>
          <w:tcPr>
            <w:tcW w:w="833" w:type="pct"/>
            <w:tcBorders>
              <w:top w:val="single" w:sz="4" w:space="0" w:color="000000"/>
              <w:left w:val="single" w:sz="4" w:space="0" w:color="000000"/>
              <w:bottom w:val="single" w:sz="4" w:space="0" w:color="000000"/>
              <w:right w:val="single" w:sz="4" w:space="0" w:color="000000"/>
            </w:tcBorders>
            <w:hideMark/>
          </w:tcPr>
          <w:p w14:paraId="058E0B8A" w14:textId="77777777" w:rsidR="006A35FB" w:rsidRPr="00E04F74" w:rsidRDefault="006A35FB" w:rsidP="00946B2E">
            <w:pPr>
              <w:pStyle w:val="Header"/>
              <w:jc w:val="both"/>
              <w:rPr>
                <w:b/>
                <w:sz w:val="22"/>
                <w:szCs w:val="22"/>
                <w:lang w:val="sr-Latn-RS"/>
              </w:rPr>
            </w:pPr>
            <w:r w:rsidRPr="00E04F74">
              <w:rPr>
                <w:b/>
                <w:sz w:val="22"/>
                <w:szCs w:val="22"/>
                <w:lang w:val="sr-Latn-RS"/>
              </w:rPr>
              <w:t>≤2</w:t>
            </w:r>
          </w:p>
        </w:tc>
        <w:tc>
          <w:tcPr>
            <w:tcW w:w="833" w:type="pct"/>
            <w:tcBorders>
              <w:top w:val="single" w:sz="4" w:space="0" w:color="000000"/>
              <w:left w:val="single" w:sz="4" w:space="0" w:color="000000"/>
              <w:bottom w:val="single" w:sz="4" w:space="0" w:color="000000"/>
              <w:right w:val="single" w:sz="4" w:space="0" w:color="000000"/>
            </w:tcBorders>
            <w:hideMark/>
          </w:tcPr>
          <w:p w14:paraId="058E0B8B" w14:textId="77777777" w:rsidR="006A35FB" w:rsidRPr="00E04F74" w:rsidRDefault="006A35FB" w:rsidP="00946B2E">
            <w:pPr>
              <w:pStyle w:val="Header"/>
              <w:jc w:val="both"/>
              <w:rPr>
                <w:sz w:val="22"/>
                <w:szCs w:val="22"/>
                <w:lang w:val="sr-Latn-RS"/>
              </w:rPr>
            </w:pPr>
            <w:r w:rsidRPr="00E04F74">
              <w:rPr>
                <w:sz w:val="22"/>
                <w:szCs w:val="22"/>
                <w:lang w:val="sr-Latn-RS"/>
              </w:rPr>
              <w:t>2/6 (33%)</w:t>
            </w:r>
          </w:p>
        </w:tc>
        <w:tc>
          <w:tcPr>
            <w:tcW w:w="833" w:type="pct"/>
            <w:tcBorders>
              <w:top w:val="single" w:sz="4" w:space="0" w:color="000000"/>
              <w:left w:val="single" w:sz="4" w:space="0" w:color="000000"/>
              <w:bottom w:val="single" w:sz="4" w:space="0" w:color="000000"/>
              <w:right w:val="single" w:sz="4" w:space="0" w:color="000000"/>
            </w:tcBorders>
            <w:hideMark/>
          </w:tcPr>
          <w:p w14:paraId="058E0B8C" w14:textId="77777777" w:rsidR="006A35FB" w:rsidRPr="00E04F74" w:rsidRDefault="006A35FB" w:rsidP="00946B2E">
            <w:pPr>
              <w:pStyle w:val="Header"/>
              <w:jc w:val="both"/>
              <w:rPr>
                <w:sz w:val="22"/>
                <w:szCs w:val="22"/>
                <w:lang w:val="sr-Latn-RS"/>
              </w:rPr>
            </w:pPr>
            <w:r w:rsidRPr="00E04F74">
              <w:rPr>
                <w:sz w:val="22"/>
                <w:szCs w:val="22"/>
                <w:lang w:val="sr-Latn-RS"/>
              </w:rPr>
              <w:t>2/6 (33%)</w:t>
            </w:r>
          </w:p>
        </w:tc>
        <w:tc>
          <w:tcPr>
            <w:tcW w:w="834" w:type="pct"/>
            <w:tcBorders>
              <w:top w:val="single" w:sz="4" w:space="0" w:color="000000"/>
              <w:left w:val="single" w:sz="4" w:space="0" w:color="000000"/>
              <w:bottom w:val="single" w:sz="4" w:space="0" w:color="000000"/>
              <w:right w:val="single" w:sz="4" w:space="0" w:color="000000"/>
            </w:tcBorders>
            <w:hideMark/>
          </w:tcPr>
          <w:p w14:paraId="058E0B8D" w14:textId="77777777" w:rsidR="006A35FB" w:rsidRPr="00E04F74" w:rsidRDefault="006A35FB" w:rsidP="00946B2E">
            <w:pPr>
              <w:pStyle w:val="Header"/>
              <w:jc w:val="both"/>
              <w:rPr>
                <w:sz w:val="22"/>
                <w:szCs w:val="22"/>
                <w:lang w:val="sr-Latn-RS"/>
              </w:rPr>
            </w:pPr>
            <w:r w:rsidRPr="00E04F74">
              <w:rPr>
                <w:sz w:val="22"/>
                <w:szCs w:val="22"/>
                <w:lang w:val="sr-Latn-RS"/>
              </w:rPr>
              <w:t>0</w:t>
            </w:r>
          </w:p>
        </w:tc>
        <w:tc>
          <w:tcPr>
            <w:tcW w:w="834" w:type="pct"/>
            <w:tcBorders>
              <w:top w:val="single" w:sz="4" w:space="0" w:color="000000"/>
              <w:left w:val="single" w:sz="4" w:space="0" w:color="000000"/>
              <w:bottom w:val="single" w:sz="4" w:space="0" w:color="000000"/>
              <w:right w:val="single" w:sz="4" w:space="0" w:color="000000"/>
            </w:tcBorders>
            <w:hideMark/>
          </w:tcPr>
          <w:p w14:paraId="058E0B8E" w14:textId="77777777" w:rsidR="006A35FB" w:rsidRPr="00E04F74" w:rsidRDefault="006A35FB" w:rsidP="00946B2E">
            <w:pPr>
              <w:pStyle w:val="Header"/>
              <w:jc w:val="both"/>
              <w:rPr>
                <w:sz w:val="22"/>
                <w:szCs w:val="22"/>
                <w:lang w:val="sr-Latn-RS"/>
              </w:rPr>
            </w:pPr>
            <w:r w:rsidRPr="00E04F74">
              <w:rPr>
                <w:sz w:val="22"/>
                <w:szCs w:val="22"/>
                <w:lang w:val="sr-Latn-RS"/>
              </w:rPr>
              <w:t>0</w:t>
            </w:r>
          </w:p>
        </w:tc>
        <w:tc>
          <w:tcPr>
            <w:tcW w:w="834" w:type="pct"/>
            <w:tcBorders>
              <w:top w:val="single" w:sz="4" w:space="0" w:color="000000"/>
              <w:left w:val="single" w:sz="4" w:space="0" w:color="000000"/>
              <w:bottom w:val="single" w:sz="4" w:space="0" w:color="000000"/>
              <w:right w:val="single" w:sz="4" w:space="0" w:color="000000"/>
            </w:tcBorders>
            <w:hideMark/>
          </w:tcPr>
          <w:p w14:paraId="058E0B8F" w14:textId="77777777" w:rsidR="006A35FB" w:rsidRPr="00E04F74" w:rsidRDefault="006A35FB" w:rsidP="00946B2E">
            <w:pPr>
              <w:pStyle w:val="Header"/>
              <w:jc w:val="both"/>
              <w:rPr>
                <w:sz w:val="22"/>
                <w:szCs w:val="22"/>
                <w:lang w:val="sr-Latn-RS"/>
              </w:rPr>
            </w:pPr>
            <w:r w:rsidRPr="00E04F74">
              <w:rPr>
                <w:sz w:val="22"/>
                <w:szCs w:val="22"/>
                <w:lang w:val="sr-Latn-RS"/>
              </w:rPr>
              <w:t>3/6 (50%)</w:t>
            </w:r>
          </w:p>
        </w:tc>
      </w:tr>
      <w:tr w:rsidR="006A35FB" w:rsidRPr="00E04F74" w14:paraId="058E0B97" w14:textId="77777777" w:rsidTr="00095F06">
        <w:tc>
          <w:tcPr>
            <w:tcW w:w="833" w:type="pct"/>
            <w:tcBorders>
              <w:top w:val="single" w:sz="4" w:space="0" w:color="000000"/>
              <w:left w:val="single" w:sz="4" w:space="0" w:color="000000"/>
              <w:bottom w:val="single" w:sz="4" w:space="0" w:color="000000"/>
              <w:right w:val="single" w:sz="4" w:space="0" w:color="000000"/>
            </w:tcBorders>
            <w:hideMark/>
          </w:tcPr>
          <w:p w14:paraId="058E0B91" w14:textId="77777777" w:rsidR="006A35FB" w:rsidRPr="00E04F74" w:rsidRDefault="006A35FB" w:rsidP="00946B2E">
            <w:pPr>
              <w:pStyle w:val="Header"/>
              <w:jc w:val="both"/>
              <w:rPr>
                <w:b/>
                <w:sz w:val="22"/>
                <w:szCs w:val="22"/>
                <w:lang w:val="sr-Latn-RS"/>
              </w:rPr>
            </w:pPr>
            <w:r w:rsidRPr="00E04F74">
              <w:rPr>
                <w:b/>
                <w:sz w:val="22"/>
                <w:szCs w:val="22"/>
                <w:lang w:val="sr-Latn-RS"/>
              </w:rPr>
              <w:t>&gt;2</w:t>
            </w:r>
          </w:p>
        </w:tc>
        <w:tc>
          <w:tcPr>
            <w:tcW w:w="833" w:type="pct"/>
            <w:tcBorders>
              <w:top w:val="single" w:sz="4" w:space="0" w:color="000000"/>
              <w:left w:val="single" w:sz="4" w:space="0" w:color="000000"/>
              <w:bottom w:val="single" w:sz="4" w:space="0" w:color="000000"/>
              <w:right w:val="single" w:sz="4" w:space="0" w:color="000000"/>
            </w:tcBorders>
            <w:hideMark/>
          </w:tcPr>
          <w:p w14:paraId="058E0B92" w14:textId="77777777" w:rsidR="006A35FB" w:rsidRPr="00E04F74" w:rsidRDefault="006A35FB" w:rsidP="00946B2E">
            <w:pPr>
              <w:pStyle w:val="Header"/>
              <w:jc w:val="both"/>
              <w:rPr>
                <w:sz w:val="22"/>
                <w:szCs w:val="22"/>
                <w:lang w:val="sr-Latn-RS"/>
              </w:rPr>
            </w:pPr>
            <w:r w:rsidRPr="00E04F74">
              <w:rPr>
                <w:sz w:val="22"/>
                <w:szCs w:val="22"/>
                <w:lang w:val="sr-Latn-RS"/>
              </w:rPr>
              <w:t>58/119 (49%)</w:t>
            </w:r>
          </w:p>
        </w:tc>
        <w:tc>
          <w:tcPr>
            <w:tcW w:w="833" w:type="pct"/>
            <w:tcBorders>
              <w:top w:val="single" w:sz="4" w:space="0" w:color="000000"/>
              <w:left w:val="single" w:sz="4" w:space="0" w:color="000000"/>
              <w:bottom w:val="single" w:sz="4" w:space="0" w:color="000000"/>
              <w:right w:val="single" w:sz="4" w:space="0" w:color="000000"/>
            </w:tcBorders>
            <w:hideMark/>
          </w:tcPr>
          <w:p w14:paraId="058E0B93" w14:textId="77777777" w:rsidR="006A35FB" w:rsidRPr="00E04F74" w:rsidRDefault="006A35FB" w:rsidP="00946B2E">
            <w:pPr>
              <w:pStyle w:val="Header"/>
              <w:jc w:val="both"/>
              <w:rPr>
                <w:sz w:val="22"/>
                <w:szCs w:val="22"/>
                <w:lang w:val="sr-Latn-RS"/>
              </w:rPr>
            </w:pPr>
            <w:r w:rsidRPr="00E04F74">
              <w:rPr>
                <w:sz w:val="22"/>
                <w:szCs w:val="22"/>
                <w:lang w:val="sr-Latn-RS"/>
              </w:rPr>
              <w:t>57/119 (48%)</w:t>
            </w:r>
          </w:p>
        </w:tc>
        <w:tc>
          <w:tcPr>
            <w:tcW w:w="834" w:type="pct"/>
            <w:tcBorders>
              <w:top w:val="single" w:sz="4" w:space="0" w:color="000000"/>
              <w:left w:val="single" w:sz="4" w:space="0" w:color="000000"/>
              <w:bottom w:val="single" w:sz="4" w:space="0" w:color="000000"/>
              <w:right w:val="single" w:sz="4" w:space="0" w:color="000000"/>
            </w:tcBorders>
            <w:hideMark/>
          </w:tcPr>
          <w:p w14:paraId="058E0B94" w14:textId="77777777" w:rsidR="006A35FB" w:rsidRPr="00E04F74" w:rsidRDefault="006A35FB" w:rsidP="00946B2E">
            <w:pPr>
              <w:pStyle w:val="Header"/>
              <w:jc w:val="both"/>
              <w:rPr>
                <w:sz w:val="22"/>
                <w:szCs w:val="22"/>
                <w:lang w:val="sr-Latn-RS"/>
              </w:rPr>
            </w:pPr>
            <w:r w:rsidRPr="00E04F74">
              <w:rPr>
                <w:sz w:val="22"/>
                <w:szCs w:val="22"/>
                <w:lang w:val="sr-Latn-RS"/>
              </w:rPr>
              <w:t>1/119 (&lt;1%)</w:t>
            </w:r>
          </w:p>
        </w:tc>
        <w:tc>
          <w:tcPr>
            <w:tcW w:w="834" w:type="pct"/>
            <w:tcBorders>
              <w:top w:val="single" w:sz="4" w:space="0" w:color="000000"/>
              <w:left w:val="single" w:sz="4" w:space="0" w:color="000000"/>
              <w:bottom w:val="single" w:sz="4" w:space="0" w:color="000000"/>
              <w:right w:val="single" w:sz="4" w:space="0" w:color="000000"/>
            </w:tcBorders>
            <w:hideMark/>
          </w:tcPr>
          <w:p w14:paraId="058E0B95" w14:textId="77777777" w:rsidR="006A35FB" w:rsidRPr="00E04F74" w:rsidRDefault="006A35FB" w:rsidP="00946B2E">
            <w:pPr>
              <w:pStyle w:val="Header"/>
              <w:jc w:val="both"/>
              <w:rPr>
                <w:sz w:val="22"/>
                <w:szCs w:val="22"/>
                <w:lang w:val="sr-Latn-RS"/>
              </w:rPr>
            </w:pPr>
            <w:r w:rsidRPr="00E04F74">
              <w:rPr>
                <w:sz w:val="22"/>
                <w:szCs w:val="22"/>
                <w:lang w:val="sr-Latn-RS"/>
              </w:rPr>
              <w:t>0</w:t>
            </w:r>
          </w:p>
        </w:tc>
        <w:tc>
          <w:tcPr>
            <w:tcW w:w="834" w:type="pct"/>
            <w:tcBorders>
              <w:top w:val="single" w:sz="4" w:space="0" w:color="000000"/>
              <w:left w:val="single" w:sz="4" w:space="0" w:color="000000"/>
              <w:bottom w:val="single" w:sz="4" w:space="0" w:color="000000"/>
              <w:right w:val="single" w:sz="4" w:space="0" w:color="000000"/>
            </w:tcBorders>
            <w:hideMark/>
          </w:tcPr>
          <w:p w14:paraId="058E0B96" w14:textId="77777777" w:rsidR="006A35FB" w:rsidRPr="00E04F74" w:rsidRDefault="006A35FB" w:rsidP="00946B2E">
            <w:pPr>
              <w:pStyle w:val="Header"/>
              <w:jc w:val="both"/>
              <w:rPr>
                <w:sz w:val="22"/>
                <w:szCs w:val="22"/>
                <w:lang w:val="sr-Latn-RS"/>
              </w:rPr>
            </w:pPr>
            <w:r w:rsidRPr="00E04F74">
              <w:rPr>
                <w:sz w:val="22"/>
                <w:szCs w:val="22"/>
                <w:lang w:val="sr-Latn-RS"/>
              </w:rPr>
              <w:t>57/114 (50%)</w:t>
            </w:r>
          </w:p>
        </w:tc>
      </w:tr>
      <w:tr w:rsidR="006A35FB" w:rsidRPr="00E04F74" w14:paraId="058E0B9E" w14:textId="77777777" w:rsidTr="00095F06">
        <w:tc>
          <w:tcPr>
            <w:tcW w:w="833" w:type="pct"/>
            <w:tcBorders>
              <w:top w:val="single" w:sz="4" w:space="0" w:color="000000"/>
              <w:left w:val="single" w:sz="4" w:space="0" w:color="000000"/>
              <w:bottom w:val="single" w:sz="4" w:space="0" w:color="000000"/>
              <w:right w:val="single" w:sz="4" w:space="0" w:color="000000"/>
            </w:tcBorders>
            <w:hideMark/>
          </w:tcPr>
          <w:p w14:paraId="058E0B98" w14:textId="77777777" w:rsidR="006A35FB" w:rsidRPr="00E04F74" w:rsidRDefault="006A35FB" w:rsidP="00946B2E">
            <w:pPr>
              <w:pStyle w:val="Header"/>
              <w:jc w:val="both"/>
              <w:rPr>
                <w:b/>
                <w:sz w:val="22"/>
                <w:szCs w:val="22"/>
                <w:lang w:val="sr-Latn-RS"/>
              </w:rPr>
            </w:pPr>
            <w:r w:rsidRPr="00E04F74">
              <w:rPr>
                <w:b/>
                <w:sz w:val="22"/>
                <w:szCs w:val="22"/>
                <w:lang w:val="sr-Latn-RS"/>
              </w:rPr>
              <w:t>Svi</w:t>
            </w:r>
          </w:p>
        </w:tc>
        <w:tc>
          <w:tcPr>
            <w:tcW w:w="833" w:type="pct"/>
            <w:tcBorders>
              <w:top w:val="single" w:sz="4" w:space="0" w:color="000000"/>
              <w:left w:val="single" w:sz="4" w:space="0" w:color="000000"/>
              <w:bottom w:val="single" w:sz="4" w:space="0" w:color="000000"/>
              <w:right w:val="single" w:sz="4" w:space="0" w:color="000000"/>
            </w:tcBorders>
            <w:hideMark/>
          </w:tcPr>
          <w:p w14:paraId="058E0B99" w14:textId="77777777" w:rsidR="006A35FB" w:rsidRPr="00E04F74" w:rsidRDefault="006A35FB" w:rsidP="00946B2E">
            <w:pPr>
              <w:pStyle w:val="Header"/>
              <w:jc w:val="both"/>
              <w:rPr>
                <w:sz w:val="22"/>
                <w:szCs w:val="22"/>
                <w:lang w:val="sr-Latn-RS"/>
              </w:rPr>
            </w:pPr>
            <w:r w:rsidRPr="00E04F74">
              <w:rPr>
                <w:sz w:val="22"/>
                <w:szCs w:val="22"/>
                <w:lang w:val="sr-Latn-RS"/>
              </w:rPr>
              <w:t>60/125 (48%)</w:t>
            </w:r>
          </w:p>
        </w:tc>
        <w:tc>
          <w:tcPr>
            <w:tcW w:w="833" w:type="pct"/>
            <w:tcBorders>
              <w:top w:val="single" w:sz="4" w:space="0" w:color="000000"/>
              <w:left w:val="single" w:sz="4" w:space="0" w:color="000000"/>
              <w:bottom w:val="single" w:sz="4" w:space="0" w:color="000000"/>
              <w:right w:val="single" w:sz="4" w:space="0" w:color="000000"/>
            </w:tcBorders>
            <w:hideMark/>
          </w:tcPr>
          <w:p w14:paraId="058E0B9A" w14:textId="77777777" w:rsidR="006A35FB" w:rsidRPr="00E04F74" w:rsidRDefault="006A35FB" w:rsidP="00946B2E">
            <w:pPr>
              <w:pStyle w:val="Header"/>
              <w:jc w:val="both"/>
              <w:rPr>
                <w:sz w:val="22"/>
                <w:szCs w:val="22"/>
                <w:lang w:val="sr-Latn-RS"/>
              </w:rPr>
            </w:pPr>
            <w:r w:rsidRPr="00E04F74">
              <w:rPr>
                <w:sz w:val="22"/>
                <w:szCs w:val="22"/>
                <w:lang w:val="sr-Latn-RS"/>
              </w:rPr>
              <w:t>59/125 (47%)</w:t>
            </w:r>
          </w:p>
        </w:tc>
        <w:tc>
          <w:tcPr>
            <w:tcW w:w="834" w:type="pct"/>
            <w:tcBorders>
              <w:top w:val="single" w:sz="4" w:space="0" w:color="000000"/>
              <w:left w:val="single" w:sz="4" w:space="0" w:color="000000"/>
              <w:bottom w:val="single" w:sz="4" w:space="0" w:color="000000"/>
              <w:right w:val="single" w:sz="4" w:space="0" w:color="000000"/>
            </w:tcBorders>
            <w:hideMark/>
          </w:tcPr>
          <w:p w14:paraId="058E0B9B" w14:textId="77777777" w:rsidR="006A35FB" w:rsidRPr="00E04F74" w:rsidRDefault="006A35FB" w:rsidP="00946B2E">
            <w:pPr>
              <w:pStyle w:val="Header"/>
              <w:jc w:val="both"/>
              <w:rPr>
                <w:sz w:val="22"/>
                <w:szCs w:val="22"/>
                <w:lang w:val="sr-Latn-RS"/>
              </w:rPr>
            </w:pPr>
            <w:r w:rsidRPr="00E04F74">
              <w:rPr>
                <w:sz w:val="22"/>
                <w:szCs w:val="22"/>
                <w:lang w:val="sr-Latn-RS"/>
              </w:rPr>
              <w:t>1/125 (&lt;1%)</w:t>
            </w:r>
          </w:p>
        </w:tc>
        <w:tc>
          <w:tcPr>
            <w:tcW w:w="834" w:type="pct"/>
            <w:tcBorders>
              <w:top w:val="single" w:sz="4" w:space="0" w:color="000000"/>
              <w:left w:val="single" w:sz="4" w:space="0" w:color="000000"/>
              <w:bottom w:val="single" w:sz="4" w:space="0" w:color="000000"/>
              <w:right w:val="single" w:sz="4" w:space="0" w:color="000000"/>
            </w:tcBorders>
            <w:hideMark/>
          </w:tcPr>
          <w:p w14:paraId="058E0B9C" w14:textId="77777777" w:rsidR="006A35FB" w:rsidRPr="00E04F74" w:rsidRDefault="006A35FB" w:rsidP="00946B2E">
            <w:pPr>
              <w:pStyle w:val="Header"/>
              <w:jc w:val="both"/>
              <w:rPr>
                <w:sz w:val="22"/>
                <w:szCs w:val="22"/>
                <w:lang w:val="sr-Latn-RS"/>
              </w:rPr>
            </w:pPr>
            <w:r w:rsidRPr="00E04F74">
              <w:rPr>
                <w:sz w:val="22"/>
                <w:szCs w:val="22"/>
                <w:lang w:val="sr-Latn-RS"/>
              </w:rPr>
              <w:t>0</w:t>
            </w:r>
          </w:p>
        </w:tc>
        <w:tc>
          <w:tcPr>
            <w:tcW w:w="834" w:type="pct"/>
            <w:tcBorders>
              <w:top w:val="single" w:sz="4" w:space="0" w:color="000000"/>
              <w:left w:val="single" w:sz="4" w:space="0" w:color="000000"/>
              <w:bottom w:val="single" w:sz="4" w:space="0" w:color="000000"/>
              <w:right w:val="single" w:sz="4" w:space="0" w:color="000000"/>
            </w:tcBorders>
            <w:hideMark/>
          </w:tcPr>
          <w:p w14:paraId="058E0B9D" w14:textId="77777777" w:rsidR="006A35FB" w:rsidRPr="00E04F74" w:rsidRDefault="006A35FB" w:rsidP="00946B2E">
            <w:pPr>
              <w:pStyle w:val="Header"/>
              <w:jc w:val="both"/>
              <w:rPr>
                <w:sz w:val="22"/>
                <w:szCs w:val="22"/>
                <w:lang w:val="sr-Latn-RS"/>
              </w:rPr>
            </w:pPr>
            <w:r w:rsidRPr="00E04F74">
              <w:rPr>
                <w:sz w:val="22"/>
                <w:szCs w:val="22"/>
                <w:lang w:val="sr-Latn-RS"/>
              </w:rPr>
              <w:t>60/120 (50%)</w:t>
            </w:r>
          </w:p>
        </w:tc>
      </w:tr>
    </w:tbl>
    <w:p w14:paraId="058E0B9F" w14:textId="77777777" w:rsidR="006A35FB" w:rsidRPr="00E04F74" w:rsidRDefault="006A35FB" w:rsidP="00946B2E">
      <w:pPr>
        <w:pStyle w:val="Header"/>
        <w:jc w:val="both"/>
        <w:rPr>
          <w:bCs/>
          <w:sz w:val="22"/>
          <w:szCs w:val="22"/>
          <w:lang w:val="sr-Latn-RS"/>
        </w:rPr>
      </w:pPr>
      <w:r w:rsidRPr="00E04F74">
        <w:rPr>
          <w:b/>
          <w:sz w:val="22"/>
          <w:szCs w:val="22"/>
          <w:vertAlign w:val="superscript"/>
          <w:lang w:val="sr-Latn-RS"/>
        </w:rPr>
        <w:t>1</w:t>
      </w:r>
      <w:r w:rsidRPr="00E04F74">
        <w:rPr>
          <w:b/>
          <w:sz w:val="22"/>
          <w:szCs w:val="22"/>
          <w:lang w:val="sr-Latn-RS"/>
        </w:rPr>
        <w:t xml:space="preserve"> </w:t>
      </w:r>
      <w:r w:rsidRPr="00E04F74">
        <w:rPr>
          <w:sz w:val="22"/>
          <w:szCs w:val="22"/>
          <w:lang w:val="sr-Latn-RS"/>
        </w:rPr>
        <w:t xml:space="preserve">Velike mutacije, definisane IAS-USA na abakavir ili lamivudin i mutacije </w:t>
      </w:r>
    </w:p>
    <w:p w14:paraId="058E0BA0" w14:textId="77777777" w:rsidR="006A35FB" w:rsidRPr="00E04F74" w:rsidRDefault="006A35FB" w:rsidP="00946B2E">
      <w:pPr>
        <w:pStyle w:val="Header"/>
        <w:tabs>
          <w:tab w:val="left" w:pos="284"/>
        </w:tabs>
        <w:jc w:val="both"/>
        <w:rPr>
          <w:sz w:val="22"/>
          <w:szCs w:val="22"/>
          <w:lang w:val="sr-Latn-RS"/>
        </w:rPr>
      </w:pPr>
    </w:p>
    <w:p w14:paraId="058E0BA1" w14:textId="77777777" w:rsidR="006A35FB" w:rsidRPr="00E04F74" w:rsidRDefault="006A35FB" w:rsidP="00946B2E">
      <w:pPr>
        <w:pStyle w:val="Header"/>
        <w:jc w:val="both"/>
        <w:rPr>
          <w:i/>
          <w:sz w:val="22"/>
          <w:szCs w:val="22"/>
          <w:lang w:val="sr-Latn-RS"/>
        </w:rPr>
      </w:pPr>
      <w:r w:rsidRPr="00E04F74">
        <w:rPr>
          <w:i/>
          <w:sz w:val="22"/>
          <w:szCs w:val="22"/>
          <w:lang w:val="sr-Latn-RS"/>
        </w:rPr>
        <w:t>Pedijatrijska populacija</w:t>
      </w:r>
    </w:p>
    <w:p w14:paraId="058E0BA2" w14:textId="77777777" w:rsidR="006A35FB" w:rsidRPr="00E04F74" w:rsidRDefault="006A35FB" w:rsidP="00946B2E">
      <w:pPr>
        <w:pStyle w:val="Header"/>
        <w:jc w:val="both"/>
        <w:rPr>
          <w:sz w:val="22"/>
          <w:szCs w:val="22"/>
          <w:lang w:val="sr-Latn-RS"/>
        </w:rPr>
      </w:pPr>
    </w:p>
    <w:p w14:paraId="058E0BA3" w14:textId="77777777" w:rsidR="006A35FB" w:rsidRPr="00E04F74" w:rsidRDefault="006A35FB" w:rsidP="00946B2E">
      <w:pPr>
        <w:pStyle w:val="Header"/>
        <w:jc w:val="both"/>
        <w:rPr>
          <w:sz w:val="22"/>
          <w:szCs w:val="22"/>
          <w:lang w:val="sr-Latn-RS"/>
        </w:rPr>
      </w:pPr>
      <w:r w:rsidRPr="00E04F74">
        <w:rPr>
          <w:sz w:val="22"/>
          <w:szCs w:val="22"/>
          <w:lang w:val="sr-Latn-RS"/>
        </w:rPr>
        <w:t>Poređenje režima primjene abakavira i lamivudina jednom dnevno u odnosu na primjenu dva puta dnevno sprovedeno je u sklopu randomizovanog, multicentričnog, kontrolisanog ispitivanja pedijatrijskih pacijenata inficiranih HIV-om. U kliničko ispitivanje ARROW (COL105677) bilo je uključeno 1206 pedijatrijskih pacijenata uzrasta od 3 mjeseca do 17 godina, kojima su se ljekovi dozirali u skladu sa preporukama za doziranje prema tjelesnoj masi, objavljenim u smjernicama za liječenje Svjetske zdravstvene organizacije (Antiretrovirusna terapija HIV infekcije kod odojčadi i djece, 2006.). Nakon 36 nedjelja liječenja režimom koji je uključivao primjenu abakavira i lamivudina dva puta dnevno, 669 ispitanika podobnih za dalje ispitivanje, bilo je randomizovano ili za nastavak liječenja uz doziranje dva puta dnevno ili za prelazak na liječenje abakavirom i lamivudinom jednom dnevno tokom najmanje 96 nedjelja. Unutar te populacije 104 pacijenta, tjelesne mase od najmanje 25 kg, primilo je 600 mg abakavira i 300 mg lamivudina jednom dnevno kao lijek KIVEXA, sa medijanom trajanja izloženosti lijeku od 596 dana.</w:t>
      </w:r>
    </w:p>
    <w:p w14:paraId="058E0BA4" w14:textId="77777777" w:rsidR="006A35FB" w:rsidRPr="00E04F74" w:rsidRDefault="006A35FB" w:rsidP="00946B2E">
      <w:pPr>
        <w:pStyle w:val="Header"/>
        <w:jc w:val="both"/>
        <w:rPr>
          <w:sz w:val="22"/>
          <w:szCs w:val="22"/>
          <w:lang w:val="sr-Latn-RS"/>
        </w:rPr>
      </w:pPr>
      <w:r w:rsidRPr="00E04F74">
        <w:rPr>
          <w:sz w:val="22"/>
          <w:szCs w:val="22"/>
          <w:lang w:val="sr-Latn-RS"/>
        </w:rPr>
        <w:t xml:space="preserve"> </w:t>
      </w:r>
    </w:p>
    <w:p w14:paraId="058E0BA5" w14:textId="1DE24695" w:rsidR="006A35FB" w:rsidRPr="00E04F74" w:rsidRDefault="006A35FB" w:rsidP="00946B2E">
      <w:pPr>
        <w:pStyle w:val="Header"/>
        <w:jc w:val="both"/>
        <w:rPr>
          <w:sz w:val="22"/>
          <w:szCs w:val="22"/>
          <w:lang w:val="sr-Latn-RS"/>
        </w:rPr>
      </w:pPr>
      <w:r w:rsidRPr="00E04F74">
        <w:rPr>
          <w:sz w:val="22"/>
          <w:szCs w:val="22"/>
          <w:lang w:val="sr-Latn-RS"/>
        </w:rPr>
        <w:t xml:space="preserve">Od 669 ispitanika randomizovanih u tom ispitivanju (uzrasta od 12 mjeseci do ≤ 17 godina), grupa koja je primala abakavir/lamivudin jednom dnevno bila je neinferiorna u odnosu na grupu koja je primala ove ljekove dva puta dnevno, prema unaprijed određenoj granici neinferiornosti od -12% kao primarni </w:t>
      </w:r>
      <w:r w:rsidR="00007173" w:rsidRPr="00E04F74">
        <w:rPr>
          <w:sz w:val="22"/>
          <w:szCs w:val="22"/>
          <w:lang w:val="sr-Latn-RS"/>
        </w:rPr>
        <w:t>parametar praćenja</w:t>
      </w:r>
      <w:r w:rsidRPr="00E04F74">
        <w:rPr>
          <w:sz w:val="22"/>
          <w:szCs w:val="22"/>
          <w:lang w:val="sr-Latn-RS"/>
        </w:rPr>
        <w:t xml:space="preserve"> od &lt;80 kopija/m</w:t>
      </w:r>
      <w:r w:rsidR="007D1417" w:rsidRPr="00E04F74">
        <w:rPr>
          <w:sz w:val="22"/>
          <w:szCs w:val="22"/>
          <w:lang w:val="sr-Latn-RS"/>
        </w:rPr>
        <w:t>l</w:t>
      </w:r>
      <w:r w:rsidRPr="00E04F74">
        <w:rPr>
          <w:sz w:val="22"/>
          <w:szCs w:val="22"/>
          <w:lang w:val="sr-Latn-RS"/>
        </w:rPr>
        <w:t xml:space="preserve"> u 48. nedjelji, kao i u 96. nedjelji (sekundarni </w:t>
      </w:r>
      <w:r w:rsidR="00007173" w:rsidRPr="00E04F74">
        <w:rPr>
          <w:sz w:val="22"/>
          <w:szCs w:val="22"/>
          <w:lang w:val="sr-Latn-RS"/>
        </w:rPr>
        <w:t>parmetar praćenja</w:t>
      </w:r>
      <w:r w:rsidRPr="00E04F74">
        <w:rPr>
          <w:sz w:val="22"/>
          <w:szCs w:val="22"/>
          <w:lang w:val="sr-Latn-RS"/>
        </w:rPr>
        <w:t>), i za sve ostale ispitivane granične vrijednosti (&lt;200 kopija/m</w:t>
      </w:r>
      <w:r w:rsidR="007D1417" w:rsidRPr="00E04F74">
        <w:rPr>
          <w:sz w:val="22"/>
          <w:szCs w:val="22"/>
          <w:lang w:val="sr-Latn-RS"/>
        </w:rPr>
        <w:t>l</w:t>
      </w:r>
      <w:r w:rsidRPr="00E04F74">
        <w:rPr>
          <w:sz w:val="22"/>
          <w:szCs w:val="22"/>
          <w:lang w:val="sr-Latn-RS"/>
        </w:rPr>
        <w:t>, &lt;400 kopija/m</w:t>
      </w:r>
      <w:r w:rsidR="007D1417" w:rsidRPr="00E04F74">
        <w:rPr>
          <w:sz w:val="22"/>
          <w:szCs w:val="22"/>
          <w:lang w:val="sr-Latn-RS"/>
        </w:rPr>
        <w:t>l</w:t>
      </w:r>
      <w:r w:rsidRPr="00E04F74">
        <w:rPr>
          <w:sz w:val="22"/>
          <w:szCs w:val="22"/>
          <w:lang w:val="sr-Latn-RS"/>
        </w:rPr>
        <w:t>, &lt;1000 kopija/m</w:t>
      </w:r>
      <w:r w:rsidR="007D1417" w:rsidRPr="00E04F74">
        <w:rPr>
          <w:sz w:val="22"/>
          <w:szCs w:val="22"/>
          <w:lang w:val="sr-Latn-RS"/>
        </w:rPr>
        <w:t>l</w:t>
      </w:r>
      <w:r w:rsidRPr="00E04F74">
        <w:rPr>
          <w:sz w:val="22"/>
          <w:szCs w:val="22"/>
          <w:lang w:val="sr-Latn-RS"/>
        </w:rPr>
        <w:t>), koje su se sve nalazile značajno unutar pomenute granice neinferiornosti. Analize podgrupa u kojima se ispitivala heterogenost doziranja jednom dnevno, naspram doziranja dva puta na dan, nijesu pokazale značajan uticaj pola, uzrasta ni broja virusnih kopija pri randomizaciji. Zaključci su donesni na osnovu neinferiornosti nezavisno od metoda analize.</w:t>
      </w:r>
    </w:p>
    <w:p w14:paraId="058E0BA6" w14:textId="77777777" w:rsidR="006A35FB" w:rsidRPr="00E04F74" w:rsidRDefault="006A35FB" w:rsidP="00946B2E">
      <w:pPr>
        <w:pStyle w:val="Header"/>
        <w:jc w:val="both"/>
        <w:rPr>
          <w:sz w:val="22"/>
          <w:szCs w:val="22"/>
          <w:lang w:val="sr-Latn-RS"/>
        </w:rPr>
      </w:pPr>
    </w:p>
    <w:p w14:paraId="058E0BA7" w14:textId="77777777" w:rsidR="006A35FB" w:rsidRPr="00E04F74" w:rsidRDefault="006A35FB" w:rsidP="00946B2E">
      <w:pPr>
        <w:pStyle w:val="Header"/>
        <w:jc w:val="both"/>
        <w:rPr>
          <w:sz w:val="22"/>
          <w:szCs w:val="22"/>
          <w:lang w:val="sr-Latn-RS"/>
        </w:rPr>
      </w:pPr>
      <w:r w:rsidRPr="00E04F74">
        <w:rPr>
          <w:sz w:val="22"/>
          <w:szCs w:val="22"/>
          <w:lang w:val="sr-Latn-RS"/>
        </w:rPr>
        <w:t xml:space="preserve">Među 104 pacijenta koja su primila lijek KIVEXA, uključujući one tjelesne mase između 40 i 25 kg, supresija virusne replikacije je bila slična. </w:t>
      </w:r>
    </w:p>
    <w:p w14:paraId="058E0BA8" w14:textId="77777777" w:rsidR="002E37A5" w:rsidRPr="00E04F74" w:rsidRDefault="002E37A5" w:rsidP="00946B2E">
      <w:pPr>
        <w:tabs>
          <w:tab w:val="left" w:pos="540"/>
          <w:tab w:val="left" w:pos="569"/>
        </w:tabs>
        <w:jc w:val="both"/>
        <w:rPr>
          <w:b/>
          <w:bCs/>
          <w:sz w:val="22"/>
          <w:szCs w:val="22"/>
          <w:lang w:val="sr-Latn-RS"/>
        </w:rPr>
      </w:pPr>
    </w:p>
    <w:p w14:paraId="058E0BA9" w14:textId="38968087" w:rsidR="0072020E" w:rsidRPr="00E04F74" w:rsidRDefault="0072020E" w:rsidP="00946B2E">
      <w:pPr>
        <w:tabs>
          <w:tab w:val="left" w:pos="540"/>
          <w:tab w:val="left" w:pos="569"/>
        </w:tabs>
        <w:jc w:val="both"/>
        <w:rPr>
          <w:b/>
          <w:bCs/>
          <w:sz w:val="22"/>
          <w:szCs w:val="22"/>
          <w:lang w:val="sr-Latn-RS"/>
        </w:rPr>
      </w:pPr>
      <w:r w:rsidRPr="00E04F74">
        <w:rPr>
          <w:b/>
          <w:bCs/>
          <w:sz w:val="22"/>
          <w:szCs w:val="22"/>
          <w:lang w:val="sr-Latn-RS"/>
        </w:rPr>
        <w:t xml:space="preserve">5.2. </w:t>
      </w:r>
      <w:r w:rsidR="00480FB1" w:rsidRPr="00E04F74">
        <w:rPr>
          <w:b/>
          <w:bCs/>
          <w:sz w:val="22"/>
          <w:szCs w:val="22"/>
          <w:lang w:val="sr-Latn-RS"/>
        </w:rPr>
        <w:tab/>
      </w:r>
      <w:r w:rsidRPr="00E04F74">
        <w:rPr>
          <w:b/>
          <w:bCs/>
          <w:sz w:val="22"/>
          <w:szCs w:val="22"/>
          <w:lang w:val="sr-Latn-RS"/>
        </w:rPr>
        <w:t>Farmakokinetički podaci</w:t>
      </w:r>
      <w:r w:rsidR="003A7059" w:rsidRPr="00E04F74">
        <w:rPr>
          <w:b/>
          <w:bCs/>
          <w:sz w:val="22"/>
          <w:szCs w:val="22"/>
          <w:lang w:val="sr-Latn-RS"/>
        </w:rPr>
        <w:t xml:space="preserve"> </w:t>
      </w:r>
    </w:p>
    <w:p w14:paraId="00CD86BA" w14:textId="77777777" w:rsidR="001076FF" w:rsidRPr="00E04F74" w:rsidRDefault="001076FF" w:rsidP="00946B2E">
      <w:pPr>
        <w:tabs>
          <w:tab w:val="left" w:pos="540"/>
          <w:tab w:val="left" w:pos="569"/>
        </w:tabs>
        <w:jc w:val="both"/>
        <w:rPr>
          <w:b/>
          <w:bCs/>
          <w:sz w:val="22"/>
          <w:szCs w:val="22"/>
          <w:lang w:val="sr-Latn-RS"/>
        </w:rPr>
      </w:pPr>
    </w:p>
    <w:p w14:paraId="058E0BAA" w14:textId="0275D18C" w:rsidR="006A35FB" w:rsidRPr="00E04F74" w:rsidRDefault="006A35FB" w:rsidP="00946B2E">
      <w:pPr>
        <w:pStyle w:val="Header"/>
        <w:jc w:val="both"/>
        <w:rPr>
          <w:sz w:val="22"/>
          <w:szCs w:val="22"/>
          <w:lang w:val="sr-Latn-RS"/>
        </w:rPr>
      </w:pPr>
      <w:r w:rsidRPr="00E04F74">
        <w:rPr>
          <w:sz w:val="22"/>
          <w:szCs w:val="22"/>
          <w:lang w:val="sr-Latn-RS"/>
        </w:rPr>
        <w:t>Pokazano je da je fiksna kombinacija lamivudina i abakavira (FDC) bioekvivalentna sa abakavirom i lamivudinom primijenjenim odvojeno. Navedeno je pokazano jednom studijom bioekvivalentnosti, 3-struko ukrštenog dizajna, jedne doze FDC (na prazan stomak), u odnosu na primjenu 2 x 150 mg lamivudin tableta plus 2 x 300 mg abakavir tableta</w:t>
      </w:r>
      <w:r w:rsidR="00007173" w:rsidRPr="00E04F74">
        <w:rPr>
          <w:sz w:val="22"/>
          <w:szCs w:val="22"/>
          <w:lang w:val="sr-Latn-RS"/>
        </w:rPr>
        <w:t xml:space="preserve"> </w:t>
      </w:r>
      <w:r w:rsidRPr="00E04F74">
        <w:rPr>
          <w:sz w:val="22"/>
          <w:szCs w:val="22"/>
          <w:lang w:val="sr-Latn-RS"/>
        </w:rPr>
        <w:t>(na prazan stomak), u odnosu na FDC primijenjenu uz obrok sa visokim sadržajem masti, kod zdravih dobrovoljaca (n=30). Na prazan stomak nije bilo značajne razlike u obimu resorpcije, što je za svaku komponentu određivano pomoću površine ispod krive (PIK) i maksimalne koncentracije (C</w:t>
      </w:r>
      <w:r w:rsidRPr="00E04F74">
        <w:rPr>
          <w:sz w:val="22"/>
          <w:szCs w:val="22"/>
          <w:vertAlign w:val="subscript"/>
          <w:lang w:val="sr-Latn-RS"/>
        </w:rPr>
        <w:t>max</w:t>
      </w:r>
      <w:r w:rsidRPr="00E04F74">
        <w:rPr>
          <w:sz w:val="22"/>
          <w:szCs w:val="22"/>
          <w:lang w:val="sr-Latn-RS"/>
        </w:rPr>
        <w:t>). Takođe nijesu zapažena klinički značajna dejstva hrane između primjene FDC na prazan stomak ili pri sitosti. Navedeni rezultati ukazuju da se FDC može primijeniti sa hranom ili nezavisno od nje. Farmakokinetička svojstva lamivudina i abakavira su opisana u daljem tekstu.</w:t>
      </w:r>
    </w:p>
    <w:p w14:paraId="058E0BAB" w14:textId="77777777" w:rsidR="006A35FB" w:rsidRPr="00E04F74" w:rsidRDefault="006A35FB" w:rsidP="00946B2E">
      <w:pPr>
        <w:pStyle w:val="Header"/>
        <w:jc w:val="both"/>
        <w:rPr>
          <w:sz w:val="22"/>
          <w:szCs w:val="22"/>
          <w:lang w:val="sr-Latn-RS"/>
        </w:rPr>
      </w:pPr>
    </w:p>
    <w:p w14:paraId="058E0BAC" w14:textId="77777777" w:rsidR="006A35FB" w:rsidRPr="00E04F74" w:rsidRDefault="006A35FB" w:rsidP="00946B2E">
      <w:pPr>
        <w:pStyle w:val="Header"/>
        <w:tabs>
          <w:tab w:val="left" w:pos="284"/>
        </w:tabs>
        <w:jc w:val="both"/>
        <w:rPr>
          <w:sz w:val="22"/>
          <w:szCs w:val="22"/>
          <w:u w:val="single"/>
          <w:lang w:val="sr-Latn-RS"/>
        </w:rPr>
      </w:pPr>
      <w:r w:rsidRPr="00E04F74">
        <w:rPr>
          <w:sz w:val="22"/>
          <w:szCs w:val="22"/>
          <w:u w:val="single"/>
          <w:lang w:val="sr-Latn-RS"/>
        </w:rPr>
        <w:t>Resorpcija</w:t>
      </w:r>
    </w:p>
    <w:p w14:paraId="058E0BAD" w14:textId="77777777" w:rsidR="006A35FB" w:rsidRPr="00E04F74" w:rsidRDefault="006A35FB" w:rsidP="00946B2E">
      <w:pPr>
        <w:pStyle w:val="Header"/>
        <w:tabs>
          <w:tab w:val="left" w:pos="284"/>
        </w:tabs>
        <w:jc w:val="both"/>
        <w:rPr>
          <w:sz w:val="22"/>
          <w:szCs w:val="22"/>
          <w:u w:val="single"/>
          <w:lang w:val="sr-Latn-RS"/>
        </w:rPr>
      </w:pPr>
    </w:p>
    <w:p w14:paraId="058E0BAE" w14:textId="0CBA8AAA" w:rsidR="006A35FB" w:rsidRPr="00E04F74" w:rsidRDefault="006A35FB" w:rsidP="00946B2E">
      <w:pPr>
        <w:pStyle w:val="Header"/>
        <w:jc w:val="both"/>
        <w:rPr>
          <w:sz w:val="22"/>
          <w:szCs w:val="22"/>
          <w:lang w:val="sr-Latn-RS"/>
        </w:rPr>
      </w:pPr>
      <w:r w:rsidRPr="00E04F74">
        <w:rPr>
          <w:sz w:val="22"/>
          <w:szCs w:val="22"/>
          <w:lang w:val="sr-Latn-RS"/>
        </w:rPr>
        <w:t xml:space="preserve">Lamivudin i abakavir se nakon oralne primjene brzo i dobro </w:t>
      </w:r>
      <w:r w:rsidR="008D1A3D" w:rsidRPr="00E04F74">
        <w:rPr>
          <w:sz w:val="22"/>
          <w:szCs w:val="22"/>
          <w:lang w:val="sr-Latn-RS"/>
        </w:rPr>
        <w:t>re</w:t>
      </w:r>
      <w:r w:rsidRPr="00E04F74">
        <w:rPr>
          <w:sz w:val="22"/>
          <w:szCs w:val="22"/>
          <w:lang w:val="sr-Latn-RS"/>
        </w:rPr>
        <w:t>sorbuju iz gastrointestinalnog trakta. Apsolutna bioraspoloživost oralno primijenjenog abakavira i lamivudina kod odraslih osoba iznosi oko 83% i 80-85%, respektivno. Srednje vrijeme do postizanja maksimalne koncentracije u serumu (t</w:t>
      </w:r>
      <w:r w:rsidRPr="00E04F74">
        <w:rPr>
          <w:sz w:val="22"/>
          <w:szCs w:val="22"/>
          <w:vertAlign w:val="subscript"/>
          <w:lang w:val="sr-Latn-RS"/>
        </w:rPr>
        <w:t>max</w:t>
      </w:r>
      <w:r w:rsidRPr="00E04F74">
        <w:rPr>
          <w:sz w:val="22"/>
          <w:szCs w:val="22"/>
          <w:lang w:val="sr-Latn-RS"/>
        </w:rPr>
        <w:t>) je oko 1,5 čas i 1,0 čas za abakavir i lamivudin, respektivno. Nakon primjene jedne doze abakavira od 600 mg, srednje (CV) C</w:t>
      </w:r>
      <w:r w:rsidRPr="00E04F74">
        <w:rPr>
          <w:sz w:val="22"/>
          <w:szCs w:val="22"/>
          <w:vertAlign w:val="subscript"/>
          <w:lang w:val="sr-Latn-RS"/>
        </w:rPr>
        <w:t>max</w:t>
      </w:r>
      <w:r w:rsidRPr="00E04F74">
        <w:rPr>
          <w:sz w:val="22"/>
          <w:szCs w:val="22"/>
          <w:lang w:val="sr-Latn-RS"/>
        </w:rPr>
        <w:t xml:space="preserve"> iznosi 4,26 µg/m</w:t>
      </w:r>
      <w:r w:rsidR="007D1417" w:rsidRPr="00E04F74">
        <w:rPr>
          <w:sz w:val="22"/>
          <w:szCs w:val="22"/>
          <w:lang w:val="sr-Latn-RS"/>
        </w:rPr>
        <w:t>l</w:t>
      </w:r>
      <w:r w:rsidRPr="00E04F74">
        <w:rPr>
          <w:sz w:val="22"/>
          <w:szCs w:val="22"/>
          <w:lang w:val="sr-Latn-RS"/>
        </w:rPr>
        <w:t xml:space="preserve"> (28%) i srednja (CV) PIK</w:t>
      </w:r>
      <w:r w:rsidRPr="00E04F74">
        <w:rPr>
          <w:sz w:val="22"/>
          <w:szCs w:val="22"/>
          <w:vertAlign w:val="subscript"/>
          <w:lang w:val="sr-Latn-RS"/>
        </w:rPr>
        <w:t>∞</w:t>
      </w:r>
      <w:r w:rsidRPr="00E04F74">
        <w:rPr>
          <w:sz w:val="22"/>
          <w:szCs w:val="22"/>
          <w:lang w:val="sr-Latn-RS"/>
        </w:rPr>
        <w:t xml:space="preserve"> iznosi 11,95µg.h/m</w:t>
      </w:r>
      <w:r w:rsidR="007D1417" w:rsidRPr="00E04F74">
        <w:rPr>
          <w:sz w:val="22"/>
          <w:szCs w:val="22"/>
          <w:lang w:val="sr-Latn-RS"/>
        </w:rPr>
        <w:t>l</w:t>
      </w:r>
      <w:r w:rsidRPr="00E04F74">
        <w:rPr>
          <w:sz w:val="22"/>
          <w:szCs w:val="22"/>
          <w:lang w:val="sr-Latn-RS"/>
        </w:rPr>
        <w:t xml:space="preserve"> (21%). Nakon oralne primjene lamivudina 300 mg jednom dnevno u toku sedam dana, srednja vrijednost (CV) C</w:t>
      </w:r>
      <w:r w:rsidRPr="00E04F74">
        <w:rPr>
          <w:sz w:val="22"/>
          <w:szCs w:val="22"/>
          <w:vertAlign w:val="subscript"/>
          <w:lang w:val="sr-Latn-RS"/>
        </w:rPr>
        <w:t>max</w:t>
      </w:r>
      <w:r w:rsidRPr="00E04F74">
        <w:rPr>
          <w:sz w:val="22"/>
          <w:szCs w:val="22"/>
          <w:lang w:val="sr-Latn-RS"/>
        </w:rPr>
        <w:t xml:space="preserve"> u ravnotežnom stanju iznosi 2,04 µg/m</w:t>
      </w:r>
      <w:r w:rsidR="007D1417" w:rsidRPr="00E04F74">
        <w:rPr>
          <w:sz w:val="22"/>
          <w:szCs w:val="22"/>
          <w:lang w:val="sr-Latn-RS"/>
        </w:rPr>
        <w:t>l</w:t>
      </w:r>
      <w:r w:rsidRPr="00E04F74">
        <w:rPr>
          <w:sz w:val="22"/>
          <w:szCs w:val="22"/>
          <w:lang w:val="sr-Latn-RS"/>
        </w:rPr>
        <w:t xml:space="preserve"> (26%), a srednja (CV) PIK</w:t>
      </w:r>
      <w:r w:rsidRPr="00E04F74">
        <w:rPr>
          <w:sz w:val="22"/>
          <w:szCs w:val="22"/>
          <w:vertAlign w:val="subscript"/>
          <w:lang w:val="sr-Latn-RS"/>
        </w:rPr>
        <w:t>24</w:t>
      </w:r>
      <w:r w:rsidRPr="00E04F74">
        <w:rPr>
          <w:sz w:val="22"/>
          <w:szCs w:val="22"/>
          <w:lang w:val="sr-Latn-RS"/>
        </w:rPr>
        <w:t xml:space="preserve"> iznosi 8,87µg.h/m</w:t>
      </w:r>
      <w:r w:rsidR="007D1417" w:rsidRPr="00E04F74">
        <w:rPr>
          <w:sz w:val="22"/>
          <w:szCs w:val="22"/>
          <w:lang w:val="sr-Latn-RS"/>
        </w:rPr>
        <w:t>l</w:t>
      </w:r>
      <w:r w:rsidRPr="00E04F74">
        <w:rPr>
          <w:sz w:val="22"/>
          <w:szCs w:val="22"/>
          <w:lang w:val="sr-Latn-RS"/>
        </w:rPr>
        <w:t xml:space="preserve"> (21%). </w:t>
      </w:r>
    </w:p>
    <w:p w14:paraId="058E0BAF" w14:textId="77777777" w:rsidR="006A35FB" w:rsidRPr="00E04F74" w:rsidRDefault="006A35FB" w:rsidP="00946B2E">
      <w:pPr>
        <w:pStyle w:val="Header"/>
        <w:tabs>
          <w:tab w:val="left" w:pos="284"/>
        </w:tabs>
        <w:jc w:val="both"/>
        <w:rPr>
          <w:sz w:val="22"/>
          <w:szCs w:val="22"/>
          <w:lang w:val="sr-Latn-RS"/>
        </w:rPr>
      </w:pPr>
    </w:p>
    <w:p w14:paraId="058E0BB0" w14:textId="77777777" w:rsidR="006A35FB" w:rsidRPr="00E04F74" w:rsidRDefault="006A35FB" w:rsidP="00946B2E">
      <w:pPr>
        <w:pStyle w:val="Header"/>
        <w:tabs>
          <w:tab w:val="left" w:pos="284"/>
        </w:tabs>
        <w:jc w:val="both"/>
        <w:rPr>
          <w:sz w:val="22"/>
          <w:szCs w:val="22"/>
          <w:u w:val="single"/>
          <w:lang w:val="sr-Latn-RS"/>
        </w:rPr>
      </w:pPr>
      <w:r w:rsidRPr="00E04F74">
        <w:rPr>
          <w:sz w:val="22"/>
          <w:szCs w:val="22"/>
          <w:u w:val="single"/>
          <w:lang w:val="sr-Latn-RS"/>
        </w:rPr>
        <w:lastRenderedPageBreak/>
        <w:t>Distribucija</w:t>
      </w:r>
    </w:p>
    <w:p w14:paraId="058E0BB1" w14:textId="77777777" w:rsidR="006A35FB" w:rsidRPr="00E04F74" w:rsidRDefault="006A35FB" w:rsidP="00946B2E">
      <w:pPr>
        <w:pStyle w:val="Header"/>
        <w:tabs>
          <w:tab w:val="left" w:pos="284"/>
        </w:tabs>
        <w:jc w:val="both"/>
        <w:rPr>
          <w:sz w:val="22"/>
          <w:szCs w:val="22"/>
          <w:u w:val="single"/>
          <w:lang w:val="sr-Latn-RS"/>
        </w:rPr>
      </w:pPr>
    </w:p>
    <w:p w14:paraId="058E0BB2" w14:textId="6B6648A3" w:rsidR="006A35FB" w:rsidRPr="00E04F74" w:rsidRDefault="006A35FB" w:rsidP="00946B2E">
      <w:pPr>
        <w:jc w:val="both"/>
        <w:rPr>
          <w:sz w:val="22"/>
          <w:szCs w:val="22"/>
          <w:lang w:val="sr-Latn-RS"/>
        </w:rPr>
      </w:pPr>
      <w:r w:rsidRPr="00E04F74">
        <w:rPr>
          <w:sz w:val="22"/>
          <w:szCs w:val="22"/>
          <w:lang w:val="sr-Latn-RS"/>
        </w:rPr>
        <w:t xml:space="preserve">Ispitivanja intravenske primjene abakavira i lamivudina su pokazala da je volumen distribucije 0,8 i 1,3 l/kg, respektivno. Ispitivanja vezivanja za proteine plazme </w:t>
      </w:r>
      <w:r w:rsidRPr="00E04F74">
        <w:rPr>
          <w:i/>
          <w:sz w:val="22"/>
          <w:szCs w:val="22"/>
          <w:lang w:val="sr-Latn-RS"/>
        </w:rPr>
        <w:t xml:space="preserve">in vitro </w:t>
      </w:r>
      <w:r w:rsidRPr="00E04F74">
        <w:rPr>
          <w:sz w:val="22"/>
          <w:szCs w:val="22"/>
          <w:lang w:val="sr-Latn-RS"/>
        </w:rPr>
        <w:t xml:space="preserve">ukazuju da se abakavir, u terapijskim koncentracijama, vezuje malo do umjereno (oko 49%) za proteine humane plazme. Lamivudin pokazuje linearnu farmakokinetiku u rasponu terapijskih doza i ispoljava ograničeno vezivanje za proteine plazme </w:t>
      </w:r>
      <w:r w:rsidRPr="00E04F74">
        <w:rPr>
          <w:i/>
          <w:sz w:val="22"/>
          <w:szCs w:val="22"/>
          <w:lang w:val="sr-Latn-RS"/>
        </w:rPr>
        <w:t xml:space="preserve">in vitro </w:t>
      </w:r>
      <w:r w:rsidRPr="00E04F74">
        <w:rPr>
          <w:sz w:val="22"/>
          <w:szCs w:val="22"/>
          <w:lang w:val="sr-Latn-RS"/>
        </w:rPr>
        <w:t xml:space="preserve">(&lt; 36%). Navedeno ukazuje na malu vjerovatnoću za pojavu interakcija sa drugim </w:t>
      </w:r>
      <w:r w:rsidR="008D1A3D" w:rsidRPr="00E04F74">
        <w:rPr>
          <w:sz w:val="22"/>
          <w:szCs w:val="22"/>
          <w:lang w:val="sr-Latn-RS"/>
        </w:rPr>
        <w:t xml:space="preserve">ljekovima </w:t>
      </w:r>
      <w:r w:rsidRPr="00E04F74">
        <w:rPr>
          <w:sz w:val="22"/>
          <w:szCs w:val="22"/>
          <w:lang w:val="sr-Latn-RS"/>
        </w:rPr>
        <w:t xml:space="preserve">mehanizmom kompeticije za vezivanje za proteine plazme. </w:t>
      </w:r>
    </w:p>
    <w:p w14:paraId="058E0BB3" w14:textId="77777777" w:rsidR="006A35FB" w:rsidRPr="00E04F74" w:rsidRDefault="006A35FB" w:rsidP="00946B2E">
      <w:pPr>
        <w:jc w:val="both"/>
        <w:rPr>
          <w:sz w:val="22"/>
          <w:szCs w:val="22"/>
          <w:lang w:val="sr-Latn-RS"/>
        </w:rPr>
      </w:pPr>
    </w:p>
    <w:p w14:paraId="058E0BB4" w14:textId="5951D5AB" w:rsidR="006A35FB" w:rsidRPr="00E04F74" w:rsidRDefault="006A35FB" w:rsidP="00946B2E">
      <w:pPr>
        <w:jc w:val="both"/>
        <w:rPr>
          <w:sz w:val="22"/>
          <w:szCs w:val="22"/>
          <w:lang w:val="sr-Latn-RS"/>
        </w:rPr>
      </w:pPr>
      <w:r w:rsidRPr="00E04F74">
        <w:rPr>
          <w:sz w:val="22"/>
          <w:szCs w:val="22"/>
          <w:lang w:val="sr-Latn-RS"/>
        </w:rPr>
        <w:t>Podaci pokazuju da abakavir i lamivudin prodiru u centralni nervni sistem (CNS) i dospijevaju u cerebrospinalnu tečnost (CST). Ispitivanja abakavira pokazuju da je količnik PIK u CST</w:t>
      </w:r>
      <w:r w:rsidR="002870DD" w:rsidRPr="00E04F74">
        <w:rPr>
          <w:sz w:val="22"/>
          <w:szCs w:val="22"/>
          <w:lang w:val="sr-Latn-RS"/>
        </w:rPr>
        <w:t xml:space="preserve"> </w:t>
      </w:r>
      <w:r w:rsidRPr="00E04F74">
        <w:rPr>
          <w:sz w:val="22"/>
          <w:szCs w:val="22"/>
          <w:lang w:val="sr-Latn-RS"/>
        </w:rPr>
        <w:t>i PIK u plazmi između 30 i 44%. Izmjerene vrijednosti maksimalnih koncentracija su 9 puta veće od IC</w:t>
      </w:r>
      <w:r w:rsidRPr="00E04F74">
        <w:rPr>
          <w:sz w:val="22"/>
          <w:szCs w:val="22"/>
          <w:vertAlign w:val="subscript"/>
          <w:lang w:val="sr-Latn-RS"/>
        </w:rPr>
        <w:t>50</w:t>
      </w:r>
      <w:r w:rsidR="002870DD" w:rsidRPr="00E04F74">
        <w:rPr>
          <w:sz w:val="22"/>
          <w:szCs w:val="22"/>
          <w:vertAlign w:val="subscript"/>
          <w:lang w:val="sr-Latn-RS"/>
        </w:rPr>
        <w:t xml:space="preserve"> </w:t>
      </w:r>
      <w:r w:rsidRPr="00E04F74">
        <w:rPr>
          <w:sz w:val="22"/>
          <w:szCs w:val="22"/>
          <w:lang w:val="sr-Latn-RS"/>
        </w:rPr>
        <w:t>za abakavir od 0,08 µg/m</w:t>
      </w:r>
      <w:r w:rsidR="007D1417" w:rsidRPr="00E04F74">
        <w:rPr>
          <w:sz w:val="22"/>
          <w:szCs w:val="22"/>
          <w:lang w:val="sr-Latn-RS"/>
        </w:rPr>
        <w:t>l</w:t>
      </w:r>
      <w:r w:rsidRPr="00E04F74">
        <w:rPr>
          <w:sz w:val="22"/>
          <w:szCs w:val="22"/>
          <w:lang w:val="sr-Latn-RS"/>
        </w:rPr>
        <w:t xml:space="preserve"> ili 0,26 µM kada je abakavir primjenjivan u dozi od 600 mg dva puta dnevno. Srednji količnik koncentracija lamivudina u CST i serumu 2-4 sata nakon oralne primjene bio je približno 12%. Prave razmjere penetracije lamivudina u CNS i njen uticaj sa bilo kakvom kliničkom efikasnošću nijesu poznati. </w:t>
      </w:r>
    </w:p>
    <w:p w14:paraId="058E0BB5" w14:textId="77777777" w:rsidR="006A35FB" w:rsidRPr="00E04F74" w:rsidRDefault="006A35FB" w:rsidP="00946B2E">
      <w:pPr>
        <w:pStyle w:val="Header"/>
        <w:tabs>
          <w:tab w:val="left" w:pos="284"/>
        </w:tabs>
        <w:jc w:val="both"/>
        <w:rPr>
          <w:sz w:val="22"/>
          <w:szCs w:val="22"/>
          <w:lang w:val="sr-Latn-RS"/>
        </w:rPr>
      </w:pPr>
    </w:p>
    <w:p w14:paraId="058E0BB6" w14:textId="77777777" w:rsidR="006A35FB" w:rsidRPr="00E04F74" w:rsidRDefault="006A35FB" w:rsidP="00946B2E">
      <w:pPr>
        <w:pStyle w:val="Header"/>
        <w:tabs>
          <w:tab w:val="left" w:pos="284"/>
        </w:tabs>
        <w:jc w:val="both"/>
        <w:rPr>
          <w:sz w:val="22"/>
          <w:szCs w:val="22"/>
          <w:u w:val="single"/>
          <w:lang w:val="sr-Latn-RS"/>
        </w:rPr>
      </w:pPr>
      <w:r w:rsidRPr="00E04F74">
        <w:rPr>
          <w:sz w:val="22"/>
          <w:szCs w:val="22"/>
          <w:u w:val="single"/>
          <w:lang w:val="sr-Latn-RS"/>
        </w:rPr>
        <w:t>Biotransformacija</w:t>
      </w:r>
    </w:p>
    <w:p w14:paraId="058E0BB7" w14:textId="77777777" w:rsidR="006A35FB" w:rsidRPr="00E04F74" w:rsidRDefault="006A35FB" w:rsidP="00946B2E">
      <w:pPr>
        <w:pStyle w:val="Header"/>
        <w:tabs>
          <w:tab w:val="left" w:pos="284"/>
        </w:tabs>
        <w:jc w:val="both"/>
        <w:rPr>
          <w:sz w:val="22"/>
          <w:szCs w:val="22"/>
          <w:u w:val="single"/>
          <w:lang w:val="sr-Latn-RS"/>
        </w:rPr>
      </w:pPr>
    </w:p>
    <w:p w14:paraId="058E0BB8" w14:textId="77777777" w:rsidR="006A35FB" w:rsidRPr="00E04F74" w:rsidRDefault="006A35FB" w:rsidP="00946B2E">
      <w:pPr>
        <w:jc w:val="both"/>
        <w:rPr>
          <w:sz w:val="22"/>
          <w:szCs w:val="22"/>
          <w:lang w:val="sr-Latn-RS"/>
        </w:rPr>
      </w:pPr>
      <w:r w:rsidRPr="00E04F74">
        <w:rPr>
          <w:sz w:val="22"/>
          <w:szCs w:val="22"/>
          <w:lang w:val="sr-Latn-RS"/>
        </w:rPr>
        <w:t>Abakavir se primarno metaboliše u jetri, a približno 2% primijenjene doze se izlučuje putem bubrega kao nepromijenjeno jedinjenje. Primarne metaboličke putanje kod čovjeka su preko alkoholne dehidrogenaze i glukuronidacije, uz stvaranje 5'-karboksilne kiseline i 5'-glukuronida na koje otpada oko 66% od primijenjene doze. Navedeni metaboliti se izlučuju mokraćom.</w:t>
      </w:r>
    </w:p>
    <w:p w14:paraId="058E0BB9" w14:textId="77777777" w:rsidR="006A35FB" w:rsidRPr="00E04F74" w:rsidRDefault="006A35FB" w:rsidP="00946B2E">
      <w:pPr>
        <w:jc w:val="both"/>
        <w:rPr>
          <w:sz w:val="22"/>
          <w:szCs w:val="22"/>
          <w:lang w:val="sr-Latn-RS"/>
        </w:rPr>
      </w:pPr>
    </w:p>
    <w:p w14:paraId="058E0BBA" w14:textId="77777777" w:rsidR="006A35FB" w:rsidRPr="00E04F74" w:rsidRDefault="006A35FB" w:rsidP="00946B2E">
      <w:pPr>
        <w:jc w:val="both"/>
        <w:rPr>
          <w:sz w:val="22"/>
          <w:szCs w:val="22"/>
          <w:lang w:val="sr-Latn-RS"/>
        </w:rPr>
      </w:pPr>
      <w:r w:rsidRPr="00E04F74">
        <w:rPr>
          <w:sz w:val="22"/>
          <w:szCs w:val="22"/>
          <w:lang w:val="sr-Latn-RS"/>
        </w:rPr>
        <w:t>Metabolizam lamivudina je manje značajan put njegove eliminacije. Lamivudin se pretežno eliminiše bubrežnom ekskrecijom nepromijenjen. Vjerovatnoća za javljanje metaboličke interakcije ljekova sa lamivudinom je mala zbog malog obima hepatičkog metabolizma (5-10%).</w:t>
      </w:r>
    </w:p>
    <w:p w14:paraId="721C34F5" w14:textId="77777777" w:rsidR="003B3DDE" w:rsidRDefault="003B3DDE" w:rsidP="00946B2E">
      <w:pPr>
        <w:pStyle w:val="Header"/>
        <w:tabs>
          <w:tab w:val="left" w:pos="284"/>
        </w:tabs>
        <w:jc w:val="both"/>
        <w:rPr>
          <w:sz w:val="22"/>
          <w:szCs w:val="22"/>
          <w:lang w:val="sr-Latn-RS"/>
        </w:rPr>
      </w:pPr>
    </w:p>
    <w:p w14:paraId="058E0BBC" w14:textId="166D171B" w:rsidR="006A35FB" w:rsidRPr="00E04F74" w:rsidRDefault="006A35FB" w:rsidP="00946B2E">
      <w:pPr>
        <w:pStyle w:val="Header"/>
        <w:tabs>
          <w:tab w:val="left" w:pos="284"/>
        </w:tabs>
        <w:jc w:val="both"/>
        <w:rPr>
          <w:sz w:val="22"/>
          <w:szCs w:val="22"/>
          <w:u w:val="single"/>
          <w:lang w:val="sr-Latn-RS"/>
        </w:rPr>
      </w:pPr>
      <w:r w:rsidRPr="00E04F74">
        <w:rPr>
          <w:sz w:val="22"/>
          <w:szCs w:val="22"/>
          <w:u w:val="single"/>
          <w:lang w:val="sr-Latn-RS"/>
        </w:rPr>
        <w:t>Eliminacija</w:t>
      </w:r>
    </w:p>
    <w:p w14:paraId="058E0BBD" w14:textId="77777777" w:rsidR="006A35FB" w:rsidRPr="00E04F74" w:rsidRDefault="006A35FB" w:rsidP="00946B2E">
      <w:pPr>
        <w:pStyle w:val="Header"/>
        <w:tabs>
          <w:tab w:val="left" w:pos="284"/>
        </w:tabs>
        <w:jc w:val="both"/>
        <w:rPr>
          <w:sz w:val="22"/>
          <w:szCs w:val="22"/>
          <w:u w:val="single"/>
          <w:lang w:val="sr-Latn-RS"/>
        </w:rPr>
      </w:pPr>
    </w:p>
    <w:p w14:paraId="058E0BBE" w14:textId="277D0031" w:rsidR="006A35FB" w:rsidRPr="00E04F74" w:rsidRDefault="006A35FB" w:rsidP="002870DD">
      <w:pPr>
        <w:jc w:val="both"/>
        <w:rPr>
          <w:sz w:val="22"/>
          <w:szCs w:val="22"/>
          <w:lang w:val="sr-Latn-RS"/>
        </w:rPr>
      </w:pPr>
      <w:r w:rsidRPr="00E04F74">
        <w:rPr>
          <w:sz w:val="22"/>
          <w:szCs w:val="22"/>
          <w:lang w:val="sr-Latn-RS"/>
        </w:rPr>
        <w:t>Srednj</w:t>
      </w:r>
      <w:r w:rsidR="00601717" w:rsidRPr="00E04F74">
        <w:rPr>
          <w:sz w:val="22"/>
          <w:szCs w:val="22"/>
          <w:lang w:val="sr-Latn-RS"/>
        </w:rPr>
        <w:t>a vrijednost</w:t>
      </w:r>
      <w:r w:rsidRPr="00E04F74">
        <w:rPr>
          <w:sz w:val="22"/>
          <w:szCs w:val="22"/>
          <w:lang w:val="sr-Latn-RS"/>
        </w:rPr>
        <w:t xml:space="preserve"> poluvreme</w:t>
      </w:r>
      <w:r w:rsidR="00601717" w:rsidRPr="00E04F74">
        <w:rPr>
          <w:sz w:val="22"/>
          <w:szCs w:val="22"/>
          <w:lang w:val="sr-Latn-RS"/>
        </w:rPr>
        <w:t>na</w:t>
      </w:r>
      <w:r w:rsidRPr="00E04F74">
        <w:rPr>
          <w:sz w:val="22"/>
          <w:szCs w:val="22"/>
          <w:lang w:val="sr-Latn-RS"/>
        </w:rPr>
        <w:t xml:space="preserve"> eliminacije abakavira je oko 1,5 časova. Nakon primjene ponovljenih oralnih doza od 300 mg abakavira dva puta dnevno, nema signifikantne akumulacije abakavira. Eliminacija abakavira se odvija metabolizmom u jetri, sa posljedičnom, prvenstveno urinarnom ekskrecijom metabolita. </w:t>
      </w:r>
      <w:r w:rsidR="00601717" w:rsidRPr="00E04F74">
        <w:rPr>
          <w:sz w:val="22"/>
          <w:szCs w:val="22"/>
          <w:lang w:val="sr-Latn-RS"/>
        </w:rPr>
        <w:t>Metaboliti i nepromijenjeni abakavir čine otprilike</w:t>
      </w:r>
      <w:r w:rsidR="002870DD" w:rsidRPr="00E04F74">
        <w:rPr>
          <w:sz w:val="22"/>
          <w:szCs w:val="22"/>
          <w:lang w:val="sr-Latn-RS"/>
        </w:rPr>
        <w:t xml:space="preserve"> </w:t>
      </w:r>
      <w:r w:rsidRPr="00E04F74">
        <w:rPr>
          <w:sz w:val="22"/>
          <w:szCs w:val="22"/>
          <w:lang w:val="sr-Latn-RS"/>
        </w:rPr>
        <w:t xml:space="preserve">83% </w:t>
      </w:r>
      <w:r w:rsidR="00601717" w:rsidRPr="00E04F74">
        <w:rPr>
          <w:sz w:val="22"/>
          <w:szCs w:val="22"/>
          <w:lang w:val="sr-Latn-RS"/>
        </w:rPr>
        <w:t>primijenjene</w:t>
      </w:r>
      <w:r w:rsidRPr="00E04F74">
        <w:rPr>
          <w:sz w:val="22"/>
          <w:szCs w:val="22"/>
          <w:lang w:val="sr-Latn-RS"/>
        </w:rPr>
        <w:t xml:space="preserve"> doze</w:t>
      </w:r>
      <w:r w:rsidR="00601717" w:rsidRPr="00E04F74">
        <w:rPr>
          <w:sz w:val="22"/>
          <w:szCs w:val="22"/>
          <w:lang w:val="sr-Latn-RS"/>
        </w:rPr>
        <w:t xml:space="preserve"> abakavira koja se izlučuje urinom</w:t>
      </w:r>
      <w:r w:rsidRPr="00E04F74">
        <w:rPr>
          <w:sz w:val="22"/>
          <w:szCs w:val="22"/>
          <w:lang w:val="sr-Latn-RS"/>
        </w:rPr>
        <w:t>. Ostatak se eliminiše putem fecesa.</w:t>
      </w:r>
    </w:p>
    <w:p w14:paraId="058E0BBF" w14:textId="77777777" w:rsidR="006A35FB" w:rsidRPr="00E04F74" w:rsidRDefault="006A35FB" w:rsidP="002870DD">
      <w:pPr>
        <w:jc w:val="both"/>
        <w:rPr>
          <w:sz w:val="22"/>
          <w:szCs w:val="22"/>
          <w:lang w:val="sr-Latn-RS"/>
        </w:rPr>
      </w:pPr>
    </w:p>
    <w:p w14:paraId="058E0BC0" w14:textId="017D2641" w:rsidR="006A35FB" w:rsidRPr="00E04F74" w:rsidRDefault="006A35FB" w:rsidP="002870DD">
      <w:pPr>
        <w:jc w:val="both"/>
        <w:rPr>
          <w:sz w:val="22"/>
          <w:szCs w:val="22"/>
          <w:lang w:val="sr-Latn-RS"/>
        </w:rPr>
      </w:pPr>
      <w:r w:rsidRPr="00E04F74">
        <w:rPr>
          <w:sz w:val="22"/>
          <w:szCs w:val="22"/>
          <w:lang w:val="sr-Latn-RS"/>
        </w:rPr>
        <w:t xml:space="preserve">Poluvrijeme eliminacije lamivudina iznosi </w:t>
      </w:r>
      <w:r w:rsidR="00601717" w:rsidRPr="00E04F74">
        <w:rPr>
          <w:sz w:val="22"/>
          <w:szCs w:val="22"/>
          <w:lang w:val="sr-Latn-RS"/>
        </w:rPr>
        <w:t xml:space="preserve">18 </w:t>
      </w:r>
      <w:r w:rsidRPr="00E04F74">
        <w:rPr>
          <w:sz w:val="22"/>
          <w:szCs w:val="22"/>
          <w:lang w:val="sr-Latn-RS"/>
        </w:rPr>
        <w:t xml:space="preserve">do </w:t>
      </w:r>
      <w:r w:rsidR="00601717" w:rsidRPr="00E04F74">
        <w:rPr>
          <w:sz w:val="22"/>
          <w:szCs w:val="22"/>
          <w:lang w:val="sr-Latn-RS"/>
        </w:rPr>
        <w:t>19</w:t>
      </w:r>
      <w:r w:rsidRPr="00E04F74">
        <w:rPr>
          <w:sz w:val="22"/>
          <w:szCs w:val="22"/>
          <w:lang w:val="sr-Latn-RS"/>
        </w:rPr>
        <w:t xml:space="preserve"> </w:t>
      </w:r>
      <w:r w:rsidR="00601717" w:rsidRPr="00E04F74">
        <w:rPr>
          <w:sz w:val="22"/>
          <w:szCs w:val="22"/>
          <w:lang w:val="sr-Latn-RS"/>
        </w:rPr>
        <w:t>sati</w:t>
      </w:r>
      <w:r w:rsidRPr="00E04F74">
        <w:rPr>
          <w:sz w:val="22"/>
          <w:szCs w:val="22"/>
          <w:lang w:val="sr-Latn-RS"/>
        </w:rPr>
        <w:t>. Srednji sistemski klirens lamivudina je približno 0,32</w:t>
      </w:r>
      <w:r w:rsidR="008D1A3D" w:rsidRPr="00E04F74">
        <w:rPr>
          <w:sz w:val="22"/>
          <w:szCs w:val="22"/>
          <w:lang w:val="sr-Latn-RS"/>
        </w:rPr>
        <w:t>l</w:t>
      </w:r>
      <w:r w:rsidRPr="00E04F74">
        <w:rPr>
          <w:sz w:val="22"/>
          <w:szCs w:val="22"/>
          <w:lang w:val="sr-Latn-RS"/>
        </w:rPr>
        <w:t xml:space="preserve">/h/kg, prevashodno renalnim klirensom (&gt;70%), mehanizmom transporta organskih katjona. Ispitivanja na pacijentima sa oštećenjem bubrega pokazuju da renalna disfunkcija utiče na eliminaciju lamivudina. Upotreba lijeka KIVEXA se ne preporučuje kod pacijenata čiji je klirens kreatinina </w:t>
      </w:r>
      <w:r w:rsidRPr="00E04F74">
        <w:rPr>
          <w:sz w:val="22"/>
          <w:szCs w:val="22"/>
          <w:lang w:val="sr-Latn-RS"/>
        </w:rPr>
        <w:sym w:font="Symbol" w:char="F0A3"/>
      </w:r>
      <w:r w:rsidR="009C7549" w:rsidRPr="00E04F74">
        <w:rPr>
          <w:sz w:val="22"/>
          <w:szCs w:val="22"/>
          <w:lang w:val="sr-Latn-RS"/>
        </w:rPr>
        <w:t>3</w:t>
      </w:r>
      <w:r w:rsidRPr="00E04F74">
        <w:rPr>
          <w:sz w:val="22"/>
          <w:szCs w:val="22"/>
          <w:lang w:val="sr-Latn-RS"/>
        </w:rPr>
        <w:t>0 m</w:t>
      </w:r>
      <w:r w:rsidR="007D1417" w:rsidRPr="00E04F74">
        <w:rPr>
          <w:sz w:val="22"/>
          <w:szCs w:val="22"/>
          <w:lang w:val="sr-Latn-RS"/>
        </w:rPr>
        <w:t>l</w:t>
      </w:r>
      <w:r w:rsidRPr="00E04F74">
        <w:rPr>
          <w:sz w:val="22"/>
          <w:szCs w:val="22"/>
          <w:lang w:val="sr-Latn-RS"/>
        </w:rPr>
        <w:t xml:space="preserve">/min jer nije moguće izvršiti neophodno podešavanje doze (vidjeti </w:t>
      </w:r>
      <w:r w:rsidR="00D52927" w:rsidRPr="00E04F74">
        <w:rPr>
          <w:sz w:val="22"/>
          <w:szCs w:val="22"/>
          <w:lang w:val="sr-Latn-RS"/>
        </w:rPr>
        <w:t>dio</w:t>
      </w:r>
      <w:r w:rsidRPr="00E04F74">
        <w:rPr>
          <w:sz w:val="22"/>
          <w:szCs w:val="22"/>
          <w:lang w:val="sr-Latn-RS"/>
        </w:rPr>
        <w:t xml:space="preserve"> 4.2).</w:t>
      </w:r>
    </w:p>
    <w:p w14:paraId="058E0BC1" w14:textId="77777777" w:rsidR="006A35FB" w:rsidRPr="00E04F74" w:rsidRDefault="006A35FB" w:rsidP="00946B2E">
      <w:pPr>
        <w:jc w:val="both"/>
        <w:rPr>
          <w:sz w:val="22"/>
          <w:szCs w:val="22"/>
          <w:u w:val="single"/>
          <w:lang w:val="sr-Latn-RS"/>
        </w:rPr>
      </w:pPr>
    </w:p>
    <w:p w14:paraId="058E0BC2" w14:textId="77777777" w:rsidR="006A35FB" w:rsidRPr="00E04F74" w:rsidRDefault="006A35FB" w:rsidP="00946B2E">
      <w:pPr>
        <w:jc w:val="both"/>
        <w:rPr>
          <w:sz w:val="22"/>
          <w:szCs w:val="22"/>
          <w:u w:val="single"/>
          <w:lang w:val="sr-Latn-RS"/>
        </w:rPr>
      </w:pPr>
      <w:r w:rsidRPr="00E04F74">
        <w:rPr>
          <w:sz w:val="22"/>
          <w:szCs w:val="22"/>
          <w:u w:val="single"/>
          <w:lang w:val="sr-Latn-RS"/>
        </w:rPr>
        <w:t>Intracelularna farmakokinetika</w:t>
      </w:r>
    </w:p>
    <w:p w14:paraId="058E0BC3" w14:textId="77777777" w:rsidR="006A35FB" w:rsidRPr="00E04F74" w:rsidRDefault="006A35FB" w:rsidP="002870DD">
      <w:pPr>
        <w:jc w:val="both"/>
        <w:rPr>
          <w:sz w:val="22"/>
          <w:szCs w:val="22"/>
          <w:lang w:val="sr-Latn-RS"/>
        </w:rPr>
      </w:pPr>
    </w:p>
    <w:p w14:paraId="058E0BC4" w14:textId="393145E9" w:rsidR="006A35FB" w:rsidRPr="00E04F74" w:rsidRDefault="006A35FB" w:rsidP="002870DD">
      <w:pPr>
        <w:jc w:val="both"/>
        <w:rPr>
          <w:sz w:val="22"/>
          <w:szCs w:val="22"/>
          <w:lang w:val="sr-Latn-RS"/>
        </w:rPr>
      </w:pPr>
      <w:r w:rsidRPr="00E04F74">
        <w:rPr>
          <w:sz w:val="22"/>
          <w:szCs w:val="22"/>
          <w:lang w:val="sr-Latn-RS"/>
        </w:rPr>
        <w:t>U studiji na 20 HIV-inficiranih pacijenata kojima je primijenjen abakavir u dozi od 300 mg dva puta dnevno, pri čemu je samo jedna doza od 300 mg uzeta prije 24-časovnog perioda uzorkovanja, geometrijsko srednje intracelularno poluvrijeme eliminacije karbovira-TP u stanju ravnoteže iznosilo je 20,6 časova, u poređenju sa geometrijskim srednjim poluvremenom eliminacije abakavira u plazmi u ovoj studiji od 2,6 časa. U unakrsnoj studiji na 27 HIV-inficiranih pacijenata intacelularna izloženost karboviru-TP-u je bila veća pri terapijskom režimu primjene 600 mg abakavira, jednom dnevno (PIK</w:t>
      </w:r>
      <w:r w:rsidRPr="00E04F74">
        <w:rPr>
          <w:sz w:val="22"/>
          <w:szCs w:val="22"/>
          <w:vertAlign w:val="subscript"/>
          <w:lang w:val="sr-Latn-RS"/>
        </w:rPr>
        <w:t>24,SS</w:t>
      </w:r>
      <w:r w:rsidRPr="00E04F74">
        <w:rPr>
          <w:sz w:val="22"/>
          <w:szCs w:val="22"/>
          <w:lang w:val="sr-Latn-RS"/>
        </w:rPr>
        <w:t xml:space="preserve"> + 32% C</w:t>
      </w:r>
      <w:r w:rsidRPr="00E04F74">
        <w:rPr>
          <w:sz w:val="22"/>
          <w:szCs w:val="22"/>
          <w:vertAlign w:val="subscript"/>
          <w:lang w:val="sr-Latn-RS"/>
        </w:rPr>
        <w:t>max24,SS</w:t>
      </w:r>
      <w:r w:rsidRPr="00E04F74">
        <w:rPr>
          <w:sz w:val="22"/>
          <w:szCs w:val="22"/>
          <w:lang w:val="sr-Latn-RS"/>
        </w:rPr>
        <w:t xml:space="preserve"> + 99% i C</w:t>
      </w:r>
      <w:r w:rsidRPr="00E04F74">
        <w:rPr>
          <w:sz w:val="22"/>
          <w:szCs w:val="22"/>
          <w:vertAlign w:val="subscript"/>
          <w:lang w:val="sr-Latn-RS"/>
        </w:rPr>
        <w:t>trough</w:t>
      </w:r>
      <w:r w:rsidRPr="00E04F74">
        <w:rPr>
          <w:sz w:val="22"/>
          <w:szCs w:val="22"/>
          <w:lang w:val="sr-Latn-RS"/>
        </w:rPr>
        <w:t xml:space="preserve"> + 18%) u poređenju sa terapijskim režimom primjene 300 mg dva puta dnevno. Za pacijente kojima je primijenjen lamivudin 300 mg jednom dnevno, intracelularno poluvrijeme eliminacije lamivudina-TP-a </w:t>
      </w:r>
      <w:r w:rsidR="00601717" w:rsidRPr="00E04F74">
        <w:rPr>
          <w:sz w:val="22"/>
          <w:szCs w:val="22"/>
          <w:lang w:val="sr-Latn-RS"/>
        </w:rPr>
        <w:t>i poluvrijeme eliminacije lamivudina u plazmi bili su slični (16-19 sati i 18-19 sati).</w:t>
      </w:r>
      <w:r w:rsidRPr="00E04F74">
        <w:rPr>
          <w:sz w:val="22"/>
          <w:szCs w:val="22"/>
          <w:lang w:val="sr-Latn-RS"/>
        </w:rPr>
        <w:t xml:space="preserve"> U okviru unakrsne studije na 60 zdravih dobrovoljaca, intracelularni farmakokinetički parametri lamivudina-TP-a su bili slični (PIK</w:t>
      </w:r>
      <w:r w:rsidRPr="00E04F74">
        <w:rPr>
          <w:sz w:val="22"/>
          <w:szCs w:val="22"/>
          <w:vertAlign w:val="subscript"/>
          <w:lang w:val="sr-Latn-RS"/>
        </w:rPr>
        <w:t>24,SS</w:t>
      </w:r>
      <w:r w:rsidRPr="00E04F74">
        <w:rPr>
          <w:sz w:val="22"/>
          <w:szCs w:val="22"/>
          <w:lang w:val="sr-Latn-RS"/>
        </w:rPr>
        <w:t xml:space="preserve"> i C</w:t>
      </w:r>
      <w:r w:rsidRPr="00E04F74">
        <w:rPr>
          <w:sz w:val="22"/>
          <w:szCs w:val="22"/>
          <w:vertAlign w:val="subscript"/>
          <w:lang w:val="sr-Latn-RS"/>
        </w:rPr>
        <w:t>max24,SS</w:t>
      </w:r>
      <w:r w:rsidRPr="00E04F74">
        <w:rPr>
          <w:sz w:val="22"/>
          <w:szCs w:val="22"/>
          <w:lang w:val="sr-Latn-RS"/>
        </w:rPr>
        <w:t>) ili niži (C</w:t>
      </w:r>
      <w:r w:rsidRPr="00E04F74">
        <w:rPr>
          <w:sz w:val="22"/>
          <w:szCs w:val="22"/>
          <w:vertAlign w:val="subscript"/>
          <w:lang w:val="sr-Latn-RS"/>
        </w:rPr>
        <w:t>trough</w:t>
      </w:r>
      <w:r w:rsidRPr="00E04F74">
        <w:rPr>
          <w:sz w:val="22"/>
          <w:szCs w:val="22"/>
          <w:lang w:val="sr-Latn-RS"/>
        </w:rPr>
        <w:t xml:space="preserve"> – 24%) za terapijski režim primjene lamivudina, 300 mg jednom dnevno u poređenju sa terapijskim režimom primjene lamivudina 150 mg dva puta dnevno. Generalno, navedeni podaci podržavaju primjenu 300 </w:t>
      </w:r>
      <w:r w:rsidRPr="00E04F74">
        <w:rPr>
          <w:sz w:val="22"/>
          <w:szCs w:val="22"/>
          <w:lang w:val="sr-Latn-RS"/>
        </w:rPr>
        <w:lastRenderedPageBreak/>
        <w:t>mg lamivudina i 600 mg abakavira jednom dnevno u liječenju HIV-inficiranih pacijenata. Dodatno, efikasnost i bezbjednost primjene navedene kombinacije jednom dnevno pokazana je u okviru pivotalne kliničke studije (CNA30021 - vidjeti "Klinička iskustva").</w:t>
      </w:r>
    </w:p>
    <w:p w14:paraId="16C4BE1C" w14:textId="77777777" w:rsidR="008D1A3D" w:rsidRPr="00E04F74" w:rsidRDefault="008D1A3D" w:rsidP="00946B2E">
      <w:pPr>
        <w:pStyle w:val="Header"/>
        <w:tabs>
          <w:tab w:val="left" w:pos="284"/>
        </w:tabs>
        <w:jc w:val="both"/>
        <w:rPr>
          <w:sz w:val="22"/>
          <w:szCs w:val="22"/>
          <w:lang w:val="sr-Latn-RS"/>
        </w:rPr>
      </w:pPr>
    </w:p>
    <w:p w14:paraId="058E0BC6" w14:textId="407655C2" w:rsidR="006A35FB" w:rsidRPr="00E04F74" w:rsidRDefault="006A35FB" w:rsidP="00946B2E">
      <w:pPr>
        <w:pStyle w:val="Header"/>
        <w:tabs>
          <w:tab w:val="left" w:pos="284"/>
        </w:tabs>
        <w:jc w:val="both"/>
        <w:rPr>
          <w:sz w:val="22"/>
          <w:szCs w:val="22"/>
          <w:u w:val="single"/>
          <w:lang w:val="sr-Latn-RS"/>
        </w:rPr>
      </w:pPr>
      <w:r w:rsidRPr="00E04F74">
        <w:rPr>
          <w:sz w:val="22"/>
          <w:szCs w:val="22"/>
          <w:u w:val="single"/>
          <w:lang w:val="sr-Latn-RS"/>
        </w:rPr>
        <w:t>Posebne populacije</w:t>
      </w:r>
    </w:p>
    <w:p w14:paraId="058E0BC7" w14:textId="77777777" w:rsidR="006A35FB" w:rsidRPr="00E04F74" w:rsidRDefault="006A35FB" w:rsidP="00946B2E">
      <w:pPr>
        <w:jc w:val="both"/>
        <w:rPr>
          <w:sz w:val="22"/>
          <w:szCs w:val="22"/>
          <w:u w:val="single"/>
          <w:lang w:val="sr-Latn-RS"/>
        </w:rPr>
      </w:pPr>
    </w:p>
    <w:p w14:paraId="058E0BC8" w14:textId="77777777" w:rsidR="006A35FB" w:rsidRPr="00E04F74" w:rsidRDefault="006A35FB" w:rsidP="00946B2E">
      <w:pPr>
        <w:jc w:val="both"/>
        <w:rPr>
          <w:i/>
          <w:sz w:val="22"/>
          <w:szCs w:val="22"/>
          <w:lang w:val="sr-Latn-RS"/>
        </w:rPr>
      </w:pPr>
      <w:r w:rsidRPr="00E04F74">
        <w:rPr>
          <w:i/>
          <w:sz w:val="22"/>
          <w:szCs w:val="22"/>
          <w:lang w:val="sr-Latn-RS"/>
        </w:rPr>
        <w:t xml:space="preserve">Oštećenje jetre </w:t>
      </w:r>
    </w:p>
    <w:p w14:paraId="058E0BC9" w14:textId="77777777" w:rsidR="006A35FB" w:rsidRPr="00E04F74" w:rsidRDefault="006A35FB" w:rsidP="00946B2E">
      <w:pPr>
        <w:jc w:val="both"/>
        <w:rPr>
          <w:i/>
          <w:sz w:val="22"/>
          <w:szCs w:val="22"/>
          <w:lang w:val="sr-Latn-RS"/>
        </w:rPr>
      </w:pPr>
    </w:p>
    <w:p w14:paraId="058E0BCA" w14:textId="77777777" w:rsidR="006A35FB" w:rsidRPr="00E04F74" w:rsidRDefault="006A35FB" w:rsidP="00946B2E">
      <w:pPr>
        <w:jc w:val="both"/>
        <w:rPr>
          <w:i/>
          <w:sz w:val="22"/>
          <w:szCs w:val="22"/>
          <w:lang w:val="sr-Latn-RS"/>
        </w:rPr>
      </w:pPr>
      <w:r w:rsidRPr="00E04F74">
        <w:rPr>
          <w:sz w:val="22"/>
          <w:szCs w:val="22"/>
          <w:lang w:val="sr-Latn-RS"/>
        </w:rPr>
        <w:t>Farmakokinetički podaci su dobijeni zasebno za abakavir i lamivudin.</w:t>
      </w:r>
    </w:p>
    <w:p w14:paraId="058E0BCB" w14:textId="77777777" w:rsidR="006A35FB" w:rsidRPr="00E04F74" w:rsidRDefault="006A35FB" w:rsidP="00946B2E">
      <w:pPr>
        <w:jc w:val="both"/>
        <w:rPr>
          <w:sz w:val="22"/>
          <w:szCs w:val="22"/>
          <w:lang w:val="sr-Latn-RS"/>
        </w:rPr>
      </w:pPr>
    </w:p>
    <w:p w14:paraId="058E0BCC" w14:textId="3253BB43" w:rsidR="006A35FB" w:rsidRPr="00E04F74" w:rsidRDefault="006A35FB" w:rsidP="00946B2E">
      <w:pPr>
        <w:jc w:val="both"/>
        <w:rPr>
          <w:sz w:val="22"/>
          <w:szCs w:val="22"/>
          <w:lang w:val="sr-Latn-RS"/>
        </w:rPr>
      </w:pPr>
      <w:r w:rsidRPr="00E04F74">
        <w:rPr>
          <w:sz w:val="22"/>
          <w:szCs w:val="22"/>
          <w:lang w:val="sr-Latn-RS"/>
        </w:rPr>
        <w:t>Abakavir se primarno metaboliše u jetri. Farmakokinetika abakavira ispitivana je kod pacijenata sa blagim oštećenjem jetre (Child-Pugh skor 5-6) kojima je primijenjena pojedinačna doza od 600 mg: srednja vrijednost (opseg)</w:t>
      </w:r>
      <w:r w:rsidR="002870DD" w:rsidRPr="00E04F74">
        <w:rPr>
          <w:sz w:val="22"/>
          <w:szCs w:val="22"/>
          <w:lang w:val="sr-Latn-RS"/>
        </w:rPr>
        <w:t xml:space="preserve"> </w:t>
      </w:r>
      <w:r w:rsidRPr="00E04F74">
        <w:rPr>
          <w:sz w:val="22"/>
          <w:szCs w:val="22"/>
          <w:lang w:val="sr-Latn-RS"/>
        </w:rPr>
        <w:t>PIK-a je bila 24,1 (10,4 do 54,8) ug.h/m</w:t>
      </w:r>
      <w:r w:rsidR="007D1417" w:rsidRPr="00E04F74">
        <w:rPr>
          <w:sz w:val="22"/>
          <w:szCs w:val="22"/>
          <w:lang w:val="sr-Latn-RS"/>
        </w:rPr>
        <w:t>l</w:t>
      </w:r>
      <w:r w:rsidRPr="00E04F74">
        <w:rPr>
          <w:sz w:val="22"/>
          <w:szCs w:val="22"/>
          <w:lang w:val="sr-Latn-RS"/>
        </w:rPr>
        <w:t>. Rezultati su pokazali srednje (90%CI) povećanje od 1,89 puta [1,32; 2,70] PIK-a abakavira i 1,58 [1,22; 2,04] puta u poluvremenu eliminacije. Nije moguće dati konačne preporuke u pogledu smanjenja doze kod pacijenata sa blagim oštećenjem jetre, zbog značajne varijabilnosti ekspozicije abakaviru.</w:t>
      </w:r>
    </w:p>
    <w:p w14:paraId="058E0BCD" w14:textId="77777777" w:rsidR="006A35FB" w:rsidRPr="00E04F74" w:rsidRDefault="006A35FB" w:rsidP="00946B2E">
      <w:pPr>
        <w:jc w:val="both"/>
        <w:rPr>
          <w:sz w:val="22"/>
          <w:szCs w:val="22"/>
          <w:lang w:val="sr-Latn-RS"/>
        </w:rPr>
      </w:pPr>
    </w:p>
    <w:p w14:paraId="058E0BCE" w14:textId="77777777" w:rsidR="006A35FB" w:rsidRPr="00E04F74" w:rsidRDefault="006A35FB" w:rsidP="00946B2E">
      <w:pPr>
        <w:jc w:val="both"/>
        <w:rPr>
          <w:sz w:val="22"/>
          <w:szCs w:val="22"/>
          <w:lang w:val="sr-Latn-RS"/>
        </w:rPr>
      </w:pPr>
      <w:r w:rsidRPr="00E04F74">
        <w:rPr>
          <w:sz w:val="22"/>
          <w:szCs w:val="22"/>
          <w:lang w:val="sr-Latn-RS"/>
        </w:rPr>
        <w:t>Podaci dobijeni kod pacijenata sa umjerenom do teškom insuficijencijom jetre pokazuju da hepatička disfunkcija nema značajnog uticaja na farmakokinetiku lamivudina.</w:t>
      </w:r>
    </w:p>
    <w:p w14:paraId="058E0BCF" w14:textId="77777777" w:rsidR="006A35FB" w:rsidRPr="00E04F74" w:rsidRDefault="006A35FB" w:rsidP="00946B2E">
      <w:pPr>
        <w:jc w:val="both"/>
        <w:rPr>
          <w:sz w:val="22"/>
          <w:szCs w:val="22"/>
          <w:lang w:val="sr-Latn-RS"/>
        </w:rPr>
      </w:pPr>
    </w:p>
    <w:p w14:paraId="058E0BD0" w14:textId="77777777" w:rsidR="006A35FB" w:rsidRPr="00E04F74" w:rsidRDefault="006A35FB" w:rsidP="00946B2E">
      <w:pPr>
        <w:jc w:val="both"/>
        <w:rPr>
          <w:sz w:val="22"/>
          <w:szCs w:val="22"/>
          <w:lang w:val="sr-Latn-RS"/>
        </w:rPr>
      </w:pPr>
      <w:r w:rsidRPr="00E04F74">
        <w:rPr>
          <w:sz w:val="22"/>
          <w:szCs w:val="22"/>
          <w:lang w:val="sr-Latn-RS"/>
        </w:rPr>
        <w:t>Lijek KIVEXA se ne preporučuje kod pacijenata sa umjerenim ili teškim oštećenjem jetre, na osnovu podataka dobijenih za abakavir.</w:t>
      </w:r>
    </w:p>
    <w:p w14:paraId="058E0BD1" w14:textId="77777777" w:rsidR="006A35FB" w:rsidRPr="00E04F74" w:rsidRDefault="006A35FB" w:rsidP="00946B2E">
      <w:pPr>
        <w:jc w:val="both"/>
        <w:rPr>
          <w:sz w:val="22"/>
          <w:szCs w:val="22"/>
          <w:lang w:val="sr-Latn-RS"/>
        </w:rPr>
      </w:pPr>
    </w:p>
    <w:p w14:paraId="058E0BD2" w14:textId="77777777" w:rsidR="006A35FB" w:rsidRPr="00E04F74" w:rsidRDefault="006A35FB" w:rsidP="00946B2E">
      <w:pPr>
        <w:jc w:val="both"/>
        <w:rPr>
          <w:i/>
          <w:sz w:val="22"/>
          <w:szCs w:val="22"/>
          <w:lang w:val="sr-Latn-RS"/>
        </w:rPr>
      </w:pPr>
      <w:r w:rsidRPr="00E04F74">
        <w:rPr>
          <w:i/>
          <w:sz w:val="22"/>
          <w:szCs w:val="22"/>
          <w:lang w:val="sr-Latn-RS"/>
        </w:rPr>
        <w:t>Oštećenje bubrega</w:t>
      </w:r>
    </w:p>
    <w:p w14:paraId="058E0BD3" w14:textId="77777777" w:rsidR="006A35FB" w:rsidRPr="00E04F74" w:rsidRDefault="006A35FB" w:rsidP="00946B2E">
      <w:pPr>
        <w:jc w:val="both"/>
        <w:rPr>
          <w:i/>
          <w:sz w:val="22"/>
          <w:szCs w:val="22"/>
          <w:lang w:val="sr-Latn-RS"/>
        </w:rPr>
      </w:pPr>
    </w:p>
    <w:p w14:paraId="058E0BD4" w14:textId="2F3ABDB7" w:rsidR="006A35FB" w:rsidRPr="00E04F74" w:rsidRDefault="006A35FB" w:rsidP="00946B2E">
      <w:pPr>
        <w:jc w:val="both"/>
        <w:rPr>
          <w:sz w:val="22"/>
          <w:szCs w:val="22"/>
          <w:lang w:val="sr-Latn-RS"/>
        </w:rPr>
      </w:pPr>
      <w:r w:rsidRPr="00E04F74">
        <w:rPr>
          <w:sz w:val="22"/>
          <w:szCs w:val="22"/>
          <w:lang w:val="sr-Latn-RS"/>
        </w:rPr>
        <w:t xml:space="preserve"> Farmakokinetički podaci su prikupljeni posebno za lamivudin i abakavir. Abakavir se primarno metaboliše u jetri, pri čemu se približno 2% abakavira u nepromijenjenom obliku izlučuje urinom. Farmakokinetika abakavira kod pacijenata sa terminalnim stadijumom bubrežne insuficijencije je slična kao kod pacijenata sa normalnom bubrežnom funkcijom. Ispitivanja lamivudina pokazuju da su koncentracije u plazmi (PIK) povećane kod pacijenata sa oštećenjem funkcije bubrega zbog smanjenog klirensa.</w:t>
      </w:r>
      <w:r w:rsidR="002870DD" w:rsidRPr="00E04F74">
        <w:rPr>
          <w:sz w:val="22"/>
          <w:szCs w:val="22"/>
          <w:lang w:val="sr-Latn-RS"/>
        </w:rPr>
        <w:t xml:space="preserve"> </w:t>
      </w:r>
      <w:r w:rsidRPr="00E04F74">
        <w:rPr>
          <w:sz w:val="22"/>
          <w:szCs w:val="22"/>
          <w:lang w:val="sr-Latn-RS"/>
        </w:rPr>
        <w:t>Upotreba lijeka KIVEXA se ne preporučuje</w:t>
      </w:r>
      <w:r w:rsidR="002870DD" w:rsidRPr="00E04F74">
        <w:rPr>
          <w:sz w:val="22"/>
          <w:szCs w:val="22"/>
          <w:lang w:val="sr-Latn-RS"/>
        </w:rPr>
        <w:t xml:space="preserve"> </w:t>
      </w:r>
      <w:r w:rsidRPr="00E04F74">
        <w:rPr>
          <w:sz w:val="22"/>
          <w:szCs w:val="22"/>
          <w:lang w:val="sr-Latn-RS"/>
        </w:rPr>
        <w:t>kod pacijenata čiji je klirens kreatinina &lt;</w:t>
      </w:r>
      <w:r w:rsidR="009C7549" w:rsidRPr="00E04F74">
        <w:rPr>
          <w:sz w:val="22"/>
          <w:szCs w:val="22"/>
          <w:lang w:val="sr-Latn-RS"/>
        </w:rPr>
        <w:t>3</w:t>
      </w:r>
      <w:r w:rsidRPr="00E04F74">
        <w:rPr>
          <w:sz w:val="22"/>
          <w:szCs w:val="22"/>
          <w:lang w:val="sr-Latn-RS"/>
        </w:rPr>
        <w:t>0m</w:t>
      </w:r>
      <w:r w:rsidR="009C7549" w:rsidRPr="00E04F74">
        <w:rPr>
          <w:sz w:val="22"/>
          <w:szCs w:val="22"/>
          <w:lang w:val="sr-Latn-RS"/>
        </w:rPr>
        <w:t>l</w:t>
      </w:r>
      <w:r w:rsidRPr="00E04F74">
        <w:rPr>
          <w:sz w:val="22"/>
          <w:szCs w:val="22"/>
          <w:lang w:val="sr-Latn-RS"/>
        </w:rPr>
        <w:t xml:space="preserve">/min jer nije moguće izvršiti neophodno podešavanje doze. </w:t>
      </w:r>
    </w:p>
    <w:p w14:paraId="058E0BD5" w14:textId="77777777" w:rsidR="006A35FB" w:rsidRPr="00E04F74" w:rsidRDefault="006A35FB" w:rsidP="00946B2E">
      <w:pPr>
        <w:jc w:val="both"/>
        <w:rPr>
          <w:sz w:val="22"/>
          <w:szCs w:val="22"/>
          <w:lang w:val="sr-Latn-RS"/>
        </w:rPr>
      </w:pPr>
    </w:p>
    <w:p w14:paraId="058E0BD6" w14:textId="77777777" w:rsidR="006A35FB" w:rsidRPr="00E04F74" w:rsidRDefault="006A35FB" w:rsidP="00946B2E">
      <w:pPr>
        <w:jc w:val="both"/>
        <w:rPr>
          <w:i/>
          <w:sz w:val="22"/>
          <w:szCs w:val="22"/>
          <w:lang w:val="sr-Latn-RS"/>
        </w:rPr>
      </w:pPr>
      <w:r w:rsidRPr="00E04F74">
        <w:rPr>
          <w:i/>
          <w:sz w:val="22"/>
          <w:szCs w:val="22"/>
          <w:lang w:val="sr-Latn-RS"/>
        </w:rPr>
        <w:t>Starije osobe</w:t>
      </w:r>
    </w:p>
    <w:p w14:paraId="058E0BD7" w14:textId="77777777" w:rsidR="006A35FB" w:rsidRPr="00E04F74" w:rsidRDefault="006A35FB" w:rsidP="00946B2E">
      <w:pPr>
        <w:jc w:val="both"/>
        <w:rPr>
          <w:i/>
          <w:sz w:val="22"/>
          <w:szCs w:val="22"/>
          <w:lang w:val="sr-Latn-RS"/>
        </w:rPr>
      </w:pPr>
    </w:p>
    <w:p w14:paraId="058E0BD8" w14:textId="77777777" w:rsidR="006A35FB" w:rsidRPr="00E04F74" w:rsidRDefault="006A35FB" w:rsidP="00946B2E">
      <w:pPr>
        <w:jc w:val="both"/>
        <w:rPr>
          <w:sz w:val="22"/>
          <w:szCs w:val="22"/>
          <w:lang w:val="sr-Latn-RS"/>
        </w:rPr>
      </w:pPr>
      <w:r w:rsidRPr="00E04F74">
        <w:rPr>
          <w:sz w:val="22"/>
          <w:szCs w:val="22"/>
          <w:lang w:val="sr-Latn-RS"/>
        </w:rPr>
        <w:t>Nema dostupnih farmakokinetičkih podataka za osobe starije od 65. godine života.</w:t>
      </w:r>
    </w:p>
    <w:p w14:paraId="058E0BD9" w14:textId="77777777" w:rsidR="006A35FB" w:rsidRPr="00E04F74" w:rsidRDefault="006A35FB" w:rsidP="00946B2E">
      <w:pPr>
        <w:jc w:val="both"/>
        <w:rPr>
          <w:sz w:val="22"/>
          <w:szCs w:val="22"/>
          <w:lang w:val="sr-Latn-RS"/>
        </w:rPr>
      </w:pPr>
    </w:p>
    <w:p w14:paraId="058E0BDA" w14:textId="77777777" w:rsidR="006A35FB" w:rsidRPr="00E04F74" w:rsidRDefault="006A35FB" w:rsidP="00946B2E">
      <w:pPr>
        <w:jc w:val="both"/>
        <w:rPr>
          <w:i/>
          <w:sz w:val="22"/>
          <w:szCs w:val="22"/>
          <w:lang w:val="sr-Latn-RS"/>
        </w:rPr>
      </w:pPr>
      <w:r w:rsidRPr="00E04F74">
        <w:rPr>
          <w:i/>
          <w:sz w:val="22"/>
          <w:szCs w:val="22"/>
          <w:lang w:val="sr-Latn-RS"/>
        </w:rPr>
        <w:t>Djeca</w:t>
      </w:r>
    </w:p>
    <w:p w14:paraId="058E0BDB" w14:textId="77777777" w:rsidR="006A35FB" w:rsidRPr="00E04F74" w:rsidRDefault="006A35FB" w:rsidP="00946B2E">
      <w:pPr>
        <w:jc w:val="both"/>
        <w:rPr>
          <w:sz w:val="22"/>
          <w:szCs w:val="22"/>
          <w:lang w:val="sr-Latn-RS"/>
        </w:rPr>
      </w:pPr>
    </w:p>
    <w:p w14:paraId="058E0BDC" w14:textId="77777777" w:rsidR="006A35FB" w:rsidRPr="00E04F74" w:rsidRDefault="006A35FB" w:rsidP="00946B2E">
      <w:pPr>
        <w:jc w:val="both"/>
        <w:rPr>
          <w:sz w:val="22"/>
          <w:szCs w:val="22"/>
          <w:lang w:val="sr-Latn-RS"/>
        </w:rPr>
      </w:pPr>
      <w:r w:rsidRPr="00E04F74">
        <w:rPr>
          <w:sz w:val="22"/>
          <w:szCs w:val="22"/>
          <w:lang w:val="sr-Latn-RS"/>
        </w:rPr>
        <w:t>Abakavir se brzo i dobro apsorbuje kod djece iz farmaceutskih oblika za oralnu primjenu. Pedijatrijske farmakokinetičke studije pokazale su da doziranje jednom dnevno daje AUC</w:t>
      </w:r>
      <w:r w:rsidRPr="00E04F74">
        <w:rPr>
          <w:sz w:val="22"/>
          <w:szCs w:val="22"/>
          <w:vertAlign w:val="subscript"/>
          <w:lang w:val="sr-Latn-RS"/>
        </w:rPr>
        <w:t>24</w:t>
      </w:r>
      <w:r w:rsidRPr="00E04F74">
        <w:rPr>
          <w:sz w:val="22"/>
          <w:szCs w:val="22"/>
          <w:lang w:val="sr-Latn-RS"/>
        </w:rPr>
        <w:t xml:space="preserve"> ekvivalentan doziranju dva puta dnevno pri istoj ukupnoj dnevnoj dozi i za oralne rastvore i za tablete.</w:t>
      </w:r>
    </w:p>
    <w:p w14:paraId="058E0BDD" w14:textId="77777777" w:rsidR="006A35FB" w:rsidRPr="00E04F74" w:rsidRDefault="006A35FB" w:rsidP="00946B2E">
      <w:pPr>
        <w:jc w:val="both"/>
        <w:rPr>
          <w:sz w:val="22"/>
          <w:szCs w:val="22"/>
          <w:lang w:val="sr-Latn-RS"/>
        </w:rPr>
      </w:pPr>
    </w:p>
    <w:p w14:paraId="058E0BDE" w14:textId="7B8CE952" w:rsidR="006A35FB" w:rsidRPr="00E04F74" w:rsidRDefault="006A35FB" w:rsidP="00946B2E">
      <w:pPr>
        <w:jc w:val="both"/>
        <w:rPr>
          <w:sz w:val="22"/>
          <w:szCs w:val="22"/>
          <w:lang w:val="sr-Latn-RS"/>
        </w:rPr>
      </w:pPr>
      <w:r w:rsidRPr="00E04F74">
        <w:rPr>
          <w:sz w:val="22"/>
          <w:szCs w:val="22"/>
          <w:lang w:val="sr-Latn-RS"/>
        </w:rPr>
        <w:t>Apsolutna bioraspoloživost lamivudina (oko 58 do 66%) bila je niža i varijabilnija kod pedijatrijskih pacijenata mlađih od 12 godina. Međutim, pedijatrijske farmakokinetičke studije gdje su korišćene tablete kao farmaceutski oblik, pokazale su da doziranje jednom dnevno daje AUC24</w:t>
      </w:r>
      <w:r w:rsidR="002870DD" w:rsidRPr="00E04F74">
        <w:rPr>
          <w:sz w:val="22"/>
          <w:szCs w:val="22"/>
          <w:lang w:val="sr-Latn-RS"/>
        </w:rPr>
        <w:t xml:space="preserve"> </w:t>
      </w:r>
      <w:r w:rsidRPr="00E04F74">
        <w:rPr>
          <w:sz w:val="22"/>
          <w:szCs w:val="22"/>
          <w:lang w:val="sr-Latn-RS"/>
        </w:rPr>
        <w:t>ekvivalentan doziranju dva puta dnevno za istu ukupnu dnevnu dozu.</w:t>
      </w:r>
    </w:p>
    <w:p w14:paraId="058E0BDF" w14:textId="77777777" w:rsidR="0072020E" w:rsidRPr="00E04F74" w:rsidRDefault="0072020E" w:rsidP="00946B2E">
      <w:pPr>
        <w:tabs>
          <w:tab w:val="left" w:pos="540"/>
          <w:tab w:val="left" w:pos="569"/>
        </w:tabs>
        <w:jc w:val="both"/>
        <w:rPr>
          <w:bCs/>
          <w:sz w:val="22"/>
          <w:szCs w:val="22"/>
          <w:lang w:val="sr-Latn-RS"/>
        </w:rPr>
      </w:pPr>
    </w:p>
    <w:p w14:paraId="058E0BE0" w14:textId="718098CA" w:rsidR="0072020E" w:rsidRPr="00E04F74" w:rsidRDefault="0072020E" w:rsidP="00946B2E">
      <w:pPr>
        <w:tabs>
          <w:tab w:val="left" w:pos="540"/>
          <w:tab w:val="left" w:pos="569"/>
        </w:tabs>
        <w:jc w:val="both"/>
        <w:rPr>
          <w:b/>
          <w:bCs/>
          <w:sz w:val="22"/>
          <w:szCs w:val="22"/>
          <w:lang w:val="sr-Latn-RS"/>
        </w:rPr>
      </w:pPr>
      <w:r w:rsidRPr="00E04F74">
        <w:rPr>
          <w:b/>
          <w:bCs/>
          <w:sz w:val="22"/>
          <w:szCs w:val="22"/>
          <w:lang w:val="sr-Latn-RS"/>
        </w:rPr>
        <w:t xml:space="preserve">5.3. </w:t>
      </w:r>
      <w:r w:rsidR="00480FB1" w:rsidRPr="00E04F74">
        <w:rPr>
          <w:b/>
          <w:bCs/>
          <w:sz w:val="22"/>
          <w:szCs w:val="22"/>
          <w:lang w:val="sr-Latn-RS"/>
        </w:rPr>
        <w:tab/>
      </w:r>
      <w:r w:rsidRPr="00E04F74">
        <w:rPr>
          <w:b/>
          <w:bCs/>
          <w:sz w:val="22"/>
          <w:szCs w:val="22"/>
          <w:lang w:val="sr-Latn-RS"/>
        </w:rPr>
        <w:t xml:space="preserve">Pretklinički podaci o bezbjednosti </w:t>
      </w:r>
    </w:p>
    <w:p w14:paraId="6D726D66" w14:textId="77777777" w:rsidR="001076FF" w:rsidRPr="00E04F74" w:rsidRDefault="001076FF" w:rsidP="00946B2E">
      <w:pPr>
        <w:tabs>
          <w:tab w:val="left" w:pos="540"/>
          <w:tab w:val="left" w:pos="569"/>
        </w:tabs>
        <w:jc w:val="both"/>
        <w:rPr>
          <w:b/>
          <w:bCs/>
          <w:sz w:val="22"/>
          <w:szCs w:val="22"/>
          <w:lang w:val="sr-Latn-RS"/>
        </w:rPr>
      </w:pPr>
    </w:p>
    <w:p w14:paraId="058E0BE1" w14:textId="77777777" w:rsidR="0013777A" w:rsidRPr="00E04F74" w:rsidRDefault="0013777A" w:rsidP="00946B2E">
      <w:pPr>
        <w:pStyle w:val="Header"/>
        <w:jc w:val="both"/>
        <w:rPr>
          <w:sz w:val="22"/>
          <w:szCs w:val="22"/>
          <w:lang w:val="sr-Latn-RS"/>
        </w:rPr>
      </w:pPr>
      <w:r w:rsidRPr="00E04F74">
        <w:rPr>
          <w:sz w:val="22"/>
          <w:szCs w:val="22"/>
          <w:lang w:val="sr-Latn-RS"/>
        </w:rPr>
        <w:t xml:space="preserve">Sa izuzetkom negativnog mikronukleusnog testa kod pacova </w:t>
      </w:r>
      <w:r w:rsidRPr="00E04F74">
        <w:rPr>
          <w:i/>
          <w:sz w:val="22"/>
          <w:szCs w:val="22"/>
          <w:lang w:val="sr-Latn-RS"/>
        </w:rPr>
        <w:t>in vivo</w:t>
      </w:r>
      <w:r w:rsidRPr="00E04F74">
        <w:rPr>
          <w:sz w:val="22"/>
          <w:szCs w:val="22"/>
          <w:lang w:val="sr-Latn-RS"/>
        </w:rPr>
        <w:t>, nema raspoloživih podataka o dejstvima kombinacije lamivudina i abakavira kod životinja.</w:t>
      </w:r>
    </w:p>
    <w:p w14:paraId="058E0BE2" w14:textId="77777777" w:rsidR="0013777A" w:rsidRPr="00E04F74" w:rsidRDefault="0013777A" w:rsidP="00946B2E">
      <w:pPr>
        <w:pStyle w:val="Header"/>
        <w:tabs>
          <w:tab w:val="left" w:pos="284"/>
        </w:tabs>
        <w:jc w:val="both"/>
        <w:rPr>
          <w:sz w:val="22"/>
          <w:szCs w:val="22"/>
          <w:lang w:val="sr-Latn-RS"/>
        </w:rPr>
      </w:pPr>
    </w:p>
    <w:p w14:paraId="058E0BE3" w14:textId="77777777" w:rsidR="0013777A" w:rsidRPr="00E04F74" w:rsidRDefault="0013777A" w:rsidP="00946B2E">
      <w:pPr>
        <w:pStyle w:val="Header"/>
        <w:jc w:val="both"/>
        <w:rPr>
          <w:sz w:val="22"/>
          <w:szCs w:val="22"/>
          <w:u w:val="single"/>
          <w:lang w:val="sr-Latn-RS"/>
        </w:rPr>
      </w:pPr>
      <w:r w:rsidRPr="00E04F74">
        <w:rPr>
          <w:sz w:val="22"/>
          <w:szCs w:val="22"/>
          <w:u w:val="single"/>
          <w:lang w:val="sr-Latn-RS"/>
        </w:rPr>
        <w:t>Mutagenost i karcinogenost</w:t>
      </w:r>
    </w:p>
    <w:p w14:paraId="058E0BE4" w14:textId="77777777" w:rsidR="0013777A" w:rsidRPr="00E04F74" w:rsidRDefault="0013777A" w:rsidP="00946B2E">
      <w:pPr>
        <w:pStyle w:val="Header"/>
        <w:jc w:val="both"/>
        <w:rPr>
          <w:sz w:val="22"/>
          <w:szCs w:val="22"/>
          <w:lang w:val="sr-Latn-RS"/>
        </w:rPr>
      </w:pPr>
    </w:p>
    <w:p w14:paraId="058E0BE5" w14:textId="77777777" w:rsidR="0013777A" w:rsidRPr="00E04F74" w:rsidRDefault="0013777A" w:rsidP="00946B2E">
      <w:pPr>
        <w:pStyle w:val="Header"/>
        <w:jc w:val="both"/>
        <w:rPr>
          <w:sz w:val="22"/>
          <w:szCs w:val="22"/>
          <w:lang w:val="sr-Latn-RS"/>
        </w:rPr>
      </w:pPr>
      <w:r w:rsidRPr="00E04F74">
        <w:rPr>
          <w:sz w:val="22"/>
          <w:szCs w:val="22"/>
          <w:lang w:val="sr-Latn-RS"/>
        </w:rPr>
        <w:t xml:space="preserve">U testovima na bakterijama, ni abakavir ni lamivudin nijesu bili mutageni, ali, kao i mnogi nukleozidni analozi, inhibiraju ćelijsku DNK replikaciju u testovima na sisarima </w:t>
      </w:r>
      <w:r w:rsidRPr="00E04F74">
        <w:rPr>
          <w:i/>
          <w:sz w:val="22"/>
          <w:szCs w:val="22"/>
          <w:lang w:val="sr-Latn-RS"/>
        </w:rPr>
        <w:t>in vitro</w:t>
      </w:r>
      <w:r w:rsidRPr="00E04F74">
        <w:rPr>
          <w:sz w:val="22"/>
          <w:szCs w:val="22"/>
          <w:lang w:val="sr-Latn-RS"/>
        </w:rPr>
        <w:t xml:space="preserve">, kao što je test mišjeg </w:t>
      </w:r>
      <w:r w:rsidRPr="00E04F74">
        <w:rPr>
          <w:sz w:val="22"/>
          <w:szCs w:val="22"/>
          <w:lang w:val="sr-Latn-RS"/>
        </w:rPr>
        <w:lastRenderedPageBreak/>
        <w:t xml:space="preserve">limfoma. Rezultati mikronukleusnog testa kod pacova </w:t>
      </w:r>
      <w:r w:rsidRPr="00E04F74">
        <w:rPr>
          <w:i/>
          <w:sz w:val="22"/>
          <w:szCs w:val="22"/>
          <w:lang w:val="sr-Latn-RS"/>
        </w:rPr>
        <w:t xml:space="preserve">in vivo </w:t>
      </w:r>
      <w:r w:rsidRPr="00E04F74">
        <w:rPr>
          <w:sz w:val="22"/>
          <w:szCs w:val="22"/>
          <w:lang w:val="sr-Latn-RS"/>
        </w:rPr>
        <w:t>sa lamivudinom i abakavirom u kombinaciji bili su negativni.</w:t>
      </w:r>
    </w:p>
    <w:p w14:paraId="058E0BE7" w14:textId="77777777" w:rsidR="0013777A" w:rsidRPr="00E04F74" w:rsidRDefault="0013777A" w:rsidP="00946B2E">
      <w:pPr>
        <w:pStyle w:val="Header"/>
        <w:jc w:val="both"/>
        <w:rPr>
          <w:sz w:val="22"/>
          <w:szCs w:val="22"/>
          <w:lang w:val="sr-Latn-RS"/>
        </w:rPr>
      </w:pPr>
      <w:r w:rsidRPr="00E04F74">
        <w:rPr>
          <w:sz w:val="22"/>
          <w:szCs w:val="22"/>
          <w:lang w:val="sr-Latn-RS"/>
        </w:rPr>
        <w:t xml:space="preserve">Lamivudin nije ispoljio genotoksičnu aktivnost u ispitivanjima </w:t>
      </w:r>
      <w:r w:rsidRPr="00E04F74">
        <w:rPr>
          <w:i/>
          <w:sz w:val="22"/>
          <w:szCs w:val="22"/>
          <w:lang w:val="sr-Latn-RS"/>
        </w:rPr>
        <w:t xml:space="preserve">in vivo </w:t>
      </w:r>
      <w:r w:rsidRPr="00E04F74">
        <w:rPr>
          <w:sz w:val="22"/>
          <w:szCs w:val="22"/>
          <w:lang w:val="sr-Latn-RS"/>
        </w:rPr>
        <w:t xml:space="preserve">u dozama koje su davale 40-50 puta veće plazmatske koncentracije od kliničkih koncentracija u plazmi. Abakavir posjeduje slab potencijal da, u visokim koncentracijama, prouzrokuje oštećenje hromozoma i </w:t>
      </w:r>
      <w:r w:rsidRPr="00E04F74">
        <w:rPr>
          <w:i/>
          <w:sz w:val="22"/>
          <w:szCs w:val="22"/>
          <w:lang w:val="sr-Latn-RS"/>
        </w:rPr>
        <w:t>in vitro</w:t>
      </w:r>
      <w:r w:rsidRPr="00E04F74">
        <w:rPr>
          <w:sz w:val="22"/>
          <w:szCs w:val="22"/>
          <w:lang w:val="sr-Latn-RS"/>
        </w:rPr>
        <w:t xml:space="preserve"> i </w:t>
      </w:r>
      <w:r w:rsidRPr="00E04F74">
        <w:rPr>
          <w:i/>
          <w:sz w:val="22"/>
          <w:szCs w:val="22"/>
          <w:lang w:val="sr-Latn-RS"/>
        </w:rPr>
        <w:t>in vivo.</w:t>
      </w:r>
    </w:p>
    <w:p w14:paraId="058E0BE8" w14:textId="77777777" w:rsidR="0013777A" w:rsidRPr="00E04F74" w:rsidRDefault="0013777A" w:rsidP="00946B2E">
      <w:pPr>
        <w:pStyle w:val="Header"/>
        <w:jc w:val="both"/>
        <w:rPr>
          <w:sz w:val="22"/>
          <w:szCs w:val="22"/>
          <w:lang w:val="sr-Latn-RS"/>
        </w:rPr>
      </w:pPr>
    </w:p>
    <w:p w14:paraId="058E0BE9" w14:textId="67DFF8CE" w:rsidR="0013777A" w:rsidRPr="00E04F74" w:rsidRDefault="0013777A" w:rsidP="00946B2E">
      <w:pPr>
        <w:pStyle w:val="Header"/>
        <w:jc w:val="both"/>
        <w:rPr>
          <w:sz w:val="22"/>
          <w:szCs w:val="22"/>
          <w:lang w:val="sr-Latn-RS"/>
        </w:rPr>
      </w:pPr>
      <w:r w:rsidRPr="00E04F74">
        <w:rPr>
          <w:sz w:val="22"/>
          <w:szCs w:val="22"/>
          <w:lang w:val="sr-Latn-RS"/>
        </w:rPr>
        <w:t>Karcinogeni potencijal kombinacije lamivudina i abakavira nije ispitivan. U dugotrajnim ispitivanjima oralne karcinogenosti kod miševa i pacova, lamivudin nije ispoljio karcinogeni potencijal. Studije karcinogenosti sa oralno primijenjenim abakavirom kod miševa i pacova pokazale su povećanje incidence malignih i nemalignih tumora. Maligni tumori su se javljali u prepucijalnoj žlijezdi mužjaka i klitorisnoj žlijezdi ženki obje vrste, a kod pacova u tireoidnoj žlijezdi mužjaka i jetri, mokraćnoj bešici, limfnim žlijezdama i potkožnom tkivu ženki.</w:t>
      </w:r>
    </w:p>
    <w:p w14:paraId="058E0BEA" w14:textId="77777777" w:rsidR="0013777A" w:rsidRPr="00E04F74" w:rsidRDefault="0013777A" w:rsidP="00946B2E">
      <w:pPr>
        <w:pStyle w:val="Header"/>
        <w:jc w:val="both"/>
        <w:rPr>
          <w:sz w:val="22"/>
          <w:szCs w:val="22"/>
          <w:lang w:val="sr-Latn-RS"/>
        </w:rPr>
      </w:pPr>
    </w:p>
    <w:p w14:paraId="058E0BEB" w14:textId="77777777" w:rsidR="0013777A" w:rsidRPr="00E04F74" w:rsidRDefault="0013777A" w:rsidP="00946B2E">
      <w:pPr>
        <w:pStyle w:val="Header"/>
        <w:jc w:val="both"/>
        <w:rPr>
          <w:sz w:val="22"/>
          <w:szCs w:val="22"/>
          <w:lang w:val="sr-Latn-RS"/>
        </w:rPr>
      </w:pPr>
      <w:r w:rsidRPr="00E04F74">
        <w:rPr>
          <w:sz w:val="22"/>
          <w:szCs w:val="22"/>
          <w:lang w:val="sr-Latn-RS"/>
        </w:rPr>
        <w:t xml:space="preserve">Većina navedenih tumora se javljala pri primjeni najveće doze abakavira od 330 mg/kg/dnevno kod miševa i 600 mg/kg/dnevno kod pacova. Izuzetak je predstavljao tumor prepucijalne žlijezde koji se javio pri dozi od 110 mg/kg kod miševa. Sistemska ekspozicija na nivou "bez efekta" kod miševa i pacova odgovarala je dozama koje su bile 3 i 7 puta veće od sistemske ekspozicije ljudi tokom terapije. Dok klinički značaj navedenih otkrića nije poznat, ovi podaci ukazuju da potencijalne kliničke koristi nadmašuju karcinogeni rizik za ljude. </w:t>
      </w:r>
    </w:p>
    <w:p w14:paraId="058E0BEC" w14:textId="77777777" w:rsidR="0013777A" w:rsidRPr="00E04F74" w:rsidRDefault="0013777A" w:rsidP="00946B2E">
      <w:pPr>
        <w:pStyle w:val="Header"/>
        <w:jc w:val="both"/>
        <w:rPr>
          <w:sz w:val="22"/>
          <w:szCs w:val="22"/>
          <w:lang w:val="sr-Latn-RS"/>
        </w:rPr>
      </w:pPr>
    </w:p>
    <w:p w14:paraId="058E0BED" w14:textId="77777777" w:rsidR="0013777A" w:rsidRPr="00E04F74" w:rsidRDefault="0013777A" w:rsidP="00946B2E">
      <w:pPr>
        <w:pStyle w:val="Header"/>
        <w:jc w:val="both"/>
        <w:rPr>
          <w:sz w:val="22"/>
          <w:szCs w:val="22"/>
          <w:u w:val="single"/>
          <w:lang w:val="sr-Latn-RS"/>
        </w:rPr>
      </w:pPr>
      <w:r w:rsidRPr="00E04F74">
        <w:rPr>
          <w:sz w:val="22"/>
          <w:szCs w:val="22"/>
          <w:u w:val="single"/>
          <w:lang w:val="sr-Latn-RS"/>
        </w:rPr>
        <w:t>Toksičnost pri ponavljanom doziranju</w:t>
      </w:r>
    </w:p>
    <w:p w14:paraId="058E0BEE" w14:textId="77777777" w:rsidR="0013777A" w:rsidRPr="00E04F74" w:rsidRDefault="0013777A" w:rsidP="00946B2E">
      <w:pPr>
        <w:pStyle w:val="Header"/>
        <w:jc w:val="both"/>
        <w:rPr>
          <w:sz w:val="22"/>
          <w:szCs w:val="22"/>
          <w:lang w:val="sr-Latn-RS"/>
        </w:rPr>
      </w:pPr>
    </w:p>
    <w:p w14:paraId="058E0BEF" w14:textId="77777777" w:rsidR="0013777A" w:rsidRPr="00E04F74" w:rsidRDefault="0013777A" w:rsidP="00946B2E">
      <w:pPr>
        <w:pStyle w:val="Header"/>
        <w:jc w:val="both"/>
        <w:rPr>
          <w:sz w:val="22"/>
          <w:szCs w:val="22"/>
          <w:lang w:val="sr-Latn-RS"/>
        </w:rPr>
      </w:pPr>
      <w:r w:rsidRPr="00E04F74">
        <w:rPr>
          <w:sz w:val="22"/>
          <w:szCs w:val="22"/>
          <w:lang w:val="sr-Latn-RS"/>
        </w:rPr>
        <w:t>U toksikološkim ispitivanjima je pokazano da abakavir povećava težinu jetre kod pacova i majmuna. Klinički značaj navedenog nije poznat. Klinička ispitivanja nijesu pokazala hepatotoksičnost abakavira. Dodatno, kod ljudi nije zapažena autoindukcija metabolizma abakavira ili indukcija metabolizma drugih ljekova koji se metabolišu u jetri.</w:t>
      </w:r>
    </w:p>
    <w:p w14:paraId="058E0BF0" w14:textId="77777777" w:rsidR="0013777A" w:rsidRPr="00E04F74" w:rsidRDefault="0013777A" w:rsidP="00946B2E">
      <w:pPr>
        <w:pStyle w:val="Header"/>
        <w:jc w:val="both"/>
        <w:rPr>
          <w:sz w:val="22"/>
          <w:szCs w:val="22"/>
          <w:lang w:val="sr-Latn-RS"/>
        </w:rPr>
      </w:pPr>
    </w:p>
    <w:p w14:paraId="058E0BF1" w14:textId="77777777" w:rsidR="0013777A" w:rsidRPr="00E04F74" w:rsidRDefault="0013777A" w:rsidP="00946B2E">
      <w:pPr>
        <w:pStyle w:val="Header"/>
        <w:jc w:val="both"/>
        <w:rPr>
          <w:sz w:val="22"/>
          <w:szCs w:val="22"/>
          <w:lang w:val="sr-Latn-RS"/>
        </w:rPr>
      </w:pPr>
      <w:r w:rsidRPr="00E04F74">
        <w:rPr>
          <w:sz w:val="22"/>
          <w:szCs w:val="22"/>
          <w:lang w:val="sr-Latn-RS"/>
        </w:rPr>
        <w:t>Nakon primjene abakavira tokom perioda od dvije godine, zapažena je blaga degeneracija miokarda pacova i miševa. Sistemske ekspozicije su bile ekvivalentne 7 do 24 puta većoj od očekivane sistemske ekspozicije kod čovjeka. Nije utvrđen klinički značaj navedenih otkrića.</w:t>
      </w:r>
    </w:p>
    <w:p w14:paraId="058E0BF2" w14:textId="77777777" w:rsidR="0013777A" w:rsidRPr="00E04F74" w:rsidRDefault="0013777A" w:rsidP="00946B2E">
      <w:pPr>
        <w:pStyle w:val="Header"/>
        <w:jc w:val="both"/>
        <w:rPr>
          <w:sz w:val="22"/>
          <w:szCs w:val="22"/>
          <w:lang w:val="sr-Latn-RS"/>
        </w:rPr>
      </w:pPr>
    </w:p>
    <w:p w14:paraId="058E0BF3" w14:textId="77777777" w:rsidR="0013777A" w:rsidRPr="00E04F74" w:rsidRDefault="0013777A" w:rsidP="00946B2E">
      <w:pPr>
        <w:pStyle w:val="Header"/>
        <w:jc w:val="both"/>
        <w:rPr>
          <w:sz w:val="22"/>
          <w:szCs w:val="22"/>
          <w:u w:val="single"/>
          <w:lang w:val="sr-Latn-RS"/>
        </w:rPr>
      </w:pPr>
      <w:r w:rsidRPr="00E04F74">
        <w:rPr>
          <w:sz w:val="22"/>
          <w:szCs w:val="22"/>
          <w:u w:val="single"/>
          <w:lang w:val="sr-Latn-RS"/>
        </w:rPr>
        <w:t>Reproduktivna toksikologija</w:t>
      </w:r>
    </w:p>
    <w:p w14:paraId="058E0BF4" w14:textId="77777777" w:rsidR="0013777A" w:rsidRPr="00E04F74" w:rsidRDefault="0013777A" w:rsidP="00946B2E">
      <w:pPr>
        <w:pStyle w:val="Header"/>
        <w:jc w:val="both"/>
        <w:rPr>
          <w:sz w:val="22"/>
          <w:szCs w:val="22"/>
          <w:lang w:val="sr-Latn-RS"/>
        </w:rPr>
      </w:pPr>
    </w:p>
    <w:p w14:paraId="058E0BF5" w14:textId="77777777" w:rsidR="0013777A" w:rsidRPr="00E04F74" w:rsidRDefault="0013777A" w:rsidP="00946B2E">
      <w:pPr>
        <w:pStyle w:val="Header"/>
        <w:jc w:val="both"/>
        <w:rPr>
          <w:sz w:val="22"/>
          <w:szCs w:val="22"/>
          <w:lang w:val="sr-Latn-RS"/>
        </w:rPr>
      </w:pPr>
      <w:r w:rsidRPr="00E04F74">
        <w:rPr>
          <w:sz w:val="22"/>
          <w:szCs w:val="22"/>
          <w:lang w:val="sr-Latn-RS"/>
        </w:rPr>
        <w:t>U okviru ispitivanja reproduktivne toksičnosti kod životinja, pokazano je da abakavir i lamivudin prolaze kroz placentu.</w:t>
      </w:r>
    </w:p>
    <w:p w14:paraId="058E0BF6" w14:textId="77777777" w:rsidR="0013777A" w:rsidRPr="00E04F74" w:rsidRDefault="0013777A" w:rsidP="00946B2E">
      <w:pPr>
        <w:pStyle w:val="Header"/>
        <w:jc w:val="both"/>
        <w:rPr>
          <w:sz w:val="22"/>
          <w:szCs w:val="22"/>
          <w:lang w:val="sr-Latn-RS"/>
        </w:rPr>
      </w:pPr>
    </w:p>
    <w:p w14:paraId="058E0BF7" w14:textId="77777777" w:rsidR="0013777A" w:rsidRPr="00E04F74" w:rsidRDefault="0013777A" w:rsidP="00946B2E">
      <w:pPr>
        <w:pStyle w:val="Header"/>
        <w:jc w:val="both"/>
        <w:rPr>
          <w:sz w:val="22"/>
          <w:szCs w:val="22"/>
          <w:lang w:val="sr-Latn-RS"/>
        </w:rPr>
      </w:pPr>
      <w:r w:rsidRPr="00E04F74">
        <w:rPr>
          <w:sz w:val="22"/>
          <w:szCs w:val="22"/>
          <w:lang w:val="sr-Latn-RS"/>
        </w:rPr>
        <w:t>Lamivudin nije bio teratogen u eksperimentima na životinjama, ali su postojale indikacije da se javlja povećanje učestalosti rane smrtnosti embriona kod kunića, pri relativno niskoj sistemskoj ekspoziciji, koja se mogla porediti sa ekspozicijom koja se postiže kod ljudi. Slično dejstvo nije zapaženo kod pacova, čak i pri veoma visokoj sistemskoj ekspoziciji.</w:t>
      </w:r>
    </w:p>
    <w:p w14:paraId="058E0BF8" w14:textId="77777777" w:rsidR="0013777A" w:rsidRPr="00E04F74" w:rsidRDefault="0013777A" w:rsidP="00946B2E">
      <w:pPr>
        <w:pStyle w:val="Header"/>
        <w:jc w:val="both"/>
        <w:rPr>
          <w:sz w:val="22"/>
          <w:szCs w:val="22"/>
          <w:lang w:val="sr-Latn-RS"/>
        </w:rPr>
      </w:pPr>
    </w:p>
    <w:p w14:paraId="058E0BF9" w14:textId="77777777" w:rsidR="0013777A" w:rsidRPr="00E04F74" w:rsidRDefault="0013777A" w:rsidP="00946B2E">
      <w:pPr>
        <w:pStyle w:val="Header"/>
        <w:jc w:val="both"/>
        <w:rPr>
          <w:sz w:val="22"/>
          <w:szCs w:val="22"/>
          <w:lang w:val="sr-Latn-RS"/>
        </w:rPr>
      </w:pPr>
      <w:r w:rsidRPr="00E04F74">
        <w:rPr>
          <w:sz w:val="22"/>
          <w:szCs w:val="22"/>
          <w:lang w:val="sr-Latn-RS"/>
        </w:rPr>
        <w:t>Abakavir je ispoljio toksičnost na embrion u razvoju i fetus kod pacova, ali ne i kod kunića. Navedeni nalazi su obuhvatali smanjenu tjelesnu masu fetusa, edem fetusa, kao i povećanje varijacija/malformacija skeleta, ranu intrauterinu smrt i mrtvorođenost. Nije moguće donijeti zaključke o teratogenom potencijalu abakavira na osnovu navedene embrio-fetalne toksičnosti.</w:t>
      </w:r>
    </w:p>
    <w:p w14:paraId="058E0BFA" w14:textId="77777777" w:rsidR="0013777A" w:rsidRPr="00E04F74" w:rsidRDefault="0013777A" w:rsidP="00946B2E">
      <w:pPr>
        <w:pStyle w:val="Header"/>
        <w:jc w:val="both"/>
        <w:rPr>
          <w:sz w:val="22"/>
          <w:szCs w:val="22"/>
          <w:lang w:val="sr-Latn-RS"/>
        </w:rPr>
      </w:pPr>
    </w:p>
    <w:p w14:paraId="058E0BFB" w14:textId="77777777" w:rsidR="00836B35" w:rsidRPr="00E04F74" w:rsidRDefault="0013777A" w:rsidP="00946B2E">
      <w:pPr>
        <w:pStyle w:val="Header"/>
        <w:jc w:val="both"/>
        <w:rPr>
          <w:sz w:val="22"/>
          <w:szCs w:val="22"/>
          <w:lang w:val="sr-Latn-RS"/>
        </w:rPr>
      </w:pPr>
      <w:r w:rsidRPr="00E04F74">
        <w:rPr>
          <w:sz w:val="22"/>
          <w:szCs w:val="22"/>
          <w:lang w:val="sr-Latn-RS"/>
        </w:rPr>
        <w:t>Ispitivanje fertiliteta kod pacova je pokazalo da abakavir i lamivudin nemaju dejstva na fertilitet mužjaka ili ženki.</w:t>
      </w:r>
    </w:p>
    <w:p w14:paraId="058E0BFC" w14:textId="34955021" w:rsidR="00396DFD" w:rsidRPr="00E04F74" w:rsidRDefault="00396DFD" w:rsidP="00946B2E">
      <w:pPr>
        <w:tabs>
          <w:tab w:val="left" w:pos="540"/>
          <w:tab w:val="left" w:pos="569"/>
        </w:tabs>
        <w:jc w:val="both"/>
        <w:rPr>
          <w:b/>
          <w:bCs/>
          <w:sz w:val="22"/>
          <w:szCs w:val="22"/>
          <w:lang w:val="sr-Latn-RS"/>
        </w:rPr>
      </w:pPr>
    </w:p>
    <w:p w14:paraId="5F2FE079" w14:textId="77777777" w:rsidR="001076FF" w:rsidRPr="00E04F74" w:rsidRDefault="001076FF" w:rsidP="001076FF">
      <w:pPr>
        <w:tabs>
          <w:tab w:val="left" w:pos="540"/>
          <w:tab w:val="left" w:pos="569"/>
        </w:tabs>
        <w:rPr>
          <w:b/>
          <w:bCs/>
          <w:sz w:val="22"/>
          <w:szCs w:val="22"/>
          <w:lang w:val="sr-Latn-RS"/>
        </w:rPr>
      </w:pPr>
    </w:p>
    <w:p w14:paraId="058E0BFD" w14:textId="77777777" w:rsidR="0072020E" w:rsidRPr="00E04F74" w:rsidRDefault="0072020E" w:rsidP="001076FF">
      <w:pPr>
        <w:tabs>
          <w:tab w:val="left" w:pos="540"/>
          <w:tab w:val="left" w:pos="569"/>
        </w:tabs>
        <w:rPr>
          <w:b/>
          <w:bCs/>
          <w:sz w:val="22"/>
          <w:szCs w:val="22"/>
          <w:lang w:val="sr-Latn-RS"/>
        </w:rPr>
      </w:pPr>
      <w:r w:rsidRPr="00E04F74">
        <w:rPr>
          <w:b/>
          <w:bCs/>
          <w:sz w:val="22"/>
          <w:szCs w:val="22"/>
          <w:lang w:val="sr-Latn-RS"/>
        </w:rPr>
        <w:t xml:space="preserve">6. </w:t>
      </w:r>
      <w:r w:rsidR="00480FB1" w:rsidRPr="00E04F74">
        <w:rPr>
          <w:b/>
          <w:bCs/>
          <w:sz w:val="22"/>
          <w:szCs w:val="22"/>
          <w:lang w:val="sr-Latn-RS"/>
        </w:rPr>
        <w:tab/>
      </w:r>
      <w:r w:rsidRPr="00E04F74">
        <w:rPr>
          <w:b/>
          <w:bCs/>
          <w:sz w:val="22"/>
          <w:szCs w:val="22"/>
          <w:lang w:val="sr-Latn-RS"/>
        </w:rPr>
        <w:t>FARMACEUTSKI PODACI</w:t>
      </w:r>
    </w:p>
    <w:p w14:paraId="058E0BFE" w14:textId="77777777" w:rsidR="00836B35" w:rsidRPr="00E04F74" w:rsidRDefault="00836B35" w:rsidP="001076FF">
      <w:pPr>
        <w:tabs>
          <w:tab w:val="left" w:pos="540"/>
          <w:tab w:val="left" w:pos="569"/>
        </w:tabs>
        <w:rPr>
          <w:bCs/>
          <w:sz w:val="22"/>
          <w:szCs w:val="22"/>
          <w:lang w:val="sr-Latn-RS"/>
        </w:rPr>
      </w:pPr>
    </w:p>
    <w:p w14:paraId="058E0BFF" w14:textId="63B9F1B8" w:rsidR="0072020E" w:rsidRPr="00E04F74" w:rsidRDefault="0072020E" w:rsidP="001076FF">
      <w:pPr>
        <w:tabs>
          <w:tab w:val="left" w:pos="540"/>
          <w:tab w:val="left" w:pos="569"/>
        </w:tabs>
        <w:rPr>
          <w:b/>
          <w:bCs/>
          <w:sz w:val="22"/>
          <w:szCs w:val="22"/>
          <w:lang w:val="sr-Latn-RS"/>
        </w:rPr>
      </w:pPr>
      <w:r w:rsidRPr="00E04F74">
        <w:rPr>
          <w:b/>
          <w:bCs/>
          <w:sz w:val="22"/>
          <w:szCs w:val="22"/>
          <w:lang w:val="sr-Latn-RS"/>
        </w:rPr>
        <w:t xml:space="preserve">6.1. </w:t>
      </w:r>
      <w:r w:rsidR="00480FB1" w:rsidRPr="00E04F74">
        <w:rPr>
          <w:b/>
          <w:bCs/>
          <w:sz w:val="22"/>
          <w:szCs w:val="22"/>
          <w:lang w:val="sr-Latn-RS"/>
        </w:rPr>
        <w:tab/>
      </w:r>
      <w:r w:rsidRPr="00E04F74">
        <w:rPr>
          <w:b/>
          <w:bCs/>
          <w:sz w:val="22"/>
          <w:szCs w:val="22"/>
          <w:lang w:val="sr-Latn-RS"/>
        </w:rPr>
        <w:t>Lista pomoćnih supstanci</w:t>
      </w:r>
      <w:r w:rsidR="002E0135" w:rsidRPr="00E04F74">
        <w:rPr>
          <w:b/>
          <w:bCs/>
          <w:sz w:val="22"/>
          <w:szCs w:val="22"/>
          <w:lang w:val="sr-Latn-RS"/>
        </w:rPr>
        <w:t xml:space="preserve"> (ekscipijenasa)</w:t>
      </w:r>
    </w:p>
    <w:p w14:paraId="6F7B1807" w14:textId="77777777" w:rsidR="006A5DB4" w:rsidRPr="00E04F74" w:rsidRDefault="006A5DB4" w:rsidP="001076FF">
      <w:pPr>
        <w:tabs>
          <w:tab w:val="left" w:pos="540"/>
          <w:tab w:val="left" w:pos="569"/>
        </w:tabs>
        <w:rPr>
          <w:b/>
          <w:bCs/>
          <w:sz w:val="22"/>
          <w:szCs w:val="22"/>
          <w:lang w:val="sr-Latn-RS"/>
        </w:rPr>
      </w:pPr>
    </w:p>
    <w:p w14:paraId="058E0C00" w14:textId="77777777" w:rsidR="00B77498" w:rsidRPr="00E04F74" w:rsidRDefault="00B77498" w:rsidP="001076FF">
      <w:pPr>
        <w:pStyle w:val="Header"/>
        <w:rPr>
          <w:i/>
          <w:sz w:val="22"/>
          <w:szCs w:val="22"/>
          <w:u w:val="single"/>
          <w:lang w:val="sr-Latn-RS"/>
        </w:rPr>
      </w:pPr>
      <w:r w:rsidRPr="00E04F74">
        <w:rPr>
          <w:i/>
          <w:sz w:val="22"/>
          <w:szCs w:val="22"/>
          <w:u w:val="single"/>
          <w:lang w:val="sr-Latn-RS"/>
        </w:rPr>
        <w:t>Jezgro tablete:</w:t>
      </w:r>
    </w:p>
    <w:p w14:paraId="058E0C01" w14:textId="77777777" w:rsidR="00B77498" w:rsidRPr="00E04F74" w:rsidRDefault="00B77498" w:rsidP="001076FF">
      <w:pPr>
        <w:pStyle w:val="Header"/>
        <w:rPr>
          <w:sz w:val="22"/>
          <w:szCs w:val="22"/>
          <w:lang w:val="sr-Latn-RS"/>
        </w:rPr>
      </w:pPr>
      <w:r w:rsidRPr="00E04F74">
        <w:rPr>
          <w:sz w:val="22"/>
          <w:szCs w:val="22"/>
          <w:lang w:val="sr-Latn-RS"/>
        </w:rPr>
        <w:t>Magnezijum stearat</w:t>
      </w:r>
    </w:p>
    <w:p w14:paraId="058E0C02" w14:textId="77777777" w:rsidR="00B77498" w:rsidRPr="00E04F74" w:rsidRDefault="00B77498" w:rsidP="001076FF">
      <w:pPr>
        <w:pStyle w:val="Header"/>
        <w:rPr>
          <w:sz w:val="22"/>
          <w:szCs w:val="22"/>
          <w:lang w:val="sr-Latn-RS"/>
        </w:rPr>
      </w:pPr>
      <w:r w:rsidRPr="00E04F74">
        <w:rPr>
          <w:sz w:val="22"/>
          <w:szCs w:val="22"/>
          <w:lang w:val="sr-Latn-RS"/>
        </w:rPr>
        <w:t>Celuloza, mikrokristalna</w:t>
      </w:r>
    </w:p>
    <w:p w14:paraId="058E0C03" w14:textId="2D240149" w:rsidR="00B77498" w:rsidRPr="00E04F74" w:rsidRDefault="00B77498" w:rsidP="001076FF">
      <w:pPr>
        <w:pStyle w:val="Header"/>
        <w:rPr>
          <w:sz w:val="22"/>
          <w:szCs w:val="22"/>
          <w:lang w:val="sr-Latn-RS"/>
        </w:rPr>
      </w:pPr>
      <w:r w:rsidRPr="00E04F74">
        <w:rPr>
          <w:sz w:val="22"/>
          <w:szCs w:val="22"/>
          <w:lang w:val="sr-Latn-RS"/>
        </w:rPr>
        <w:lastRenderedPageBreak/>
        <w:t>Natrijum skrob</w:t>
      </w:r>
      <w:r w:rsidR="00C36202" w:rsidRPr="00E04F74">
        <w:rPr>
          <w:sz w:val="22"/>
          <w:szCs w:val="22"/>
          <w:lang w:val="sr-Latn-RS"/>
        </w:rPr>
        <w:t xml:space="preserve"> </w:t>
      </w:r>
      <w:r w:rsidRPr="00E04F74">
        <w:rPr>
          <w:sz w:val="22"/>
          <w:szCs w:val="22"/>
          <w:lang w:val="sr-Latn-RS"/>
        </w:rPr>
        <w:t>glikolat (tip A)</w:t>
      </w:r>
    </w:p>
    <w:p w14:paraId="058E0C04" w14:textId="77777777" w:rsidR="00B77498" w:rsidRPr="00E04F74" w:rsidRDefault="00B77498" w:rsidP="001076FF">
      <w:pPr>
        <w:pStyle w:val="Header"/>
        <w:rPr>
          <w:sz w:val="22"/>
          <w:szCs w:val="22"/>
          <w:lang w:val="sr-Latn-RS"/>
        </w:rPr>
      </w:pPr>
    </w:p>
    <w:p w14:paraId="058E0C07" w14:textId="35D3FBAD" w:rsidR="00B77498" w:rsidRPr="00E04F74" w:rsidRDefault="00B77498" w:rsidP="001076FF">
      <w:pPr>
        <w:pStyle w:val="Header"/>
        <w:rPr>
          <w:sz w:val="22"/>
          <w:szCs w:val="22"/>
          <w:lang w:val="sr-Latn-RS"/>
        </w:rPr>
      </w:pPr>
      <w:r w:rsidRPr="00E04F74">
        <w:rPr>
          <w:i/>
          <w:sz w:val="22"/>
          <w:szCs w:val="22"/>
          <w:u w:val="single"/>
          <w:lang w:val="sr-Latn-RS"/>
        </w:rPr>
        <w:t>Film obloga tablete</w:t>
      </w:r>
      <w:r w:rsidRPr="00E04F74">
        <w:rPr>
          <w:i/>
          <w:sz w:val="22"/>
          <w:szCs w:val="22"/>
          <w:lang w:val="sr-Latn-RS"/>
        </w:rPr>
        <w:t>:</w:t>
      </w:r>
      <w:r w:rsidR="00282711" w:rsidRPr="00E04F74">
        <w:rPr>
          <w:i/>
          <w:sz w:val="22"/>
          <w:szCs w:val="22"/>
          <w:lang w:val="sr-Latn-RS"/>
        </w:rPr>
        <w:t xml:space="preserve"> </w:t>
      </w:r>
      <w:r w:rsidRPr="00E04F74">
        <w:rPr>
          <w:sz w:val="22"/>
          <w:szCs w:val="22"/>
          <w:lang w:val="sr-Latn-RS"/>
        </w:rPr>
        <w:t>Opadry Orange YS-1-13065-A</w:t>
      </w:r>
    </w:p>
    <w:p w14:paraId="058E0C08" w14:textId="77777777" w:rsidR="00B77498" w:rsidRPr="00E04F74" w:rsidRDefault="00B77498" w:rsidP="001076FF">
      <w:pPr>
        <w:pStyle w:val="Header"/>
        <w:rPr>
          <w:i/>
          <w:sz w:val="22"/>
          <w:szCs w:val="22"/>
          <w:lang w:val="sr-Latn-RS"/>
        </w:rPr>
      </w:pPr>
      <w:r w:rsidRPr="00E04F74">
        <w:rPr>
          <w:i/>
          <w:sz w:val="22"/>
          <w:szCs w:val="22"/>
          <w:lang w:val="sr-Latn-RS"/>
        </w:rPr>
        <w:t>Sastav obloge:</w:t>
      </w:r>
    </w:p>
    <w:p w14:paraId="058E0C09" w14:textId="77777777" w:rsidR="00B77498" w:rsidRPr="00E04F74" w:rsidRDefault="00B77498" w:rsidP="00946B2E">
      <w:pPr>
        <w:pStyle w:val="Header"/>
        <w:jc w:val="both"/>
        <w:rPr>
          <w:sz w:val="22"/>
          <w:szCs w:val="22"/>
          <w:lang w:val="sr-Latn-RS"/>
        </w:rPr>
      </w:pPr>
      <w:r w:rsidRPr="00E04F74">
        <w:rPr>
          <w:sz w:val="22"/>
          <w:szCs w:val="22"/>
          <w:lang w:val="sr-Latn-RS"/>
        </w:rPr>
        <w:t>Hipromeloza</w:t>
      </w:r>
    </w:p>
    <w:p w14:paraId="058E0C0A" w14:textId="77777777" w:rsidR="00B77498" w:rsidRPr="00E04F74" w:rsidRDefault="00B77498" w:rsidP="00946B2E">
      <w:pPr>
        <w:pStyle w:val="Header"/>
        <w:jc w:val="both"/>
        <w:rPr>
          <w:sz w:val="22"/>
          <w:szCs w:val="22"/>
          <w:lang w:val="sr-Latn-RS"/>
        </w:rPr>
      </w:pPr>
      <w:r w:rsidRPr="00E04F74">
        <w:rPr>
          <w:sz w:val="22"/>
          <w:szCs w:val="22"/>
          <w:lang w:val="sr-Latn-RS"/>
        </w:rPr>
        <w:t>Titan dioksid (E171)</w:t>
      </w:r>
    </w:p>
    <w:p w14:paraId="058E0C0B" w14:textId="77777777" w:rsidR="00B77498" w:rsidRPr="00E04F74" w:rsidRDefault="00B77498" w:rsidP="00946B2E">
      <w:pPr>
        <w:pStyle w:val="Header"/>
        <w:jc w:val="both"/>
        <w:rPr>
          <w:sz w:val="22"/>
          <w:szCs w:val="22"/>
          <w:lang w:val="sr-Latn-RS"/>
        </w:rPr>
      </w:pPr>
      <w:r w:rsidRPr="00E04F74">
        <w:rPr>
          <w:sz w:val="22"/>
          <w:szCs w:val="22"/>
          <w:lang w:val="sr-Latn-RS"/>
        </w:rPr>
        <w:t>Makrogol 400</w:t>
      </w:r>
    </w:p>
    <w:p w14:paraId="058E0C0C" w14:textId="77777777" w:rsidR="00B77498" w:rsidRPr="00E04F74" w:rsidRDefault="00B77498" w:rsidP="00946B2E">
      <w:pPr>
        <w:pStyle w:val="Header"/>
        <w:jc w:val="both"/>
        <w:rPr>
          <w:sz w:val="22"/>
          <w:szCs w:val="22"/>
          <w:lang w:val="sr-Latn-RS"/>
        </w:rPr>
      </w:pPr>
      <w:r w:rsidRPr="00E04F74">
        <w:rPr>
          <w:sz w:val="22"/>
          <w:szCs w:val="22"/>
          <w:lang w:val="sr-Latn-RS"/>
        </w:rPr>
        <w:t>Polisorbat 80</w:t>
      </w:r>
    </w:p>
    <w:p w14:paraId="058E0C0D" w14:textId="77777777" w:rsidR="00B77498" w:rsidRPr="00E04F74" w:rsidRDefault="00B77498" w:rsidP="00946B2E">
      <w:pPr>
        <w:pStyle w:val="Header"/>
        <w:jc w:val="both"/>
        <w:rPr>
          <w:sz w:val="22"/>
          <w:szCs w:val="22"/>
          <w:lang w:val="sr-Latn-RS"/>
        </w:rPr>
      </w:pPr>
      <w:r w:rsidRPr="00E04F74">
        <w:rPr>
          <w:sz w:val="22"/>
          <w:szCs w:val="22"/>
          <w:lang w:val="sr-Latn-RS"/>
        </w:rPr>
        <w:t>Boja: Sunset yellow aluminium lake (E110)</w:t>
      </w:r>
    </w:p>
    <w:p w14:paraId="058E0C0E" w14:textId="77777777" w:rsidR="0072020E" w:rsidRPr="00E04F74" w:rsidRDefault="0072020E" w:rsidP="00946B2E">
      <w:pPr>
        <w:tabs>
          <w:tab w:val="left" w:pos="540"/>
          <w:tab w:val="left" w:pos="569"/>
        </w:tabs>
        <w:jc w:val="both"/>
        <w:rPr>
          <w:bCs/>
          <w:sz w:val="22"/>
          <w:szCs w:val="22"/>
          <w:lang w:val="sr-Latn-RS"/>
        </w:rPr>
      </w:pPr>
    </w:p>
    <w:p w14:paraId="058E0C0F" w14:textId="35FBEB8E" w:rsidR="0072020E" w:rsidRPr="00E04F74" w:rsidRDefault="0072020E" w:rsidP="00946B2E">
      <w:pPr>
        <w:tabs>
          <w:tab w:val="left" w:pos="540"/>
          <w:tab w:val="left" w:pos="569"/>
        </w:tabs>
        <w:jc w:val="both"/>
        <w:rPr>
          <w:b/>
          <w:bCs/>
          <w:sz w:val="22"/>
          <w:szCs w:val="22"/>
          <w:lang w:val="sr-Latn-RS"/>
        </w:rPr>
      </w:pPr>
      <w:r w:rsidRPr="00E04F74">
        <w:rPr>
          <w:b/>
          <w:bCs/>
          <w:sz w:val="22"/>
          <w:szCs w:val="22"/>
          <w:lang w:val="sr-Latn-RS"/>
        </w:rPr>
        <w:t xml:space="preserve">6.2. </w:t>
      </w:r>
      <w:r w:rsidR="00480FB1" w:rsidRPr="00E04F74">
        <w:rPr>
          <w:b/>
          <w:bCs/>
          <w:sz w:val="22"/>
          <w:szCs w:val="22"/>
          <w:lang w:val="sr-Latn-RS"/>
        </w:rPr>
        <w:tab/>
      </w:r>
      <w:r w:rsidRPr="00E04F74">
        <w:rPr>
          <w:b/>
          <w:bCs/>
          <w:sz w:val="22"/>
          <w:szCs w:val="22"/>
          <w:lang w:val="sr-Latn-RS"/>
        </w:rPr>
        <w:t>Inkompatibilnost</w:t>
      </w:r>
      <w:r w:rsidR="002846DB" w:rsidRPr="00E04F74">
        <w:rPr>
          <w:b/>
          <w:bCs/>
          <w:sz w:val="22"/>
          <w:szCs w:val="22"/>
          <w:lang w:val="sr-Latn-RS"/>
        </w:rPr>
        <w:t>i</w:t>
      </w:r>
    </w:p>
    <w:p w14:paraId="1C8864A1" w14:textId="77777777" w:rsidR="001076FF" w:rsidRPr="00E04F74" w:rsidRDefault="001076FF" w:rsidP="00946B2E">
      <w:pPr>
        <w:tabs>
          <w:tab w:val="left" w:pos="540"/>
          <w:tab w:val="left" w:pos="569"/>
        </w:tabs>
        <w:jc w:val="both"/>
        <w:rPr>
          <w:b/>
          <w:bCs/>
          <w:sz w:val="22"/>
          <w:szCs w:val="22"/>
          <w:lang w:val="sr-Latn-RS"/>
        </w:rPr>
      </w:pPr>
    </w:p>
    <w:p w14:paraId="058E0C10" w14:textId="77777777" w:rsidR="0065217C" w:rsidRPr="00E04F74" w:rsidRDefault="0065217C" w:rsidP="00946B2E">
      <w:pPr>
        <w:jc w:val="both"/>
        <w:rPr>
          <w:sz w:val="22"/>
          <w:szCs w:val="22"/>
          <w:lang w:val="sr-Latn-RS"/>
        </w:rPr>
      </w:pPr>
      <w:r w:rsidRPr="00E04F74">
        <w:rPr>
          <w:sz w:val="22"/>
          <w:szCs w:val="22"/>
          <w:lang w:val="sr-Latn-RS"/>
        </w:rPr>
        <w:t>Nije primjenljivo.</w:t>
      </w:r>
    </w:p>
    <w:p w14:paraId="058E0C11" w14:textId="77777777" w:rsidR="0072020E" w:rsidRPr="00E04F74" w:rsidRDefault="0072020E" w:rsidP="00946B2E">
      <w:pPr>
        <w:tabs>
          <w:tab w:val="left" w:pos="540"/>
          <w:tab w:val="left" w:pos="569"/>
        </w:tabs>
        <w:jc w:val="both"/>
        <w:rPr>
          <w:bCs/>
          <w:sz w:val="22"/>
          <w:szCs w:val="22"/>
          <w:lang w:val="sr-Latn-RS"/>
        </w:rPr>
      </w:pPr>
    </w:p>
    <w:p w14:paraId="058E0C12" w14:textId="5428BCD5" w:rsidR="0072020E" w:rsidRPr="00E04F74" w:rsidRDefault="0072020E" w:rsidP="00946B2E">
      <w:pPr>
        <w:tabs>
          <w:tab w:val="left" w:pos="540"/>
          <w:tab w:val="left" w:pos="569"/>
        </w:tabs>
        <w:jc w:val="both"/>
        <w:rPr>
          <w:b/>
          <w:bCs/>
          <w:sz w:val="22"/>
          <w:szCs w:val="22"/>
          <w:lang w:val="sr-Latn-RS"/>
        </w:rPr>
      </w:pPr>
      <w:r w:rsidRPr="00E04F74">
        <w:rPr>
          <w:b/>
          <w:bCs/>
          <w:sz w:val="22"/>
          <w:szCs w:val="22"/>
          <w:lang w:val="sr-Latn-RS"/>
        </w:rPr>
        <w:t>6.3.</w:t>
      </w:r>
      <w:r w:rsidR="00C05DF8" w:rsidRPr="00E04F74">
        <w:rPr>
          <w:b/>
          <w:bCs/>
          <w:sz w:val="22"/>
          <w:szCs w:val="22"/>
          <w:lang w:val="sr-Latn-RS"/>
        </w:rPr>
        <w:t xml:space="preserve"> </w:t>
      </w:r>
      <w:r w:rsidR="00480FB1" w:rsidRPr="00E04F74">
        <w:rPr>
          <w:b/>
          <w:bCs/>
          <w:sz w:val="22"/>
          <w:szCs w:val="22"/>
          <w:lang w:val="sr-Latn-RS"/>
        </w:rPr>
        <w:tab/>
      </w:r>
      <w:r w:rsidRPr="00E04F74">
        <w:rPr>
          <w:b/>
          <w:bCs/>
          <w:sz w:val="22"/>
          <w:szCs w:val="22"/>
          <w:lang w:val="sr-Latn-RS"/>
        </w:rPr>
        <w:t>Rok upotrebe</w:t>
      </w:r>
    </w:p>
    <w:p w14:paraId="39E12AB2" w14:textId="77777777" w:rsidR="001076FF" w:rsidRPr="00E04F74" w:rsidRDefault="001076FF" w:rsidP="00946B2E">
      <w:pPr>
        <w:tabs>
          <w:tab w:val="left" w:pos="540"/>
          <w:tab w:val="left" w:pos="569"/>
        </w:tabs>
        <w:jc w:val="both"/>
        <w:rPr>
          <w:b/>
          <w:bCs/>
          <w:sz w:val="22"/>
          <w:szCs w:val="22"/>
          <w:lang w:val="sr-Latn-RS"/>
        </w:rPr>
      </w:pPr>
    </w:p>
    <w:p w14:paraId="058E0C13" w14:textId="77777777" w:rsidR="0065217C" w:rsidRPr="00E04F74" w:rsidRDefault="0065217C" w:rsidP="00946B2E">
      <w:pPr>
        <w:jc w:val="both"/>
        <w:rPr>
          <w:sz w:val="22"/>
          <w:szCs w:val="22"/>
          <w:lang w:val="sr-Latn-RS"/>
        </w:rPr>
      </w:pPr>
      <w:r w:rsidRPr="00E04F74">
        <w:rPr>
          <w:sz w:val="22"/>
          <w:szCs w:val="22"/>
          <w:lang w:val="sr-Latn-RS"/>
        </w:rPr>
        <w:t>3 godine</w:t>
      </w:r>
    </w:p>
    <w:p w14:paraId="058E0C14" w14:textId="77777777" w:rsidR="0072020E" w:rsidRPr="00E04F74" w:rsidRDefault="0072020E" w:rsidP="00946B2E">
      <w:pPr>
        <w:tabs>
          <w:tab w:val="left" w:pos="540"/>
          <w:tab w:val="left" w:pos="569"/>
        </w:tabs>
        <w:jc w:val="both"/>
        <w:rPr>
          <w:bCs/>
          <w:sz w:val="22"/>
          <w:szCs w:val="22"/>
          <w:lang w:val="sr-Latn-RS"/>
        </w:rPr>
      </w:pPr>
    </w:p>
    <w:p w14:paraId="058E0C15" w14:textId="0FF4A2D9" w:rsidR="0072020E" w:rsidRPr="00E04F74" w:rsidRDefault="0072020E" w:rsidP="00946B2E">
      <w:pPr>
        <w:tabs>
          <w:tab w:val="left" w:pos="540"/>
          <w:tab w:val="left" w:pos="569"/>
        </w:tabs>
        <w:jc w:val="both"/>
        <w:rPr>
          <w:b/>
          <w:bCs/>
          <w:sz w:val="22"/>
          <w:szCs w:val="22"/>
          <w:lang w:val="sr-Latn-RS"/>
        </w:rPr>
      </w:pPr>
      <w:r w:rsidRPr="00E04F74">
        <w:rPr>
          <w:b/>
          <w:bCs/>
          <w:sz w:val="22"/>
          <w:szCs w:val="22"/>
          <w:lang w:val="sr-Latn-RS"/>
        </w:rPr>
        <w:t xml:space="preserve">6.4. </w:t>
      </w:r>
      <w:r w:rsidR="00480FB1" w:rsidRPr="00E04F74">
        <w:rPr>
          <w:b/>
          <w:bCs/>
          <w:sz w:val="22"/>
          <w:szCs w:val="22"/>
          <w:lang w:val="sr-Latn-RS"/>
        </w:rPr>
        <w:tab/>
      </w:r>
      <w:r w:rsidRPr="00E04F74">
        <w:rPr>
          <w:b/>
          <w:bCs/>
          <w:sz w:val="22"/>
          <w:szCs w:val="22"/>
          <w:lang w:val="sr-Latn-RS"/>
        </w:rPr>
        <w:t>Posebne mjere upozorenja pri čuvanju</w:t>
      </w:r>
      <w:r w:rsidR="00F8570A" w:rsidRPr="00E04F74">
        <w:rPr>
          <w:b/>
          <w:bCs/>
          <w:sz w:val="22"/>
          <w:szCs w:val="22"/>
          <w:lang w:val="sr-Latn-RS"/>
        </w:rPr>
        <w:t xml:space="preserve"> lijeka</w:t>
      </w:r>
    </w:p>
    <w:p w14:paraId="371810A9" w14:textId="77777777" w:rsidR="001076FF" w:rsidRPr="00E04F74" w:rsidRDefault="001076FF" w:rsidP="00946B2E">
      <w:pPr>
        <w:tabs>
          <w:tab w:val="left" w:pos="540"/>
          <w:tab w:val="left" w:pos="569"/>
        </w:tabs>
        <w:jc w:val="both"/>
        <w:rPr>
          <w:b/>
          <w:bCs/>
          <w:sz w:val="22"/>
          <w:szCs w:val="22"/>
          <w:lang w:val="sr-Latn-RS"/>
        </w:rPr>
      </w:pPr>
    </w:p>
    <w:p w14:paraId="058E0C16" w14:textId="77777777" w:rsidR="004C7B1C" w:rsidRPr="00E04F74" w:rsidRDefault="004C7B1C" w:rsidP="00946B2E">
      <w:pPr>
        <w:jc w:val="both"/>
        <w:rPr>
          <w:sz w:val="22"/>
          <w:szCs w:val="22"/>
          <w:lang w:val="sr-Latn-RS"/>
        </w:rPr>
      </w:pPr>
      <w:r w:rsidRPr="00E04F74">
        <w:rPr>
          <w:sz w:val="22"/>
          <w:szCs w:val="22"/>
          <w:lang w:val="sr-Latn-RS"/>
        </w:rPr>
        <w:t>Lijek čuvati na temperaturi do 30°C.</w:t>
      </w:r>
    </w:p>
    <w:p w14:paraId="058E0C17" w14:textId="77777777" w:rsidR="00EC2532" w:rsidRPr="00E04F74" w:rsidRDefault="00EC2532" w:rsidP="00946B2E">
      <w:pPr>
        <w:tabs>
          <w:tab w:val="left" w:pos="540"/>
          <w:tab w:val="left" w:pos="569"/>
        </w:tabs>
        <w:jc w:val="both"/>
        <w:rPr>
          <w:bCs/>
          <w:sz w:val="22"/>
          <w:szCs w:val="22"/>
          <w:lang w:val="sr-Latn-RS"/>
        </w:rPr>
      </w:pPr>
    </w:p>
    <w:p w14:paraId="058E0C18" w14:textId="647B4340" w:rsidR="0072020E" w:rsidRPr="00E04F74" w:rsidRDefault="0072020E" w:rsidP="00946B2E">
      <w:pPr>
        <w:tabs>
          <w:tab w:val="left" w:pos="540"/>
          <w:tab w:val="left" w:pos="569"/>
        </w:tabs>
        <w:jc w:val="both"/>
        <w:rPr>
          <w:b/>
          <w:bCs/>
          <w:sz w:val="22"/>
          <w:szCs w:val="22"/>
          <w:lang w:val="sr-Latn-RS"/>
        </w:rPr>
      </w:pPr>
      <w:r w:rsidRPr="00E04F74">
        <w:rPr>
          <w:b/>
          <w:bCs/>
          <w:sz w:val="22"/>
          <w:szCs w:val="22"/>
          <w:lang w:val="sr-Latn-RS"/>
        </w:rPr>
        <w:t xml:space="preserve">6.5. </w:t>
      </w:r>
      <w:r w:rsidR="00480FB1" w:rsidRPr="00E04F74">
        <w:rPr>
          <w:b/>
          <w:bCs/>
          <w:sz w:val="22"/>
          <w:szCs w:val="22"/>
          <w:lang w:val="sr-Latn-RS"/>
        </w:rPr>
        <w:tab/>
      </w:r>
      <w:r w:rsidR="002846DB" w:rsidRPr="00E04F74">
        <w:rPr>
          <w:b/>
          <w:bCs/>
          <w:sz w:val="22"/>
          <w:szCs w:val="22"/>
          <w:lang w:val="sr-Latn-RS"/>
        </w:rPr>
        <w:t xml:space="preserve">Vrsta i sadržaj </w:t>
      </w:r>
      <w:r w:rsidR="00F8570A" w:rsidRPr="00E04F74">
        <w:rPr>
          <w:b/>
          <w:bCs/>
          <w:sz w:val="22"/>
          <w:szCs w:val="22"/>
          <w:lang w:val="sr-Latn-RS"/>
        </w:rPr>
        <w:t>pakovanja</w:t>
      </w:r>
      <w:r w:rsidR="00C06864" w:rsidRPr="00E04F74">
        <w:rPr>
          <w:b/>
          <w:bCs/>
          <w:sz w:val="22"/>
          <w:szCs w:val="22"/>
          <w:lang w:val="sr-Latn-RS"/>
        </w:rPr>
        <w:t xml:space="preserve"> </w:t>
      </w:r>
    </w:p>
    <w:p w14:paraId="67CFC8FC" w14:textId="77777777" w:rsidR="001076FF" w:rsidRPr="00E04F74" w:rsidRDefault="001076FF" w:rsidP="00946B2E">
      <w:pPr>
        <w:tabs>
          <w:tab w:val="left" w:pos="540"/>
          <w:tab w:val="left" w:pos="569"/>
        </w:tabs>
        <w:jc w:val="both"/>
        <w:rPr>
          <w:b/>
          <w:bCs/>
          <w:sz w:val="22"/>
          <w:szCs w:val="22"/>
          <w:lang w:val="sr-Latn-RS"/>
        </w:rPr>
      </w:pPr>
    </w:p>
    <w:p w14:paraId="058E0C19" w14:textId="77777777" w:rsidR="004C7B1C" w:rsidRPr="00E04F74" w:rsidRDefault="004C7B1C" w:rsidP="00946B2E">
      <w:pPr>
        <w:pStyle w:val="Header"/>
        <w:jc w:val="both"/>
        <w:rPr>
          <w:sz w:val="22"/>
          <w:szCs w:val="22"/>
          <w:lang w:val="sr-Latn-RS"/>
        </w:rPr>
      </w:pPr>
      <w:r w:rsidRPr="00E04F74">
        <w:rPr>
          <w:sz w:val="22"/>
          <w:szCs w:val="22"/>
          <w:lang w:val="sr-Latn-RS"/>
        </w:rPr>
        <w:t>Unutrašnje pakovanje je neprovidni PVC/PVDC/aluminijum/papir blister sa zaštitom za djecu, bijele boje koji sadrži 10 film tableta.</w:t>
      </w:r>
    </w:p>
    <w:p w14:paraId="058E0C1B" w14:textId="33A22A68" w:rsidR="004C7B1C" w:rsidRPr="00E04F74" w:rsidRDefault="004C7B1C" w:rsidP="00946B2E">
      <w:pPr>
        <w:pStyle w:val="Header"/>
        <w:jc w:val="both"/>
        <w:rPr>
          <w:sz w:val="22"/>
          <w:szCs w:val="22"/>
          <w:lang w:val="sr-Latn-RS"/>
        </w:rPr>
      </w:pPr>
      <w:r w:rsidRPr="00E04F74">
        <w:rPr>
          <w:sz w:val="22"/>
          <w:szCs w:val="22"/>
          <w:lang w:val="sr-Latn-RS"/>
        </w:rPr>
        <w:t>Spoljašnje pakovanje je složiva kartonska kutija u kojoj se nalazi 30 film tableta (3 blistera sa po 10 film tableta) i Uputstvo za lijek.</w:t>
      </w:r>
    </w:p>
    <w:p w14:paraId="058E0C1C" w14:textId="77777777" w:rsidR="0072020E" w:rsidRPr="00E04F74" w:rsidRDefault="0072020E" w:rsidP="00946B2E">
      <w:pPr>
        <w:tabs>
          <w:tab w:val="left" w:pos="540"/>
          <w:tab w:val="left" w:pos="569"/>
        </w:tabs>
        <w:jc w:val="both"/>
        <w:rPr>
          <w:bCs/>
          <w:sz w:val="22"/>
          <w:szCs w:val="22"/>
          <w:lang w:val="sr-Latn-RS"/>
        </w:rPr>
      </w:pPr>
    </w:p>
    <w:p w14:paraId="058E0C1D" w14:textId="5E939440" w:rsidR="002846DB" w:rsidRPr="00E04F74" w:rsidRDefault="0072020E" w:rsidP="00946B2E">
      <w:pPr>
        <w:tabs>
          <w:tab w:val="left" w:pos="540"/>
          <w:tab w:val="left" w:pos="569"/>
        </w:tabs>
        <w:jc w:val="both"/>
        <w:rPr>
          <w:b/>
          <w:bCs/>
          <w:sz w:val="22"/>
          <w:szCs w:val="22"/>
          <w:lang w:val="sr-Latn-RS"/>
        </w:rPr>
      </w:pPr>
      <w:r w:rsidRPr="00E04F74">
        <w:rPr>
          <w:b/>
          <w:bCs/>
          <w:sz w:val="22"/>
          <w:szCs w:val="22"/>
          <w:lang w:val="sr-Latn-RS"/>
        </w:rPr>
        <w:t xml:space="preserve">6.6. </w:t>
      </w:r>
      <w:r w:rsidR="00480FB1" w:rsidRPr="00E04F74">
        <w:rPr>
          <w:b/>
          <w:bCs/>
          <w:sz w:val="22"/>
          <w:szCs w:val="22"/>
          <w:lang w:val="sr-Latn-RS"/>
        </w:rPr>
        <w:tab/>
      </w:r>
      <w:r w:rsidRPr="00E04F74">
        <w:rPr>
          <w:b/>
          <w:bCs/>
          <w:color w:val="000000"/>
          <w:sz w:val="22"/>
          <w:szCs w:val="22"/>
          <w:lang w:val="sr-Latn-RS"/>
        </w:rPr>
        <w:t>Posebne mjere opreza pri odlaganju materijala koji treba odbaciti nakon primjene lijeka</w:t>
      </w:r>
      <w:r w:rsidRPr="00E04F74">
        <w:rPr>
          <w:b/>
          <w:bCs/>
          <w:sz w:val="22"/>
          <w:szCs w:val="22"/>
          <w:lang w:val="sr-Latn-RS"/>
        </w:rPr>
        <w:t xml:space="preserve"> </w:t>
      </w:r>
      <w:r w:rsidR="00310F03" w:rsidRPr="00E04F74">
        <w:rPr>
          <w:b/>
          <w:bCs/>
          <w:sz w:val="22"/>
          <w:szCs w:val="22"/>
          <w:lang w:val="sr-Latn-RS"/>
        </w:rPr>
        <w:t xml:space="preserve">(i druga uputsva za rukovanje lijekom) </w:t>
      </w:r>
    </w:p>
    <w:p w14:paraId="5EAB457F" w14:textId="77777777" w:rsidR="001076FF" w:rsidRPr="00E04F74" w:rsidRDefault="001076FF" w:rsidP="00946B2E">
      <w:pPr>
        <w:tabs>
          <w:tab w:val="left" w:pos="540"/>
          <w:tab w:val="left" w:pos="569"/>
        </w:tabs>
        <w:jc w:val="both"/>
        <w:rPr>
          <w:b/>
          <w:bCs/>
          <w:sz w:val="22"/>
          <w:szCs w:val="22"/>
          <w:lang w:val="sr-Latn-RS"/>
        </w:rPr>
      </w:pPr>
    </w:p>
    <w:p w14:paraId="058E0C1E" w14:textId="77777777" w:rsidR="00BB0842" w:rsidRPr="00E04F74" w:rsidRDefault="00BB0842" w:rsidP="00946B2E">
      <w:pPr>
        <w:jc w:val="both"/>
        <w:rPr>
          <w:sz w:val="22"/>
          <w:szCs w:val="22"/>
          <w:lang w:val="sr-Latn-RS"/>
        </w:rPr>
      </w:pPr>
      <w:r w:rsidRPr="00E04F74">
        <w:rPr>
          <w:sz w:val="22"/>
          <w:szCs w:val="22"/>
          <w:lang w:val="sr-Latn-RS"/>
        </w:rPr>
        <w:t>Svu neiskorišćenu količinu lijeka ili otpadnog materijala nakon njegove upotrebe treba ukloniti, u skladu sa važećim propisima.</w:t>
      </w:r>
    </w:p>
    <w:p w14:paraId="058E0C1F" w14:textId="52B94876" w:rsidR="0072020E" w:rsidRPr="00E04F74" w:rsidRDefault="0072020E" w:rsidP="00946B2E">
      <w:pPr>
        <w:tabs>
          <w:tab w:val="left" w:pos="540"/>
          <w:tab w:val="left" w:pos="569"/>
        </w:tabs>
        <w:jc w:val="both"/>
        <w:rPr>
          <w:bCs/>
          <w:sz w:val="22"/>
          <w:szCs w:val="22"/>
          <w:lang w:val="sr-Latn-RS"/>
        </w:rPr>
      </w:pPr>
    </w:p>
    <w:p w14:paraId="291DC04B" w14:textId="77777777" w:rsidR="001076FF" w:rsidRPr="00E04F74" w:rsidRDefault="001076FF" w:rsidP="00946B2E">
      <w:pPr>
        <w:tabs>
          <w:tab w:val="left" w:pos="540"/>
          <w:tab w:val="left" w:pos="569"/>
        </w:tabs>
        <w:jc w:val="both"/>
        <w:rPr>
          <w:bCs/>
          <w:sz w:val="22"/>
          <w:szCs w:val="22"/>
          <w:lang w:val="sr-Latn-RS"/>
        </w:rPr>
      </w:pPr>
    </w:p>
    <w:p w14:paraId="058E0C20" w14:textId="72A54C70" w:rsidR="00F8570A" w:rsidRPr="00E04F74" w:rsidRDefault="0072020E" w:rsidP="00946B2E">
      <w:pPr>
        <w:tabs>
          <w:tab w:val="left" w:pos="540"/>
          <w:tab w:val="left" w:pos="569"/>
        </w:tabs>
        <w:jc w:val="both"/>
        <w:rPr>
          <w:b/>
          <w:bCs/>
          <w:sz w:val="22"/>
          <w:szCs w:val="22"/>
          <w:lang w:val="sr-Latn-RS"/>
        </w:rPr>
      </w:pPr>
      <w:r w:rsidRPr="00E04F74">
        <w:rPr>
          <w:b/>
          <w:bCs/>
          <w:sz w:val="22"/>
          <w:szCs w:val="22"/>
          <w:lang w:val="sr-Latn-RS"/>
        </w:rPr>
        <w:t xml:space="preserve">7. </w:t>
      </w:r>
      <w:r w:rsidR="00480FB1" w:rsidRPr="00E04F74">
        <w:rPr>
          <w:b/>
          <w:bCs/>
          <w:sz w:val="22"/>
          <w:szCs w:val="22"/>
          <w:lang w:val="sr-Latn-RS"/>
        </w:rPr>
        <w:tab/>
      </w:r>
      <w:r w:rsidRPr="00E04F74">
        <w:rPr>
          <w:b/>
          <w:bCs/>
          <w:sz w:val="22"/>
          <w:szCs w:val="22"/>
          <w:lang w:val="sr-Latn-RS"/>
        </w:rPr>
        <w:t>NOSILAC DOZVOLE</w:t>
      </w:r>
      <w:r w:rsidR="00483928" w:rsidRPr="00E04F74">
        <w:rPr>
          <w:b/>
          <w:bCs/>
          <w:sz w:val="22"/>
          <w:szCs w:val="22"/>
          <w:lang w:val="sr-Latn-RS"/>
        </w:rPr>
        <w:t xml:space="preserve"> </w:t>
      </w:r>
    </w:p>
    <w:p w14:paraId="4A725BF9" w14:textId="77777777" w:rsidR="001076FF" w:rsidRPr="00E04F74" w:rsidRDefault="001076FF" w:rsidP="00946B2E">
      <w:pPr>
        <w:tabs>
          <w:tab w:val="left" w:pos="540"/>
          <w:tab w:val="left" w:pos="569"/>
        </w:tabs>
        <w:jc w:val="both"/>
        <w:rPr>
          <w:b/>
          <w:bCs/>
          <w:sz w:val="22"/>
          <w:szCs w:val="22"/>
          <w:lang w:val="sr-Latn-RS"/>
        </w:rPr>
      </w:pPr>
    </w:p>
    <w:p w14:paraId="174D1CDE" w14:textId="77777777" w:rsidR="00795848" w:rsidRPr="00E04F74" w:rsidRDefault="00795848" w:rsidP="00946B2E">
      <w:pPr>
        <w:widowControl w:val="0"/>
        <w:autoSpaceDE w:val="0"/>
        <w:autoSpaceDN w:val="0"/>
        <w:jc w:val="both"/>
        <w:rPr>
          <w:bCs/>
          <w:sz w:val="22"/>
          <w:szCs w:val="22"/>
          <w:lang w:val="sr-Latn-RS"/>
        </w:rPr>
      </w:pPr>
      <w:r w:rsidRPr="00E04F74">
        <w:rPr>
          <w:bCs/>
          <w:sz w:val="22"/>
          <w:szCs w:val="22"/>
          <w:lang w:val="sr-Latn-RS"/>
        </w:rPr>
        <w:t>Evropa Lek Pharma d.o.o. Podgorica</w:t>
      </w:r>
    </w:p>
    <w:p w14:paraId="058E0C22" w14:textId="60531CDB" w:rsidR="00C80C78" w:rsidRPr="00E04F74" w:rsidRDefault="00795848" w:rsidP="00946B2E">
      <w:pPr>
        <w:pStyle w:val="Header"/>
        <w:tabs>
          <w:tab w:val="left" w:pos="284"/>
        </w:tabs>
        <w:jc w:val="both"/>
        <w:rPr>
          <w:bCs/>
          <w:sz w:val="22"/>
          <w:szCs w:val="22"/>
          <w:lang w:val="sr-Latn-RS"/>
        </w:rPr>
      </w:pPr>
      <w:r w:rsidRPr="00E04F74">
        <w:rPr>
          <w:bCs/>
          <w:sz w:val="22"/>
          <w:szCs w:val="22"/>
          <w:lang w:val="sr-Latn-RS"/>
        </w:rPr>
        <w:t xml:space="preserve">Kritskog odreda 4/1, </w:t>
      </w:r>
      <w:r w:rsidR="00C80C78" w:rsidRPr="00E04F74">
        <w:rPr>
          <w:bCs/>
          <w:sz w:val="22"/>
          <w:szCs w:val="22"/>
          <w:lang w:val="sr-Latn-RS"/>
        </w:rPr>
        <w:t>81000 Podgorica, Crna Gora</w:t>
      </w:r>
    </w:p>
    <w:p w14:paraId="058E0C23" w14:textId="7CC950F6" w:rsidR="00C37FD7" w:rsidRPr="00E04F74" w:rsidRDefault="00C37FD7" w:rsidP="00946B2E">
      <w:pPr>
        <w:tabs>
          <w:tab w:val="left" w:pos="540"/>
          <w:tab w:val="left" w:pos="569"/>
        </w:tabs>
        <w:jc w:val="both"/>
        <w:rPr>
          <w:bCs/>
          <w:sz w:val="22"/>
          <w:szCs w:val="22"/>
          <w:lang w:val="sr-Latn-RS"/>
        </w:rPr>
      </w:pPr>
    </w:p>
    <w:p w14:paraId="5233FA88" w14:textId="77777777" w:rsidR="001076FF" w:rsidRPr="00E04F74" w:rsidRDefault="001076FF" w:rsidP="00946B2E">
      <w:pPr>
        <w:tabs>
          <w:tab w:val="left" w:pos="540"/>
          <w:tab w:val="left" w:pos="569"/>
        </w:tabs>
        <w:jc w:val="both"/>
        <w:rPr>
          <w:bCs/>
          <w:sz w:val="22"/>
          <w:szCs w:val="22"/>
          <w:lang w:val="sr-Latn-RS"/>
        </w:rPr>
      </w:pPr>
    </w:p>
    <w:p w14:paraId="058E0C24" w14:textId="23F11AE8" w:rsidR="0072020E" w:rsidRDefault="0072020E" w:rsidP="00946B2E">
      <w:pPr>
        <w:tabs>
          <w:tab w:val="left" w:pos="540"/>
          <w:tab w:val="left" w:pos="569"/>
        </w:tabs>
        <w:jc w:val="both"/>
        <w:rPr>
          <w:b/>
          <w:bCs/>
          <w:sz w:val="22"/>
          <w:szCs w:val="22"/>
          <w:lang w:val="sr-Latn-RS"/>
        </w:rPr>
      </w:pPr>
      <w:r w:rsidRPr="00E04F74">
        <w:rPr>
          <w:b/>
          <w:bCs/>
          <w:sz w:val="22"/>
          <w:szCs w:val="22"/>
          <w:lang w:val="sr-Latn-RS"/>
        </w:rPr>
        <w:t xml:space="preserve">8. </w:t>
      </w:r>
      <w:r w:rsidR="00480FB1" w:rsidRPr="00E04F74">
        <w:rPr>
          <w:b/>
          <w:bCs/>
          <w:sz w:val="22"/>
          <w:szCs w:val="22"/>
          <w:lang w:val="sr-Latn-RS"/>
        </w:rPr>
        <w:tab/>
      </w:r>
      <w:r w:rsidRPr="00E04F74">
        <w:rPr>
          <w:b/>
          <w:bCs/>
          <w:sz w:val="22"/>
          <w:szCs w:val="22"/>
          <w:lang w:val="sr-Latn-RS"/>
        </w:rPr>
        <w:t>BROJ DOZVOLE</w:t>
      </w:r>
      <w:r w:rsidR="008A6D43" w:rsidRPr="00E04F74">
        <w:rPr>
          <w:b/>
          <w:bCs/>
          <w:sz w:val="22"/>
          <w:szCs w:val="22"/>
          <w:lang w:val="sr-Latn-RS"/>
        </w:rPr>
        <w:t xml:space="preserve"> ZA STAVLJANJE LIJEKA U PROMET</w:t>
      </w:r>
    </w:p>
    <w:p w14:paraId="73A1FE22" w14:textId="5A2F9765" w:rsidR="003B3DDE" w:rsidRDefault="003B3DDE" w:rsidP="00946B2E">
      <w:pPr>
        <w:tabs>
          <w:tab w:val="left" w:pos="540"/>
          <w:tab w:val="left" w:pos="569"/>
        </w:tabs>
        <w:jc w:val="both"/>
        <w:rPr>
          <w:b/>
          <w:bCs/>
          <w:sz w:val="22"/>
          <w:szCs w:val="22"/>
          <w:lang w:val="sr-Latn-RS"/>
        </w:rPr>
      </w:pPr>
      <w:bookmarkStart w:id="0" w:name="_GoBack"/>
      <w:bookmarkEnd w:id="0"/>
    </w:p>
    <w:p w14:paraId="6ECFEA8F" w14:textId="79105231" w:rsidR="003B3DDE" w:rsidRPr="00E04F74" w:rsidRDefault="003B3DDE" w:rsidP="00946B2E">
      <w:pPr>
        <w:tabs>
          <w:tab w:val="left" w:pos="540"/>
          <w:tab w:val="left" w:pos="569"/>
        </w:tabs>
        <w:jc w:val="both"/>
        <w:rPr>
          <w:b/>
          <w:bCs/>
          <w:sz w:val="22"/>
          <w:szCs w:val="22"/>
          <w:lang w:val="sr-Latn-RS"/>
        </w:rPr>
      </w:pPr>
      <w:r>
        <w:rPr>
          <w:rFonts w:ascii="TimesNewRoman" w:hAnsi="TimesNewRoman" w:cs="TimesNewRoman"/>
          <w:sz w:val="22"/>
          <w:szCs w:val="22"/>
          <w:lang w:eastAsia="sr-Latn-ME"/>
        </w:rPr>
        <w:t xml:space="preserve">2030/24/6527 – 662 </w:t>
      </w:r>
    </w:p>
    <w:p w14:paraId="5BF5517B" w14:textId="77777777" w:rsidR="001076FF" w:rsidRPr="00E04F74" w:rsidRDefault="001076FF" w:rsidP="00946B2E">
      <w:pPr>
        <w:tabs>
          <w:tab w:val="left" w:pos="540"/>
          <w:tab w:val="left" w:pos="569"/>
        </w:tabs>
        <w:jc w:val="both"/>
        <w:rPr>
          <w:b/>
          <w:bCs/>
          <w:sz w:val="22"/>
          <w:szCs w:val="22"/>
          <w:lang w:val="sr-Latn-RS"/>
        </w:rPr>
      </w:pPr>
    </w:p>
    <w:p w14:paraId="0DD66F5B" w14:textId="77777777" w:rsidR="001076FF" w:rsidRPr="00E04F74" w:rsidRDefault="001076FF" w:rsidP="00946B2E">
      <w:pPr>
        <w:tabs>
          <w:tab w:val="left" w:pos="540"/>
          <w:tab w:val="left" w:pos="569"/>
        </w:tabs>
        <w:jc w:val="both"/>
        <w:rPr>
          <w:bCs/>
          <w:sz w:val="22"/>
          <w:szCs w:val="22"/>
          <w:lang w:val="sr-Latn-RS"/>
        </w:rPr>
      </w:pPr>
    </w:p>
    <w:p w14:paraId="058E0C27" w14:textId="485E97F2" w:rsidR="0072020E" w:rsidRPr="00E04F74" w:rsidRDefault="0072020E" w:rsidP="00946B2E">
      <w:pPr>
        <w:tabs>
          <w:tab w:val="left" w:pos="540"/>
          <w:tab w:val="left" w:pos="569"/>
        </w:tabs>
        <w:jc w:val="both"/>
        <w:rPr>
          <w:b/>
          <w:bCs/>
          <w:sz w:val="22"/>
          <w:szCs w:val="22"/>
          <w:lang w:val="sr-Latn-RS"/>
        </w:rPr>
      </w:pPr>
      <w:r w:rsidRPr="00E04F74">
        <w:rPr>
          <w:b/>
          <w:bCs/>
          <w:sz w:val="22"/>
          <w:szCs w:val="22"/>
          <w:lang w:val="sr-Latn-RS"/>
        </w:rPr>
        <w:t xml:space="preserve">9. </w:t>
      </w:r>
      <w:r w:rsidR="00480FB1" w:rsidRPr="00E04F74">
        <w:rPr>
          <w:b/>
          <w:bCs/>
          <w:sz w:val="22"/>
          <w:szCs w:val="22"/>
          <w:lang w:val="sr-Latn-RS"/>
        </w:rPr>
        <w:tab/>
      </w:r>
      <w:r w:rsidRPr="00E04F74">
        <w:rPr>
          <w:b/>
          <w:bCs/>
          <w:sz w:val="22"/>
          <w:szCs w:val="22"/>
          <w:lang w:val="sr-Latn-RS"/>
        </w:rPr>
        <w:t xml:space="preserve">DATUM </w:t>
      </w:r>
      <w:r w:rsidR="00C05DF8" w:rsidRPr="00E04F74">
        <w:rPr>
          <w:b/>
          <w:bCs/>
          <w:sz w:val="22"/>
          <w:szCs w:val="22"/>
          <w:lang w:val="sr-Latn-RS"/>
        </w:rPr>
        <w:t xml:space="preserve">PRVE </w:t>
      </w:r>
      <w:r w:rsidR="008A6D43" w:rsidRPr="00E04F74">
        <w:rPr>
          <w:b/>
          <w:bCs/>
          <w:sz w:val="22"/>
          <w:szCs w:val="22"/>
          <w:lang w:val="sr-Latn-RS"/>
        </w:rPr>
        <w:t>DOZVOLE</w:t>
      </w:r>
      <w:r w:rsidR="00C05DF8" w:rsidRPr="00E04F74">
        <w:rPr>
          <w:b/>
          <w:bCs/>
          <w:sz w:val="22"/>
          <w:szCs w:val="22"/>
          <w:lang w:val="sr-Latn-RS"/>
        </w:rPr>
        <w:t>/OBNOVE DOZVOLE</w:t>
      </w:r>
      <w:r w:rsidR="008A6D43" w:rsidRPr="00E04F74">
        <w:rPr>
          <w:b/>
          <w:bCs/>
          <w:sz w:val="22"/>
          <w:szCs w:val="22"/>
          <w:lang w:val="sr-Latn-RS"/>
        </w:rPr>
        <w:t xml:space="preserve"> ZA STAVLJANJE LIJEKA U PROMET</w:t>
      </w:r>
    </w:p>
    <w:p w14:paraId="6FF7F65A" w14:textId="2F9B8930" w:rsidR="001076FF" w:rsidRPr="00E04F74" w:rsidRDefault="001076FF" w:rsidP="00946B2E">
      <w:pPr>
        <w:tabs>
          <w:tab w:val="left" w:pos="540"/>
          <w:tab w:val="left" w:pos="569"/>
        </w:tabs>
        <w:jc w:val="both"/>
        <w:rPr>
          <w:b/>
          <w:bCs/>
          <w:sz w:val="22"/>
          <w:szCs w:val="22"/>
          <w:lang w:val="sr-Latn-RS"/>
        </w:rPr>
      </w:pPr>
    </w:p>
    <w:p w14:paraId="2B7032B9" w14:textId="3C1A48D8" w:rsidR="006B6B23" w:rsidRPr="00027C9C" w:rsidRDefault="006B6B23" w:rsidP="006B6B23">
      <w:pPr>
        <w:jc w:val="both"/>
        <w:rPr>
          <w:sz w:val="22"/>
          <w:szCs w:val="22"/>
          <w:lang w:val="sr-Latn-RS"/>
        </w:rPr>
      </w:pPr>
      <w:r w:rsidRPr="00027C9C">
        <w:rPr>
          <w:color w:val="000000"/>
          <w:spacing w:val="5"/>
          <w:sz w:val="22"/>
          <w:szCs w:val="22"/>
          <w:lang w:val="sr-Latn-RS"/>
        </w:rPr>
        <w:t xml:space="preserve">Datum prve dozvole: </w:t>
      </w:r>
      <w:r w:rsidR="00E04F74" w:rsidRPr="00027C9C">
        <w:rPr>
          <w:color w:val="000000"/>
          <w:spacing w:val="5"/>
          <w:sz w:val="22"/>
          <w:szCs w:val="22"/>
          <w:lang w:val="sr-Latn-RS"/>
        </w:rPr>
        <w:t>31.07.2013. godine</w:t>
      </w:r>
    </w:p>
    <w:p w14:paraId="7CEAB766" w14:textId="7083086A" w:rsidR="006B6B23" w:rsidRPr="00027C9C" w:rsidRDefault="006B6B23" w:rsidP="00946B2E">
      <w:pPr>
        <w:tabs>
          <w:tab w:val="left" w:pos="540"/>
          <w:tab w:val="left" w:pos="569"/>
        </w:tabs>
        <w:jc w:val="both"/>
        <w:rPr>
          <w:b/>
          <w:bCs/>
          <w:sz w:val="22"/>
          <w:szCs w:val="22"/>
          <w:lang w:val="sr-Latn-RS"/>
        </w:rPr>
      </w:pPr>
      <w:r w:rsidRPr="00027C9C">
        <w:rPr>
          <w:bCs/>
          <w:sz w:val="22"/>
          <w:szCs w:val="22"/>
          <w:lang w:val="sr-Latn-RS"/>
        </w:rPr>
        <w:t>Datum poslednje obnove dozvole:</w:t>
      </w:r>
      <w:r w:rsidR="00027C9C" w:rsidRPr="00027C9C">
        <w:rPr>
          <w:bCs/>
          <w:sz w:val="22"/>
          <w:szCs w:val="22"/>
          <w:lang w:val="sr-Latn-RS"/>
        </w:rPr>
        <w:t xml:space="preserve"> </w:t>
      </w:r>
      <w:r w:rsidR="00027C9C" w:rsidRPr="00027C9C">
        <w:rPr>
          <w:sz w:val="22"/>
          <w:szCs w:val="22"/>
          <w:lang w:val="sr-Latn-RS" w:eastAsia="sr-Latn-ME"/>
        </w:rPr>
        <w:t>05.12.2024. godine</w:t>
      </w:r>
    </w:p>
    <w:p w14:paraId="1650BEA6" w14:textId="6DB74788" w:rsidR="001076FF" w:rsidRDefault="001076FF" w:rsidP="00946B2E">
      <w:pPr>
        <w:tabs>
          <w:tab w:val="left" w:pos="540"/>
          <w:tab w:val="left" w:pos="569"/>
        </w:tabs>
        <w:jc w:val="both"/>
        <w:rPr>
          <w:bCs/>
          <w:sz w:val="22"/>
          <w:szCs w:val="22"/>
          <w:lang w:val="sr-Latn-RS"/>
        </w:rPr>
      </w:pPr>
    </w:p>
    <w:p w14:paraId="2B401DD9" w14:textId="77777777" w:rsidR="003B3DDE" w:rsidRPr="00E04F74" w:rsidRDefault="003B3DDE" w:rsidP="00946B2E">
      <w:pPr>
        <w:tabs>
          <w:tab w:val="left" w:pos="540"/>
          <w:tab w:val="left" w:pos="569"/>
        </w:tabs>
        <w:jc w:val="both"/>
        <w:rPr>
          <w:bCs/>
          <w:sz w:val="22"/>
          <w:szCs w:val="22"/>
          <w:lang w:val="sr-Latn-RS"/>
        </w:rPr>
      </w:pPr>
    </w:p>
    <w:p w14:paraId="058E0C2A" w14:textId="77777777" w:rsidR="003F6A59" w:rsidRPr="00E04F74" w:rsidRDefault="0072020E" w:rsidP="00946B2E">
      <w:pPr>
        <w:tabs>
          <w:tab w:val="left" w:pos="540"/>
          <w:tab w:val="left" w:pos="569"/>
        </w:tabs>
        <w:ind w:left="540" w:hanging="540"/>
        <w:jc w:val="both"/>
        <w:rPr>
          <w:bCs/>
          <w:sz w:val="22"/>
          <w:szCs w:val="22"/>
          <w:lang w:val="sr-Latn-RS"/>
        </w:rPr>
      </w:pPr>
      <w:r w:rsidRPr="00E04F74">
        <w:rPr>
          <w:b/>
          <w:bCs/>
          <w:sz w:val="22"/>
          <w:szCs w:val="22"/>
          <w:lang w:val="sr-Latn-RS"/>
        </w:rPr>
        <w:t xml:space="preserve">10. </w:t>
      </w:r>
      <w:r w:rsidR="00480FB1" w:rsidRPr="00E04F74">
        <w:rPr>
          <w:b/>
          <w:bCs/>
          <w:sz w:val="22"/>
          <w:szCs w:val="22"/>
          <w:lang w:val="sr-Latn-RS"/>
        </w:rPr>
        <w:tab/>
      </w:r>
      <w:r w:rsidR="002846DB" w:rsidRPr="00E04F74">
        <w:rPr>
          <w:b/>
          <w:bCs/>
          <w:sz w:val="22"/>
          <w:szCs w:val="22"/>
          <w:lang w:val="sr-Latn-RS"/>
        </w:rPr>
        <w:t>D</w:t>
      </w:r>
      <w:r w:rsidR="00EC2532" w:rsidRPr="00E04F74">
        <w:rPr>
          <w:b/>
          <w:bCs/>
          <w:sz w:val="22"/>
          <w:szCs w:val="22"/>
          <w:lang w:val="sr-Latn-RS"/>
        </w:rPr>
        <w:t xml:space="preserve">ATUM REVIZIJE TEKSTA </w:t>
      </w:r>
    </w:p>
    <w:p w14:paraId="058E0C2C" w14:textId="204CFD4B" w:rsidR="003F6A59" w:rsidRPr="00E04F74" w:rsidRDefault="003F6A59" w:rsidP="00946B2E">
      <w:pPr>
        <w:jc w:val="both"/>
        <w:rPr>
          <w:sz w:val="22"/>
          <w:szCs w:val="22"/>
          <w:lang w:val="sr-Latn-RS"/>
        </w:rPr>
      </w:pPr>
    </w:p>
    <w:p w14:paraId="449DDB85" w14:textId="19339AD9" w:rsidR="001076FF" w:rsidRPr="00E04F74" w:rsidRDefault="006B6B23" w:rsidP="00946B2E">
      <w:pPr>
        <w:jc w:val="both"/>
        <w:rPr>
          <w:sz w:val="22"/>
          <w:szCs w:val="22"/>
          <w:lang w:val="sr-Latn-RS"/>
        </w:rPr>
      </w:pPr>
      <w:r w:rsidRPr="00E04F74">
        <w:rPr>
          <w:sz w:val="22"/>
          <w:szCs w:val="22"/>
          <w:lang w:val="sr-Latn-RS"/>
        </w:rPr>
        <w:t>Decembar, 2024. godine</w:t>
      </w:r>
    </w:p>
    <w:sectPr w:rsidR="001076FF" w:rsidRPr="00E04F74" w:rsidSect="00946B2E">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0408D" w14:textId="77777777" w:rsidR="002F741F" w:rsidRDefault="002F741F">
      <w:r>
        <w:separator/>
      </w:r>
    </w:p>
  </w:endnote>
  <w:endnote w:type="continuationSeparator" w:id="0">
    <w:p w14:paraId="0DC9133C" w14:textId="77777777" w:rsidR="002F741F" w:rsidRDefault="002F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0C34" w14:textId="3A43FABE" w:rsidR="00C36202" w:rsidRPr="00B23F69" w:rsidRDefault="00C3620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27C9C">
      <w:rPr>
        <w:noProof/>
        <w:sz w:val="22"/>
        <w:szCs w:val="22"/>
      </w:rPr>
      <w:t>23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27C9C">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BB9B2" w14:textId="77777777" w:rsidR="002F741F" w:rsidRDefault="002F741F">
      <w:r>
        <w:separator/>
      </w:r>
    </w:p>
  </w:footnote>
  <w:footnote w:type="continuationSeparator" w:id="0">
    <w:p w14:paraId="0C26DD8F" w14:textId="77777777" w:rsidR="002F741F" w:rsidRDefault="002F7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173"/>
    <w:rsid w:val="000176CA"/>
    <w:rsid w:val="00027C9C"/>
    <w:rsid w:val="00036FA0"/>
    <w:rsid w:val="0003793F"/>
    <w:rsid w:val="00057E35"/>
    <w:rsid w:val="00076726"/>
    <w:rsid w:val="00080303"/>
    <w:rsid w:val="0008714A"/>
    <w:rsid w:val="00095F06"/>
    <w:rsid w:val="000A3F58"/>
    <w:rsid w:val="000A4CD9"/>
    <w:rsid w:val="000C44EA"/>
    <w:rsid w:val="000D2343"/>
    <w:rsid w:val="000D3449"/>
    <w:rsid w:val="000D425A"/>
    <w:rsid w:val="000D4ED9"/>
    <w:rsid w:val="000D60CC"/>
    <w:rsid w:val="000E2084"/>
    <w:rsid w:val="000E2AB0"/>
    <w:rsid w:val="000E6F55"/>
    <w:rsid w:val="000F6023"/>
    <w:rsid w:val="000F77FA"/>
    <w:rsid w:val="001076FF"/>
    <w:rsid w:val="00107BF7"/>
    <w:rsid w:val="001219D2"/>
    <w:rsid w:val="00126F53"/>
    <w:rsid w:val="0013777A"/>
    <w:rsid w:val="00146E69"/>
    <w:rsid w:val="0014766D"/>
    <w:rsid w:val="001536CC"/>
    <w:rsid w:val="0016256C"/>
    <w:rsid w:val="0018446A"/>
    <w:rsid w:val="00184B51"/>
    <w:rsid w:val="001A3FBA"/>
    <w:rsid w:val="001A5518"/>
    <w:rsid w:val="001B1C6A"/>
    <w:rsid w:val="001C1263"/>
    <w:rsid w:val="001C1417"/>
    <w:rsid w:val="001E02E8"/>
    <w:rsid w:val="001E390B"/>
    <w:rsid w:val="001F42FB"/>
    <w:rsid w:val="001F47A7"/>
    <w:rsid w:val="001F719A"/>
    <w:rsid w:val="002031B3"/>
    <w:rsid w:val="00215931"/>
    <w:rsid w:val="00227BDB"/>
    <w:rsid w:val="00233E7F"/>
    <w:rsid w:val="00234CB1"/>
    <w:rsid w:val="002352F8"/>
    <w:rsid w:val="002510A5"/>
    <w:rsid w:val="00254A0A"/>
    <w:rsid w:val="00265E2E"/>
    <w:rsid w:val="00266046"/>
    <w:rsid w:val="002706F0"/>
    <w:rsid w:val="00282711"/>
    <w:rsid w:val="002846DB"/>
    <w:rsid w:val="002848F4"/>
    <w:rsid w:val="00284CCD"/>
    <w:rsid w:val="002870DD"/>
    <w:rsid w:val="002B25B9"/>
    <w:rsid w:val="002B71CC"/>
    <w:rsid w:val="002C6637"/>
    <w:rsid w:val="002D7EFD"/>
    <w:rsid w:val="002E0135"/>
    <w:rsid w:val="002E37A5"/>
    <w:rsid w:val="002E7E86"/>
    <w:rsid w:val="002F741F"/>
    <w:rsid w:val="00310F03"/>
    <w:rsid w:val="003247D2"/>
    <w:rsid w:val="003445C1"/>
    <w:rsid w:val="003454B6"/>
    <w:rsid w:val="00355B61"/>
    <w:rsid w:val="00362686"/>
    <w:rsid w:val="003673A6"/>
    <w:rsid w:val="00371510"/>
    <w:rsid w:val="00396DFD"/>
    <w:rsid w:val="003A7059"/>
    <w:rsid w:val="003A7C3E"/>
    <w:rsid w:val="003B3DDE"/>
    <w:rsid w:val="003B7A36"/>
    <w:rsid w:val="003C0267"/>
    <w:rsid w:val="003C17AB"/>
    <w:rsid w:val="003C7823"/>
    <w:rsid w:val="003D4CE9"/>
    <w:rsid w:val="003D4E36"/>
    <w:rsid w:val="003E1DCC"/>
    <w:rsid w:val="003E2386"/>
    <w:rsid w:val="003F6A59"/>
    <w:rsid w:val="004065C8"/>
    <w:rsid w:val="00411B4B"/>
    <w:rsid w:val="00415BEE"/>
    <w:rsid w:val="00427F85"/>
    <w:rsid w:val="00436F42"/>
    <w:rsid w:val="004378B4"/>
    <w:rsid w:val="00451314"/>
    <w:rsid w:val="00452E9D"/>
    <w:rsid w:val="004534C7"/>
    <w:rsid w:val="004671AA"/>
    <w:rsid w:val="00480FB1"/>
    <w:rsid w:val="00483928"/>
    <w:rsid w:val="004B64D9"/>
    <w:rsid w:val="004C7B1C"/>
    <w:rsid w:val="004D6103"/>
    <w:rsid w:val="004E3BCE"/>
    <w:rsid w:val="004F0E97"/>
    <w:rsid w:val="004F2CA0"/>
    <w:rsid w:val="005056F1"/>
    <w:rsid w:val="00515C21"/>
    <w:rsid w:val="005176EB"/>
    <w:rsid w:val="00525DB8"/>
    <w:rsid w:val="00530BD7"/>
    <w:rsid w:val="0054538C"/>
    <w:rsid w:val="00545CD2"/>
    <w:rsid w:val="005476F3"/>
    <w:rsid w:val="00553C53"/>
    <w:rsid w:val="0056526C"/>
    <w:rsid w:val="0057152A"/>
    <w:rsid w:val="00572527"/>
    <w:rsid w:val="00573E40"/>
    <w:rsid w:val="00576348"/>
    <w:rsid w:val="005A0B2E"/>
    <w:rsid w:val="005A23D2"/>
    <w:rsid w:val="005A36CB"/>
    <w:rsid w:val="005B18A4"/>
    <w:rsid w:val="005B1C77"/>
    <w:rsid w:val="005B2564"/>
    <w:rsid w:val="005B49B8"/>
    <w:rsid w:val="005C0741"/>
    <w:rsid w:val="005C5EF4"/>
    <w:rsid w:val="005C7566"/>
    <w:rsid w:val="005E2E0B"/>
    <w:rsid w:val="005E7A7D"/>
    <w:rsid w:val="005E7D94"/>
    <w:rsid w:val="00601717"/>
    <w:rsid w:val="00601C3C"/>
    <w:rsid w:val="00646BD1"/>
    <w:rsid w:val="0065217C"/>
    <w:rsid w:val="006561C2"/>
    <w:rsid w:val="00671CB3"/>
    <w:rsid w:val="00674BAF"/>
    <w:rsid w:val="006768E8"/>
    <w:rsid w:val="00682200"/>
    <w:rsid w:val="006A1497"/>
    <w:rsid w:val="006A35FB"/>
    <w:rsid w:val="006A5DB4"/>
    <w:rsid w:val="006B0BD1"/>
    <w:rsid w:val="006B6B23"/>
    <w:rsid w:val="006C7710"/>
    <w:rsid w:val="006D20A5"/>
    <w:rsid w:val="006D37BF"/>
    <w:rsid w:val="00702E22"/>
    <w:rsid w:val="0072020E"/>
    <w:rsid w:val="00736837"/>
    <w:rsid w:val="0077661D"/>
    <w:rsid w:val="00786071"/>
    <w:rsid w:val="00795848"/>
    <w:rsid w:val="007A3ECB"/>
    <w:rsid w:val="007D1417"/>
    <w:rsid w:val="007F08ED"/>
    <w:rsid w:val="00824AB9"/>
    <w:rsid w:val="008275AD"/>
    <w:rsid w:val="008307E4"/>
    <w:rsid w:val="00836B35"/>
    <w:rsid w:val="00843BDE"/>
    <w:rsid w:val="00872C74"/>
    <w:rsid w:val="0087469B"/>
    <w:rsid w:val="008766B3"/>
    <w:rsid w:val="0089705C"/>
    <w:rsid w:val="008A2B86"/>
    <w:rsid w:val="008A6D43"/>
    <w:rsid w:val="008B491E"/>
    <w:rsid w:val="008B5848"/>
    <w:rsid w:val="008C1A28"/>
    <w:rsid w:val="008C2E98"/>
    <w:rsid w:val="008D1A3D"/>
    <w:rsid w:val="008E49BD"/>
    <w:rsid w:val="008E53E9"/>
    <w:rsid w:val="008E5771"/>
    <w:rsid w:val="008E585C"/>
    <w:rsid w:val="008F08D5"/>
    <w:rsid w:val="008F3B66"/>
    <w:rsid w:val="008F6362"/>
    <w:rsid w:val="00922575"/>
    <w:rsid w:val="00940778"/>
    <w:rsid w:val="00940B9B"/>
    <w:rsid w:val="00946B2E"/>
    <w:rsid w:val="0095477A"/>
    <w:rsid w:val="0095676E"/>
    <w:rsid w:val="00956983"/>
    <w:rsid w:val="00963CF0"/>
    <w:rsid w:val="00964BB1"/>
    <w:rsid w:val="009775D9"/>
    <w:rsid w:val="00986A0B"/>
    <w:rsid w:val="00997175"/>
    <w:rsid w:val="009A1847"/>
    <w:rsid w:val="009B062A"/>
    <w:rsid w:val="009C7549"/>
    <w:rsid w:val="009E3FF7"/>
    <w:rsid w:val="009E7C6F"/>
    <w:rsid w:val="009F1793"/>
    <w:rsid w:val="009F187A"/>
    <w:rsid w:val="009F1F4A"/>
    <w:rsid w:val="009F2D23"/>
    <w:rsid w:val="00A01D69"/>
    <w:rsid w:val="00A02335"/>
    <w:rsid w:val="00A11877"/>
    <w:rsid w:val="00A46C9A"/>
    <w:rsid w:val="00A61569"/>
    <w:rsid w:val="00A619F3"/>
    <w:rsid w:val="00A62A73"/>
    <w:rsid w:val="00A87FF6"/>
    <w:rsid w:val="00A92160"/>
    <w:rsid w:val="00A974B8"/>
    <w:rsid w:val="00AA0A3B"/>
    <w:rsid w:val="00AB50CA"/>
    <w:rsid w:val="00AC01F3"/>
    <w:rsid w:val="00AC53CE"/>
    <w:rsid w:val="00AD2193"/>
    <w:rsid w:val="00AD27D4"/>
    <w:rsid w:val="00AD2BE8"/>
    <w:rsid w:val="00AF2AC7"/>
    <w:rsid w:val="00AF74CE"/>
    <w:rsid w:val="00B208DB"/>
    <w:rsid w:val="00B23F69"/>
    <w:rsid w:val="00B26316"/>
    <w:rsid w:val="00B36445"/>
    <w:rsid w:val="00B60619"/>
    <w:rsid w:val="00B65F9A"/>
    <w:rsid w:val="00B6654F"/>
    <w:rsid w:val="00B66A70"/>
    <w:rsid w:val="00B67034"/>
    <w:rsid w:val="00B67366"/>
    <w:rsid w:val="00B77498"/>
    <w:rsid w:val="00B80EE1"/>
    <w:rsid w:val="00B84135"/>
    <w:rsid w:val="00B87C1A"/>
    <w:rsid w:val="00BB0842"/>
    <w:rsid w:val="00BB6DE9"/>
    <w:rsid w:val="00BE3B0B"/>
    <w:rsid w:val="00BE68CC"/>
    <w:rsid w:val="00C04D34"/>
    <w:rsid w:val="00C05DF8"/>
    <w:rsid w:val="00C06864"/>
    <w:rsid w:val="00C10F54"/>
    <w:rsid w:val="00C23D8D"/>
    <w:rsid w:val="00C30A00"/>
    <w:rsid w:val="00C36202"/>
    <w:rsid w:val="00C37AA3"/>
    <w:rsid w:val="00C37FD7"/>
    <w:rsid w:val="00C43419"/>
    <w:rsid w:val="00C44CF3"/>
    <w:rsid w:val="00C47CAA"/>
    <w:rsid w:val="00C61BE0"/>
    <w:rsid w:val="00C70B0E"/>
    <w:rsid w:val="00C773CA"/>
    <w:rsid w:val="00C80C78"/>
    <w:rsid w:val="00C83785"/>
    <w:rsid w:val="00C94C0D"/>
    <w:rsid w:val="00CA1FEB"/>
    <w:rsid w:val="00CB4F26"/>
    <w:rsid w:val="00CC11AE"/>
    <w:rsid w:val="00CC3C04"/>
    <w:rsid w:val="00CD4F85"/>
    <w:rsid w:val="00CD6F02"/>
    <w:rsid w:val="00CE246D"/>
    <w:rsid w:val="00CF07A0"/>
    <w:rsid w:val="00CF3E03"/>
    <w:rsid w:val="00CF3F7E"/>
    <w:rsid w:val="00CF6344"/>
    <w:rsid w:val="00D0082A"/>
    <w:rsid w:val="00D0682E"/>
    <w:rsid w:val="00D21455"/>
    <w:rsid w:val="00D23C4B"/>
    <w:rsid w:val="00D3600B"/>
    <w:rsid w:val="00D47634"/>
    <w:rsid w:val="00D52927"/>
    <w:rsid w:val="00D709B3"/>
    <w:rsid w:val="00DA2ED6"/>
    <w:rsid w:val="00DB76B8"/>
    <w:rsid w:val="00DC2EA1"/>
    <w:rsid w:val="00DC38F1"/>
    <w:rsid w:val="00DC5800"/>
    <w:rsid w:val="00DD6AAF"/>
    <w:rsid w:val="00DE3F5C"/>
    <w:rsid w:val="00DF1D20"/>
    <w:rsid w:val="00DF5A0E"/>
    <w:rsid w:val="00DF7182"/>
    <w:rsid w:val="00E04F74"/>
    <w:rsid w:val="00E121C7"/>
    <w:rsid w:val="00E21324"/>
    <w:rsid w:val="00E246B9"/>
    <w:rsid w:val="00E31FEA"/>
    <w:rsid w:val="00E45169"/>
    <w:rsid w:val="00E47787"/>
    <w:rsid w:val="00E51C30"/>
    <w:rsid w:val="00E64180"/>
    <w:rsid w:val="00E70B59"/>
    <w:rsid w:val="00E720B4"/>
    <w:rsid w:val="00E74AEE"/>
    <w:rsid w:val="00E868E5"/>
    <w:rsid w:val="00E9237A"/>
    <w:rsid w:val="00E939FA"/>
    <w:rsid w:val="00EA5765"/>
    <w:rsid w:val="00EA5B37"/>
    <w:rsid w:val="00EC2532"/>
    <w:rsid w:val="00EC286C"/>
    <w:rsid w:val="00ED7812"/>
    <w:rsid w:val="00EE057D"/>
    <w:rsid w:val="00EF3B86"/>
    <w:rsid w:val="00F064E3"/>
    <w:rsid w:val="00F15A13"/>
    <w:rsid w:val="00F317E9"/>
    <w:rsid w:val="00F34554"/>
    <w:rsid w:val="00F45F77"/>
    <w:rsid w:val="00F5167F"/>
    <w:rsid w:val="00F52258"/>
    <w:rsid w:val="00F8570A"/>
    <w:rsid w:val="00F91C7B"/>
    <w:rsid w:val="00F959A1"/>
    <w:rsid w:val="00FB38C1"/>
    <w:rsid w:val="00FC410C"/>
    <w:rsid w:val="00FD0A73"/>
    <w:rsid w:val="00FE2623"/>
    <w:rsid w:val="00FE2D65"/>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E080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Char Char1,Header Char1 Char Char Char Char,Header Char Char Char Char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
    <w:basedOn w:val="DefaultParagraphFont"/>
    <w:link w:val="Header"/>
    <w:rsid w:val="00A974B8"/>
    <w:rPr>
      <w:sz w:val="24"/>
      <w:szCs w:val="24"/>
      <w:lang w:val="en-US" w:eastAsia="en-US"/>
    </w:rPr>
  </w:style>
  <w:style w:type="character" w:customStyle="1" w:styleId="tabletextNSChar">
    <w:name w:val="table:textNS Char"/>
    <w:link w:val="tabletextNS"/>
    <w:locked/>
    <w:rsid w:val="000F6023"/>
    <w:rPr>
      <w:rFonts w:ascii="Arial Narrow" w:hAnsi="Arial Narrow" w:cs="Arial Narrow"/>
      <w:sz w:val="24"/>
      <w:szCs w:val="24"/>
      <w:lang w:val="en-GB" w:eastAsia="en-US"/>
    </w:rPr>
  </w:style>
  <w:style w:type="paragraph" w:customStyle="1" w:styleId="tabletextNS">
    <w:name w:val="table:textNS"/>
    <w:basedOn w:val="Normal"/>
    <w:link w:val="tabletextNSChar"/>
    <w:rsid w:val="000F6023"/>
    <w:rPr>
      <w:rFonts w:ascii="Arial Narrow" w:hAnsi="Arial Narrow" w:cs="Arial Narrow"/>
      <w:lang w:val="en-GB"/>
    </w:rPr>
  </w:style>
  <w:style w:type="character" w:styleId="Hyperlink">
    <w:name w:val="Hyperlink"/>
    <w:basedOn w:val="DefaultParagraphFont"/>
    <w:rsid w:val="00D23C4B"/>
    <w:rPr>
      <w:color w:val="0563C1" w:themeColor="hyperlink"/>
      <w:u w:val="single"/>
    </w:rPr>
  </w:style>
  <w:style w:type="character" w:customStyle="1" w:styleId="Heading2Char">
    <w:name w:val="Heading 2 Char"/>
    <w:link w:val="Heading2"/>
    <w:locked/>
    <w:rsid w:val="00795848"/>
    <w:rPr>
      <w:rFonts w:ascii="Arial" w:hAnsi="Arial" w:cs="Arial"/>
      <w:i/>
      <w:iCs/>
      <w:color w:val="999999"/>
      <w:sz w:val="18"/>
      <w:szCs w:val="24"/>
      <w:lang w:val="en-US" w:eastAsia="en-US"/>
    </w:rPr>
  </w:style>
  <w:style w:type="paragraph" w:styleId="Revision">
    <w:name w:val="Revision"/>
    <w:hidden/>
    <w:uiPriority w:val="99"/>
    <w:semiHidden/>
    <w:rsid w:val="00DC580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7650">
      <w:bodyDiv w:val="1"/>
      <w:marLeft w:val="0"/>
      <w:marRight w:val="0"/>
      <w:marTop w:val="0"/>
      <w:marBottom w:val="0"/>
      <w:divBdr>
        <w:top w:val="none" w:sz="0" w:space="0" w:color="auto"/>
        <w:left w:val="none" w:sz="0" w:space="0" w:color="auto"/>
        <w:bottom w:val="none" w:sz="0" w:space="0" w:color="auto"/>
        <w:right w:val="none" w:sz="0" w:space="0" w:color="auto"/>
      </w:divBdr>
    </w:div>
    <w:div w:id="96484509">
      <w:bodyDiv w:val="1"/>
      <w:marLeft w:val="0"/>
      <w:marRight w:val="0"/>
      <w:marTop w:val="0"/>
      <w:marBottom w:val="0"/>
      <w:divBdr>
        <w:top w:val="none" w:sz="0" w:space="0" w:color="auto"/>
        <w:left w:val="none" w:sz="0" w:space="0" w:color="auto"/>
        <w:bottom w:val="none" w:sz="0" w:space="0" w:color="auto"/>
        <w:right w:val="none" w:sz="0" w:space="0" w:color="auto"/>
      </w:divBdr>
    </w:div>
    <w:div w:id="145173994">
      <w:bodyDiv w:val="1"/>
      <w:marLeft w:val="0"/>
      <w:marRight w:val="0"/>
      <w:marTop w:val="0"/>
      <w:marBottom w:val="0"/>
      <w:divBdr>
        <w:top w:val="none" w:sz="0" w:space="0" w:color="auto"/>
        <w:left w:val="none" w:sz="0" w:space="0" w:color="auto"/>
        <w:bottom w:val="none" w:sz="0" w:space="0" w:color="auto"/>
        <w:right w:val="none" w:sz="0" w:space="0" w:color="auto"/>
      </w:divBdr>
    </w:div>
    <w:div w:id="184174200">
      <w:bodyDiv w:val="1"/>
      <w:marLeft w:val="0"/>
      <w:marRight w:val="0"/>
      <w:marTop w:val="0"/>
      <w:marBottom w:val="0"/>
      <w:divBdr>
        <w:top w:val="none" w:sz="0" w:space="0" w:color="auto"/>
        <w:left w:val="none" w:sz="0" w:space="0" w:color="auto"/>
        <w:bottom w:val="none" w:sz="0" w:space="0" w:color="auto"/>
        <w:right w:val="none" w:sz="0" w:space="0" w:color="auto"/>
      </w:divBdr>
    </w:div>
    <w:div w:id="184250210">
      <w:bodyDiv w:val="1"/>
      <w:marLeft w:val="0"/>
      <w:marRight w:val="0"/>
      <w:marTop w:val="0"/>
      <w:marBottom w:val="0"/>
      <w:divBdr>
        <w:top w:val="none" w:sz="0" w:space="0" w:color="auto"/>
        <w:left w:val="none" w:sz="0" w:space="0" w:color="auto"/>
        <w:bottom w:val="none" w:sz="0" w:space="0" w:color="auto"/>
        <w:right w:val="none" w:sz="0" w:space="0" w:color="auto"/>
      </w:divBdr>
    </w:div>
    <w:div w:id="188882880">
      <w:bodyDiv w:val="1"/>
      <w:marLeft w:val="0"/>
      <w:marRight w:val="0"/>
      <w:marTop w:val="0"/>
      <w:marBottom w:val="0"/>
      <w:divBdr>
        <w:top w:val="none" w:sz="0" w:space="0" w:color="auto"/>
        <w:left w:val="none" w:sz="0" w:space="0" w:color="auto"/>
        <w:bottom w:val="none" w:sz="0" w:space="0" w:color="auto"/>
        <w:right w:val="none" w:sz="0" w:space="0" w:color="auto"/>
      </w:divBdr>
    </w:div>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276839160">
      <w:bodyDiv w:val="1"/>
      <w:marLeft w:val="0"/>
      <w:marRight w:val="0"/>
      <w:marTop w:val="0"/>
      <w:marBottom w:val="0"/>
      <w:divBdr>
        <w:top w:val="none" w:sz="0" w:space="0" w:color="auto"/>
        <w:left w:val="none" w:sz="0" w:space="0" w:color="auto"/>
        <w:bottom w:val="none" w:sz="0" w:space="0" w:color="auto"/>
        <w:right w:val="none" w:sz="0" w:space="0" w:color="auto"/>
      </w:divBdr>
    </w:div>
    <w:div w:id="300698355">
      <w:bodyDiv w:val="1"/>
      <w:marLeft w:val="0"/>
      <w:marRight w:val="0"/>
      <w:marTop w:val="0"/>
      <w:marBottom w:val="0"/>
      <w:divBdr>
        <w:top w:val="none" w:sz="0" w:space="0" w:color="auto"/>
        <w:left w:val="none" w:sz="0" w:space="0" w:color="auto"/>
        <w:bottom w:val="none" w:sz="0" w:space="0" w:color="auto"/>
        <w:right w:val="none" w:sz="0" w:space="0" w:color="auto"/>
      </w:divBdr>
    </w:div>
    <w:div w:id="302584947">
      <w:bodyDiv w:val="1"/>
      <w:marLeft w:val="0"/>
      <w:marRight w:val="0"/>
      <w:marTop w:val="0"/>
      <w:marBottom w:val="0"/>
      <w:divBdr>
        <w:top w:val="none" w:sz="0" w:space="0" w:color="auto"/>
        <w:left w:val="none" w:sz="0" w:space="0" w:color="auto"/>
        <w:bottom w:val="none" w:sz="0" w:space="0" w:color="auto"/>
        <w:right w:val="none" w:sz="0" w:space="0" w:color="auto"/>
      </w:divBdr>
    </w:div>
    <w:div w:id="342632925">
      <w:bodyDiv w:val="1"/>
      <w:marLeft w:val="0"/>
      <w:marRight w:val="0"/>
      <w:marTop w:val="0"/>
      <w:marBottom w:val="0"/>
      <w:divBdr>
        <w:top w:val="none" w:sz="0" w:space="0" w:color="auto"/>
        <w:left w:val="none" w:sz="0" w:space="0" w:color="auto"/>
        <w:bottom w:val="none" w:sz="0" w:space="0" w:color="auto"/>
        <w:right w:val="none" w:sz="0" w:space="0" w:color="auto"/>
      </w:divBdr>
    </w:div>
    <w:div w:id="372967660">
      <w:bodyDiv w:val="1"/>
      <w:marLeft w:val="0"/>
      <w:marRight w:val="0"/>
      <w:marTop w:val="0"/>
      <w:marBottom w:val="0"/>
      <w:divBdr>
        <w:top w:val="none" w:sz="0" w:space="0" w:color="auto"/>
        <w:left w:val="none" w:sz="0" w:space="0" w:color="auto"/>
        <w:bottom w:val="none" w:sz="0" w:space="0" w:color="auto"/>
        <w:right w:val="none" w:sz="0" w:space="0" w:color="auto"/>
      </w:divBdr>
    </w:div>
    <w:div w:id="419839471">
      <w:bodyDiv w:val="1"/>
      <w:marLeft w:val="0"/>
      <w:marRight w:val="0"/>
      <w:marTop w:val="0"/>
      <w:marBottom w:val="0"/>
      <w:divBdr>
        <w:top w:val="none" w:sz="0" w:space="0" w:color="auto"/>
        <w:left w:val="none" w:sz="0" w:space="0" w:color="auto"/>
        <w:bottom w:val="none" w:sz="0" w:space="0" w:color="auto"/>
        <w:right w:val="none" w:sz="0" w:space="0" w:color="auto"/>
      </w:divBdr>
    </w:div>
    <w:div w:id="455873665">
      <w:bodyDiv w:val="1"/>
      <w:marLeft w:val="0"/>
      <w:marRight w:val="0"/>
      <w:marTop w:val="0"/>
      <w:marBottom w:val="0"/>
      <w:divBdr>
        <w:top w:val="none" w:sz="0" w:space="0" w:color="auto"/>
        <w:left w:val="none" w:sz="0" w:space="0" w:color="auto"/>
        <w:bottom w:val="none" w:sz="0" w:space="0" w:color="auto"/>
        <w:right w:val="none" w:sz="0" w:space="0" w:color="auto"/>
      </w:divBdr>
    </w:div>
    <w:div w:id="459031696">
      <w:bodyDiv w:val="1"/>
      <w:marLeft w:val="0"/>
      <w:marRight w:val="0"/>
      <w:marTop w:val="0"/>
      <w:marBottom w:val="0"/>
      <w:divBdr>
        <w:top w:val="none" w:sz="0" w:space="0" w:color="auto"/>
        <w:left w:val="none" w:sz="0" w:space="0" w:color="auto"/>
        <w:bottom w:val="none" w:sz="0" w:space="0" w:color="auto"/>
        <w:right w:val="none" w:sz="0" w:space="0" w:color="auto"/>
      </w:divBdr>
    </w:div>
    <w:div w:id="626550049">
      <w:bodyDiv w:val="1"/>
      <w:marLeft w:val="0"/>
      <w:marRight w:val="0"/>
      <w:marTop w:val="0"/>
      <w:marBottom w:val="0"/>
      <w:divBdr>
        <w:top w:val="none" w:sz="0" w:space="0" w:color="auto"/>
        <w:left w:val="none" w:sz="0" w:space="0" w:color="auto"/>
        <w:bottom w:val="none" w:sz="0" w:space="0" w:color="auto"/>
        <w:right w:val="none" w:sz="0" w:space="0" w:color="auto"/>
      </w:divBdr>
    </w:div>
    <w:div w:id="810170992">
      <w:bodyDiv w:val="1"/>
      <w:marLeft w:val="0"/>
      <w:marRight w:val="0"/>
      <w:marTop w:val="0"/>
      <w:marBottom w:val="0"/>
      <w:divBdr>
        <w:top w:val="none" w:sz="0" w:space="0" w:color="auto"/>
        <w:left w:val="none" w:sz="0" w:space="0" w:color="auto"/>
        <w:bottom w:val="none" w:sz="0" w:space="0" w:color="auto"/>
        <w:right w:val="none" w:sz="0" w:space="0" w:color="auto"/>
      </w:divBdr>
    </w:div>
    <w:div w:id="1151943162">
      <w:bodyDiv w:val="1"/>
      <w:marLeft w:val="0"/>
      <w:marRight w:val="0"/>
      <w:marTop w:val="0"/>
      <w:marBottom w:val="0"/>
      <w:divBdr>
        <w:top w:val="none" w:sz="0" w:space="0" w:color="auto"/>
        <w:left w:val="none" w:sz="0" w:space="0" w:color="auto"/>
        <w:bottom w:val="none" w:sz="0" w:space="0" w:color="auto"/>
        <w:right w:val="none" w:sz="0" w:space="0" w:color="auto"/>
      </w:divBdr>
    </w:div>
    <w:div w:id="1239906083">
      <w:bodyDiv w:val="1"/>
      <w:marLeft w:val="0"/>
      <w:marRight w:val="0"/>
      <w:marTop w:val="0"/>
      <w:marBottom w:val="0"/>
      <w:divBdr>
        <w:top w:val="none" w:sz="0" w:space="0" w:color="auto"/>
        <w:left w:val="none" w:sz="0" w:space="0" w:color="auto"/>
        <w:bottom w:val="none" w:sz="0" w:space="0" w:color="auto"/>
        <w:right w:val="none" w:sz="0" w:space="0" w:color="auto"/>
      </w:divBdr>
    </w:div>
    <w:div w:id="1314942760">
      <w:bodyDiv w:val="1"/>
      <w:marLeft w:val="0"/>
      <w:marRight w:val="0"/>
      <w:marTop w:val="0"/>
      <w:marBottom w:val="0"/>
      <w:divBdr>
        <w:top w:val="none" w:sz="0" w:space="0" w:color="auto"/>
        <w:left w:val="none" w:sz="0" w:space="0" w:color="auto"/>
        <w:bottom w:val="none" w:sz="0" w:space="0" w:color="auto"/>
        <w:right w:val="none" w:sz="0" w:space="0" w:color="auto"/>
      </w:divBdr>
    </w:div>
    <w:div w:id="1323192866">
      <w:bodyDiv w:val="1"/>
      <w:marLeft w:val="0"/>
      <w:marRight w:val="0"/>
      <w:marTop w:val="0"/>
      <w:marBottom w:val="0"/>
      <w:divBdr>
        <w:top w:val="none" w:sz="0" w:space="0" w:color="auto"/>
        <w:left w:val="none" w:sz="0" w:space="0" w:color="auto"/>
        <w:bottom w:val="none" w:sz="0" w:space="0" w:color="auto"/>
        <w:right w:val="none" w:sz="0" w:space="0" w:color="auto"/>
      </w:divBdr>
    </w:div>
    <w:div w:id="1329215733">
      <w:bodyDiv w:val="1"/>
      <w:marLeft w:val="0"/>
      <w:marRight w:val="0"/>
      <w:marTop w:val="0"/>
      <w:marBottom w:val="0"/>
      <w:divBdr>
        <w:top w:val="none" w:sz="0" w:space="0" w:color="auto"/>
        <w:left w:val="none" w:sz="0" w:space="0" w:color="auto"/>
        <w:bottom w:val="none" w:sz="0" w:space="0" w:color="auto"/>
        <w:right w:val="none" w:sz="0" w:space="0" w:color="auto"/>
      </w:divBdr>
    </w:div>
    <w:div w:id="1502621608">
      <w:bodyDiv w:val="1"/>
      <w:marLeft w:val="0"/>
      <w:marRight w:val="0"/>
      <w:marTop w:val="0"/>
      <w:marBottom w:val="0"/>
      <w:divBdr>
        <w:top w:val="none" w:sz="0" w:space="0" w:color="auto"/>
        <w:left w:val="none" w:sz="0" w:space="0" w:color="auto"/>
        <w:bottom w:val="none" w:sz="0" w:space="0" w:color="auto"/>
        <w:right w:val="none" w:sz="0" w:space="0" w:color="auto"/>
      </w:divBdr>
    </w:div>
    <w:div w:id="1642424921">
      <w:bodyDiv w:val="1"/>
      <w:marLeft w:val="0"/>
      <w:marRight w:val="0"/>
      <w:marTop w:val="0"/>
      <w:marBottom w:val="0"/>
      <w:divBdr>
        <w:top w:val="none" w:sz="0" w:space="0" w:color="auto"/>
        <w:left w:val="none" w:sz="0" w:space="0" w:color="auto"/>
        <w:bottom w:val="none" w:sz="0" w:space="0" w:color="auto"/>
        <w:right w:val="none" w:sz="0" w:space="0" w:color="auto"/>
      </w:divBdr>
    </w:div>
    <w:div w:id="1649629651">
      <w:bodyDiv w:val="1"/>
      <w:marLeft w:val="0"/>
      <w:marRight w:val="0"/>
      <w:marTop w:val="0"/>
      <w:marBottom w:val="0"/>
      <w:divBdr>
        <w:top w:val="none" w:sz="0" w:space="0" w:color="auto"/>
        <w:left w:val="none" w:sz="0" w:space="0" w:color="auto"/>
        <w:bottom w:val="none" w:sz="0" w:space="0" w:color="auto"/>
        <w:right w:val="none" w:sz="0" w:space="0" w:color="auto"/>
      </w:divBdr>
    </w:div>
    <w:div w:id="1657301827">
      <w:bodyDiv w:val="1"/>
      <w:marLeft w:val="0"/>
      <w:marRight w:val="0"/>
      <w:marTop w:val="0"/>
      <w:marBottom w:val="0"/>
      <w:divBdr>
        <w:top w:val="none" w:sz="0" w:space="0" w:color="auto"/>
        <w:left w:val="none" w:sz="0" w:space="0" w:color="auto"/>
        <w:bottom w:val="none" w:sz="0" w:space="0" w:color="auto"/>
        <w:right w:val="none" w:sz="0" w:space="0" w:color="auto"/>
      </w:divBdr>
    </w:div>
    <w:div w:id="1661543549">
      <w:bodyDiv w:val="1"/>
      <w:marLeft w:val="0"/>
      <w:marRight w:val="0"/>
      <w:marTop w:val="0"/>
      <w:marBottom w:val="0"/>
      <w:divBdr>
        <w:top w:val="none" w:sz="0" w:space="0" w:color="auto"/>
        <w:left w:val="none" w:sz="0" w:space="0" w:color="auto"/>
        <w:bottom w:val="none" w:sz="0" w:space="0" w:color="auto"/>
        <w:right w:val="none" w:sz="0" w:space="0" w:color="auto"/>
      </w:divBdr>
    </w:div>
    <w:div w:id="1670447820">
      <w:bodyDiv w:val="1"/>
      <w:marLeft w:val="0"/>
      <w:marRight w:val="0"/>
      <w:marTop w:val="0"/>
      <w:marBottom w:val="0"/>
      <w:divBdr>
        <w:top w:val="none" w:sz="0" w:space="0" w:color="auto"/>
        <w:left w:val="none" w:sz="0" w:space="0" w:color="auto"/>
        <w:bottom w:val="none" w:sz="0" w:space="0" w:color="auto"/>
        <w:right w:val="none" w:sz="0" w:space="0" w:color="auto"/>
      </w:divBdr>
    </w:div>
    <w:div w:id="1688948172">
      <w:bodyDiv w:val="1"/>
      <w:marLeft w:val="0"/>
      <w:marRight w:val="0"/>
      <w:marTop w:val="0"/>
      <w:marBottom w:val="0"/>
      <w:divBdr>
        <w:top w:val="none" w:sz="0" w:space="0" w:color="auto"/>
        <w:left w:val="none" w:sz="0" w:space="0" w:color="auto"/>
        <w:bottom w:val="none" w:sz="0" w:space="0" w:color="auto"/>
        <w:right w:val="none" w:sz="0" w:space="0" w:color="auto"/>
      </w:divBdr>
    </w:div>
    <w:div w:id="1747144418">
      <w:bodyDiv w:val="1"/>
      <w:marLeft w:val="0"/>
      <w:marRight w:val="0"/>
      <w:marTop w:val="0"/>
      <w:marBottom w:val="0"/>
      <w:divBdr>
        <w:top w:val="none" w:sz="0" w:space="0" w:color="auto"/>
        <w:left w:val="none" w:sz="0" w:space="0" w:color="auto"/>
        <w:bottom w:val="none" w:sz="0" w:space="0" w:color="auto"/>
        <w:right w:val="none" w:sz="0" w:space="0" w:color="auto"/>
      </w:divBdr>
    </w:div>
    <w:div w:id="1751657894">
      <w:bodyDiv w:val="1"/>
      <w:marLeft w:val="0"/>
      <w:marRight w:val="0"/>
      <w:marTop w:val="0"/>
      <w:marBottom w:val="0"/>
      <w:divBdr>
        <w:top w:val="none" w:sz="0" w:space="0" w:color="auto"/>
        <w:left w:val="none" w:sz="0" w:space="0" w:color="auto"/>
        <w:bottom w:val="none" w:sz="0" w:space="0" w:color="auto"/>
        <w:right w:val="none" w:sz="0" w:space="0" w:color="auto"/>
      </w:divBdr>
    </w:div>
    <w:div w:id="1852646607">
      <w:bodyDiv w:val="1"/>
      <w:marLeft w:val="0"/>
      <w:marRight w:val="0"/>
      <w:marTop w:val="0"/>
      <w:marBottom w:val="0"/>
      <w:divBdr>
        <w:top w:val="none" w:sz="0" w:space="0" w:color="auto"/>
        <w:left w:val="none" w:sz="0" w:space="0" w:color="auto"/>
        <w:bottom w:val="none" w:sz="0" w:space="0" w:color="auto"/>
        <w:right w:val="none" w:sz="0" w:space="0" w:color="auto"/>
      </w:divBdr>
    </w:div>
    <w:div w:id="1921016736">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 w:id="2055155945">
      <w:bodyDiv w:val="1"/>
      <w:marLeft w:val="0"/>
      <w:marRight w:val="0"/>
      <w:marTop w:val="0"/>
      <w:marBottom w:val="0"/>
      <w:divBdr>
        <w:top w:val="none" w:sz="0" w:space="0" w:color="auto"/>
        <w:left w:val="none" w:sz="0" w:space="0" w:color="auto"/>
        <w:bottom w:val="none" w:sz="0" w:space="0" w:color="auto"/>
        <w:right w:val="none" w:sz="0" w:space="0" w:color="auto"/>
      </w:divBdr>
    </w:div>
    <w:div w:id="2117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FD95B-9C01-4886-BFF0-78443554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11198</Words>
  <Characters>63830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74879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16</cp:revision>
  <dcterms:created xsi:type="dcterms:W3CDTF">2024-11-11T11:29:00Z</dcterms:created>
  <dcterms:modified xsi:type="dcterms:W3CDTF">2024-12-05T14:00:00Z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