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1D4E2" w14:textId="77777777" w:rsidR="00F91C7B" w:rsidRPr="00786071" w:rsidRDefault="00F91C7B" w:rsidP="001A5518">
      <w:pPr>
        <w:rPr>
          <w:b/>
          <w:bCs/>
          <w:i/>
          <w:iCs/>
          <w:sz w:val="22"/>
          <w:szCs w:val="22"/>
          <w:u w:val="single"/>
        </w:rPr>
      </w:pPr>
    </w:p>
    <w:p w14:paraId="7EA0B4BE" w14:textId="77777777" w:rsidR="002510A5" w:rsidRPr="002510A5" w:rsidRDefault="002510A5" w:rsidP="002510A5">
      <w:pPr>
        <w:jc w:val="center"/>
        <w:rPr>
          <w:b/>
          <w:bCs/>
          <w:iCs/>
          <w:sz w:val="22"/>
          <w:szCs w:val="22"/>
          <w:u w:val="single"/>
        </w:rPr>
      </w:pPr>
      <w:r w:rsidRPr="002510A5">
        <w:rPr>
          <w:b/>
          <w:bCs/>
          <w:iCs/>
          <w:sz w:val="22"/>
          <w:szCs w:val="22"/>
          <w:u w:val="single"/>
        </w:rPr>
        <w:t>SAŽETAK KARAKTERISTIKA LIJEKA</w:t>
      </w:r>
    </w:p>
    <w:p w14:paraId="7642EAA3" w14:textId="77777777" w:rsidR="002510A5" w:rsidRPr="002510A5" w:rsidRDefault="002510A5" w:rsidP="002510A5">
      <w:pPr>
        <w:rPr>
          <w:b/>
          <w:bCs/>
          <w:i/>
          <w:iCs/>
          <w:sz w:val="22"/>
          <w:szCs w:val="22"/>
          <w:u w:val="single"/>
        </w:rPr>
      </w:pPr>
    </w:p>
    <w:p w14:paraId="003054BF" w14:textId="77777777" w:rsidR="003C17AB" w:rsidRPr="00CA1FEB" w:rsidRDefault="003C17AB" w:rsidP="00CA1FEB">
      <w:pPr>
        <w:rPr>
          <w:sz w:val="22"/>
          <w:szCs w:val="22"/>
          <w:lang w:val="sr-Latn-CS"/>
        </w:rPr>
      </w:pPr>
    </w:p>
    <w:p w14:paraId="592FDBA8" w14:textId="77777777" w:rsidR="00C37FD7" w:rsidRPr="00531B03" w:rsidRDefault="005C5EF4" w:rsidP="00D56F33">
      <w:pPr>
        <w:tabs>
          <w:tab w:val="left" w:pos="540"/>
          <w:tab w:val="left" w:pos="569"/>
        </w:tabs>
        <w:jc w:val="both"/>
        <w:rPr>
          <w:bCs/>
          <w:i/>
          <w:sz w:val="22"/>
          <w:szCs w:val="22"/>
          <w:lang w:val="hr-HR"/>
        </w:rPr>
      </w:pPr>
      <w:r w:rsidRPr="00786071">
        <w:rPr>
          <w:noProof/>
          <w:sz w:val="22"/>
          <w:szCs w:val="22"/>
        </w:rPr>
        <w:drawing>
          <wp:inline distT="0" distB="0" distL="0" distR="0" wp14:anchorId="2C0BD7BF" wp14:editId="1FFF4259">
            <wp:extent cx="172085" cy="144780"/>
            <wp:effectExtent l="0" t="0" r="0" b="7620"/>
            <wp:docPr id="1" name="Picture 3"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085" cy="144780"/>
                    </a:xfrm>
                    <a:prstGeom prst="rect">
                      <a:avLst/>
                    </a:prstGeom>
                    <a:noFill/>
                    <a:ln>
                      <a:noFill/>
                    </a:ln>
                  </pic:spPr>
                </pic:pic>
              </a:graphicData>
            </a:graphic>
          </wp:inline>
        </w:drawing>
      </w:r>
      <w:r w:rsidR="003C17AB" w:rsidRPr="00786071">
        <w:rPr>
          <w:noProof/>
          <w:sz w:val="22"/>
          <w:szCs w:val="22"/>
          <w:lang w:val="hr-HR"/>
        </w:rPr>
        <w:t xml:space="preserve"> Ovaj lijek je pod dodatnim praćenjem.</w:t>
      </w:r>
      <w:r w:rsidR="003C17AB" w:rsidRPr="00786071">
        <w:rPr>
          <w:sz w:val="22"/>
          <w:szCs w:val="22"/>
          <w:lang w:val="hr-HR"/>
        </w:rPr>
        <w:t xml:space="preserve"> </w:t>
      </w:r>
      <w:r w:rsidR="003C17AB" w:rsidRPr="00786071">
        <w:rPr>
          <w:noProof/>
          <w:sz w:val="22"/>
          <w:szCs w:val="22"/>
          <w:lang w:val="hr-HR"/>
        </w:rPr>
        <w:t>Time se omogućava brzo otkrivanje novih bezbjednosnih informacija. Zdravstveni radnici treba da prijave svaku sumnju na neželjeno dejstvo ovog lijeka.</w:t>
      </w:r>
      <w:r w:rsidR="003C17AB" w:rsidRPr="00786071">
        <w:rPr>
          <w:sz w:val="22"/>
          <w:szCs w:val="22"/>
          <w:lang w:val="hr-HR"/>
        </w:rPr>
        <w:t xml:space="preserve"> Za način prijavljivanja neželjenih dejstava vidjeti </w:t>
      </w:r>
      <w:r w:rsidR="007A3ECB">
        <w:rPr>
          <w:sz w:val="22"/>
          <w:szCs w:val="22"/>
          <w:lang w:val="hr-HR"/>
        </w:rPr>
        <w:t xml:space="preserve">dio </w:t>
      </w:r>
      <w:r w:rsidR="003C17AB" w:rsidRPr="00786071">
        <w:rPr>
          <w:sz w:val="22"/>
          <w:szCs w:val="22"/>
          <w:lang w:val="hr-HR"/>
        </w:rPr>
        <w:t>4.8</w:t>
      </w:r>
      <w:r w:rsidR="003C17AB" w:rsidRPr="00786071">
        <w:rPr>
          <w:noProof/>
          <w:sz w:val="22"/>
          <w:szCs w:val="22"/>
          <w:lang w:val="hr-HR"/>
        </w:rPr>
        <w:t>.</w:t>
      </w:r>
      <w:r w:rsidR="00107BF7" w:rsidRPr="00786071">
        <w:rPr>
          <w:noProof/>
          <w:sz w:val="22"/>
          <w:szCs w:val="22"/>
          <w:lang w:val="hr-HR"/>
        </w:rPr>
        <w:t xml:space="preserve"> </w:t>
      </w:r>
    </w:p>
    <w:p w14:paraId="1C0AA5AF" w14:textId="77777777" w:rsidR="003C17AB" w:rsidRPr="0058338A" w:rsidRDefault="003C17AB" w:rsidP="00D56F33">
      <w:pPr>
        <w:tabs>
          <w:tab w:val="left" w:pos="540"/>
          <w:tab w:val="left" w:pos="569"/>
        </w:tabs>
        <w:jc w:val="both"/>
        <w:rPr>
          <w:noProof/>
          <w:sz w:val="22"/>
          <w:szCs w:val="22"/>
          <w:lang w:val="hr-HR"/>
        </w:rPr>
      </w:pPr>
    </w:p>
    <w:p w14:paraId="5F82F0C8" w14:textId="77777777" w:rsidR="00C37FD7" w:rsidRPr="00531B03" w:rsidRDefault="00C37FD7" w:rsidP="00D56F33">
      <w:pPr>
        <w:tabs>
          <w:tab w:val="left" w:pos="540"/>
          <w:tab w:val="left" w:pos="569"/>
        </w:tabs>
        <w:jc w:val="both"/>
        <w:rPr>
          <w:bCs/>
          <w:sz w:val="22"/>
          <w:szCs w:val="22"/>
          <w:lang w:val="hr-HR"/>
        </w:rPr>
      </w:pPr>
    </w:p>
    <w:p w14:paraId="3D5C0A10" w14:textId="77777777" w:rsidR="00411B4B" w:rsidRPr="00531B03" w:rsidRDefault="00411B4B" w:rsidP="00D56F33">
      <w:pPr>
        <w:tabs>
          <w:tab w:val="left" w:pos="540"/>
          <w:tab w:val="left" w:pos="569"/>
        </w:tabs>
        <w:jc w:val="both"/>
        <w:rPr>
          <w:b/>
          <w:bCs/>
          <w:sz w:val="22"/>
          <w:szCs w:val="22"/>
          <w:lang w:val="hr-HR"/>
        </w:rPr>
      </w:pPr>
      <w:r w:rsidRPr="00531B03">
        <w:rPr>
          <w:b/>
          <w:bCs/>
          <w:sz w:val="22"/>
          <w:szCs w:val="22"/>
          <w:lang w:val="hr-HR"/>
        </w:rPr>
        <w:t>1.</w:t>
      </w:r>
      <w:r w:rsidR="00F5167F" w:rsidRPr="00531B03">
        <w:rPr>
          <w:b/>
          <w:bCs/>
          <w:sz w:val="22"/>
          <w:szCs w:val="22"/>
          <w:lang w:val="hr-HR"/>
        </w:rPr>
        <w:tab/>
      </w:r>
      <w:r w:rsidR="002846DB" w:rsidRPr="00531B03">
        <w:rPr>
          <w:b/>
          <w:bCs/>
          <w:sz w:val="22"/>
          <w:szCs w:val="22"/>
          <w:lang w:val="hr-HR"/>
        </w:rPr>
        <w:t xml:space="preserve">NAZIV </w:t>
      </w:r>
      <w:r w:rsidRPr="00531B03">
        <w:rPr>
          <w:b/>
          <w:bCs/>
          <w:sz w:val="22"/>
          <w:szCs w:val="22"/>
          <w:lang w:val="hr-HR"/>
        </w:rPr>
        <w:t>LIJEKA</w:t>
      </w:r>
    </w:p>
    <w:p w14:paraId="0EFAE6C0" w14:textId="77777777" w:rsidR="00EC2532" w:rsidRPr="0058338A" w:rsidRDefault="00EC2532" w:rsidP="00D56F33">
      <w:pPr>
        <w:jc w:val="both"/>
        <w:rPr>
          <w:sz w:val="22"/>
          <w:szCs w:val="22"/>
          <w:lang w:val="pl-PL"/>
        </w:rPr>
      </w:pPr>
    </w:p>
    <w:p w14:paraId="4A730C8C" w14:textId="7D539DF7" w:rsidR="0058338A" w:rsidRPr="0058338A" w:rsidRDefault="0058338A" w:rsidP="00D56F33">
      <w:pPr>
        <w:jc w:val="both"/>
        <w:rPr>
          <w:bCs/>
          <w:sz w:val="22"/>
          <w:szCs w:val="22"/>
          <w:lang w:val="hr-HR"/>
        </w:rPr>
      </w:pPr>
      <w:r w:rsidRPr="0058338A">
        <w:rPr>
          <w:bCs/>
          <w:sz w:val="22"/>
          <w:szCs w:val="22"/>
          <w:lang w:val="hr-HR"/>
        </w:rPr>
        <w:t>Exjade, 180 mg, film tablete</w:t>
      </w:r>
    </w:p>
    <w:p w14:paraId="3AB52490" w14:textId="0BE002D2" w:rsidR="0058338A" w:rsidRPr="0058338A" w:rsidRDefault="0058338A" w:rsidP="00D56F33">
      <w:pPr>
        <w:jc w:val="both"/>
        <w:rPr>
          <w:bCs/>
          <w:sz w:val="22"/>
          <w:szCs w:val="22"/>
          <w:lang w:val="hr-HR"/>
        </w:rPr>
      </w:pPr>
      <w:r w:rsidRPr="0058338A">
        <w:rPr>
          <w:bCs/>
          <w:sz w:val="22"/>
          <w:szCs w:val="22"/>
          <w:lang w:val="hr-HR"/>
        </w:rPr>
        <w:t>Exjade, 360 mg, film tablete</w:t>
      </w:r>
    </w:p>
    <w:p w14:paraId="524869A6" w14:textId="77777777" w:rsidR="000D425A" w:rsidRPr="0058338A" w:rsidRDefault="000D425A" w:rsidP="00D56F33">
      <w:pPr>
        <w:jc w:val="both"/>
        <w:rPr>
          <w:bCs/>
          <w:sz w:val="22"/>
          <w:szCs w:val="22"/>
          <w:lang w:val="sv-SE"/>
        </w:rPr>
      </w:pPr>
    </w:p>
    <w:p w14:paraId="3F09EE21" w14:textId="77777777" w:rsidR="006D20A5" w:rsidRPr="0058338A" w:rsidRDefault="006D20A5" w:rsidP="00D56F33">
      <w:pPr>
        <w:jc w:val="both"/>
        <w:rPr>
          <w:sz w:val="22"/>
          <w:szCs w:val="22"/>
          <w:lang w:val="sr-Latn-CS"/>
        </w:rPr>
      </w:pPr>
      <w:r w:rsidRPr="0058338A">
        <w:rPr>
          <w:sz w:val="22"/>
          <w:szCs w:val="22"/>
          <w:lang w:val="sv-SE"/>
        </w:rPr>
        <w:t>INN:</w:t>
      </w:r>
      <w:r w:rsidR="0058338A" w:rsidRPr="0058338A">
        <w:rPr>
          <w:sz w:val="22"/>
          <w:szCs w:val="22"/>
          <w:lang w:val="sr-Latn-CS"/>
        </w:rPr>
        <w:t xml:space="preserve"> deferasiroks</w:t>
      </w:r>
    </w:p>
    <w:p w14:paraId="7B01463F" w14:textId="77777777" w:rsidR="006D20A5" w:rsidRPr="0058338A" w:rsidRDefault="006D20A5" w:rsidP="00531B03">
      <w:pPr>
        <w:jc w:val="both"/>
        <w:rPr>
          <w:bCs/>
          <w:sz w:val="22"/>
          <w:szCs w:val="22"/>
          <w:lang w:val="sv-SE"/>
        </w:rPr>
      </w:pPr>
    </w:p>
    <w:p w14:paraId="7AF0CC0E" w14:textId="77777777" w:rsidR="00530BD7" w:rsidRPr="0058338A" w:rsidRDefault="00530BD7" w:rsidP="00531B03">
      <w:pPr>
        <w:jc w:val="both"/>
        <w:rPr>
          <w:bCs/>
          <w:sz w:val="22"/>
          <w:szCs w:val="22"/>
          <w:lang w:val="sv-SE"/>
        </w:rPr>
      </w:pPr>
    </w:p>
    <w:p w14:paraId="02D127F4" w14:textId="77777777" w:rsidR="00411B4B" w:rsidRPr="0058338A" w:rsidRDefault="00411B4B" w:rsidP="00531B03">
      <w:pPr>
        <w:tabs>
          <w:tab w:val="left" w:pos="540"/>
          <w:tab w:val="left" w:pos="569"/>
        </w:tabs>
        <w:jc w:val="both"/>
        <w:rPr>
          <w:b/>
          <w:bCs/>
          <w:sz w:val="22"/>
          <w:szCs w:val="22"/>
        </w:rPr>
      </w:pPr>
      <w:r w:rsidRPr="0058338A">
        <w:rPr>
          <w:b/>
          <w:bCs/>
          <w:sz w:val="22"/>
          <w:szCs w:val="22"/>
        </w:rPr>
        <w:t xml:space="preserve">2. </w:t>
      </w:r>
      <w:r w:rsidR="00F5167F" w:rsidRPr="0058338A">
        <w:rPr>
          <w:b/>
          <w:bCs/>
          <w:sz w:val="22"/>
          <w:szCs w:val="22"/>
        </w:rPr>
        <w:tab/>
      </w:r>
      <w:r w:rsidRPr="0058338A">
        <w:rPr>
          <w:b/>
          <w:bCs/>
          <w:sz w:val="22"/>
          <w:szCs w:val="22"/>
        </w:rPr>
        <w:t>KVALITATIVNI I KVANTITATIVNI SASTAV</w:t>
      </w:r>
    </w:p>
    <w:p w14:paraId="2CF680A7" w14:textId="77777777" w:rsidR="005A0B2E" w:rsidRPr="0058338A" w:rsidRDefault="005A0B2E" w:rsidP="00531B03">
      <w:pPr>
        <w:jc w:val="both"/>
        <w:rPr>
          <w:sz w:val="22"/>
          <w:szCs w:val="22"/>
          <w:lang w:val="sr-Latn-CS"/>
        </w:rPr>
      </w:pPr>
    </w:p>
    <w:p w14:paraId="07B24550" w14:textId="77777777" w:rsidR="0058338A" w:rsidRPr="0058338A" w:rsidRDefault="0058338A" w:rsidP="00531B03">
      <w:pPr>
        <w:jc w:val="both"/>
        <w:rPr>
          <w:i/>
          <w:sz w:val="22"/>
          <w:szCs w:val="22"/>
        </w:rPr>
      </w:pPr>
      <w:r w:rsidRPr="0058338A">
        <w:rPr>
          <w:i/>
          <w:sz w:val="22"/>
          <w:szCs w:val="22"/>
        </w:rPr>
        <w:t xml:space="preserve">Exjade, 180 mg, film tablete: </w:t>
      </w:r>
    </w:p>
    <w:p w14:paraId="5D19D2D8" w14:textId="77777777" w:rsidR="0058338A" w:rsidRPr="0058338A" w:rsidRDefault="0058338A" w:rsidP="00531B03">
      <w:pPr>
        <w:jc w:val="both"/>
        <w:rPr>
          <w:sz w:val="22"/>
          <w:szCs w:val="22"/>
        </w:rPr>
      </w:pPr>
      <w:r w:rsidRPr="0058338A">
        <w:rPr>
          <w:sz w:val="22"/>
          <w:szCs w:val="22"/>
        </w:rPr>
        <w:t>Jedna tableta sadrži 180 mg deferasiroksa.</w:t>
      </w:r>
    </w:p>
    <w:p w14:paraId="42BA9EEE" w14:textId="77777777" w:rsidR="0058338A" w:rsidRPr="0058338A" w:rsidRDefault="0058338A" w:rsidP="00531B03">
      <w:pPr>
        <w:jc w:val="both"/>
        <w:rPr>
          <w:sz w:val="22"/>
          <w:szCs w:val="22"/>
        </w:rPr>
      </w:pPr>
    </w:p>
    <w:p w14:paraId="0C6FF0F9" w14:textId="77777777" w:rsidR="0058338A" w:rsidRPr="0058338A" w:rsidRDefault="0058338A" w:rsidP="00531B03">
      <w:pPr>
        <w:jc w:val="both"/>
        <w:rPr>
          <w:i/>
          <w:sz w:val="22"/>
          <w:szCs w:val="22"/>
        </w:rPr>
      </w:pPr>
      <w:r w:rsidRPr="0058338A">
        <w:rPr>
          <w:i/>
          <w:sz w:val="22"/>
          <w:szCs w:val="22"/>
        </w:rPr>
        <w:t xml:space="preserve">Exjade, 360 mg, film tablete: </w:t>
      </w:r>
    </w:p>
    <w:p w14:paraId="3D7C3223" w14:textId="77777777" w:rsidR="0058338A" w:rsidRPr="0058338A" w:rsidRDefault="0058338A" w:rsidP="00531B03">
      <w:pPr>
        <w:jc w:val="both"/>
        <w:rPr>
          <w:sz w:val="22"/>
          <w:szCs w:val="22"/>
        </w:rPr>
      </w:pPr>
      <w:r w:rsidRPr="0058338A">
        <w:rPr>
          <w:sz w:val="22"/>
          <w:szCs w:val="22"/>
        </w:rPr>
        <w:t>Jedna tableta sadrži 360 mg deferasiroksa.</w:t>
      </w:r>
    </w:p>
    <w:p w14:paraId="609C2C99" w14:textId="77777777" w:rsidR="0058338A" w:rsidRPr="0058338A" w:rsidRDefault="0058338A" w:rsidP="00531B03">
      <w:pPr>
        <w:jc w:val="both"/>
        <w:rPr>
          <w:sz w:val="22"/>
          <w:szCs w:val="22"/>
        </w:rPr>
      </w:pPr>
    </w:p>
    <w:p w14:paraId="6267D926" w14:textId="77777777" w:rsidR="0003793F" w:rsidRPr="0058338A" w:rsidRDefault="0003793F" w:rsidP="00531B03">
      <w:pPr>
        <w:jc w:val="both"/>
        <w:rPr>
          <w:sz w:val="22"/>
          <w:szCs w:val="22"/>
          <w:lang w:val="sr-Latn-CS"/>
        </w:rPr>
      </w:pPr>
      <w:r w:rsidRPr="0058338A">
        <w:rPr>
          <w:sz w:val="22"/>
          <w:szCs w:val="22"/>
          <w:lang w:val="sr-Latn-CS"/>
        </w:rPr>
        <w:t>Za spisak svih ekscipijenasa, pogledati dio 6.1.</w:t>
      </w:r>
    </w:p>
    <w:p w14:paraId="45027267" w14:textId="77777777" w:rsidR="0003793F" w:rsidRDefault="0003793F" w:rsidP="00531B03">
      <w:pPr>
        <w:jc w:val="both"/>
        <w:rPr>
          <w:sz w:val="22"/>
          <w:szCs w:val="22"/>
          <w:lang w:val="sr-Latn-CS"/>
        </w:rPr>
      </w:pPr>
    </w:p>
    <w:p w14:paraId="09EBACF7" w14:textId="77777777" w:rsidR="00C37FD7" w:rsidRPr="00786071" w:rsidRDefault="00C37FD7" w:rsidP="00531B03">
      <w:pPr>
        <w:jc w:val="both"/>
        <w:rPr>
          <w:sz w:val="22"/>
          <w:szCs w:val="22"/>
          <w:lang w:val="sr-Latn-CS"/>
        </w:rPr>
      </w:pPr>
    </w:p>
    <w:p w14:paraId="31574783" w14:textId="77777777" w:rsidR="00411B4B" w:rsidRPr="00786071" w:rsidRDefault="00411B4B" w:rsidP="00531B03">
      <w:pPr>
        <w:tabs>
          <w:tab w:val="left" w:pos="540"/>
          <w:tab w:val="left" w:pos="569"/>
        </w:tabs>
        <w:jc w:val="both"/>
        <w:rPr>
          <w:b/>
          <w:bCs/>
          <w:sz w:val="22"/>
          <w:szCs w:val="22"/>
        </w:rPr>
      </w:pPr>
      <w:r w:rsidRPr="00786071">
        <w:rPr>
          <w:b/>
          <w:bCs/>
          <w:sz w:val="22"/>
          <w:szCs w:val="22"/>
        </w:rPr>
        <w:t xml:space="preserve">3. </w:t>
      </w:r>
      <w:r w:rsidR="00F5167F" w:rsidRPr="00786071">
        <w:rPr>
          <w:b/>
          <w:bCs/>
          <w:sz w:val="22"/>
          <w:szCs w:val="22"/>
        </w:rPr>
        <w:tab/>
      </w:r>
      <w:r w:rsidRPr="00786071">
        <w:rPr>
          <w:b/>
          <w:bCs/>
          <w:sz w:val="22"/>
          <w:szCs w:val="22"/>
        </w:rPr>
        <w:t>FARMACEUTSKI OBLIK</w:t>
      </w:r>
      <w:r w:rsidR="009F2D23" w:rsidRPr="00786071">
        <w:rPr>
          <w:b/>
          <w:bCs/>
          <w:sz w:val="22"/>
          <w:szCs w:val="22"/>
        </w:rPr>
        <w:t xml:space="preserve"> </w:t>
      </w:r>
    </w:p>
    <w:p w14:paraId="7C5F46E0" w14:textId="77777777" w:rsidR="0058338A" w:rsidRDefault="0058338A" w:rsidP="00531B03">
      <w:pPr>
        <w:jc w:val="both"/>
        <w:rPr>
          <w:szCs w:val="22"/>
        </w:rPr>
      </w:pPr>
    </w:p>
    <w:p w14:paraId="6E2EFADB" w14:textId="77777777" w:rsidR="0058338A" w:rsidRPr="0058338A" w:rsidRDefault="0058338A" w:rsidP="00531B03">
      <w:pPr>
        <w:jc w:val="both"/>
        <w:rPr>
          <w:sz w:val="22"/>
          <w:szCs w:val="22"/>
        </w:rPr>
      </w:pPr>
      <w:r w:rsidRPr="0058338A">
        <w:rPr>
          <w:sz w:val="22"/>
          <w:szCs w:val="22"/>
        </w:rPr>
        <w:t>Film tableta.</w:t>
      </w:r>
    </w:p>
    <w:p w14:paraId="1B5A8A96" w14:textId="77777777" w:rsidR="0058338A" w:rsidRPr="0058338A" w:rsidRDefault="0058338A" w:rsidP="00531B03">
      <w:pPr>
        <w:jc w:val="both"/>
        <w:rPr>
          <w:sz w:val="22"/>
          <w:szCs w:val="22"/>
        </w:rPr>
      </w:pPr>
    </w:p>
    <w:p w14:paraId="7B836D09" w14:textId="77777777" w:rsidR="0058338A" w:rsidRPr="0058338A" w:rsidRDefault="0058338A" w:rsidP="00531B03">
      <w:pPr>
        <w:jc w:val="both"/>
        <w:rPr>
          <w:i/>
          <w:sz w:val="22"/>
          <w:szCs w:val="22"/>
        </w:rPr>
      </w:pPr>
      <w:r w:rsidRPr="0058338A">
        <w:rPr>
          <w:i/>
          <w:sz w:val="22"/>
          <w:szCs w:val="22"/>
        </w:rPr>
        <w:t xml:space="preserve">Exjade, 180 mg, film tablete: </w:t>
      </w:r>
    </w:p>
    <w:p w14:paraId="7BFAFC95" w14:textId="77777777" w:rsidR="0058338A" w:rsidRPr="0058338A" w:rsidRDefault="005D0D32" w:rsidP="00531B03">
      <w:pPr>
        <w:jc w:val="both"/>
        <w:rPr>
          <w:sz w:val="22"/>
          <w:szCs w:val="22"/>
        </w:rPr>
      </w:pPr>
      <w:r>
        <w:rPr>
          <w:sz w:val="22"/>
          <w:szCs w:val="22"/>
        </w:rPr>
        <w:t>Srednje p</w:t>
      </w:r>
      <w:r w:rsidR="0058338A" w:rsidRPr="0058338A">
        <w:rPr>
          <w:sz w:val="22"/>
          <w:szCs w:val="22"/>
        </w:rPr>
        <w:t>lava, oval</w:t>
      </w:r>
      <w:r w:rsidR="00584DC6">
        <w:rPr>
          <w:sz w:val="22"/>
          <w:szCs w:val="22"/>
        </w:rPr>
        <w:t>oid</w:t>
      </w:r>
      <w:r w:rsidR="0058338A" w:rsidRPr="0058338A">
        <w:rPr>
          <w:sz w:val="22"/>
          <w:szCs w:val="22"/>
        </w:rPr>
        <w:t xml:space="preserve">na, bikonveksna film tableta, fasetiranih ivica </w:t>
      </w:r>
      <w:proofErr w:type="gramStart"/>
      <w:r w:rsidR="0058338A" w:rsidRPr="0058338A">
        <w:rPr>
          <w:sz w:val="22"/>
          <w:szCs w:val="22"/>
        </w:rPr>
        <w:t>sa</w:t>
      </w:r>
      <w:proofErr w:type="gramEnd"/>
      <w:r w:rsidR="0058338A" w:rsidRPr="0058338A">
        <w:rPr>
          <w:sz w:val="22"/>
          <w:szCs w:val="22"/>
        </w:rPr>
        <w:t xml:space="preserve"> utisnutim oznakama NVR na jednoj strani i 180 na drugoj strani. </w:t>
      </w:r>
      <w:r w:rsidR="005E5A3D">
        <w:rPr>
          <w:sz w:val="22"/>
          <w:szCs w:val="22"/>
        </w:rPr>
        <w:t>Dimenzije</w:t>
      </w:r>
      <w:r w:rsidR="0058338A" w:rsidRPr="0058338A">
        <w:rPr>
          <w:sz w:val="22"/>
          <w:szCs w:val="22"/>
        </w:rPr>
        <w:t xml:space="preserve"> tablete su </w:t>
      </w:r>
      <w:r w:rsidR="005E5A3D">
        <w:rPr>
          <w:sz w:val="22"/>
          <w:szCs w:val="22"/>
        </w:rPr>
        <w:t xml:space="preserve">oko </w:t>
      </w:r>
      <w:r w:rsidR="0058338A" w:rsidRPr="0058338A">
        <w:rPr>
          <w:sz w:val="22"/>
          <w:szCs w:val="22"/>
        </w:rPr>
        <w:t>14 mm x 5</w:t>
      </w:r>
      <w:proofErr w:type="gramStart"/>
      <w:r w:rsidR="0058338A" w:rsidRPr="0058338A">
        <w:rPr>
          <w:sz w:val="22"/>
          <w:szCs w:val="22"/>
        </w:rPr>
        <w:t>,5</w:t>
      </w:r>
      <w:proofErr w:type="gramEnd"/>
      <w:r w:rsidR="0058338A" w:rsidRPr="0058338A">
        <w:rPr>
          <w:sz w:val="22"/>
          <w:szCs w:val="22"/>
        </w:rPr>
        <w:t xml:space="preserve"> mm.</w:t>
      </w:r>
    </w:p>
    <w:p w14:paraId="66B8EC51" w14:textId="77777777" w:rsidR="0058338A" w:rsidRPr="0058338A" w:rsidRDefault="0058338A" w:rsidP="00531B03">
      <w:pPr>
        <w:jc w:val="both"/>
        <w:rPr>
          <w:sz w:val="22"/>
          <w:szCs w:val="22"/>
        </w:rPr>
      </w:pPr>
    </w:p>
    <w:p w14:paraId="5F4ED9EF" w14:textId="77777777" w:rsidR="0058338A" w:rsidRPr="0058338A" w:rsidRDefault="0058338A" w:rsidP="00531B03">
      <w:pPr>
        <w:jc w:val="both"/>
        <w:rPr>
          <w:i/>
          <w:sz w:val="22"/>
          <w:szCs w:val="22"/>
        </w:rPr>
      </w:pPr>
      <w:r w:rsidRPr="0058338A">
        <w:rPr>
          <w:i/>
          <w:sz w:val="22"/>
          <w:szCs w:val="22"/>
        </w:rPr>
        <w:t xml:space="preserve">Exjade, 360 mg, film tablete: </w:t>
      </w:r>
    </w:p>
    <w:p w14:paraId="6F0B7EFD" w14:textId="77777777" w:rsidR="0058338A" w:rsidRPr="0058338A" w:rsidRDefault="0058338A" w:rsidP="00531B03">
      <w:pPr>
        <w:jc w:val="both"/>
        <w:rPr>
          <w:sz w:val="22"/>
          <w:szCs w:val="22"/>
        </w:rPr>
      </w:pPr>
      <w:r w:rsidRPr="0058338A">
        <w:rPr>
          <w:sz w:val="22"/>
          <w:szCs w:val="22"/>
        </w:rPr>
        <w:t>Tamno plava, oval</w:t>
      </w:r>
      <w:r w:rsidR="00584DC6">
        <w:rPr>
          <w:sz w:val="22"/>
          <w:szCs w:val="22"/>
        </w:rPr>
        <w:t>oid</w:t>
      </w:r>
      <w:r w:rsidRPr="0058338A">
        <w:rPr>
          <w:sz w:val="22"/>
          <w:szCs w:val="22"/>
        </w:rPr>
        <w:t xml:space="preserve">na, bikonveksna film tableta, fasetiranih ivica </w:t>
      </w:r>
      <w:proofErr w:type="gramStart"/>
      <w:r w:rsidRPr="0058338A">
        <w:rPr>
          <w:sz w:val="22"/>
          <w:szCs w:val="22"/>
        </w:rPr>
        <w:t>sa</w:t>
      </w:r>
      <w:proofErr w:type="gramEnd"/>
      <w:r w:rsidRPr="0058338A">
        <w:rPr>
          <w:sz w:val="22"/>
          <w:szCs w:val="22"/>
        </w:rPr>
        <w:t xml:space="preserve"> utisnutim oznakama NVR na jednoj strani i 360 na drugoj strani. </w:t>
      </w:r>
      <w:r w:rsidR="005E5A3D">
        <w:rPr>
          <w:sz w:val="22"/>
          <w:szCs w:val="22"/>
        </w:rPr>
        <w:t>Dimenzije</w:t>
      </w:r>
      <w:r w:rsidRPr="0058338A">
        <w:rPr>
          <w:sz w:val="22"/>
          <w:szCs w:val="22"/>
        </w:rPr>
        <w:t xml:space="preserve"> tablete su </w:t>
      </w:r>
      <w:r w:rsidR="005E5A3D">
        <w:rPr>
          <w:sz w:val="22"/>
          <w:szCs w:val="22"/>
        </w:rPr>
        <w:t xml:space="preserve">oko </w:t>
      </w:r>
      <w:r w:rsidRPr="0058338A">
        <w:rPr>
          <w:sz w:val="22"/>
          <w:szCs w:val="22"/>
        </w:rPr>
        <w:t>17 mm x 6</w:t>
      </w:r>
      <w:proofErr w:type="gramStart"/>
      <w:r w:rsidRPr="0058338A">
        <w:rPr>
          <w:sz w:val="22"/>
          <w:szCs w:val="22"/>
        </w:rPr>
        <w:t>,7</w:t>
      </w:r>
      <w:proofErr w:type="gramEnd"/>
      <w:r w:rsidRPr="0058338A">
        <w:rPr>
          <w:sz w:val="22"/>
          <w:szCs w:val="22"/>
        </w:rPr>
        <w:t xml:space="preserve"> mm.</w:t>
      </w:r>
    </w:p>
    <w:p w14:paraId="27138F98" w14:textId="77777777" w:rsidR="00411B4B" w:rsidRPr="00786071" w:rsidRDefault="00411B4B" w:rsidP="00531B03">
      <w:pPr>
        <w:jc w:val="both"/>
        <w:rPr>
          <w:bCs/>
          <w:sz w:val="22"/>
          <w:szCs w:val="22"/>
          <w:lang w:val="sr-Latn-CS"/>
        </w:rPr>
      </w:pPr>
    </w:p>
    <w:p w14:paraId="34789269" w14:textId="77777777" w:rsidR="00EC2532" w:rsidRPr="00786071" w:rsidRDefault="00EC2532" w:rsidP="00531B03">
      <w:pPr>
        <w:jc w:val="both"/>
        <w:rPr>
          <w:bCs/>
          <w:sz w:val="22"/>
          <w:szCs w:val="22"/>
          <w:lang w:val="sr-Latn-CS"/>
        </w:rPr>
      </w:pPr>
    </w:p>
    <w:p w14:paraId="109597F8" w14:textId="77777777" w:rsidR="00411B4B" w:rsidRPr="00786071" w:rsidRDefault="00411B4B" w:rsidP="00531B03">
      <w:pPr>
        <w:tabs>
          <w:tab w:val="left" w:pos="540"/>
          <w:tab w:val="left" w:pos="569"/>
        </w:tabs>
        <w:jc w:val="both"/>
        <w:rPr>
          <w:b/>
          <w:bCs/>
          <w:sz w:val="22"/>
          <w:szCs w:val="22"/>
        </w:rPr>
      </w:pPr>
      <w:r w:rsidRPr="00786071">
        <w:rPr>
          <w:b/>
          <w:bCs/>
          <w:sz w:val="22"/>
          <w:szCs w:val="22"/>
        </w:rPr>
        <w:t xml:space="preserve">4. </w:t>
      </w:r>
      <w:r w:rsidR="00480FB1" w:rsidRPr="00786071">
        <w:rPr>
          <w:b/>
          <w:bCs/>
          <w:sz w:val="22"/>
          <w:szCs w:val="22"/>
        </w:rPr>
        <w:tab/>
      </w:r>
      <w:r w:rsidRPr="00786071">
        <w:rPr>
          <w:b/>
          <w:bCs/>
          <w:sz w:val="22"/>
          <w:szCs w:val="22"/>
        </w:rPr>
        <w:t>KLINIČKI PODACI</w:t>
      </w:r>
    </w:p>
    <w:p w14:paraId="55F3C60E" w14:textId="77777777" w:rsidR="00CD6F02" w:rsidRPr="00786071" w:rsidRDefault="00CD6F02" w:rsidP="00531B03">
      <w:pPr>
        <w:tabs>
          <w:tab w:val="left" w:pos="540"/>
          <w:tab w:val="left" w:pos="569"/>
        </w:tabs>
        <w:jc w:val="both"/>
        <w:rPr>
          <w:bCs/>
          <w:sz w:val="22"/>
          <w:szCs w:val="22"/>
        </w:rPr>
      </w:pPr>
    </w:p>
    <w:p w14:paraId="0401F370" w14:textId="77777777" w:rsidR="00411B4B" w:rsidRPr="00786071" w:rsidRDefault="00411B4B" w:rsidP="00531B03">
      <w:pPr>
        <w:tabs>
          <w:tab w:val="left" w:pos="540"/>
          <w:tab w:val="left" w:pos="569"/>
        </w:tabs>
        <w:jc w:val="both"/>
        <w:rPr>
          <w:b/>
          <w:bCs/>
          <w:sz w:val="22"/>
          <w:szCs w:val="22"/>
        </w:rPr>
      </w:pPr>
      <w:r w:rsidRPr="00786071">
        <w:rPr>
          <w:b/>
          <w:bCs/>
          <w:sz w:val="22"/>
          <w:szCs w:val="22"/>
        </w:rPr>
        <w:t xml:space="preserve">4.1. </w:t>
      </w:r>
      <w:r w:rsidR="00480FB1" w:rsidRPr="00786071">
        <w:rPr>
          <w:b/>
          <w:bCs/>
          <w:sz w:val="22"/>
          <w:szCs w:val="22"/>
        </w:rPr>
        <w:tab/>
      </w:r>
      <w:r w:rsidRPr="00786071">
        <w:rPr>
          <w:b/>
          <w:bCs/>
          <w:sz w:val="22"/>
          <w:szCs w:val="22"/>
        </w:rPr>
        <w:t>Terapijske indikacije</w:t>
      </w:r>
    </w:p>
    <w:p w14:paraId="59E4B5D3" w14:textId="77777777" w:rsidR="00D21251" w:rsidRDefault="00D21251" w:rsidP="00531B03">
      <w:pPr>
        <w:tabs>
          <w:tab w:val="left" w:pos="540"/>
          <w:tab w:val="left" w:pos="569"/>
        </w:tabs>
        <w:jc w:val="both"/>
        <w:rPr>
          <w:bCs/>
          <w:sz w:val="22"/>
          <w:szCs w:val="22"/>
        </w:rPr>
      </w:pPr>
    </w:p>
    <w:p w14:paraId="36204AF3" w14:textId="77777777" w:rsidR="0058338A" w:rsidRPr="0058338A" w:rsidRDefault="00344FF6" w:rsidP="00531B03">
      <w:pPr>
        <w:tabs>
          <w:tab w:val="left" w:pos="540"/>
          <w:tab w:val="left" w:pos="569"/>
        </w:tabs>
        <w:jc w:val="both"/>
        <w:rPr>
          <w:bCs/>
          <w:sz w:val="22"/>
          <w:szCs w:val="22"/>
        </w:rPr>
      </w:pPr>
      <w:r>
        <w:rPr>
          <w:bCs/>
          <w:sz w:val="22"/>
          <w:szCs w:val="22"/>
        </w:rPr>
        <w:t>Lijek</w:t>
      </w:r>
      <w:r w:rsidR="0058338A" w:rsidRPr="0058338A">
        <w:rPr>
          <w:bCs/>
          <w:sz w:val="22"/>
          <w:szCs w:val="22"/>
        </w:rPr>
        <w:t xml:space="preserve"> Exjade je indikovan za terapiju hroničnog preopterećenja gvožđem koje je nastalo kao posl</w:t>
      </w:r>
      <w:r w:rsidR="009E320F">
        <w:rPr>
          <w:bCs/>
          <w:sz w:val="22"/>
          <w:szCs w:val="22"/>
        </w:rPr>
        <w:t>j</w:t>
      </w:r>
      <w:r w:rsidR="0058338A" w:rsidRPr="0058338A">
        <w:rPr>
          <w:bCs/>
          <w:sz w:val="22"/>
          <w:szCs w:val="22"/>
        </w:rPr>
        <w:t xml:space="preserve">edica čestih transfuzija krvi (≥7 </w:t>
      </w:r>
      <w:r w:rsidR="00EC14C4" w:rsidRPr="0058338A">
        <w:rPr>
          <w:bCs/>
          <w:sz w:val="22"/>
          <w:szCs w:val="22"/>
        </w:rPr>
        <w:t>m</w:t>
      </w:r>
      <w:r w:rsidR="00EC14C4">
        <w:rPr>
          <w:bCs/>
          <w:sz w:val="22"/>
          <w:szCs w:val="22"/>
        </w:rPr>
        <w:t>l</w:t>
      </w:r>
      <w:r w:rsidR="0058338A" w:rsidRPr="0058338A">
        <w:rPr>
          <w:bCs/>
          <w:sz w:val="22"/>
          <w:szCs w:val="22"/>
        </w:rPr>
        <w:t>/kg/m</w:t>
      </w:r>
      <w:r w:rsidR="009E320F">
        <w:rPr>
          <w:bCs/>
          <w:sz w:val="22"/>
          <w:szCs w:val="22"/>
        </w:rPr>
        <w:t>j</w:t>
      </w:r>
      <w:r w:rsidR="0058338A" w:rsidRPr="0058338A">
        <w:rPr>
          <w:bCs/>
          <w:sz w:val="22"/>
          <w:szCs w:val="22"/>
        </w:rPr>
        <w:t xml:space="preserve">esec koncentrovanih eritrocita) kod pacijenata </w:t>
      </w:r>
      <w:proofErr w:type="gramStart"/>
      <w:r w:rsidR="0058338A" w:rsidRPr="0058338A">
        <w:rPr>
          <w:bCs/>
          <w:sz w:val="22"/>
          <w:szCs w:val="22"/>
        </w:rPr>
        <w:t>sa</w:t>
      </w:r>
      <w:proofErr w:type="gramEnd"/>
      <w:r w:rsidR="0058338A" w:rsidRPr="0058338A">
        <w:rPr>
          <w:bCs/>
          <w:sz w:val="22"/>
          <w:szCs w:val="22"/>
        </w:rPr>
        <w:t xml:space="preserve"> beta</w:t>
      </w:r>
      <w:r w:rsidR="00EC14C4">
        <w:rPr>
          <w:bCs/>
          <w:sz w:val="22"/>
          <w:szCs w:val="22"/>
        </w:rPr>
        <w:t>-</w:t>
      </w:r>
      <w:r w:rsidR="0058338A" w:rsidRPr="0058338A">
        <w:rPr>
          <w:bCs/>
          <w:sz w:val="22"/>
          <w:szCs w:val="22"/>
        </w:rPr>
        <w:t>talasemijom major, uzrasta od 6 godina i starijih.</w:t>
      </w:r>
    </w:p>
    <w:p w14:paraId="0FE82A51" w14:textId="77777777" w:rsidR="0058338A" w:rsidRPr="0058338A" w:rsidRDefault="0058338A" w:rsidP="00531B03">
      <w:pPr>
        <w:tabs>
          <w:tab w:val="left" w:pos="540"/>
          <w:tab w:val="left" w:pos="569"/>
        </w:tabs>
        <w:jc w:val="both"/>
        <w:rPr>
          <w:bCs/>
          <w:sz w:val="22"/>
          <w:szCs w:val="22"/>
        </w:rPr>
      </w:pPr>
    </w:p>
    <w:p w14:paraId="58AC1754" w14:textId="77777777" w:rsidR="0058338A" w:rsidRPr="0058338A" w:rsidRDefault="00344FF6" w:rsidP="00531B03">
      <w:pPr>
        <w:tabs>
          <w:tab w:val="left" w:pos="540"/>
          <w:tab w:val="left" w:pos="569"/>
        </w:tabs>
        <w:jc w:val="both"/>
        <w:rPr>
          <w:bCs/>
          <w:sz w:val="22"/>
          <w:szCs w:val="22"/>
        </w:rPr>
      </w:pPr>
      <w:r>
        <w:rPr>
          <w:bCs/>
          <w:sz w:val="22"/>
          <w:szCs w:val="22"/>
        </w:rPr>
        <w:t>Lijek</w:t>
      </w:r>
      <w:r w:rsidR="0058338A" w:rsidRPr="0058338A">
        <w:rPr>
          <w:bCs/>
          <w:sz w:val="22"/>
          <w:szCs w:val="22"/>
        </w:rPr>
        <w:t xml:space="preserve"> Exjade je takođe indikovan za terapiju hroničnog preopterećenja gvožđem koje je nastalo kao posl</w:t>
      </w:r>
      <w:r w:rsidR="009E320F">
        <w:rPr>
          <w:bCs/>
          <w:sz w:val="22"/>
          <w:szCs w:val="22"/>
        </w:rPr>
        <w:t>j</w:t>
      </w:r>
      <w:r w:rsidR="0058338A" w:rsidRPr="0058338A">
        <w:rPr>
          <w:bCs/>
          <w:sz w:val="22"/>
          <w:szCs w:val="22"/>
        </w:rPr>
        <w:t xml:space="preserve">edica transfuzija krvi kada je terapija deferoksaminom kontraindikovana </w:t>
      </w:r>
      <w:proofErr w:type="gramStart"/>
      <w:r w:rsidR="0058338A" w:rsidRPr="0058338A">
        <w:rPr>
          <w:bCs/>
          <w:sz w:val="22"/>
          <w:szCs w:val="22"/>
        </w:rPr>
        <w:t>ili</w:t>
      </w:r>
      <w:proofErr w:type="gramEnd"/>
      <w:r w:rsidR="0058338A" w:rsidRPr="0058338A">
        <w:rPr>
          <w:bCs/>
          <w:sz w:val="22"/>
          <w:szCs w:val="22"/>
        </w:rPr>
        <w:t xml:space="preserve"> neadekvatna u sl</w:t>
      </w:r>
      <w:r w:rsidR="009E320F">
        <w:rPr>
          <w:bCs/>
          <w:sz w:val="22"/>
          <w:szCs w:val="22"/>
        </w:rPr>
        <w:t>j</w:t>
      </w:r>
      <w:r w:rsidR="0058338A" w:rsidRPr="0058338A">
        <w:rPr>
          <w:bCs/>
          <w:sz w:val="22"/>
          <w:szCs w:val="22"/>
        </w:rPr>
        <w:t>edećim grupama pacijenata:</w:t>
      </w:r>
    </w:p>
    <w:p w14:paraId="5D07CA4E" w14:textId="77777777" w:rsidR="0058338A" w:rsidRPr="0058338A" w:rsidRDefault="0058338A" w:rsidP="00531B03">
      <w:pPr>
        <w:tabs>
          <w:tab w:val="left" w:pos="540"/>
          <w:tab w:val="left" w:pos="569"/>
        </w:tabs>
        <w:jc w:val="both"/>
        <w:rPr>
          <w:bCs/>
          <w:sz w:val="22"/>
          <w:szCs w:val="22"/>
        </w:rPr>
      </w:pPr>
      <w:r w:rsidRPr="0058338A">
        <w:rPr>
          <w:bCs/>
          <w:sz w:val="22"/>
          <w:szCs w:val="22"/>
        </w:rPr>
        <w:t xml:space="preserve">- </w:t>
      </w:r>
      <w:proofErr w:type="gramStart"/>
      <w:r w:rsidRPr="0058338A">
        <w:rPr>
          <w:bCs/>
          <w:sz w:val="22"/>
          <w:szCs w:val="22"/>
        </w:rPr>
        <w:t>kod</w:t>
      </w:r>
      <w:proofErr w:type="gramEnd"/>
      <w:r w:rsidRPr="0058338A">
        <w:rPr>
          <w:bCs/>
          <w:sz w:val="22"/>
          <w:szCs w:val="22"/>
        </w:rPr>
        <w:t xml:space="preserve"> pedijatrijskih pacijenata sa beta-talasemijom major sa preopterećenjem gvožđem koje je nastalo kao posl</w:t>
      </w:r>
      <w:r w:rsidR="009E320F">
        <w:rPr>
          <w:bCs/>
          <w:sz w:val="22"/>
          <w:szCs w:val="22"/>
        </w:rPr>
        <w:t>j</w:t>
      </w:r>
      <w:r w:rsidRPr="0058338A">
        <w:rPr>
          <w:bCs/>
          <w:sz w:val="22"/>
          <w:szCs w:val="22"/>
        </w:rPr>
        <w:t xml:space="preserve">edica čestih transfuzija krvi (≥7 </w:t>
      </w:r>
      <w:r w:rsidR="00EC14C4" w:rsidRPr="0058338A">
        <w:rPr>
          <w:bCs/>
          <w:sz w:val="22"/>
          <w:szCs w:val="22"/>
        </w:rPr>
        <w:t>m</w:t>
      </w:r>
      <w:r w:rsidR="00EC14C4">
        <w:rPr>
          <w:bCs/>
          <w:sz w:val="22"/>
          <w:szCs w:val="22"/>
        </w:rPr>
        <w:t>l</w:t>
      </w:r>
      <w:r w:rsidRPr="0058338A">
        <w:rPr>
          <w:bCs/>
          <w:sz w:val="22"/>
          <w:szCs w:val="22"/>
        </w:rPr>
        <w:t>/kg/m</w:t>
      </w:r>
      <w:r w:rsidR="009E320F">
        <w:rPr>
          <w:bCs/>
          <w:sz w:val="22"/>
          <w:szCs w:val="22"/>
        </w:rPr>
        <w:t>j</w:t>
      </w:r>
      <w:r w:rsidRPr="0058338A">
        <w:rPr>
          <w:bCs/>
          <w:sz w:val="22"/>
          <w:szCs w:val="22"/>
        </w:rPr>
        <w:t>esec koncentrovanih eritrocita) uzrasta od 2 do 5 godina,</w:t>
      </w:r>
    </w:p>
    <w:p w14:paraId="0EE8F58B" w14:textId="77777777" w:rsidR="0058338A" w:rsidRPr="0058338A" w:rsidRDefault="0058338A" w:rsidP="00531B03">
      <w:pPr>
        <w:tabs>
          <w:tab w:val="left" w:pos="540"/>
          <w:tab w:val="left" w:pos="569"/>
        </w:tabs>
        <w:jc w:val="both"/>
        <w:rPr>
          <w:bCs/>
          <w:sz w:val="22"/>
          <w:szCs w:val="22"/>
        </w:rPr>
      </w:pPr>
      <w:r w:rsidRPr="0058338A">
        <w:rPr>
          <w:bCs/>
          <w:sz w:val="22"/>
          <w:szCs w:val="22"/>
        </w:rPr>
        <w:lastRenderedPageBreak/>
        <w:t xml:space="preserve">- </w:t>
      </w:r>
      <w:proofErr w:type="gramStart"/>
      <w:r w:rsidRPr="0058338A">
        <w:rPr>
          <w:bCs/>
          <w:sz w:val="22"/>
          <w:szCs w:val="22"/>
        </w:rPr>
        <w:t>kod</w:t>
      </w:r>
      <w:proofErr w:type="gramEnd"/>
      <w:r w:rsidRPr="0058338A">
        <w:rPr>
          <w:bCs/>
          <w:sz w:val="22"/>
          <w:szCs w:val="22"/>
        </w:rPr>
        <w:t xml:space="preserve"> odraslih i pedijatrijskih pacijenata sa beta-talasemijom major sa preopterećenjem gvožđem koje je nastalo kao posl</w:t>
      </w:r>
      <w:r w:rsidR="009E320F">
        <w:rPr>
          <w:bCs/>
          <w:sz w:val="22"/>
          <w:szCs w:val="22"/>
        </w:rPr>
        <w:t>j</w:t>
      </w:r>
      <w:r w:rsidRPr="0058338A">
        <w:rPr>
          <w:bCs/>
          <w:sz w:val="22"/>
          <w:szCs w:val="22"/>
        </w:rPr>
        <w:t xml:space="preserve">edica povremenih transfuzija krvi (&lt;7 </w:t>
      </w:r>
      <w:r w:rsidR="00EC14C4" w:rsidRPr="0058338A">
        <w:rPr>
          <w:bCs/>
          <w:sz w:val="22"/>
          <w:szCs w:val="22"/>
        </w:rPr>
        <w:t>m</w:t>
      </w:r>
      <w:r w:rsidR="00EC14C4">
        <w:rPr>
          <w:bCs/>
          <w:sz w:val="22"/>
          <w:szCs w:val="22"/>
        </w:rPr>
        <w:t>l</w:t>
      </w:r>
      <w:r w:rsidRPr="0058338A">
        <w:rPr>
          <w:bCs/>
          <w:sz w:val="22"/>
          <w:szCs w:val="22"/>
        </w:rPr>
        <w:t>/kg/m</w:t>
      </w:r>
      <w:r w:rsidR="009E320F">
        <w:rPr>
          <w:bCs/>
          <w:sz w:val="22"/>
          <w:szCs w:val="22"/>
        </w:rPr>
        <w:t>j</w:t>
      </w:r>
      <w:r w:rsidRPr="0058338A">
        <w:rPr>
          <w:bCs/>
          <w:sz w:val="22"/>
          <w:szCs w:val="22"/>
        </w:rPr>
        <w:t>esec koncentrovanih eritrocita) uzrasta od 2 godine i starijih,</w:t>
      </w:r>
    </w:p>
    <w:p w14:paraId="1A209BDB" w14:textId="77777777" w:rsidR="0058338A" w:rsidRPr="0058338A" w:rsidRDefault="0058338A" w:rsidP="00531B03">
      <w:pPr>
        <w:tabs>
          <w:tab w:val="left" w:pos="540"/>
          <w:tab w:val="left" w:pos="569"/>
        </w:tabs>
        <w:jc w:val="both"/>
        <w:rPr>
          <w:bCs/>
          <w:sz w:val="22"/>
          <w:szCs w:val="22"/>
        </w:rPr>
      </w:pPr>
      <w:r w:rsidRPr="0058338A">
        <w:rPr>
          <w:bCs/>
          <w:sz w:val="22"/>
          <w:szCs w:val="22"/>
        </w:rPr>
        <w:t xml:space="preserve">- </w:t>
      </w:r>
      <w:proofErr w:type="gramStart"/>
      <w:r w:rsidRPr="0058338A">
        <w:rPr>
          <w:bCs/>
          <w:sz w:val="22"/>
          <w:szCs w:val="22"/>
        </w:rPr>
        <w:t>kod</w:t>
      </w:r>
      <w:proofErr w:type="gramEnd"/>
      <w:r w:rsidRPr="0058338A">
        <w:rPr>
          <w:bCs/>
          <w:sz w:val="22"/>
          <w:szCs w:val="22"/>
        </w:rPr>
        <w:t xml:space="preserve"> odraslih i pedijatrijskih pacijenata sa drugim anemijama uzrasta od 2 godine i starijih.</w:t>
      </w:r>
    </w:p>
    <w:p w14:paraId="7007E989" w14:textId="77777777" w:rsidR="0058338A" w:rsidRPr="0058338A" w:rsidRDefault="0058338A" w:rsidP="00531B03">
      <w:pPr>
        <w:tabs>
          <w:tab w:val="left" w:pos="540"/>
          <w:tab w:val="left" w:pos="569"/>
        </w:tabs>
        <w:jc w:val="both"/>
        <w:rPr>
          <w:bCs/>
          <w:sz w:val="22"/>
          <w:szCs w:val="22"/>
        </w:rPr>
      </w:pPr>
    </w:p>
    <w:p w14:paraId="7A9729D2" w14:textId="77777777" w:rsidR="00411B4B" w:rsidRPr="00786071" w:rsidRDefault="00344FF6" w:rsidP="00531B03">
      <w:pPr>
        <w:tabs>
          <w:tab w:val="left" w:pos="540"/>
          <w:tab w:val="left" w:pos="569"/>
        </w:tabs>
        <w:jc w:val="both"/>
        <w:rPr>
          <w:bCs/>
          <w:sz w:val="22"/>
          <w:szCs w:val="22"/>
        </w:rPr>
      </w:pPr>
      <w:r>
        <w:rPr>
          <w:bCs/>
          <w:sz w:val="22"/>
          <w:szCs w:val="22"/>
        </w:rPr>
        <w:t>Lijek</w:t>
      </w:r>
      <w:r w:rsidR="0058338A" w:rsidRPr="0058338A">
        <w:rPr>
          <w:bCs/>
          <w:sz w:val="22"/>
          <w:szCs w:val="22"/>
        </w:rPr>
        <w:t xml:space="preserve"> Exjade je takođe indikovan za terapiju hroničnog preopterećenja gvožđem koje zaht</w:t>
      </w:r>
      <w:r w:rsidR="009E320F">
        <w:rPr>
          <w:bCs/>
          <w:sz w:val="22"/>
          <w:szCs w:val="22"/>
        </w:rPr>
        <w:t>ij</w:t>
      </w:r>
      <w:r w:rsidR="0058338A" w:rsidRPr="0058338A">
        <w:rPr>
          <w:bCs/>
          <w:sz w:val="22"/>
          <w:szCs w:val="22"/>
        </w:rPr>
        <w:t xml:space="preserve">eva helacionu terapiju, kada je terapija deferoksaminom kontraindikovana </w:t>
      </w:r>
      <w:proofErr w:type="gramStart"/>
      <w:r w:rsidR="0058338A" w:rsidRPr="0058338A">
        <w:rPr>
          <w:bCs/>
          <w:sz w:val="22"/>
          <w:szCs w:val="22"/>
        </w:rPr>
        <w:t>ili</w:t>
      </w:r>
      <w:proofErr w:type="gramEnd"/>
      <w:r w:rsidR="0058338A" w:rsidRPr="0058338A">
        <w:rPr>
          <w:bCs/>
          <w:sz w:val="22"/>
          <w:szCs w:val="22"/>
        </w:rPr>
        <w:t xml:space="preserve"> neadekvatna, kod pacijenata uzrasta od 10 godina i starijih sa talasemijskim sindromima koji ne zavise od transfuzije.</w:t>
      </w:r>
    </w:p>
    <w:p w14:paraId="142C63A3" w14:textId="77777777" w:rsidR="0058338A" w:rsidRDefault="0058338A" w:rsidP="00531B03">
      <w:pPr>
        <w:tabs>
          <w:tab w:val="left" w:pos="540"/>
          <w:tab w:val="left" w:pos="569"/>
        </w:tabs>
        <w:jc w:val="both"/>
        <w:rPr>
          <w:b/>
          <w:bCs/>
          <w:sz w:val="22"/>
          <w:szCs w:val="22"/>
        </w:rPr>
      </w:pPr>
    </w:p>
    <w:p w14:paraId="05F731EB" w14:textId="77777777" w:rsidR="00411B4B" w:rsidRPr="00786071" w:rsidRDefault="00411B4B" w:rsidP="00531B03">
      <w:pPr>
        <w:tabs>
          <w:tab w:val="left" w:pos="540"/>
          <w:tab w:val="left" w:pos="569"/>
        </w:tabs>
        <w:jc w:val="both"/>
        <w:rPr>
          <w:b/>
          <w:bCs/>
          <w:sz w:val="22"/>
          <w:szCs w:val="22"/>
        </w:rPr>
      </w:pPr>
      <w:r w:rsidRPr="00786071">
        <w:rPr>
          <w:b/>
          <w:bCs/>
          <w:sz w:val="22"/>
          <w:szCs w:val="22"/>
        </w:rPr>
        <w:t xml:space="preserve">4.2. </w:t>
      </w:r>
      <w:r w:rsidR="00480FB1" w:rsidRPr="00786071">
        <w:rPr>
          <w:b/>
          <w:bCs/>
          <w:sz w:val="22"/>
          <w:szCs w:val="22"/>
        </w:rPr>
        <w:tab/>
      </w:r>
      <w:r w:rsidRPr="00786071">
        <w:rPr>
          <w:b/>
          <w:bCs/>
          <w:sz w:val="22"/>
          <w:szCs w:val="22"/>
        </w:rPr>
        <w:t>Doziranje i način primjene</w:t>
      </w:r>
    </w:p>
    <w:p w14:paraId="7742C5B5" w14:textId="77777777" w:rsidR="0058338A" w:rsidRDefault="0058338A" w:rsidP="00531B03">
      <w:pPr>
        <w:tabs>
          <w:tab w:val="left" w:pos="540"/>
          <w:tab w:val="left" w:pos="569"/>
        </w:tabs>
        <w:jc w:val="both"/>
        <w:rPr>
          <w:bCs/>
          <w:sz w:val="22"/>
          <w:szCs w:val="22"/>
        </w:rPr>
      </w:pPr>
    </w:p>
    <w:p w14:paraId="57A79994" w14:textId="77777777" w:rsidR="0072020E" w:rsidRPr="00786071" w:rsidRDefault="0058338A" w:rsidP="00531B03">
      <w:pPr>
        <w:tabs>
          <w:tab w:val="left" w:pos="540"/>
          <w:tab w:val="left" w:pos="569"/>
        </w:tabs>
        <w:jc w:val="both"/>
        <w:rPr>
          <w:bCs/>
          <w:sz w:val="22"/>
          <w:szCs w:val="22"/>
        </w:rPr>
      </w:pPr>
      <w:r w:rsidRPr="0058338A">
        <w:rPr>
          <w:bCs/>
          <w:sz w:val="22"/>
          <w:szCs w:val="22"/>
        </w:rPr>
        <w:t xml:space="preserve">Terapiju </w:t>
      </w:r>
      <w:r w:rsidR="00344FF6">
        <w:rPr>
          <w:bCs/>
          <w:sz w:val="22"/>
          <w:szCs w:val="22"/>
        </w:rPr>
        <w:t>lijek</w:t>
      </w:r>
      <w:r w:rsidRPr="0058338A">
        <w:rPr>
          <w:bCs/>
          <w:sz w:val="22"/>
          <w:szCs w:val="22"/>
        </w:rPr>
        <w:t xml:space="preserve">om Exjade bi trebalo da započne i vodi </w:t>
      </w:r>
      <w:r w:rsidR="00344FF6">
        <w:rPr>
          <w:bCs/>
          <w:sz w:val="22"/>
          <w:szCs w:val="22"/>
        </w:rPr>
        <w:t>ljekar</w:t>
      </w:r>
      <w:r w:rsidRPr="0058338A">
        <w:rPr>
          <w:bCs/>
          <w:sz w:val="22"/>
          <w:szCs w:val="22"/>
        </w:rPr>
        <w:t xml:space="preserve"> </w:t>
      </w:r>
      <w:proofErr w:type="gramStart"/>
      <w:r w:rsidRPr="0058338A">
        <w:rPr>
          <w:bCs/>
          <w:sz w:val="22"/>
          <w:szCs w:val="22"/>
        </w:rPr>
        <w:t>sa</w:t>
      </w:r>
      <w:proofErr w:type="gramEnd"/>
      <w:r w:rsidRPr="0058338A">
        <w:rPr>
          <w:bCs/>
          <w:sz w:val="22"/>
          <w:szCs w:val="22"/>
        </w:rPr>
        <w:t xml:space="preserve"> iskustvom u l</w:t>
      </w:r>
      <w:r w:rsidR="009E320F">
        <w:rPr>
          <w:bCs/>
          <w:sz w:val="22"/>
          <w:szCs w:val="22"/>
        </w:rPr>
        <w:t>ij</w:t>
      </w:r>
      <w:r w:rsidRPr="0058338A">
        <w:rPr>
          <w:bCs/>
          <w:sz w:val="22"/>
          <w:szCs w:val="22"/>
        </w:rPr>
        <w:t>ečenju hroničnog preopterećenja gvožđem.</w:t>
      </w:r>
    </w:p>
    <w:p w14:paraId="53BBA119" w14:textId="77777777" w:rsidR="0058338A" w:rsidRDefault="0058338A" w:rsidP="00531B03">
      <w:pPr>
        <w:tabs>
          <w:tab w:val="left" w:pos="540"/>
          <w:tab w:val="left" w:pos="569"/>
        </w:tabs>
        <w:jc w:val="both"/>
        <w:rPr>
          <w:bCs/>
          <w:sz w:val="22"/>
          <w:szCs w:val="22"/>
          <w:u w:val="single"/>
        </w:rPr>
      </w:pPr>
    </w:p>
    <w:p w14:paraId="60203038" w14:textId="77777777" w:rsidR="00452E9D" w:rsidRPr="00786071" w:rsidRDefault="00452E9D" w:rsidP="00531B03">
      <w:pPr>
        <w:tabs>
          <w:tab w:val="left" w:pos="540"/>
          <w:tab w:val="left" w:pos="569"/>
        </w:tabs>
        <w:jc w:val="both"/>
        <w:rPr>
          <w:bCs/>
          <w:sz w:val="22"/>
          <w:szCs w:val="22"/>
          <w:u w:val="single"/>
        </w:rPr>
      </w:pPr>
      <w:r w:rsidRPr="00786071">
        <w:rPr>
          <w:bCs/>
          <w:sz w:val="22"/>
          <w:szCs w:val="22"/>
          <w:u w:val="single"/>
        </w:rPr>
        <w:t>Doziranje</w:t>
      </w:r>
    </w:p>
    <w:p w14:paraId="4DE6C303" w14:textId="77777777" w:rsidR="0058338A" w:rsidRDefault="0058338A" w:rsidP="00531B03">
      <w:pPr>
        <w:jc w:val="both"/>
        <w:rPr>
          <w:i/>
          <w:szCs w:val="22"/>
          <w:u w:val="single"/>
        </w:rPr>
      </w:pPr>
    </w:p>
    <w:p w14:paraId="28D42ECC" w14:textId="77777777" w:rsidR="0058338A" w:rsidRPr="0058338A" w:rsidRDefault="0058338A" w:rsidP="00531B03">
      <w:pPr>
        <w:jc w:val="both"/>
        <w:rPr>
          <w:i/>
          <w:sz w:val="22"/>
          <w:szCs w:val="22"/>
          <w:u w:val="single"/>
        </w:rPr>
      </w:pPr>
      <w:r w:rsidRPr="0058338A">
        <w:rPr>
          <w:i/>
          <w:sz w:val="22"/>
          <w:szCs w:val="22"/>
          <w:u w:val="single"/>
        </w:rPr>
        <w:t>Preopterećenje gvožđem koje je posl</w:t>
      </w:r>
      <w:r w:rsidR="009E320F">
        <w:rPr>
          <w:i/>
          <w:sz w:val="22"/>
          <w:szCs w:val="22"/>
          <w:u w:val="single"/>
        </w:rPr>
        <w:t>j</w:t>
      </w:r>
      <w:r w:rsidRPr="0058338A">
        <w:rPr>
          <w:i/>
          <w:sz w:val="22"/>
          <w:szCs w:val="22"/>
          <w:u w:val="single"/>
        </w:rPr>
        <w:t>edica transfuzije krvi</w:t>
      </w:r>
    </w:p>
    <w:p w14:paraId="6F140061" w14:textId="77777777" w:rsidR="0058338A" w:rsidRPr="0058338A" w:rsidRDefault="0058338A" w:rsidP="00531B03">
      <w:pPr>
        <w:jc w:val="both"/>
        <w:rPr>
          <w:sz w:val="22"/>
          <w:szCs w:val="22"/>
        </w:rPr>
      </w:pPr>
    </w:p>
    <w:p w14:paraId="6D5F72E2" w14:textId="77777777" w:rsidR="0058338A" w:rsidRPr="0058338A" w:rsidRDefault="0058338A" w:rsidP="00531B03">
      <w:pPr>
        <w:jc w:val="both"/>
        <w:rPr>
          <w:sz w:val="22"/>
          <w:szCs w:val="22"/>
        </w:rPr>
      </w:pPr>
      <w:r w:rsidRPr="0058338A">
        <w:rPr>
          <w:sz w:val="22"/>
          <w:szCs w:val="22"/>
        </w:rPr>
        <w:t>Preporučuje se da se terapija započne posl</w:t>
      </w:r>
      <w:r w:rsidR="009E320F">
        <w:rPr>
          <w:sz w:val="22"/>
          <w:szCs w:val="22"/>
        </w:rPr>
        <w:t>ij</w:t>
      </w:r>
      <w:r w:rsidRPr="0058338A">
        <w:rPr>
          <w:sz w:val="22"/>
          <w:szCs w:val="22"/>
        </w:rPr>
        <w:t xml:space="preserve">e transfuzije od oko 20 jedinica koncentrovanih eritrocita (JKE), što je oko 100 </w:t>
      </w:r>
      <w:r w:rsidR="00EC14C4" w:rsidRPr="0058338A">
        <w:rPr>
          <w:sz w:val="22"/>
          <w:szCs w:val="22"/>
        </w:rPr>
        <w:t>m</w:t>
      </w:r>
      <w:r w:rsidR="00EC14C4">
        <w:rPr>
          <w:sz w:val="22"/>
          <w:szCs w:val="22"/>
        </w:rPr>
        <w:t>l</w:t>
      </w:r>
      <w:r w:rsidRPr="0058338A">
        <w:rPr>
          <w:sz w:val="22"/>
          <w:szCs w:val="22"/>
        </w:rPr>
        <w:t>/kg ili onda kada se, na osnovu kliničkog pregleda, dobije dokaz o postojanju hroničnog preopterećenja gvožđem (npr. serumski feritin &gt;1000 mikrograma/</w:t>
      </w:r>
      <w:r w:rsidR="00EC14C4">
        <w:rPr>
          <w:sz w:val="22"/>
          <w:szCs w:val="22"/>
        </w:rPr>
        <w:t>l</w:t>
      </w:r>
      <w:r w:rsidRPr="0058338A">
        <w:rPr>
          <w:sz w:val="22"/>
          <w:szCs w:val="22"/>
        </w:rPr>
        <w:t xml:space="preserve">). Doze (u mg/kg) se moraju izračunati i zaokružiti </w:t>
      </w:r>
      <w:proofErr w:type="gramStart"/>
      <w:r w:rsidRPr="0058338A">
        <w:rPr>
          <w:sz w:val="22"/>
          <w:szCs w:val="22"/>
        </w:rPr>
        <w:t>na</w:t>
      </w:r>
      <w:proofErr w:type="gramEnd"/>
      <w:r w:rsidRPr="0058338A">
        <w:rPr>
          <w:sz w:val="22"/>
          <w:szCs w:val="22"/>
        </w:rPr>
        <w:t xml:space="preserve"> najbliži c</w:t>
      </w:r>
      <w:r w:rsidR="009E320F">
        <w:rPr>
          <w:sz w:val="22"/>
          <w:szCs w:val="22"/>
        </w:rPr>
        <w:t>i</w:t>
      </w:r>
      <w:r w:rsidRPr="0058338A">
        <w:rPr>
          <w:sz w:val="22"/>
          <w:szCs w:val="22"/>
        </w:rPr>
        <w:t>o broj koji se poklapa sa jačinom tablete.</w:t>
      </w:r>
    </w:p>
    <w:p w14:paraId="01C74CCE" w14:textId="77777777" w:rsidR="0058338A" w:rsidRPr="0058338A" w:rsidRDefault="0058338A" w:rsidP="00531B03">
      <w:pPr>
        <w:jc w:val="both"/>
        <w:rPr>
          <w:sz w:val="22"/>
          <w:szCs w:val="22"/>
        </w:rPr>
      </w:pPr>
      <w:r w:rsidRPr="0058338A">
        <w:rPr>
          <w:sz w:val="22"/>
          <w:szCs w:val="22"/>
        </w:rPr>
        <w:t xml:space="preserve"> </w:t>
      </w:r>
    </w:p>
    <w:p w14:paraId="55DA2252" w14:textId="77777777" w:rsidR="0058338A" w:rsidRPr="0058338A" w:rsidRDefault="0058338A" w:rsidP="00531B03">
      <w:pPr>
        <w:jc w:val="both"/>
        <w:rPr>
          <w:sz w:val="22"/>
          <w:szCs w:val="22"/>
        </w:rPr>
      </w:pPr>
      <w:r w:rsidRPr="0058338A">
        <w:rPr>
          <w:sz w:val="22"/>
          <w:szCs w:val="22"/>
        </w:rPr>
        <w:t>Cilj helacione terapije gvožđa je da ukloni količinu gvožđa primljenu transfuzijom i</w:t>
      </w:r>
      <w:r w:rsidR="00EC14C4">
        <w:rPr>
          <w:sz w:val="22"/>
          <w:szCs w:val="22"/>
        </w:rPr>
        <w:t>,</w:t>
      </w:r>
      <w:r w:rsidRPr="0058338A">
        <w:rPr>
          <w:sz w:val="22"/>
          <w:szCs w:val="22"/>
        </w:rPr>
        <w:t xml:space="preserve"> ukoliko je to potrebno</w:t>
      </w:r>
      <w:r w:rsidR="00EC14C4">
        <w:rPr>
          <w:sz w:val="22"/>
          <w:szCs w:val="22"/>
        </w:rPr>
        <w:t>,</w:t>
      </w:r>
      <w:r w:rsidRPr="0058338A">
        <w:rPr>
          <w:sz w:val="22"/>
          <w:szCs w:val="22"/>
        </w:rPr>
        <w:t xml:space="preserve"> da smanji postojeće opterećenje gvožđem.</w:t>
      </w:r>
    </w:p>
    <w:p w14:paraId="2C63996E" w14:textId="77777777" w:rsidR="0058338A" w:rsidRPr="0058338A" w:rsidRDefault="0058338A" w:rsidP="00531B03">
      <w:pPr>
        <w:jc w:val="both"/>
        <w:rPr>
          <w:sz w:val="22"/>
          <w:szCs w:val="22"/>
        </w:rPr>
      </w:pPr>
    </w:p>
    <w:p w14:paraId="0401E230" w14:textId="77777777" w:rsidR="0058338A" w:rsidRPr="0058338A" w:rsidRDefault="0058338A" w:rsidP="00531B03">
      <w:pPr>
        <w:jc w:val="both"/>
        <w:rPr>
          <w:sz w:val="22"/>
          <w:szCs w:val="22"/>
        </w:rPr>
      </w:pPr>
      <w:r w:rsidRPr="0058338A">
        <w:rPr>
          <w:sz w:val="22"/>
          <w:szCs w:val="22"/>
        </w:rPr>
        <w:t>Potreban je oprez tokom helacione terapije</w:t>
      </w:r>
      <w:r w:rsidR="00EC14C4">
        <w:rPr>
          <w:sz w:val="22"/>
          <w:szCs w:val="22"/>
        </w:rPr>
        <w:t>,</w:t>
      </w:r>
      <w:r w:rsidRPr="0058338A">
        <w:rPr>
          <w:sz w:val="22"/>
          <w:szCs w:val="22"/>
        </w:rPr>
        <w:t xml:space="preserve"> kako bi se smanjio rizik </w:t>
      </w:r>
      <w:proofErr w:type="gramStart"/>
      <w:r w:rsidRPr="0058338A">
        <w:rPr>
          <w:sz w:val="22"/>
          <w:szCs w:val="22"/>
        </w:rPr>
        <w:t>od</w:t>
      </w:r>
      <w:proofErr w:type="gramEnd"/>
      <w:r w:rsidRPr="0058338A">
        <w:rPr>
          <w:sz w:val="22"/>
          <w:szCs w:val="22"/>
        </w:rPr>
        <w:t xml:space="preserve"> prekom</w:t>
      </w:r>
      <w:r w:rsidR="009E320F">
        <w:rPr>
          <w:sz w:val="22"/>
          <w:szCs w:val="22"/>
        </w:rPr>
        <w:t>j</w:t>
      </w:r>
      <w:r w:rsidRPr="0058338A">
        <w:rPr>
          <w:sz w:val="22"/>
          <w:szCs w:val="22"/>
        </w:rPr>
        <w:t>erne helacije kod svih pacijenata (</w:t>
      </w:r>
      <w:r w:rsidR="009E320F">
        <w:rPr>
          <w:sz w:val="22"/>
          <w:szCs w:val="22"/>
        </w:rPr>
        <w:t xml:space="preserve">vidjeti </w:t>
      </w:r>
      <w:r w:rsidR="004152EB">
        <w:rPr>
          <w:sz w:val="22"/>
          <w:szCs w:val="22"/>
        </w:rPr>
        <w:t>dio</w:t>
      </w:r>
      <w:r w:rsidRPr="0058338A">
        <w:rPr>
          <w:sz w:val="22"/>
          <w:szCs w:val="22"/>
        </w:rPr>
        <w:t xml:space="preserve"> 4.4).</w:t>
      </w:r>
    </w:p>
    <w:p w14:paraId="574EFB04" w14:textId="77777777" w:rsidR="0058338A" w:rsidRPr="0058338A" w:rsidRDefault="0058338A" w:rsidP="00531B03">
      <w:pPr>
        <w:jc w:val="both"/>
        <w:rPr>
          <w:sz w:val="22"/>
          <w:szCs w:val="22"/>
        </w:rPr>
      </w:pPr>
    </w:p>
    <w:p w14:paraId="0C00AF68" w14:textId="3E247BFF" w:rsidR="0058338A" w:rsidRPr="0058338A" w:rsidRDefault="00941179" w:rsidP="00531B03">
      <w:pPr>
        <w:jc w:val="both"/>
        <w:rPr>
          <w:sz w:val="22"/>
          <w:szCs w:val="22"/>
        </w:rPr>
      </w:pPr>
      <w:r w:rsidRPr="00941179">
        <w:rPr>
          <w:sz w:val="22"/>
          <w:szCs w:val="22"/>
        </w:rPr>
        <w:t>L</w:t>
      </w:r>
      <w:r>
        <w:rPr>
          <w:sz w:val="22"/>
          <w:szCs w:val="22"/>
        </w:rPr>
        <w:t>j</w:t>
      </w:r>
      <w:r w:rsidRPr="00941179">
        <w:rPr>
          <w:sz w:val="22"/>
          <w:szCs w:val="22"/>
        </w:rPr>
        <w:t xml:space="preserve">ekovi koji sadrže deferasiroks </w:t>
      </w:r>
      <w:proofErr w:type="gramStart"/>
      <w:r w:rsidRPr="00941179">
        <w:rPr>
          <w:sz w:val="22"/>
          <w:szCs w:val="22"/>
        </w:rPr>
        <w:t>na</w:t>
      </w:r>
      <w:proofErr w:type="gramEnd"/>
      <w:r w:rsidRPr="00941179">
        <w:rPr>
          <w:sz w:val="22"/>
          <w:szCs w:val="22"/>
        </w:rPr>
        <w:t xml:space="preserve"> tržištu se nalaze kao film tablete i disperzibilne tablete. Zbog različitog farmakokinetičkog profila potrebna </w:t>
      </w:r>
      <w:proofErr w:type="gramStart"/>
      <w:r w:rsidRPr="00941179">
        <w:rPr>
          <w:sz w:val="22"/>
          <w:szCs w:val="22"/>
        </w:rPr>
        <w:t>je  za</w:t>
      </w:r>
      <w:proofErr w:type="gramEnd"/>
      <w:r w:rsidRPr="00941179">
        <w:rPr>
          <w:sz w:val="22"/>
          <w:szCs w:val="22"/>
        </w:rPr>
        <w:t xml:space="preserve"> 30% manja doza film tableta u poređenju sa </w:t>
      </w:r>
      <w:r>
        <w:rPr>
          <w:sz w:val="22"/>
          <w:szCs w:val="22"/>
        </w:rPr>
        <w:t>preporu</w:t>
      </w:r>
      <w:r>
        <w:rPr>
          <w:sz w:val="22"/>
          <w:szCs w:val="22"/>
          <w:lang w:val="sr-Latn-RS"/>
        </w:rPr>
        <w:t xml:space="preserve">čenom dozom </w:t>
      </w:r>
      <w:r w:rsidR="0058338A" w:rsidRPr="0058338A">
        <w:rPr>
          <w:sz w:val="22"/>
          <w:szCs w:val="22"/>
        </w:rPr>
        <w:t>disperzibilnih tableta</w:t>
      </w:r>
      <w:r w:rsidRPr="0058338A">
        <w:rPr>
          <w:sz w:val="22"/>
          <w:szCs w:val="22"/>
        </w:rPr>
        <w:t>(</w:t>
      </w:r>
      <w:r>
        <w:rPr>
          <w:sz w:val="22"/>
          <w:szCs w:val="22"/>
        </w:rPr>
        <w:t>vidjeti dio 5</w:t>
      </w:r>
      <w:r w:rsidRPr="0058338A">
        <w:rPr>
          <w:sz w:val="22"/>
          <w:szCs w:val="22"/>
        </w:rPr>
        <w:t>.</w:t>
      </w:r>
      <w:r>
        <w:rPr>
          <w:sz w:val="22"/>
          <w:szCs w:val="22"/>
        </w:rPr>
        <w:t>1</w:t>
      </w:r>
      <w:r w:rsidRPr="0058338A">
        <w:rPr>
          <w:sz w:val="22"/>
          <w:szCs w:val="22"/>
        </w:rPr>
        <w:t>)</w:t>
      </w:r>
      <w:r w:rsidR="0058338A" w:rsidRPr="0058338A">
        <w:rPr>
          <w:sz w:val="22"/>
          <w:szCs w:val="22"/>
        </w:rPr>
        <w:t>.</w:t>
      </w:r>
    </w:p>
    <w:p w14:paraId="19F6D28D" w14:textId="77777777" w:rsidR="0058338A" w:rsidRPr="0058338A" w:rsidRDefault="0058338A" w:rsidP="0058338A">
      <w:pPr>
        <w:rPr>
          <w:sz w:val="22"/>
          <w:szCs w:val="22"/>
        </w:rPr>
      </w:pPr>
    </w:p>
    <w:p w14:paraId="2CF83481" w14:textId="77777777" w:rsidR="0058338A" w:rsidRPr="0058338A" w:rsidRDefault="0058338A" w:rsidP="0058338A">
      <w:pPr>
        <w:rPr>
          <w:sz w:val="22"/>
          <w:szCs w:val="22"/>
        </w:rPr>
      </w:pPr>
      <w:r w:rsidRPr="0058338A">
        <w:rPr>
          <w:sz w:val="22"/>
          <w:szCs w:val="22"/>
          <w:u w:val="single"/>
        </w:rPr>
        <w:t>Tabela 1</w:t>
      </w:r>
      <w:r w:rsidRPr="0058338A">
        <w:rPr>
          <w:sz w:val="22"/>
          <w:szCs w:val="22"/>
        </w:rPr>
        <w:tab/>
        <w:t>Preporučene doze za preopterećenje gvožđem koje je posl</w:t>
      </w:r>
      <w:r w:rsidR="009E320F">
        <w:rPr>
          <w:sz w:val="22"/>
          <w:szCs w:val="22"/>
        </w:rPr>
        <w:t>j</w:t>
      </w:r>
      <w:r w:rsidRPr="0058338A">
        <w:rPr>
          <w:sz w:val="22"/>
          <w:szCs w:val="22"/>
        </w:rPr>
        <w:t>edica transfuzije krvi</w:t>
      </w:r>
    </w:p>
    <w:tbl>
      <w:tblPr>
        <w:tblStyle w:val="TableGrid"/>
        <w:tblW w:w="0" w:type="auto"/>
        <w:tblLook w:val="04A0" w:firstRow="1" w:lastRow="0" w:firstColumn="1" w:lastColumn="0" w:noHBand="0" w:noVBand="1"/>
      </w:tblPr>
      <w:tblGrid>
        <w:gridCol w:w="1716"/>
        <w:gridCol w:w="1616"/>
        <w:gridCol w:w="95"/>
        <w:gridCol w:w="1593"/>
        <w:gridCol w:w="2014"/>
        <w:gridCol w:w="410"/>
        <w:gridCol w:w="1641"/>
      </w:tblGrid>
      <w:tr w:rsidR="0058338A" w:rsidRPr="00474536" w14:paraId="753D66E1" w14:textId="77777777" w:rsidTr="00D21251">
        <w:tc>
          <w:tcPr>
            <w:tcW w:w="1758" w:type="dxa"/>
            <w:tcBorders>
              <w:left w:val="nil"/>
              <w:bottom w:val="single" w:sz="4" w:space="0" w:color="auto"/>
              <w:right w:val="nil"/>
            </w:tcBorders>
          </w:tcPr>
          <w:p w14:paraId="49030511" w14:textId="77777777" w:rsidR="0058338A" w:rsidRPr="00531B03" w:rsidRDefault="0058338A" w:rsidP="00D21251">
            <w:pPr>
              <w:rPr>
                <w:sz w:val="20"/>
                <w:szCs w:val="20"/>
              </w:rPr>
            </w:pPr>
          </w:p>
        </w:tc>
        <w:tc>
          <w:tcPr>
            <w:tcW w:w="1661" w:type="dxa"/>
            <w:tcBorders>
              <w:left w:val="nil"/>
              <w:bottom w:val="single" w:sz="4" w:space="0" w:color="auto"/>
              <w:right w:val="nil"/>
            </w:tcBorders>
          </w:tcPr>
          <w:p w14:paraId="13E62C9A" w14:textId="77777777" w:rsidR="0058338A" w:rsidRPr="00531B03" w:rsidRDefault="0058338A" w:rsidP="00D21251">
            <w:pPr>
              <w:keepNext/>
              <w:widowControl w:val="0"/>
              <w:rPr>
                <w:b/>
                <w:color w:val="000000"/>
                <w:sz w:val="20"/>
                <w:szCs w:val="20"/>
              </w:rPr>
            </w:pPr>
            <w:r w:rsidRPr="00531B03">
              <w:rPr>
                <w:b/>
                <w:sz w:val="20"/>
                <w:szCs w:val="20"/>
              </w:rPr>
              <w:t>Film tablete</w:t>
            </w:r>
          </w:p>
        </w:tc>
        <w:tc>
          <w:tcPr>
            <w:tcW w:w="2064" w:type="dxa"/>
            <w:gridSpan w:val="2"/>
            <w:tcBorders>
              <w:left w:val="nil"/>
              <w:bottom w:val="single" w:sz="4" w:space="0" w:color="auto"/>
              <w:right w:val="nil"/>
            </w:tcBorders>
          </w:tcPr>
          <w:p w14:paraId="0049D81B" w14:textId="0B89CCF6" w:rsidR="0058338A" w:rsidRPr="00531B03" w:rsidRDefault="0058338A" w:rsidP="00D21251">
            <w:pPr>
              <w:keepNext/>
              <w:widowControl w:val="0"/>
              <w:rPr>
                <w:b/>
                <w:color w:val="000000"/>
                <w:sz w:val="20"/>
                <w:szCs w:val="20"/>
                <w:lang w:val="sr-Latn-CS"/>
              </w:rPr>
            </w:pPr>
          </w:p>
        </w:tc>
        <w:tc>
          <w:tcPr>
            <w:tcW w:w="2037" w:type="dxa"/>
            <w:tcBorders>
              <w:left w:val="nil"/>
              <w:bottom w:val="single" w:sz="4" w:space="0" w:color="auto"/>
              <w:right w:val="nil"/>
            </w:tcBorders>
          </w:tcPr>
          <w:p w14:paraId="2BF43437" w14:textId="77777777" w:rsidR="0058338A" w:rsidRPr="00531B03" w:rsidRDefault="0058338A" w:rsidP="00D21251">
            <w:pPr>
              <w:keepNext/>
              <w:widowControl w:val="0"/>
              <w:rPr>
                <w:b/>
                <w:color w:val="000000"/>
                <w:sz w:val="20"/>
                <w:szCs w:val="20"/>
                <w:lang w:val="sr-Latn-CS"/>
              </w:rPr>
            </w:pPr>
            <w:r w:rsidRPr="00531B03">
              <w:rPr>
                <w:b/>
                <w:color w:val="000000"/>
                <w:sz w:val="20"/>
                <w:szCs w:val="20"/>
              </w:rPr>
              <w:t>Transfuzije</w:t>
            </w:r>
          </w:p>
        </w:tc>
        <w:tc>
          <w:tcPr>
            <w:tcW w:w="417" w:type="dxa"/>
            <w:tcBorders>
              <w:left w:val="nil"/>
              <w:bottom w:val="single" w:sz="4" w:space="0" w:color="auto"/>
              <w:right w:val="nil"/>
            </w:tcBorders>
          </w:tcPr>
          <w:p w14:paraId="5283E27F" w14:textId="77777777" w:rsidR="0058338A" w:rsidRPr="00531B03" w:rsidRDefault="0058338A" w:rsidP="00D21251">
            <w:pPr>
              <w:rPr>
                <w:b/>
                <w:color w:val="000000"/>
                <w:sz w:val="20"/>
                <w:szCs w:val="20"/>
              </w:rPr>
            </w:pPr>
          </w:p>
        </w:tc>
        <w:tc>
          <w:tcPr>
            <w:tcW w:w="1702" w:type="dxa"/>
            <w:tcBorders>
              <w:left w:val="nil"/>
              <w:bottom w:val="single" w:sz="4" w:space="0" w:color="auto"/>
              <w:right w:val="nil"/>
            </w:tcBorders>
          </w:tcPr>
          <w:p w14:paraId="2894F310" w14:textId="77777777" w:rsidR="0058338A" w:rsidRPr="00531B03" w:rsidRDefault="0058338A" w:rsidP="00D21251">
            <w:pPr>
              <w:rPr>
                <w:sz w:val="20"/>
                <w:szCs w:val="20"/>
              </w:rPr>
            </w:pPr>
            <w:r w:rsidRPr="00531B03">
              <w:rPr>
                <w:b/>
                <w:color w:val="000000"/>
                <w:sz w:val="20"/>
                <w:szCs w:val="20"/>
              </w:rPr>
              <w:t>Serumski</w:t>
            </w:r>
            <w:r w:rsidRPr="00531B03">
              <w:rPr>
                <w:b/>
                <w:color w:val="000000"/>
                <w:sz w:val="20"/>
                <w:szCs w:val="20"/>
                <w:lang w:val="sr-Latn-CS"/>
              </w:rPr>
              <w:t xml:space="preserve"> </w:t>
            </w:r>
            <w:r w:rsidRPr="00531B03">
              <w:rPr>
                <w:b/>
                <w:color w:val="000000"/>
                <w:sz w:val="20"/>
                <w:szCs w:val="20"/>
              </w:rPr>
              <w:t>feritin</w:t>
            </w:r>
          </w:p>
        </w:tc>
      </w:tr>
      <w:tr w:rsidR="0058338A" w:rsidRPr="00474536" w14:paraId="38B5417B" w14:textId="77777777" w:rsidTr="00D21251">
        <w:tc>
          <w:tcPr>
            <w:tcW w:w="1758" w:type="dxa"/>
            <w:tcBorders>
              <w:left w:val="nil"/>
              <w:bottom w:val="nil"/>
              <w:right w:val="nil"/>
            </w:tcBorders>
          </w:tcPr>
          <w:p w14:paraId="4FA0BD2C" w14:textId="77777777" w:rsidR="0058338A" w:rsidRPr="00531B03" w:rsidRDefault="0058338A" w:rsidP="00D21251">
            <w:pPr>
              <w:rPr>
                <w:b/>
                <w:sz w:val="20"/>
                <w:szCs w:val="20"/>
              </w:rPr>
            </w:pPr>
            <w:r w:rsidRPr="00531B03">
              <w:rPr>
                <w:b/>
                <w:sz w:val="20"/>
                <w:szCs w:val="20"/>
              </w:rPr>
              <w:t>Početna doza</w:t>
            </w:r>
          </w:p>
        </w:tc>
        <w:tc>
          <w:tcPr>
            <w:tcW w:w="1661" w:type="dxa"/>
            <w:tcBorders>
              <w:left w:val="nil"/>
              <w:bottom w:val="nil"/>
              <w:right w:val="nil"/>
            </w:tcBorders>
          </w:tcPr>
          <w:p w14:paraId="64862F80" w14:textId="77777777" w:rsidR="0058338A" w:rsidRPr="00531B03" w:rsidRDefault="0058338A" w:rsidP="00D21251">
            <w:pPr>
              <w:rPr>
                <w:b/>
                <w:sz w:val="20"/>
                <w:szCs w:val="20"/>
              </w:rPr>
            </w:pPr>
            <w:r w:rsidRPr="00531B03">
              <w:rPr>
                <w:b/>
                <w:sz w:val="20"/>
                <w:szCs w:val="20"/>
              </w:rPr>
              <w:t>14 mg/kg/dan</w:t>
            </w:r>
          </w:p>
        </w:tc>
        <w:tc>
          <w:tcPr>
            <w:tcW w:w="2064" w:type="dxa"/>
            <w:gridSpan w:val="2"/>
            <w:tcBorders>
              <w:left w:val="nil"/>
              <w:bottom w:val="nil"/>
              <w:right w:val="nil"/>
            </w:tcBorders>
          </w:tcPr>
          <w:p w14:paraId="0AD93EA2" w14:textId="4088A7C0" w:rsidR="0058338A" w:rsidRPr="00531B03" w:rsidRDefault="0058338A" w:rsidP="00D21251">
            <w:pPr>
              <w:rPr>
                <w:b/>
                <w:sz w:val="20"/>
                <w:szCs w:val="20"/>
              </w:rPr>
            </w:pPr>
          </w:p>
        </w:tc>
        <w:tc>
          <w:tcPr>
            <w:tcW w:w="2037" w:type="dxa"/>
            <w:tcBorders>
              <w:left w:val="nil"/>
              <w:bottom w:val="nil"/>
              <w:right w:val="nil"/>
            </w:tcBorders>
          </w:tcPr>
          <w:p w14:paraId="4B448D5D" w14:textId="77777777" w:rsidR="0058338A" w:rsidRPr="00531B03" w:rsidRDefault="0058338A" w:rsidP="00CC48E0">
            <w:pPr>
              <w:rPr>
                <w:sz w:val="20"/>
                <w:szCs w:val="20"/>
              </w:rPr>
            </w:pPr>
            <w:r w:rsidRPr="00531B03">
              <w:rPr>
                <w:sz w:val="20"/>
                <w:szCs w:val="20"/>
              </w:rPr>
              <w:t>Posl</w:t>
            </w:r>
            <w:r w:rsidR="009E320F" w:rsidRPr="00531B03">
              <w:rPr>
                <w:sz w:val="20"/>
                <w:szCs w:val="20"/>
              </w:rPr>
              <w:t>ij</w:t>
            </w:r>
            <w:r w:rsidRPr="00531B03">
              <w:rPr>
                <w:sz w:val="20"/>
                <w:szCs w:val="20"/>
              </w:rPr>
              <w:t xml:space="preserve">e 20 jedinica (oko 100 </w:t>
            </w:r>
            <w:r w:rsidR="00CC48E0" w:rsidRPr="00531B03">
              <w:rPr>
                <w:sz w:val="20"/>
                <w:szCs w:val="20"/>
              </w:rPr>
              <w:t>ml</w:t>
            </w:r>
            <w:r w:rsidRPr="00531B03">
              <w:rPr>
                <w:sz w:val="20"/>
                <w:szCs w:val="20"/>
              </w:rPr>
              <w:t xml:space="preserve">/kg) koncentrovanih eritrocita </w:t>
            </w:r>
          </w:p>
        </w:tc>
        <w:tc>
          <w:tcPr>
            <w:tcW w:w="417" w:type="dxa"/>
            <w:tcBorders>
              <w:left w:val="nil"/>
              <w:bottom w:val="nil"/>
              <w:right w:val="nil"/>
            </w:tcBorders>
          </w:tcPr>
          <w:p w14:paraId="1FF011B0" w14:textId="77777777" w:rsidR="0058338A" w:rsidRPr="00531B03" w:rsidRDefault="0058338A" w:rsidP="00D21251">
            <w:pPr>
              <w:rPr>
                <w:sz w:val="20"/>
                <w:szCs w:val="20"/>
              </w:rPr>
            </w:pPr>
            <w:r w:rsidRPr="00531B03">
              <w:rPr>
                <w:sz w:val="20"/>
                <w:szCs w:val="20"/>
              </w:rPr>
              <w:t>ili</w:t>
            </w:r>
          </w:p>
        </w:tc>
        <w:tc>
          <w:tcPr>
            <w:tcW w:w="1702" w:type="dxa"/>
            <w:tcBorders>
              <w:left w:val="nil"/>
              <w:bottom w:val="nil"/>
              <w:right w:val="nil"/>
            </w:tcBorders>
          </w:tcPr>
          <w:p w14:paraId="57E34BCD" w14:textId="77777777" w:rsidR="0058338A" w:rsidRPr="00531B03" w:rsidRDefault="0058338A" w:rsidP="00D21251">
            <w:pPr>
              <w:rPr>
                <w:sz w:val="20"/>
                <w:szCs w:val="20"/>
              </w:rPr>
            </w:pPr>
            <w:r w:rsidRPr="00531B03">
              <w:rPr>
                <w:sz w:val="20"/>
                <w:szCs w:val="20"/>
              </w:rPr>
              <w:t xml:space="preserve">&gt;1000 </w:t>
            </w:r>
          </w:p>
          <w:p w14:paraId="45DFE086" w14:textId="77777777" w:rsidR="0058338A" w:rsidRPr="00531B03" w:rsidRDefault="0058338A" w:rsidP="00CC48E0">
            <w:pPr>
              <w:rPr>
                <w:sz w:val="20"/>
                <w:szCs w:val="20"/>
              </w:rPr>
            </w:pPr>
            <w:r w:rsidRPr="00531B03">
              <w:rPr>
                <w:sz w:val="20"/>
                <w:szCs w:val="20"/>
              </w:rPr>
              <w:t>mikrograma/</w:t>
            </w:r>
            <w:r w:rsidR="00CC48E0" w:rsidRPr="00531B03">
              <w:rPr>
                <w:sz w:val="20"/>
                <w:szCs w:val="20"/>
              </w:rPr>
              <w:t>l</w:t>
            </w:r>
          </w:p>
        </w:tc>
      </w:tr>
      <w:tr w:rsidR="0058338A" w:rsidRPr="00474536" w14:paraId="057BC12E" w14:textId="77777777" w:rsidTr="00D21251">
        <w:tc>
          <w:tcPr>
            <w:tcW w:w="1758" w:type="dxa"/>
            <w:tcBorders>
              <w:top w:val="nil"/>
              <w:left w:val="nil"/>
              <w:bottom w:val="nil"/>
              <w:right w:val="nil"/>
            </w:tcBorders>
          </w:tcPr>
          <w:p w14:paraId="1C9DEC7E" w14:textId="77777777" w:rsidR="0058338A" w:rsidRPr="00531B03" w:rsidRDefault="0058338A" w:rsidP="00D21251">
            <w:pPr>
              <w:keepNext/>
              <w:widowControl w:val="0"/>
              <w:rPr>
                <w:b/>
                <w:color w:val="000000"/>
                <w:sz w:val="20"/>
                <w:szCs w:val="20"/>
              </w:rPr>
            </w:pPr>
            <w:r w:rsidRPr="00531B03">
              <w:rPr>
                <w:b/>
                <w:color w:val="000000"/>
                <w:sz w:val="20"/>
                <w:szCs w:val="20"/>
              </w:rPr>
              <w:t>Alternativna početna doza</w:t>
            </w:r>
          </w:p>
        </w:tc>
        <w:tc>
          <w:tcPr>
            <w:tcW w:w="1661" w:type="dxa"/>
            <w:tcBorders>
              <w:top w:val="nil"/>
              <w:left w:val="nil"/>
              <w:bottom w:val="nil"/>
              <w:right w:val="nil"/>
            </w:tcBorders>
          </w:tcPr>
          <w:p w14:paraId="71866B52" w14:textId="77777777" w:rsidR="0058338A" w:rsidRPr="00531B03" w:rsidRDefault="0058338A" w:rsidP="00D21251">
            <w:pPr>
              <w:keepNext/>
              <w:widowControl w:val="0"/>
              <w:rPr>
                <w:color w:val="000000"/>
                <w:sz w:val="20"/>
                <w:szCs w:val="20"/>
              </w:rPr>
            </w:pPr>
            <w:r w:rsidRPr="00531B03">
              <w:rPr>
                <w:sz w:val="20"/>
                <w:szCs w:val="20"/>
              </w:rPr>
              <w:t>21 mg/kg/dan</w:t>
            </w:r>
          </w:p>
        </w:tc>
        <w:tc>
          <w:tcPr>
            <w:tcW w:w="2064" w:type="dxa"/>
            <w:gridSpan w:val="2"/>
            <w:tcBorders>
              <w:top w:val="nil"/>
              <w:left w:val="nil"/>
              <w:bottom w:val="nil"/>
              <w:right w:val="nil"/>
            </w:tcBorders>
          </w:tcPr>
          <w:p w14:paraId="4CD028EA" w14:textId="559834EF" w:rsidR="0058338A" w:rsidRPr="00531B03" w:rsidRDefault="0058338A" w:rsidP="00D21251">
            <w:pPr>
              <w:keepNext/>
              <w:widowControl w:val="0"/>
              <w:rPr>
                <w:color w:val="000000"/>
                <w:sz w:val="20"/>
                <w:szCs w:val="20"/>
              </w:rPr>
            </w:pPr>
          </w:p>
        </w:tc>
        <w:tc>
          <w:tcPr>
            <w:tcW w:w="2037" w:type="dxa"/>
            <w:tcBorders>
              <w:top w:val="nil"/>
              <w:left w:val="nil"/>
              <w:bottom w:val="nil"/>
              <w:right w:val="nil"/>
            </w:tcBorders>
          </w:tcPr>
          <w:p w14:paraId="68BE8A39" w14:textId="77777777" w:rsidR="0058338A" w:rsidRPr="00531B03" w:rsidRDefault="0058338A" w:rsidP="00CC48E0">
            <w:pPr>
              <w:keepNext/>
              <w:widowControl w:val="0"/>
              <w:rPr>
                <w:color w:val="000000"/>
                <w:sz w:val="20"/>
                <w:szCs w:val="20"/>
              </w:rPr>
            </w:pPr>
            <w:r w:rsidRPr="00531B03">
              <w:rPr>
                <w:color w:val="000000"/>
                <w:sz w:val="20"/>
                <w:szCs w:val="20"/>
              </w:rPr>
              <w:t>&gt;14 </w:t>
            </w:r>
            <w:r w:rsidR="00CC48E0" w:rsidRPr="00531B03">
              <w:rPr>
                <w:color w:val="000000"/>
                <w:sz w:val="20"/>
                <w:szCs w:val="20"/>
              </w:rPr>
              <w:t>ml</w:t>
            </w:r>
            <w:r w:rsidRPr="00531B03">
              <w:rPr>
                <w:color w:val="000000"/>
                <w:sz w:val="20"/>
                <w:szCs w:val="20"/>
              </w:rPr>
              <w:t>/kg/m</w:t>
            </w:r>
            <w:r w:rsidR="009E320F" w:rsidRPr="00531B03">
              <w:rPr>
                <w:color w:val="000000"/>
                <w:sz w:val="20"/>
                <w:szCs w:val="20"/>
              </w:rPr>
              <w:t>j</w:t>
            </w:r>
            <w:r w:rsidRPr="00531B03">
              <w:rPr>
                <w:color w:val="000000"/>
                <w:sz w:val="20"/>
                <w:szCs w:val="20"/>
              </w:rPr>
              <w:t>esečno jedinica koncentrovanih eritrocita (približno &gt;4 jedinice/m</w:t>
            </w:r>
            <w:r w:rsidR="009E320F" w:rsidRPr="00531B03">
              <w:rPr>
                <w:color w:val="000000"/>
                <w:sz w:val="20"/>
                <w:szCs w:val="20"/>
              </w:rPr>
              <w:t>j</w:t>
            </w:r>
            <w:r w:rsidRPr="00531B03">
              <w:rPr>
                <w:color w:val="000000"/>
                <w:sz w:val="20"/>
                <w:szCs w:val="20"/>
              </w:rPr>
              <w:t>esečno za odrasle)</w:t>
            </w:r>
          </w:p>
        </w:tc>
        <w:tc>
          <w:tcPr>
            <w:tcW w:w="417" w:type="dxa"/>
            <w:tcBorders>
              <w:top w:val="nil"/>
              <w:left w:val="nil"/>
              <w:bottom w:val="nil"/>
              <w:right w:val="nil"/>
            </w:tcBorders>
          </w:tcPr>
          <w:p w14:paraId="70C99827" w14:textId="77777777" w:rsidR="0058338A" w:rsidRPr="00531B03" w:rsidRDefault="0058338A" w:rsidP="00D21251">
            <w:pPr>
              <w:rPr>
                <w:sz w:val="20"/>
                <w:szCs w:val="20"/>
              </w:rPr>
            </w:pPr>
          </w:p>
        </w:tc>
        <w:tc>
          <w:tcPr>
            <w:tcW w:w="1702" w:type="dxa"/>
            <w:tcBorders>
              <w:top w:val="nil"/>
              <w:left w:val="nil"/>
              <w:bottom w:val="nil"/>
              <w:right w:val="nil"/>
            </w:tcBorders>
          </w:tcPr>
          <w:p w14:paraId="00DEFC25" w14:textId="77777777" w:rsidR="0058338A" w:rsidRPr="00531B03" w:rsidRDefault="0058338A" w:rsidP="00D21251">
            <w:pPr>
              <w:rPr>
                <w:sz w:val="20"/>
                <w:szCs w:val="20"/>
              </w:rPr>
            </w:pPr>
          </w:p>
        </w:tc>
      </w:tr>
      <w:tr w:rsidR="0058338A" w:rsidRPr="00474536" w14:paraId="08C13C2F" w14:textId="77777777" w:rsidTr="00D21251">
        <w:tc>
          <w:tcPr>
            <w:tcW w:w="1758" w:type="dxa"/>
            <w:tcBorders>
              <w:top w:val="nil"/>
              <w:left w:val="nil"/>
              <w:bottom w:val="nil"/>
              <w:right w:val="nil"/>
            </w:tcBorders>
          </w:tcPr>
          <w:p w14:paraId="77AEBBDA" w14:textId="77777777" w:rsidR="0058338A" w:rsidRPr="00531B03" w:rsidRDefault="0058338A" w:rsidP="00D21251">
            <w:pPr>
              <w:rPr>
                <w:sz w:val="20"/>
                <w:szCs w:val="20"/>
              </w:rPr>
            </w:pPr>
          </w:p>
        </w:tc>
        <w:tc>
          <w:tcPr>
            <w:tcW w:w="1661" w:type="dxa"/>
            <w:tcBorders>
              <w:top w:val="nil"/>
              <w:left w:val="nil"/>
              <w:bottom w:val="nil"/>
              <w:right w:val="nil"/>
            </w:tcBorders>
          </w:tcPr>
          <w:p w14:paraId="0569A41A" w14:textId="77777777" w:rsidR="0058338A" w:rsidRPr="00531B03" w:rsidRDefault="0058338A" w:rsidP="00D21251">
            <w:pPr>
              <w:rPr>
                <w:sz w:val="20"/>
                <w:szCs w:val="20"/>
              </w:rPr>
            </w:pPr>
            <w:r w:rsidRPr="00531B03">
              <w:rPr>
                <w:sz w:val="20"/>
                <w:szCs w:val="20"/>
              </w:rPr>
              <w:t>7 mg/kg/dan</w:t>
            </w:r>
          </w:p>
        </w:tc>
        <w:tc>
          <w:tcPr>
            <w:tcW w:w="2064" w:type="dxa"/>
            <w:gridSpan w:val="2"/>
            <w:tcBorders>
              <w:top w:val="nil"/>
              <w:left w:val="nil"/>
              <w:bottom w:val="nil"/>
              <w:right w:val="nil"/>
            </w:tcBorders>
          </w:tcPr>
          <w:p w14:paraId="40C91E16" w14:textId="15A40E09" w:rsidR="0058338A" w:rsidRPr="00531B03" w:rsidRDefault="0058338A" w:rsidP="00D21251">
            <w:pPr>
              <w:rPr>
                <w:sz w:val="20"/>
                <w:szCs w:val="20"/>
              </w:rPr>
            </w:pPr>
          </w:p>
        </w:tc>
        <w:tc>
          <w:tcPr>
            <w:tcW w:w="2037" w:type="dxa"/>
            <w:tcBorders>
              <w:top w:val="nil"/>
              <w:left w:val="nil"/>
              <w:bottom w:val="nil"/>
              <w:right w:val="nil"/>
            </w:tcBorders>
          </w:tcPr>
          <w:p w14:paraId="7E940502" w14:textId="77777777" w:rsidR="0058338A" w:rsidRPr="00531B03" w:rsidRDefault="0058338A" w:rsidP="00CC48E0">
            <w:pPr>
              <w:rPr>
                <w:sz w:val="20"/>
                <w:szCs w:val="20"/>
              </w:rPr>
            </w:pPr>
            <w:r w:rsidRPr="00531B03">
              <w:rPr>
                <w:sz w:val="20"/>
                <w:szCs w:val="20"/>
              </w:rPr>
              <w:t xml:space="preserve">&lt;7 </w:t>
            </w:r>
            <w:r w:rsidR="00CC48E0" w:rsidRPr="00531B03">
              <w:rPr>
                <w:sz w:val="20"/>
                <w:szCs w:val="20"/>
              </w:rPr>
              <w:t>ml</w:t>
            </w:r>
            <w:r w:rsidRPr="00531B03">
              <w:rPr>
                <w:sz w:val="20"/>
                <w:szCs w:val="20"/>
              </w:rPr>
              <w:t>/kg/m</w:t>
            </w:r>
            <w:r w:rsidR="009E320F" w:rsidRPr="00531B03">
              <w:rPr>
                <w:sz w:val="20"/>
                <w:szCs w:val="20"/>
              </w:rPr>
              <w:t>j</w:t>
            </w:r>
            <w:r w:rsidRPr="00531B03">
              <w:rPr>
                <w:sz w:val="20"/>
                <w:szCs w:val="20"/>
              </w:rPr>
              <w:t>esečno jedinica koncentrovanih eritrocita (približno &lt;2 jedinice/m</w:t>
            </w:r>
            <w:r w:rsidR="009E320F" w:rsidRPr="00531B03">
              <w:rPr>
                <w:sz w:val="20"/>
                <w:szCs w:val="20"/>
              </w:rPr>
              <w:t>j</w:t>
            </w:r>
            <w:r w:rsidRPr="00531B03">
              <w:rPr>
                <w:sz w:val="20"/>
                <w:szCs w:val="20"/>
              </w:rPr>
              <w:t>esečno za odrasle)</w:t>
            </w:r>
          </w:p>
        </w:tc>
        <w:tc>
          <w:tcPr>
            <w:tcW w:w="417" w:type="dxa"/>
            <w:tcBorders>
              <w:top w:val="nil"/>
              <w:left w:val="nil"/>
              <w:bottom w:val="nil"/>
              <w:right w:val="nil"/>
            </w:tcBorders>
          </w:tcPr>
          <w:p w14:paraId="0F9127D3" w14:textId="77777777" w:rsidR="0058338A" w:rsidRPr="00531B03" w:rsidRDefault="0058338A" w:rsidP="00D21251">
            <w:pPr>
              <w:rPr>
                <w:sz w:val="20"/>
                <w:szCs w:val="20"/>
              </w:rPr>
            </w:pPr>
          </w:p>
        </w:tc>
        <w:tc>
          <w:tcPr>
            <w:tcW w:w="1702" w:type="dxa"/>
            <w:tcBorders>
              <w:top w:val="nil"/>
              <w:left w:val="nil"/>
              <w:bottom w:val="nil"/>
              <w:right w:val="nil"/>
            </w:tcBorders>
          </w:tcPr>
          <w:p w14:paraId="4EB17423" w14:textId="77777777" w:rsidR="0058338A" w:rsidRPr="00531B03" w:rsidRDefault="0058338A" w:rsidP="00D21251">
            <w:pPr>
              <w:rPr>
                <w:sz w:val="20"/>
                <w:szCs w:val="20"/>
              </w:rPr>
            </w:pPr>
          </w:p>
        </w:tc>
      </w:tr>
      <w:tr w:rsidR="0058338A" w:rsidRPr="00474536" w14:paraId="1DB86A39" w14:textId="77777777" w:rsidTr="00D21251">
        <w:tc>
          <w:tcPr>
            <w:tcW w:w="1758" w:type="dxa"/>
            <w:tcBorders>
              <w:top w:val="nil"/>
              <w:left w:val="nil"/>
              <w:bottom w:val="single" w:sz="4" w:space="0" w:color="auto"/>
              <w:right w:val="nil"/>
            </w:tcBorders>
          </w:tcPr>
          <w:p w14:paraId="782E85E7" w14:textId="77777777" w:rsidR="0058338A" w:rsidRPr="00531B03" w:rsidRDefault="0058338A" w:rsidP="00D21251">
            <w:pPr>
              <w:rPr>
                <w:sz w:val="20"/>
                <w:szCs w:val="20"/>
              </w:rPr>
            </w:pPr>
            <w:r w:rsidRPr="00531B03">
              <w:rPr>
                <w:sz w:val="20"/>
                <w:szCs w:val="20"/>
              </w:rPr>
              <w:t>Za pacijente koji su dobro kontrolisani deferoksaminom</w:t>
            </w:r>
          </w:p>
        </w:tc>
        <w:tc>
          <w:tcPr>
            <w:tcW w:w="1661" w:type="dxa"/>
            <w:tcBorders>
              <w:top w:val="nil"/>
              <w:left w:val="nil"/>
              <w:bottom w:val="single" w:sz="4" w:space="0" w:color="auto"/>
              <w:right w:val="nil"/>
            </w:tcBorders>
          </w:tcPr>
          <w:p w14:paraId="2BD3DCEA" w14:textId="77777777" w:rsidR="0058338A" w:rsidRPr="00531B03" w:rsidRDefault="0058338A" w:rsidP="00D21251">
            <w:pPr>
              <w:rPr>
                <w:sz w:val="20"/>
                <w:szCs w:val="20"/>
              </w:rPr>
            </w:pPr>
            <w:r w:rsidRPr="00531B03">
              <w:rPr>
                <w:sz w:val="20"/>
                <w:szCs w:val="20"/>
              </w:rPr>
              <w:t>Jedna trećina doze deferoksamina</w:t>
            </w:r>
          </w:p>
        </w:tc>
        <w:tc>
          <w:tcPr>
            <w:tcW w:w="2064" w:type="dxa"/>
            <w:gridSpan w:val="2"/>
            <w:tcBorders>
              <w:top w:val="nil"/>
              <w:left w:val="nil"/>
              <w:bottom w:val="single" w:sz="4" w:space="0" w:color="auto"/>
              <w:right w:val="nil"/>
            </w:tcBorders>
          </w:tcPr>
          <w:p w14:paraId="79CEC95B" w14:textId="51BB1DF3" w:rsidR="0058338A" w:rsidRPr="00531B03" w:rsidRDefault="0058338A" w:rsidP="00D21251">
            <w:pPr>
              <w:rPr>
                <w:sz w:val="20"/>
                <w:szCs w:val="20"/>
              </w:rPr>
            </w:pPr>
          </w:p>
        </w:tc>
        <w:tc>
          <w:tcPr>
            <w:tcW w:w="2037" w:type="dxa"/>
            <w:tcBorders>
              <w:top w:val="nil"/>
              <w:left w:val="nil"/>
              <w:bottom w:val="single" w:sz="4" w:space="0" w:color="auto"/>
              <w:right w:val="nil"/>
            </w:tcBorders>
          </w:tcPr>
          <w:p w14:paraId="0D0FABC9" w14:textId="77777777" w:rsidR="0058338A" w:rsidRPr="00531B03" w:rsidRDefault="0058338A" w:rsidP="00D21251">
            <w:pPr>
              <w:rPr>
                <w:sz w:val="20"/>
                <w:szCs w:val="20"/>
              </w:rPr>
            </w:pPr>
          </w:p>
        </w:tc>
        <w:tc>
          <w:tcPr>
            <w:tcW w:w="417" w:type="dxa"/>
            <w:tcBorders>
              <w:top w:val="nil"/>
              <w:left w:val="nil"/>
              <w:bottom w:val="single" w:sz="4" w:space="0" w:color="auto"/>
              <w:right w:val="nil"/>
            </w:tcBorders>
          </w:tcPr>
          <w:p w14:paraId="2D3DFE16" w14:textId="77777777" w:rsidR="0058338A" w:rsidRPr="00531B03" w:rsidRDefault="0058338A" w:rsidP="00D21251">
            <w:pPr>
              <w:rPr>
                <w:sz w:val="20"/>
                <w:szCs w:val="20"/>
              </w:rPr>
            </w:pPr>
          </w:p>
        </w:tc>
        <w:tc>
          <w:tcPr>
            <w:tcW w:w="1702" w:type="dxa"/>
            <w:tcBorders>
              <w:top w:val="nil"/>
              <w:left w:val="nil"/>
              <w:bottom w:val="single" w:sz="4" w:space="0" w:color="auto"/>
              <w:right w:val="nil"/>
            </w:tcBorders>
          </w:tcPr>
          <w:p w14:paraId="3E495115" w14:textId="77777777" w:rsidR="0058338A" w:rsidRPr="00531B03" w:rsidRDefault="0058338A" w:rsidP="00D21251">
            <w:pPr>
              <w:rPr>
                <w:sz w:val="20"/>
                <w:szCs w:val="20"/>
              </w:rPr>
            </w:pPr>
          </w:p>
        </w:tc>
      </w:tr>
      <w:tr w:rsidR="0058338A" w:rsidRPr="00474536" w14:paraId="5BB3D78E" w14:textId="77777777" w:rsidTr="00D21251">
        <w:tc>
          <w:tcPr>
            <w:tcW w:w="1758" w:type="dxa"/>
            <w:tcBorders>
              <w:top w:val="single" w:sz="4" w:space="0" w:color="auto"/>
              <w:left w:val="nil"/>
              <w:bottom w:val="single" w:sz="4" w:space="0" w:color="auto"/>
              <w:right w:val="nil"/>
            </w:tcBorders>
          </w:tcPr>
          <w:p w14:paraId="46CFCD25" w14:textId="77777777" w:rsidR="0058338A" w:rsidRPr="00531B03" w:rsidRDefault="0058338A" w:rsidP="00D21251">
            <w:pPr>
              <w:keepNext/>
              <w:widowControl w:val="0"/>
              <w:rPr>
                <w:b/>
                <w:color w:val="000000"/>
                <w:sz w:val="20"/>
                <w:szCs w:val="20"/>
              </w:rPr>
            </w:pPr>
            <w:r w:rsidRPr="00531B03">
              <w:rPr>
                <w:b/>
                <w:color w:val="000000"/>
                <w:sz w:val="20"/>
                <w:szCs w:val="20"/>
              </w:rPr>
              <w:t xml:space="preserve">Praćenje </w:t>
            </w:r>
          </w:p>
        </w:tc>
        <w:tc>
          <w:tcPr>
            <w:tcW w:w="1661" w:type="dxa"/>
            <w:tcBorders>
              <w:top w:val="single" w:sz="4" w:space="0" w:color="auto"/>
              <w:left w:val="nil"/>
              <w:bottom w:val="single" w:sz="4" w:space="0" w:color="auto"/>
              <w:right w:val="nil"/>
            </w:tcBorders>
          </w:tcPr>
          <w:p w14:paraId="2CFDE660" w14:textId="77777777" w:rsidR="0058338A" w:rsidRPr="00531B03" w:rsidRDefault="0058338A" w:rsidP="00D21251">
            <w:pPr>
              <w:rPr>
                <w:sz w:val="20"/>
                <w:szCs w:val="20"/>
              </w:rPr>
            </w:pPr>
          </w:p>
        </w:tc>
        <w:tc>
          <w:tcPr>
            <w:tcW w:w="2064" w:type="dxa"/>
            <w:gridSpan w:val="2"/>
            <w:tcBorders>
              <w:top w:val="single" w:sz="4" w:space="0" w:color="auto"/>
              <w:left w:val="nil"/>
              <w:bottom w:val="single" w:sz="4" w:space="0" w:color="auto"/>
              <w:right w:val="nil"/>
            </w:tcBorders>
          </w:tcPr>
          <w:p w14:paraId="237BB3DD" w14:textId="77777777" w:rsidR="0058338A" w:rsidRPr="00531B03" w:rsidRDefault="0058338A" w:rsidP="00D21251">
            <w:pPr>
              <w:rPr>
                <w:sz w:val="20"/>
                <w:szCs w:val="20"/>
              </w:rPr>
            </w:pPr>
          </w:p>
        </w:tc>
        <w:tc>
          <w:tcPr>
            <w:tcW w:w="2037" w:type="dxa"/>
            <w:tcBorders>
              <w:top w:val="single" w:sz="4" w:space="0" w:color="auto"/>
              <w:left w:val="nil"/>
              <w:bottom w:val="single" w:sz="4" w:space="0" w:color="auto"/>
              <w:right w:val="nil"/>
            </w:tcBorders>
          </w:tcPr>
          <w:p w14:paraId="5BAFE798" w14:textId="77777777" w:rsidR="0058338A" w:rsidRPr="00531B03" w:rsidRDefault="0058338A" w:rsidP="00D21251">
            <w:pPr>
              <w:rPr>
                <w:sz w:val="20"/>
                <w:szCs w:val="20"/>
              </w:rPr>
            </w:pPr>
          </w:p>
        </w:tc>
        <w:tc>
          <w:tcPr>
            <w:tcW w:w="417" w:type="dxa"/>
            <w:tcBorders>
              <w:top w:val="single" w:sz="4" w:space="0" w:color="auto"/>
              <w:left w:val="nil"/>
              <w:bottom w:val="single" w:sz="4" w:space="0" w:color="auto"/>
              <w:right w:val="nil"/>
            </w:tcBorders>
          </w:tcPr>
          <w:p w14:paraId="0654A8E9" w14:textId="77777777" w:rsidR="0058338A" w:rsidRPr="00531B03" w:rsidRDefault="0058338A" w:rsidP="00D21251">
            <w:pPr>
              <w:rPr>
                <w:b/>
                <w:sz w:val="20"/>
                <w:szCs w:val="20"/>
              </w:rPr>
            </w:pPr>
          </w:p>
        </w:tc>
        <w:tc>
          <w:tcPr>
            <w:tcW w:w="1702" w:type="dxa"/>
            <w:tcBorders>
              <w:top w:val="single" w:sz="4" w:space="0" w:color="auto"/>
              <w:left w:val="nil"/>
              <w:bottom w:val="single" w:sz="4" w:space="0" w:color="auto"/>
              <w:right w:val="nil"/>
            </w:tcBorders>
          </w:tcPr>
          <w:p w14:paraId="78E09B54" w14:textId="77777777" w:rsidR="0058338A" w:rsidRPr="00531B03" w:rsidRDefault="0058338A" w:rsidP="00D21251">
            <w:pPr>
              <w:rPr>
                <w:b/>
                <w:sz w:val="20"/>
                <w:szCs w:val="20"/>
              </w:rPr>
            </w:pPr>
            <w:r w:rsidRPr="00531B03">
              <w:rPr>
                <w:b/>
                <w:sz w:val="20"/>
                <w:szCs w:val="20"/>
              </w:rPr>
              <w:t>M</w:t>
            </w:r>
            <w:r w:rsidR="009E320F" w:rsidRPr="00531B03">
              <w:rPr>
                <w:b/>
                <w:sz w:val="20"/>
                <w:szCs w:val="20"/>
              </w:rPr>
              <w:t>j</w:t>
            </w:r>
            <w:r w:rsidRPr="00531B03">
              <w:rPr>
                <w:b/>
                <w:sz w:val="20"/>
                <w:szCs w:val="20"/>
              </w:rPr>
              <w:t xml:space="preserve">esečno </w:t>
            </w:r>
          </w:p>
        </w:tc>
      </w:tr>
      <w:tr w:rsidR="0058338A" w:rsidRPr="00474536" w14:paraId="22832F47" w14:textId="77777777" w:rsidTr="00D21251">
        <w:trPr>
          <w:trHeight w:val="579"/>
        </w:trPr>
        <w:tc>
          <w:tcPr>
            <w:tcW w:w="1758" w:type="dxa"/>
            <w:tcBorders>
              <w:top w:val="single" w:sz="4" w:space="0" w:color="auto"/>
              <w:left w:val="nil"/>
              <w:bottom w:val="single" w:sz="4" w:space="0" w:color="auto"/>
              <w:right w:val="nil"/>
            </w:tcBorders>
          </w:tcPr>
          <w:p w14:paraId="1D614E1C" w14:textId="77777777" w:rsidR="0058338A" w:rsidRPr="00531B03" w:rsidRDefault="0058338A" w:rsidP="00D21251">
            <w:pPr>
              <w:keepNext/>
              <w:widowControl w:val="0"/>
              <w:rPr>
                <w:b/>
                <w:color w:val="000000"/>
                <w:sz w:val="20"/>
                <w:szCs w:val="20"/>
              </w:rPr>
            </w:pPr>
            <w:r w:rsidRPr="00531B03">
              <w:rPr>
                <w:b/>
                <w:color w:val="000000"/>
                <w:sz w:val="20"/>
                <w:szCs w:val="20"/>
              </w:rPr>
              <w:t>Ciljni opseg</w:t>
            </w:r>
          </w:p>
        </w:tc>
        <w:tc>
          <w:tcPr>
            <w:tcW w:w="1661" w:type="dxa"/>
            <w:tcBorders>
              <w:top w:val="single" w:sz="4" w:space="0" w:color="auto"/>
              <w:left w:val="nil"/>
              <w:bottom w:val="single" w:sz="4" w:space="0" w:color="auto"/>
              <w:right w:val="nil"/>
            </w:tcBorders>
          </w:tcPr>
          <w:p w14:paraId="38FE54C0" w14:textId="77777777" w:rsidR="0058338A" w:rsidRPr="00531B03" w:rsidRDefault="0058338A" w:rsidP="00D21251">
            <w:pPr>
              <w:rPr>
                <w:sz w:val="20"/>
                <w:szCs w:val="20"/>
              </w:rPr>
            </w:pPr>
          </w:p>
        </w:tc>
        <w:tc>
          <w:tcPr>
            <w:tcW w:w="2064" w:type="dxa"/>
            <w:gridSpan w:val="2"/>
            <w:tcBorders>
              <w:top w:val="single" w:sz="4" w:space="0" w:color="auto"/>
              <w:left w:val="nil"/>
              <w:bottom w:val="single" w:sz="4" w:space="0" w:color="auto"/>
              <w:right w:val="nil"/>
            </w:tcBorders>
          </w:tcPr>
          <w:p w14:paraId="100615A8" w14:textId="77777777" w:rsidR="0058338A" w:rsidRPr="00531B03" w:rsidRDefault="0058338A" w:rsidP="00D21251">
            <w:pPr>
              <w:rPr>
                <w:sz w:val="20"/>
                <w:szCs w:val="20"/>
              </w:rPr>
            </w:pPr>
          </w:p>
        </w:tc>
        <w:tc>
          <w:tcPr>
            <w:tcW w:w="2037" w:type="dxa"/>
            <w:tcBorders>
              <w:top w:val="single" w:sz="4" w:space="0" w:color="auto"/>
              <w:left w:val="nil"/>
              <w:bottom w:val="single" w:sz="4" w:space="0" w:color="auto"/>
              <w:right w:val="nil"/>
            </w:tcBorders>
          </w:tcPr>
          <w:p w14:paraId="54798195" w14:textId="77777777" w:rsidR="0058338A" w:rsidRPr="00531B03" w:rsidRDefault="0058338A" w:rsidP="00D21251">
            <w:pPr>
              <w:rPr>
                <w:sz w:val="20"/>
                <w:szCs w:val="20"/>
              </w:rPr>
            </w:pPr>
          </w:p>
        </w:tc>
        <w:tc>
          <w:tcPr>
            <w:tcW w:w="417" w:type="dxa"/>
            <w:tcBorders>
              <w:top w:val="single" w:sz="4" w:space="0" w:color="auto"/>
              <w:left w:val="nil"/>
              <w:bottom w:val="single" w:sz="4" w:space="0" w:color="auto"/>
              <w:right w:val="nil"/>
            </w:tcBorders>
          </w:tcPr>
          <w:p w14:paraId="546D09C5" w14:textId="77777777" w:rsidR="0058338A" w:rsidRPr="00531B03" w:rsidRDefault="0058338A" w:rsidP="00D21251">
            <w:pPr>
              <w:rPr>
                <w:b/>
                <w:sz w:val="20"/>
                <w:szCs w:val="20"/>
              </w:rPr>
            </w:pPr>
          </w:p>
        </w:tc>
        <w:tc>
          <w:tcPr>
            <w:tcW w:w="1702" w:type="dxa"/>
            <w:tcBorders>
              <w:top w:val="single" w:sz="4" w:space="0" w:color="auto"/>
              <w:left w:val="nil"/>
              <w:bottom w:val="single" w:sz="4" w:space="0" w:color="auto"/>
              <w:right w:val="nil"/>
            </w:tcBorders>
          </w:tcPr>
          <w:p w14:paraId="761C9FD5" w14:textId="77777777" w:rsidR="0058338A" w:rsidRPr="00531B03" w:rsidRDefault="0058338A" w:rsidP="00D21251">
            <w:pPr>
              <w:rPr>
                <w:b/>
                <w:sz w:val="20"/>
                <w:szCs w:val="20"/>
              </w:rPr>
            </w:pPr>
            <w:r w:rsidRPr="00531B03">
              <w:rPr>
                <w:b/>
                <w:sz w:val="20"/>
                <w:szCs w:val="20"/>
              </w:rPr>
              <w:t>500</w:t>
            </w:r>
            <w:r w:rsidRPr="00531B03">
              <w:rPr>
                <w:b/>
                <w:sz w:val="20"/>
                <w:szCs w:val="20"/>
                <w:lang w:val="sr-Latn-RS"/>
              </w:rPr>
              <w:t>-</w:t>
            </w:r>
            <w:r w:rsidRPr="00531B03">
              <w:rPr>
                <w:b/>
                <w:sz w:val="20"/>
                <w:szCs w:val="20"/>
              </w:rPr>
              <w:t xml:space="preserve">1000 </w:t>
            </w:r>
          </w:p>
          <w:p w14:paraId="432CA358" w14:textId="77777777" w:rsidR="0058338A" w:rsidRPr="00531B03" w:rsidRDefault="0058338A" w:rsidP="00CC48E0">
            <w:pPr>
              <w:rPr>
                <w:b/>
                <w:sz w:val="20"/>
                <w:szCs w:val="20"/>
              </w:rPr>
            </w:pPr>
            <w:r w:rsidRPr="00531B03">
              <w:rPr>
                <w:b/>
                <w:sz w:val="20"/>
                <w:szCs w:val="20"/>
              </w:rPr>
              <w:t>mikrograma/</w:t>
            </w:r>
            <w:r w:rsidR="00CC48E0" w:rsidRPr="00531B03">
              <w:rPr>
                <w:b/>
                <w:sz w:val="20"/>
                <w:szCs w:val="20"/>
              </w:rPr>
              <w:t>l</w:t>
            </w:r>
          </w:p>
        </w:tc>
      </w:tr>
      <w:tr w:rsidR="0058338A" w:rsidRPr="00474536" w14:paraId="287EAF87" w14:textId="77777777" w:rsidTr="00D21251">
        <w:tc>
          <w:tcPr>
            <w:tcW w:w="1758" w:type="dxa"/>
            <w:tcBorders>
              <w:top w:val="single" w:sz="4" w:space="0" w:color="auto"/>
              <w:left w:val="nil"/>
              <w:bottom w:val="single" w:sz="4" w:space="0" w:color="auto"/>
              <w:right w:val="nil"/>
            </w:tcBorders>
          </w:tcPr>
          <w:p w14:paraId="1DB97523" w14:textId="77777777" w:rsidR="0058338A" w:rsidRPr="00531B03" w:rsidRDefault="0058338A" w:rsidP="00D21251">
            <w:pPr>
              <w:rPr>
                <w:sz w:val="20"/>
                <w:szCs w:val="20"/>
              </w:rPr>
            </w:pPr>
          </w:p>
        </w:tc>
        <w:tc>
          <w:tcPr>
            <w:tcW w:w="1661" w:type="dxa"/>
            <w:tcBorders>
              <w:top w:val="single" w:sz="4" w:space="0" w:color="auto"/>
              <w:left w:val="nil"/>
              <w:bottom w:val="single" w:sz="4" w:space="0" w:color="auto"/>
              <w:right w:val="nil"/>
            </w:tcBorders>
          </w:tcPr>
          <w:p w14:paraId="6ECF77FC" w14:textId="77777777" w:rsidR="0058338A" w:rsidRPr="00531B03" w:rsidRDefault="0058338A" w:rsidP="00D21251">
            <w:pPr>
              <w:rPr>
                <w:sz w:val="20"/>
                <w:szCs w:val="20"/>
              </w:rPr>
            </w:pPr>
          </w:p>
        </w:tc>
        <w:tc>
          <w:tcPr>
            <w:tcW w:w="2064" w:type="dxa"/>
            <w:gridSpan w:val="2"/>
            <w:tcBorders>
              <w:top w:val="single" w:sz="4" w:space="0" w:color="auto"/>
              <w:left w:val="nil"/>
              <w:bottom w:val="single" w:sz="4" w:space="0" w:color="auto"/>
              <w:right w:val="nil"/>
            </w:tcBorders>
          </w:tcPr>
          <w:p w14:paraId="283AE833" w14:textId="77777777" w:rsidR="0058338A" w:rsidRPr="00531B03" w:rsidRDefault="0058338A" w:rsidP="00D21251">
            <w:pPr>
              <w:rPr>
                <w:sz w:val="20"/>
                <w:szCs w:val="20"/>
              </w:rPr>
            </w:pPr>
          </w:p>
        </w:tc>
        <w:tc>
          <w:tcPr>
            <w:tcW w:w="2037" w:type="dxa"/>
            <w:tcBorders>
              <w:top w:val="single" w:sz="4" w:space="0" w:color="auto"/>
              <w:left w:val="nil"/>
              <w:bottom w:val="single" w:sz="4" w:space="0" w:color="auto"/>
              <w:right w:val="nil"/>
            </w:tcBorders>
          </w:tcPr>
          <w:p w14:paraId="76EAA47F" w14:textId="77777777" w:rsidR="0058338A" w:rsidRPr="00531B03" w:rsidRDefault="0058338A" w:rsidP="00D21251">
            <w:pPr>
              <w:rPr>
                <w:sz w:val="20"/>
                <w:szCs w:val="20"/>
              </w:rPr>
            </w:pPr>
          </w:p>
        </w:tc>
        <w:tc>
          <w:tcPr>
            <w:tcW w:w="417" w:type="dxa"/>
            <w:tcBorders>
              <w:top w:val="single" w:sz="4" w:space="0" w:color="auto"/>
              <w:left w:val="nil"/>
              <w:bottom w:val="single" w:sz="4" w:space="0" w:color="auto"/>
              <w:right w:val="nil"/>
            </w:tcBorders>
          </w:tcPr>
          <w:p w14:paraId="22B59047" w14:textId="77777777" w:rsidR="0058338A" w:rsidRPr="00531B03" w:rsidRDefault="0058338A" w:rsidP="00D21251">
            <w:pPr>
              <w:rPr>
                <w:sz w:val="20"/>
                <w:szCs w:val="20"/>
              </w:rPr>
            </w:pPr>
          </w:p>
        </w:tc>
        <w:tc>
          <w:tcPr>
            <w:tcW w:w="1702" w:type="dxa"/>
            <w:tcBorders>
              <w:top w:val="single" w:sz="4" w:space="0" w:color="auto"/>
              <w:left w:val="nil"/>
              <w:bottom w:val="single" w:sz="4" w:space="0" w:color="auto"/>
              <w:right w:val="nil"/>
            </w:tcBorders>
          </w:tcPr>
          <w:p w14:paraId="2A6CBC40" w14:textId="77777777" w:rsidR="0058338A" w:rsidRPr="00531B03" w:rsidRDefault="0058338A" w:rsidP="00D21251">
            <w:pPr>
              <w:rPr>
                <w:sz w:val="20"/>
                <w:szCs w:val="20"/>
              </w:rPr>
            </w:pPr>
          </w:p>
        </w:tc>
      </w:tr>
      <w:tr w:rsidR="0058338A" w:rsidRPr="00474536" w14:paraId="711A8635" w14:textId="77777777" w:rsidTr="00D21251">
        <w:tc>
          <w:tcPr>
            <w:tcW w:w="1758" w:type="dxa"/>
            <w:tcBorders>
              <w:top w:val="single" w:sz="4" w:space="0" w:color="auto"/>
              <w:left w:val="nil"/>
              <w:bottom w:val="nil"/>
              <w:right w:val="nil"/>
            </w:tcBorders>
          </w:tcPr>
          <w:p w14:paraId="1F20A470" w14:textId="77777777" w:rsidR="0058338A" w:rsidRPr="00531B03" w:rsidRDefault="0058338A" w:rsidP="005E5A3D">
            <w:pPr>
              <w:keepNext/>
              <w:widowControl w:val="0"/>
              <w:rPr>
                <w:b/>
                <w:color w:val="000000"/>
                <w:sz w:val="20"/>
                <w:szCs w:val="20"/>
              </w:rPr>
            </w:pPr>
            <w:r w:rsidRPr="00531B03">
              <w:rPr>
                <w:b/>
                <w:color w:val="000000"/>
                <w:sz w:val="20"/>
                <w:szCs w:val="20"/>
              </w:rPr>
              <w:lastRenderedPageBreak/>
              <w:t xml:space="preserve">Koraci </w:t>
            </w:r>
            <w:r w:rsidR="005E5A3D" w:rsidRPr="00531B03">
              <w:rPr>
                <w:b/>
                <w:color w:val="000000"/>
                <w:sz w:val="20"/>
                <w:szCs w:val="20"/>
              </w:rPr>
              <w:t>prilagođavanja</w:t>
            </w:r>
          </w:p>
        </w:tc>
        <w:tc>
          <w:tcPr>
            <w:tcW w:w="3725" w:type="dxa"/>
            <w:gridSpan w:val="3"/>
            <w:tcBorders>
              <w:top w:val="single" w:sz="4" w:space="0" w:color="auto"/>
              <w:left w:val="nil"/>
              <w:bottom w:val="nil"/>
              <w:right w:val="nil"/>
            </w:tcBorders>
          </w:tcPr>
          <w:p w14:paraId="425120B9" w14:textId="77777777" w:rsidR="0058338A" w:rsidRPr="00531B03" w:rsidRDefault="0058338A" w:rsidP="00D21251">
            <w:pPr>
              <w:keepNext/>
              <w:widowControl w:val="0"/>
              <w:jc w:val="center"/>
              <w:rPr>
                <w:color w:val="000000"/>
                <w:sz w:val="20"/>
                <w:szCs w:val="20"/>
              </w:rPr>
            </w:pPr>
            <w:r w:rsidRPr="00531B03">
              <w:rPr>
                <w:b/>
                <w:color w:val="000000"/>
                <w:sz w:val="20"/>
                <w:szCs w:val="20"/>
                <w:lang w:val="es-ES"/>
              </w:rPr>
              <w:t>Povećanje</w:t>
            </w:r>
          </w:p>
        </w:tc>
        <w:tc>
          <w:tcPr>
            <w:tcW w:w="2037" w:type="dxa"/>
            <w:tcBorders>
              <w:top w:val="single" w:sz="4" w:space="0" w:color="auto"/>
              <w:left w:val="nil"/>
              <w:bottom w:val="nil"/>
              <w:right w:val="nil"/>
            </w:tcBorders>
          </w:tcPr>
          <w:p w14:paraId="3D613059" w14:textId="77777777" w:rsidR="0058338A" w:rsidRPr="00531B03" w:rsidRDefault="0058338A" w:rsidP="00D21251">
            <w:pPr>
              <w:keepNext/>
              <w:widowControl w:val="0"/>
              <w:rPr>
                <w:color w:val="000000"/>
                <w:sz w:val="20"/>
                <w:szCs w:val="20"/>
              </w:rPr>
            </w:pPr>
          </w:p>
        </w:tc>
        <w:tc>
          <w:tcPr>
            <w:tcW w:w="417" w:type="dxa"/>
            <w:tcBorders>
              <w:top w:val="single" w:sz="4" w:space="0" w:color="auto"/>
              <w:left w:val="nil"/>
              <w:bottom w:val="nil"/>
              <w:right w:val="nil"/>
            </w:tcBorders>
          </w:tcPr>
          <w:p w14:paraId="5488A9B0" w14:textId="77777777" w:rsidR="0058338A" w:rsidRPr="00531B03" w:rsidRDefault="0058338A" w:rsidP="00D21251">
            <w:pPr>
              <w:keepNext/>
              <w:widowControl w:val="0"/>
              <w:rPr>
                <w:color w:val="000000"/>
                <w:sz w:val="20"/>
                <w:szCs w:val="20"/>
              </w:rPr>
            </w:pPr>
          </w:p>
        </w:tc>
        <w:tc>
          <w:tcPr>
            <w:tcW w:w="1702" w:type="dxa"/>
            <w:tcBorders>
              <w:top w:val="single" w:sz="4" w:space="0" w:color="auto"/>
              <w:left w:val="nil"/>
              <w:bottom w:val="nil"/>
              <w:right w:val="nil"/>
            </w:tcBorders>
          </w:tcPr>
          <w:p w14:paraId="19E2993C" w14:textId="77777777" w:rsidR="0058338A" w:rsidRPr="00531B03" w:rsidRDefault="0058338A" w:rsidP="005C5E40">
            <w:pPr>
              <w:keepNext/>
              <w:widowControl w:val="0"/>
              <w:rPr>
                <w:color w:val="000000"/>
                <w:sz w:val="20"/>
                <w:szCs w:val="20"/>
              </w:rPr>
            </w:pPr>
            <w:r w:rsidRPr="00531B03">
              <w:rPr>
                <w:color w:val="000000"/>
                <w:sz w:val="20"/>
                <w:szCs w:val="20"/>
              </w:rPr>
              <w:t>&gt;2500 </w:t>
            </w:r>
          </w:p>
          <w:p w14:paraId="251D5389" w14:textId="77777777" w:rsidR="0058338A" w:rsidRPr="00531B03" w:rsidRDefault="0058338A" w:rsidP="00CC48E0">
            <w:pPr>
              <w:keepNext/>
              <w:widowControl w:val="0"/>
              <w:rPr>
                <w:b/>
                <w:color w:val="000000"/>
                <w:sz w:val="20"/>
                <w:szCs w:val="20"/>
              </w:rPr>
            </w:pPr>
            <w:r w:rsidRPr="00531B03">
              <w:rPr>
                <w:color w:val="000000"/>
                <w:sz w:val="20"/>
                <w:szCs w:val="20"/>
              </w:rPr>
              <w:t>mikrograma/</w:t>
            </w:r>
            <w:r w:rsidR="00CC48E0" w:rsidRPr="00531B03">
              <w:rPr>
                <w:color w:val="000000"/>
                <w:sz w:val="20"/>
                <w:szCs w:val="20"/>
              </w:rPr>
              <w:t>l</w:t>
            </w:r>
          </w:p>
        </w:tc>
      </w:tr>
      <w:tr w:rsidR="0058338A" w:rsidRPr="00474536" w14:paraId="5E6C626C" w14:textId="77777777" w:rsidTr="00D21251">
        <w:tc>
          <w:tcPr>
            <w:tcW w:w="1758" w:type="dxa"/>
            <w:tcBorders>
              <w:top w:val="nil"/>
              <w:left w:val="nil"/>
              <w:bottom w:val="nil"/>
              <w:right w:val="nil"/>
            </w:tcBorders>
          </w:tcPr>
          <w:p w14:paraId="219B9E7C" w14:textId="77777777" w:rsidR="0058338A" w:rsidRPr="00531B03" w:rsidRDefault="0058338A" w:rsidP="00D21251">
            <w:pPr>
              <w:keepNext/>
              <w:widowControl w:val="0"/>
              <w:rPr>
                <w:color w:val="000000"/>
                <w:sz w:val="20"/>
                <w:szCs w:val="20"/>
              </w:rPr>
            </w:pPr>
            <w:r w:rsidRPr="00531B03" w:rsidDel="00D97D7A">
              <w:rPr>
                <w:b/>
                <w:color w:val="000000"/>
                <w:sz w:val="20"/>
                <w:szCs w:val="20"/>
              </w:rPr>
              <w:t xml:space="preserve"> </w:t>
            </w:r>
            <w:r w:rsidRPr="00531B03">
              <w:rPr>
                <w:color w:val="000000"/>
                <w:sz w:val="20"/>
                <w:szCs w:val="20"/>
              </w:rPr>
              <w:t xml:space="preserve">(svakih </w:t>
            </w:r>
          </w:p>
          <w:p w14:paraId="6A1BBF01" w14:textId="77777777" w:rsidR="0058338A" w:rsidRPr="00531B03" w:rsidRDefault="0058338A" w:rsidP="00D21251">
            <w:pPr>
              <w:keepNext/>
              <w:widowControl w:val="0"/>
              <w:rPr>
                <w:b/>
                <w:color w:val="000000"/>
                <w:sz w:val="20"/>
                <w:szCs w:val="20"/>
              </w:rPr>
            </w:pPr>
            <w:r w:rsidRPr="00531B03">
              <w:rPr>
                <w:color w:val="000000"/>
                <w:sz w:val="20"/>
                <w:szCs w:val="20"/>
              </w:rPr>
              <w:t>3-6 m</w:t>
            </w:r>
            <w:r w:rsidR="009E320F" w:rsidRPr="00531B03">
              <w:rPr>
                <w:color w:val="000000"/>
                <w:sz w:val="20"/>
                <w:szCs w:val="20"/>
              </w:rPr>
              <w:t>j</w:t>
            </w:r>
            <w:r w:rsidRPr="00531B03">
              <w:rPr>
                <w:color w:val="000000"/>
                <w:sz w:val="20"/>
                <w:szCs w:val="20"/>
              </w:rPr>
              <w:t>eseci)</w:t>
            </w:r>
          </w:p>
        </w:tc>
        <w:tc>
          <w:tcPr>
            <w:tcW w:w="1778" w:type="dxa"/>
            <w:gridSpan w:val="2"/>
            <w:tcBorders>
              <w:top w:val="nil"/>
              <w:left w:val="nil"/>
              <w:bottom w:val="single" w:sz="4" w:space="0" w:color="auto"/>
              <w:right w:val="nil"/>
            </w:tcBorders>
          </w:tcPr>
          <w:p w14:paraId="457B7FE6" w14:textId="77777777" w:rsidR="0058338A" w:rsidRPr="00531B03" w:rsidRDefault="0058338A" w:rsidP="00D21251">
            <w:pPr>
              <w:keepNext/>
              <w:widowControl w:val="0"/>
              <w:rPr>
                <w:sz w:val="20"/>
                <w:szCs w:val="20"/>
                <w:lang w:val="es-ES"/>
              </w:rPr>
            </w:pPr>
            <w:r w:rsidRPr="00531B03">
              <w:rPr>
                <w:sz w:val="20"/>
                <w:szCs w:val="20"/>
                <w:lang w:val="es-ES"/>
              </w:rPr>
              <w:t>3,5-7 mg/kg/dan</w:t>
            </w:r>
          </w:p>
          <w:p w14:paraId="2DE68208" w14:textId="77777777" w:rsidR="0058338A" w:rsidRPr="00531B03" w:rsidRDefault="0058338A" w:rsidP="00D21251">
            <w:pPr>
              <w:keepNext/>
              <w:widowControl w:val="0"/>
              <w:rPr>
                <w:b/>
                <w:color w:val="000000"/>
                <w:sz w:val="20"/>
                <w:szCs w:val="20"/>
                <w:lang w:val="es-ES"/>
              </w:rPr>
            </w:pPr>
            <w:r w:rsidRPr="00531B03">
              <w:rPr>
                <w:sz w:val="20"/>
                <w:szCs w:val="20"/>
                <w:lang w:val="es-ES"/>
              </w:rPr>
              <w:t>Do 28 mg/kg/dan</w:t>
            </w:r>
          </w:p>
        </w:tc>
        <w:tc>
          <w:tcPr>
            <w:tcW w:w="1947" w:type="dxa"/>
            <w:tcBorders>
              <w:top w:val="nil"/>
              <w:left w:val="nil"/>
              <w:bottom w:val="single" w:sz="4" w:space="0" w:color="auto"/>
              <w:right w:val="nil"/>
            </w:tcBorders>
          </w:tcPr>
          <w:p w14:paraId="3A1EC947" w14:textId="40505ED6" w:rsidR="0058338A" w:rsidRPr="00531B03" w:rsidRDefault="0058338A" w:rsidP="00D21251">
            <w:pPr>
              <w:keepNext/>
              <w:widowControl w:val="0"/>
              <w:rPr>
                <w:color w:val="000000"/>
                <w:sz w:val="20"/>
                <w:szCs w:val="20"/>
                <w:lang w:val="es-ES"/>
              </w:rPr>
            </w:pPr>
          </w:p>
        </w:tc>
        <w:tc>
          <w:tcPr>
            <w:tcW w:w="2037" w:type="dxa"/>
            <w:tcBorders>
              <w:top w:val="nil"/>
              <w:left w:val="nil"/>
              <w:bottom w:val="single" w:sz="4" w:space="0" w:color="auto"/>
              <w:right w:val="nil"/>
            </w:tcBorders>
          </w:tcPr>
          <w:p w14:paraId="4A1C6E8D" w14:textId="77777777" w:rsidR="0058338A" w:rsidRPr="00531B03" w:rsidRDefault="0058338A" w:rsidP="00D21251">
            <w:pPr>
              <w:rPr>
                <w:sz w:val="20"/>
                <w:szCs w:val="20"/>
              </w:rPr>
            </w:pPr>
          </w:p>
        </w:tc>
        <w:tc>
          <w:tcPr>
            <w:tcW w:w="417" w:type="dxa"/>
            <w:tcBorders>
              <w:top w:val="nil"/>
              <w:left w:val="nil"/>
              <w:bottom w:val="single" w:sz="4" w:space="0" w:color="auto"/>
              <w:right w:val="nil"/>
            </w:tcBorders>
          </w:tcPr>
          <w:p w14:paraId="3FC9F52F" w14:textId="77777777" w:rsidR="0058338A" w:rsidRPr="00531B03" w:rsidRDefault="0058338A" w:rsidP="00D21251">
            <w:pPr>
              <w:rPr>
                <w:sz w:val="20"/>
                <w:szCs w:val="20"/>
              </w:rPr>
            </w:pPr>
          </w:p>
        </w:tc>
        <w:tc>
          <w:tcPr>
            <w:tcW w:w="1702" w:type="dxa"/>
            <w:tcBorders>
              <w:top w:val="nil"/>
              <w:left w:val="nil"/>
              <w:bottom w:val="single" w:sz="4" w:space="0" w:color="auto"/>
              <w:right w:val="nil"/>
            </w:tcBorders>
          </w:tcPr>
          <w:p w14:paraId="41CFDD5F" w14:textId="77777777" w:rsidR="0058338A" w:rsidRPr="00531B03" w:rsidRDefault="0058338A" w:rsidP="00D21251">
            <w:pPr>
              <w:rPr>
                <w:sz w:val="20"/>
                <w:szCs w:val="20"/>
              </w:rPr>
            </w:pPr>
          </w:p>
        </w:tc>
      </w:tr>
      <w:tr w:rsidR="0058338A" w:rsidRPr="00474536" w14:paraId="708EDEC5" w14:textId="77777777" w:rsidTr="00D21251">
        <w:tc>
          <w:tcPr>
            <w:tcW w:w="1758" w:type="dxa"/>
            <w:tcBorders>
              <w:top w:val="nil"/>
              <w:left w:val="nil"/>
              <w:bottom w:val="nil"/>
              <w:right w:val="nil"/>
            </w:tcBorders>
          </w:tcPr>
          <w:p w14:paraId="7F08AC10" w14:textId="77777777" w:rsidR="0058338A" w:rsidRPr="00531B03" w:rsidRDefault="0058338A" w:rsidP="00D21251">
            <w:pPr>
              <w:rPr>
                <w:sz w:val="20"/>
                <w:szCs w:val="20"/>
              </w:rPr>
            </w:pPr>
          </w:p>
        </w:tc>
        <w:tc>
          <w:tcPr>
            <w:tcW w:w="3725" w:type="dxa"/>
            <w:gridSpan w:val="3"/>
            <w:tcBorders>
              <w:top w:val="single" w:sz="4" w:space="0" w:color="auto"/>
              <w:left w:val="nil"/>
              <w:bottom w:val="nil"/>
              <w:right w:val="nil"/>
            </w:tcBorders>
          </w:tcPr>
          <w:p w14:paraId="0ABDD20F" w14:textId="77777777" w:rsidR="0058338A" w:rsidRPr="00531B03" w:rsidRDefault="0058338A" w:rsidP="00D21251">
            <w:pPr>
              <w:jc w:val="center"/>
              <w:rPr>
                <w:sz w:val="20"/>
                <w:szCs w:val="20"/>
              </w:rPr>
            </w:pPr>
            <w:r w:rsidRPr="00531B03">
              <w:rPr>
                <w:b/>
                <w:color w:val="000000"/>
                <w:sz w:val="20"/>
                <w:szCs w:val="20"/>
              </w:rPr>
              <w:t>Smanjenje</w:t>
            </w:r>
          </w:p>
        </w:tc>
        <w:tc>
          <w:tcPr>
            <w:tcW w:w="2037" w:type="dxa"/>
            <w:tcBorders>
              <w:top w:val="single" w:sz="4" w:space="0" w:color="auto"/>
              <w:left w:val="nil"/>
              <w:bottom w:val="nil"/>
              <w:right w:val="nil"/>
            </w:tcBorders>
          </w:tcPr>
          <w:p w14:paraId="2F3040D3" w14:textId="77777777" w:rsidR="0058338A" w:rsidRPr="00531B03" w:rsidRDefault="0058338A" w:rsidP="00D21251">
            <w:pPr>
              <w:rPr>
                <w:sz w:val="20"/>
                <w:szCs w:val="20"/>
              </w:rPr>
            </w:pPr>
          </w:p>
        </w:tc>
        <w:tc>
          <w:tcPr>
            <w:tcW w:w="417" w:type="dxa"/>
            <w:tcBorders>
              <w:top w:val="single" w:sz="4" w:space="0" w:color="auto"/>
              <w:left w:val="nil"/>
              <w:bottom w:val="nil"/>
              <w:right w:val="nil"/>
            </w:tcBorders>
          </w:tcPr>
          <w:p w14:paraId="69339B0B" w14:textId="77777777" w:rsidR="0058338A" w:rsidRPr="00531B03" w:rsidRDefault="0058338A" w:rsidP="00D21251">
            <w:pPr>
              <w:rPr>
                <w:sz w:val="20"/>
                <w:szCs w:val="20"/>
              </w:rPr>
            </w:pPr>
          </w:p>
        </w:tc>
        <w:tc>
          <w:tcPr>
            <w:tcW w:w="1702" w:type="dxa"/>
            <w:tcBorders>
              <w:top w:val="single" w:sz="4" w:space="0" w:color="auto"/>
              <w:left w:val="nil"/>
              <w:bottom w:val="nil"/>
              <w:right w:val="nil"/>
            </w:tcBorders>
          </w:tcPr>
          <w:p w14:paraId="7BCFDE44" w14:textId="77777777" w:rsidR="0058338A" w:rsidRPr="00531B03" w:rsidRDefault="0058338A" w:rsidP="00D21251">
            <w:pPr>
              <w:rPr>
                <w:sz w:val="20"/>
                <w:szCs w:val="20"/>
              </w:rPr>
            </w:pPr>
          </w:p>
        </w:tc>
      </w:tr>
      <w:tr w:rsidR="0058338A" w:rsidRPr="00474536" w14:paraId="0856FD77" w14:textId="77777777" w:rsidTr="00D21251">
        <w:tc>
          <w:tcPr>
            <w:tcW w:w="1758" w:type="dxa"/>
            <w:tcBorders>
              <w:top w:val="nil"/>
              <w:left w:val="nil"/>
              <w:bottom w:val="nil"/>
              <w:right w:val="nil"/>
            </w:tcBorders>
          </w:tcPr>
          <w:p w14:paraId="34052660" w14:textId="77777777" w:rsidR="0058338A" w:rsidRPr="00531B03" w:rsidRDefault="0058338A" w:rsidP="00D21251">
            <w:pPr>
              <w:rPr>
                <w:sz w:val="20"/>
                <w:szCs w:val="20"/>
              </w:rPr>
            </w:pPr>
          </w:p>
        </w:tc>
        <w:tc>
          <w:tcPr>
            <w:tcW w:w="1778" w:type="dxa"/>
            <w:gridSpan w:val="2"/>
            <w:tcBorders>
              <w:top w:val="nil"/>
              <w:left w:val="nil"/>
              <w:bottom w:val="nil"/>
              <w:right w:val="nil"/>
            </w:tcBorders>
          </w:tcPr>
          <w:p w14:paraId="449DFFA0" w14:textId="77777777" w:rsidR="0058338A" w:rsidRPr="00531B03" w:rsidRDefault="0058338A" w:rsidP="00D21251">
            <w:pPr>
              <w:keepNext/>
              <w:widowControl w:val="0"/>
              <w:rPr>
                <w:sz w:val="20"/>
                <w:szCs w:val="20"/>
                <w:lang w:val="es-ES"/>
              </w:rPr>
            </w:pPr>
            <w:r w:rsidRPr="00531B03">
              <w:rPr>
                <w:color w:val="000000"/>
                <w:sz w:val="20"/>
                <w:szCs w:val="20"/>
              </w:rPr>
              <w:t xml:space="preserve"> </w:t>
            </w:r>
            <w:r w:rsidRPr="00531B03">
              <w:rPr>
                <w:sz w:val="20"/>
                <w:szCs w:val="20"/>
                <w:lang w:val="es-ES"/>
              </w:rPr>
              <w:t>3,5-7 mg/kg/dan</w:t>
            </w:r>
          </w:p>
        </w:tc>
        <w:tc>
          <w:tcPr>
            <w:tcW w:w="1947" w:type="dxa"/>
            <w:tcBorders>
              <w:top w:val="nil"/>
              <w:left w:val="nil"/>
              <w:bottom w:val="nil"/>
              <w:right w:val="nil"/>
            </w:tcBorders>
          </w:tcPr>
          <w:p w14:paraId="7C64734A" w14:textId="1C40AE05" w:rsidR="0058338A" w:rsidRPr="00531B03" w:rsidRDefault="0058338A" w:rsidP="00D21251">
            <w:pPr>
              <w:keepNext/>
              <w:widowControl w:val="0"/>
              <w:rPr>
                <w:color w:val="000000"/>
                <w:sz w:val="20"/>
                <w:szCs w:val="20"/>
              </w:rPr>
            </w:pPr>
          </w:p>
        </w:tc>
        <w:tc>
          <w:tcPr>
            <w:tcW w:w="2037" w:type="dxa"/>
            <w:tcBorders>
              <w:top w:val="nil"/>
              <w:left w:val="nil"/>
              <w:bottom w:val="nil"/>
              <w:right w:val="nil"/>
            </w:tcBorders>
          </w:tcPr>
          <w:p w14:paraId="34A7D9BE" w14:textId="77777777" w:rsidR="0058338A" w:rsidRPr="00531B03" w:rsidRDefault="0058338A" w:rsidP="00D21251">
            <w:pPr>
              <w:rPr>
                <w:sz w:val="20"/>
                <w:szCs w:val="20"/>
              </w:rPr>
            </w:pPr>
          </w:p>
        </w:tc>
        <w:tc>
          <w:tcPr>
            <w:tcW w:w="417" w:type="dxa"/>
            <w:tcBorders>
              <w:top w:val="nil"/>
              <w:left w:val="nil"/>
              <w:bottom w:val="nil"/>
              <w:right w:val="nil"/>
            </w:tcBorders>
          </w:tcPr>
          <w:p w14:paraId="26590B3E" w14:textId="77777777" w:rsidR="0058338A" w:rsidRPr="00531B03" w:rsidRDefault="0058338A" w:rsidP="00D21251">
            <w:pPr>
              <w:keepNext/>
              <w:widowControl w:val="0"/>
              <w:rPr>
                <w:color w:val="000000"/>
                <w:sz w:val="20"/>
                <w:szCs w:val="20"/>
              </w:rPr>
            </w:pPr>
          </w:p>
        </w:tc>
        <w:tc>
          <w:tcPr>
            <w:tcW w:w="1702" w:type="dxa"/>
            <w:tcBorders>
              <w:top w:val="nil"/>
              <w:left w:val="nil"/>
              <w:bottom w:val="nil"/>
              <w:right w:val="nil"/>
            </w:tcBorders>
          </w:tcPr>
          <w:p w14:paraId="41110C5C" w14:textId="7860A9D0" w:rsidR="0058338A" w:rsidRPr="00531B03" w:rsidRDefault="00DC24F5" w:rsidP="00D21251">
            <w:pPr>
              <w:keepNext/>
              <w:widowControl w:val="0"/>
              <w:rPr>
                <w:color w:val="000000"/>
                <w:sz w:val="20"/>
                <w:szCs w:val="20"/>
              </w:rPr>
            </w:pPr>
            <w:r>
              <w:rPr>
                <w:color w:val="000000"/>
                <w:sz w:val="20"/>
                <w:szCs w:val="20"/>
              </w:rPr>
              <w:t>≤</w:t>
            </w:r>
            <w:r w:rsidR="0058338A" w:rsidRPr="00531B03">
              <w:rPr>
                <w:color w:val="000000"/>
                <w:sz w:val="20"/>
                <w:szCs w:val="20"/>
              </w:rPr>
              <w:t>2500 </w:t>
            </w:r>
          </w:p>
          <w:p w14:paraId="46140029" w14:textId="77777777" w:rsidR="0058338A" w:rsidRPr="00531B03" w:rsidRDefault="0058338A" w:rsidP="00CC48E0">
            <w:pPr>
              <w:rPr>
                <w:sz w:val="20"/>
                <w:szCs w:val="20"/>
              </w:rPr>
            </w:pPr>
            <w:r w:rsidRPr="00531B03">
              <w:rPr>
                <w:color w:val="000000"/>
                <w:sz w:val="20"/>
                <w:szCs w:val="20"/>
              </w:rPr>
              <w:t>mikrograma/</w:t>
            </w:r>
            <w:r w:rsidR="00CC48E0" w:rsidRPr="00531B03">
              <w:rPr>
                <w:color w:val="000000"/>
                <w:sz w:val="20"/>
                <w:szCs w:val="20"/>
              </w:rPr>
              <w:t>l</w:t>
            </w:r>
          </w:p>
        </w:tc>
      </w:tr>
      <w:tr w:rsidR="0058338A" w:rsidRPr="00474536" w14:paraId="5FA49B22" w14:textId="77777777" w:rsidTr="00D21251">
        <w:tc>
          <w:tcPr>
            <w:tcW w:w="1758" w:type="dxa"/>
            <w:tcBorders>
              <w:top w:val="nil"/>
              <w:left w:val="nil"/>
              <w:bottom w:val="nil"/>
              <w:right w:val="nil"/>
            </w:tcBorders>
          </w:tcPr>
          <w:p w14:paraId="0C46662C" w14:textId="77777777" w:rsidR="0058338A" w:rsidRPr="00531B03" w:rsidRDefault="0058338A" w:rsidP="00D21251">
            <w:pPr>
              <w:rPr>
                <w:sz w:val="20"/>
                <w:szCs w:val="20"/>
              </w:rPr>
            </w:pPr>
          </w:p>
        </w:tc>
        <w:tc>
          <w:tcPr>
            <w:tcW w:w="1778" w:type="dxa"/>
            <w:gridSpan w:val="2"/>
            <w:tcBorders>
              <w:top w:val="nil"/>
              <w:left w:val="nil"/>
              <w:bottom w:val="nil"/>
              <w:right w:val="nil"/>
            </w:tcBorders>
          </w:tcPr>
          <w:p w14:paraId="03CA5259" w14:textId="77777777" w:rsidR="0058338A" w:rsidRPr="00531B03" w:rsidRDefault="0058338A" w:rsidP="00D21251">
            <w:pPr>
              <w:keepNext/>
              <w:widowControl w:val="0"/>
              <w:tabs>
                <w:tab w:val="left" w:pos="567"/>
              </w:tabs>
              <w:spacing w:line="260" w:lineRule="exact"/>
              <w:rPr>
                <w:color w:val="000000"/>
                <w:sz w:val="20"/>
                <w:szCs w:val="20"/>
              </w:rPr>
            </w:pPr>
            <w:r w:rsidRPr="00531B03">
              <w:rPr>
                <w:color w:val="000000"/>
                <w:sz w:val="20"/>
                <w:szCs w:val="20"/>
                <w:lang w:val="it-IT"/>
              </w:rPr>
              <w:t>Kod pacijenata sa dozom &gt;21 mg/kg/dan</w:t>
            </w:r>
          </w:p>
        </w:tc>
        <w:tc>
          <w:tcPr>
            <w:tcW w:w="1947" w:type="dxa"/>
            <w:tcBorders>
              <w:top w:val="nil"/>
              <w:left w:val="nil"/>
              <w:bottom w:val="nil"/>
              <w:right w:val="nil"/>
            </w:tcBorders>
          </w:tcPr>
          <w:p w14:paraId="03C5C1D4" w14:textId="2F5F9304" w:rsidR="0058338A" w:rsidRPr="00531B03" w:rsidRDefault="0058338A" w:rsidP="00D21251">
            <w:pPr>
              <w:keepNext/>
              <w:widowControl w:val="0"/>
              <w:tabs>
                <w:tab w:val="left" w:pos="567"/>
              </w:tabs>
              <w:spacing w:line="260" w:lineRule="exact"/>
              <w:rPr>
                <w:color w:val="000000"/>
                <w:sz w:val="20"/>
                <w:szCs w:val="20"/>
                <w:lang w:val="it-IT"/>
              </w:rPr>
            </w:pPr>
          </w:p>
        </w:tc>
        <w:tc>
          <w:tcPr>
            <w:tcW w:w="2037" w:type="dxa"/>
            <w:tcBorders>
              <w:top w:val="nil"/>
              <w:left w:val="nil"/>
              <w:bottom w:val="nil"/>
              <w:right w:val="nil"/>
            </w:tcBorders>
          </w:tcPr>
          <w:p w14:paraId="54A99CE9" w14:textId="77777777" w:rsidR="0058338A" w:rsidRPr="00531B03" w:rsidRDefault="0058338A" w:rsidP="00D21251">
            <w:pPr>
              <w:rPr>
                <w:sz w:val="20"/>
                <w:szCs w:val="20"/>
              </w:rPr>
            </w:pPr>
          </w:p>
        </w:tc>
        <w:tc>
          <w:tcPr>
            <w:tcW w:w="417" w:type="dxa"/>
            <w:tcBorders>
              <w:top w:val="nil"/>
              <w:left w:val="nil"/>
              <w:bottom w:val="nil"/>
              <w:right w:val="nil"/>
            </w:tcBorders>
          </w:tcPr>
          <w:p w14:paraId="09F567A5" w14:textId="77777777" w:rsidR="0058338A" w:rsidRPr="00531B03" w:rsidRDefault="0058338A" w:rsidP="00D21251">
            <w:pPr>
              <w:rPr>
                <w:sz w:val="20"/>
                <w:szCs w:val="20"/>
              </w:rPr>
            </w:pPr>
          </w:p>
        </w:tc>
        <w:tc>
          <w:tcPr>
            <w:tcW w:w="1702" w:type="dxa"/>
            <w:tcBorders>
              <w:top w:val="nil"/>
              <w:left w:val="nil"/>
              <w:bottom w:val="nil"/>
              <w:right w:val="nil"/>
            </w:tcBorders>
          </w:tcPr>
          <w:p w14:paraId="2695E5FB" w14:textId="77777777" w:rsidR="0058338A" w:rsidRPr="00531B03" w:rsidRDefault="0058338A" w:rsidP="00D21251">
            <w:pPr>
              <w:rPr>
                <w:sz w:val="20"/>
                <w:szCs w:val="20"/>
              </w:rPr>
            </w:pPr>
          </w:p>
        </w:tc>
      </w:tr>
      <w:tr w:rsidR="0058338A" w:rsidRPr="00474536" w14:paraId="0CC3A121" w14:textId="77777777" w:rsidTr="00D21251">
        <w:tc>
          <w:tcPr>
            <w:tcW w:w="1758" w:type="dxa"/>
            <w:tcBorders>
              <w:top w:val="nil"/>
              <w:left w:val="nil"/>
              <w:bottom w:val="single" w:sz="4" w:space="0" w:color="auto"/>
              <w:right w:val="nil"/>
            </w:tcBorders>
          </w:tcPr>
          <w:p w14:paraId="48E05618" w14:textId="77777777" w:rsidR="0058338A" w:rsidRPr="00531B03" w:rsidRDefault="0058338A" w:rsidP="00D21251">
            <w:pPr>
              <w:rPr>
                <w:sz w:val="20"/>
                <w:szCs w:val="20"/>
              </w:rPr>
            </w:pPr>
          </w:p>
        </w:tc>
        <w:tc>
          <w:tcPr>
            <w:tcW w:w="3725" w:type="dxa"/>
            <w:gridSpan w:val="3"/>
            <w:tcBorders>
              <w:top w:val="nil"/>
              <w:left w:val="nil"/>
              <w:bottom w:val="single" w:sz="4" w:space="0" w:color="auto"/>
              <w:right w:val="nil"/>
            </w:tcBorders>
          </w:tcPr>
          <w:p w14:paraId="6153C264" w14:textId="77777777" w:rsidR="0058338A" w:rsidRPr="00531B03" w:rsidRDefault="0058338A" w:rsidP="009E320F">
            <w:pPr>
              <w:pStyle w:val="ListParagraph"/>
              <w:keepNext/>
              <w:widowControl w:val="0"/>
              <w:numPr>
                <w:ilvl w:val="0"/>
                <w:numId w:val="12"/>
              </w:numPr>
              <w:tabs>
                <w:tab w:val="clear" w:pos="284"/>
                <w:tab w:val="left" w:pos="567"/>
              </w:tabs>
              <w:spacing w:before="60" w:line="260" w:lineRule="exact"/>
              <w:ind w:left="714" w:hanging="357"/>
              <w:jc w:val="left"/>
              <w:rPr>
                <w:color w:val="000000"/>
                <w:sz w:val="20"/>
                <w:szCs w:val="20"/>
                <w:lang w:val="it-IT"/>
              </w:rPr>
            </w:pPr>
            <w:r w:rsidRPr="00531B03">
              <w:rPr>
                <w:color w:val="000000"/>
                <w:sz w:val="20"/>
                <w:szCs w:val="20"/>
              </w:rPr>
              <w:t>Kada je cilj postignut</w:t>
            </w:r>
          </w:p>
        </w:tc>
        <w:tc>
          <w:tcPr>
            <w:tcW w:w="2037" w:type="dxa"/>
            <w:tcBorders>
              <w:top w:val="nil"/>
              <w:left w:val="nil"/>
              <w:bottom w:val="single" w:sz="4" w:space="0" w:color="auto"/>
              <w:right w:val="nil"/>
            </w:tcBorders>
          </w:tcPr>
          <w:p w14:paraId="655550D7" w14:textId="77777777" w:rsidR="0058338A" w:rsidRPr="00531B03" w:rsidRDefault="0058338A" w:rsidP="00D21251">
            <w:pPr>
              <w:rPr>
                <w:sz w:val="20"/>
                <w:szCs w:val="20"/>
              </w:rPr>
            </w:pPr>
          </w:p>
        </w:tc>
        <w:tc>
          <w:tcPr>
            <w:tcW w:w="417" w:type="dxa"/>
            <w:tcBorders>
              <w:top w:val="nil"/>
              <w:left w:val="nil"/>
              <w:bottom w:val="single" w:sz="4" w:space="0" w:color="auto"/>
              <w:right w:val="nil"/>
            </w:tcBorders>
          </w:tcPr>
          <w:p w14:paraId="150B3222" w14:textId="77777777" w:rsidR="0058338A" w:rsidRPr="00531B03" w:rsidRDefault="0058338A" w:rsidP="00D21251">
            <w:pPr>
              <w:keepNext/>
              <w:widowControl w:val="0"/>
              <w:rPr>
                <w:color w:val="000000"/>
                <w:sz w:val="20"/>
                <w:szCs w:val="20"/>
              </w:rPr>
            </w:pPr>
          </w:p>
        </w:tc>
        <w:tc>
          <w:tcPr>
            <w:tcW w:w="1702" w:type="dxa"/>
            <w:tcBorders>
              <w:top w:val="nil"/>
              <w:left w:val="nil"/>
              <w:bottom w:val="single" w:sz="4" w:space="0" w:color="auto"/>
              <w:right w:val="nil"/>
            </w:tcBorders>
          </w:tcPr>
          <w:p w14:paraId="698EF6A6" w14:textId="77777777" w:rsidR="0058338A" w:rsidRPr="00531B03" w:rsidRDefault="0058338A" w:rsidP="00D21251">
            <w:pPr>
              <w:keepNext/>
              <w:widowControl w:val="0"/>
              <w:rPr>
                <w:color w:val="000000"/>
                <w:sz w:val="20"/>
                <w:szCs w:val="20"/>
              </w:rPr>
            </w:pPr>
            <w:r w:rsidRPr="00531B03">
              <w:rPr>
                <w:color w:val="000000"/>
                <w:sz w:val="20"/>
                <w:szCs w:val="20"/>
              </w:rPr>
              <w:t>500</w:t>
            </w:r>
            <w:r w:rsidRPr="00531B03">
              <w:rPr>
                <w:color w:val="000000"/>
                <w:sz w:val="20"/>
                <w:szCs w:val="20"/>
              </w:rPr>
              <w:noBreakHyphen/>
              <w:t>1000 </w:t>
            </w:r>
          </w:p>
          <w:p w14:paraId="2C993644" w14:textId="77777777" w:rsidR="0058338A" w:rsidRPr="00531B03" w:rsidRDefault="0058338A" w:rsidP="00CC48E0">
            <w:pPr>
              <w:rPr>
                <w:sz w:val="20"/>
                <w:szCs w:val="20"/>
              </w:rPr>
            </w:pPr>
            <w:r w:rsidRPr="00531B03">
              <w:rPr>
                <w:color w:val="000000"/>
                <w:sz w:val="20"/>
                <w:szCs w:val="20"/>
              </w:rPr>
              <w:t>mikrograma/</w:t>
            </w:r>
            <w:r w:rsidR="00CC48E0" w:rsidRPr="00531B03">
              <w:rPr>
                <w:color w:val="000000"/>
                <w:sz w:val="20"/>
                <w:szCs w:val="20"/>
              </w:rPr>
              <w:t>l</w:t>
            </w:r>
          </w:p>
        </w:tc>
      </w:tr>
      <w:tr w:rsidR="0058338A" w:rsidRPr="00474536" w14:paraId="4870066C" w14:textId="77777777" w:rsidTr="00D21251">
        <w:tc>
          <w:tcPr>
            <w:tcW w:w="1758" w:type="dxa"/>
            <w:tcBorders>
              <w:top w:val="single" w:sz="4" w:space="0" w:color="auto"/>
              <w:left w:val="nil"/>
              <w:bottom w:val="single" w:sz="4" w:space="0" w:color="auto"/>
              <w:right w:val="nil"/>
            </w:tcBorders>
          </w:tcPr>
          <w:p w14:paraId="48091AF9" w14:textId="77777777" w:rsidR="0058338A" w:rsidRPr="00531B03" w:rsidRDefault="0058338A" w:rsidP="00D21251">
            <w:pPr>
              <w:rPr>
                <w:sz w:val="20"/>
                <w:szCs w:val="20"/>
              </w:rPr>
            </w:pPr>
            <w:r w:rsidRPr="00531B03">
              <w:rPr>
                <w:b/>
                <w:color w:val="000000"/>
                <w:sz w:val="20"/>
                <w:szCs w:val="20"/>
              </w:rPr>
              <w:t>Maksimalna doza</w:t>
            </w:r>
          </w:p>
        </w:tc>
        <w:tc>
          <w:tcPr>
            <w:tcW w:w="1661" w:type="dxa"/>
            <w:tcBorders>
              <w:top w:val="single" w:sz="4" w:space="0" w:color="auto"/>
              <w:left w:val="nil"/>
              <w:bottom w:val="single" w:sz="4" w:space="0" w:color="auto"/>
              <w:right w:val="nil"/>
            </w:tcBorders>
          </w:tcPr>
          <w:p w14:paraId="205C8DD6" w14:textId="77777777" w:rsidR="0058338A" w:rsidRPr="00531B03" w:rsidRDefault="0058338A" w:rsidP="00D21251">
            <w:pPr>
              <w:widowControl w:val="0"/>
              <w:rPr>
                <w:b/>
                <w:color w:val="000000"/>
                <w:sz w:val="20"/>
                <w:szCs w:val="20"/>
              </w:rPr>
            </w:pPr>
            <w:r w:rsidRPr="00531B03">
              <w:rPr>
                <w:b/>
                <w:sz w:val="20"/>
                <w:szCs w:val="20"/>
              </w:rPr>
              <w:t>28 mg/kg/dan</w:t>
            </w:r>
          </w:p>
        </w:tc>
        <w:tc>
          <w:tcPr>
            <w:tcW w:w="2064" w:type="dxa"/>
            <w:gridSpan w:val="2"/>
            <w:tcBorders>
              <w:top w:val="single" w:sz="4" w:space="0" w:color="auto"/>
              <w:left w:val="nil"/>
              <w:bottom w:val="single" w:sz="4" w:space="0" w:color="auto"/>
              <w:right w:val="nil"/>
            </w:tcBorders>
          </w:tcPr>
          <w:p w14:paraId="19BA1A3E" w14:textId="0097BD13" w:rsidR="0058338A" w:rsidRPr="00531B03" w:rsidRDefault="0058338A" w:rsidP="00D21251">
            <w:pPr>
              <w:widowControl w:val="0"/>
              <w:rPr>
                <w:b/>
                <w:color w:val="000000"/>
                <w:sz w:val="20"/>
                <w:szCs w:val="20"/>
              </w:rPr>
            </w:pPr>
          </w:p>
        </w:tc>
        <w:tc>
          <w:tcPr>
            <w:tcW w:w="2037" w:type="dxa"/>
            <w:tcBorders>
              <w:top w:val="single" w:sz="4" w:space="0" w:color="auto"/>
              <w:left w:val="nil"/>
              <w:bottom w:val="single" w:sz="4" w:space="0" w:color="auto"/>
              <w:right w:val="nil"/>
            </w:tcBorders>
          </w:tcPr>
          <w:p w14:paraId="138D8BA7" w14:textId="77777777" w:rsidR="0058338A" w:rsidRPr="00531B03" w:rsidRDefault="0058338A" w:rsidP="00D21251">
            <w:pPr>
              <w:rPr>
                <w:sz w:val="20"/>
                <w:szCs w:val="20"/>
              </w:rPr>
            </w:pPr>
          </w:p>
        </w:tc>
        <w:tc>
          <w:tcPr>
            <w:tcW w:w="417" w:type="dxa"/>
            <w:tcBorders>
              <w:top w:val="single" w:sz="4" w:space="0" w:color="auto"/>
              <w:left w:val="nil"/>
              <w:bottom w:val="single" w:sz="4" w:space="0" w:color="auto"/>
              <w:right w:val="nil"/>
            </w:tcBorders>
          </w:tcPr>
          <w:p w14:paraId="383331F4" w14:textId="77777777" w:rsidR="0058338A" w:rsidRPr="00531B03" w:rsidRDefault="0058338A" w:rsidP="00D21251">
            <w:pPr>
              <w:rPr>
                <w:sz w:val="20"/>
                <w:szCs w:val="20"/>
              </w:rPr>
            </w:pPr>
          </w:p>
        </w:tc>
        <w:tc>
          <w:tcPr>
            <w:tcW w:w="1702" w:type="dxa"/>
            <w:tcBorders>
              <w:top w:val="single" w:sz="4" w:space="0" w:color="auto"/>
              <w:left w:val="nil"/>
              <w:bottom w:val="single" w:sz="4" w:space="0" w:color="auto"/>
              <w:right w:val="nil"/>
            </w:tcBorders>
          </w:tcPr>
          <w:p w14:paraId="1F101E88" w14:textId="77777777" w:rsidR="0058338A" w:rsidRPr="00531B03" w:rsidRDefault="0058338A" w:rsidP="00D21251">
            <w:pPr>
              <w:rPr>
                <w:sz w:val="20"/>
                <w:szCs w:val="20"/>
              </w:rPr>
            </w:pPr>
          </w:p>
        </w:tc>
      </w:tr>
      <w:tr w:rsidR="0058338A" w:rsidRPr="00474536" w14:paraId="369A796C" w14:textId="77777777" w:rsidTr="00D21251">
        <w:tc>
          <w:tcPr>
            <w:tcW w:w="1758" w:type="dxa"/>
            <w:tcBorders>
              <w:top w:val="single" w:sz="4" w:space="0" w:color="auto"/>
              <w:left w:val="nil"/>
              <w:bottom w:val="single" w:sz="4" w:space="0" w:color="auto"/>
              <w:right w:val="nil"/>
            </w:tcBorders>
          </w:tcPr>
          <w:p w14:paraId="0CB32DDC" w14:textId="77777777" w:rsidR="0058338A" w:rsidRPr="00531B03" w:rsidRDefault="0058338A" w:rsidP="00D21251">
            <w:pPr>
              <w:widowControl w:val="0"/>
              <w:rPr>
                <w:b/>
                <w:color w:val="000000"/>
                <w:sz w:val="20"/>
                <w:szCs w:val="20"/>
              </w:rPr>
            </w:pPr>
            <w:r w:rsidRPr="00531B03">
              <w:rPr>
                <w:b/>
                <w:color w:val="000000"/>
                <w:sz w:val="20"/>
                <w:szCs w:val="20"/>
              </w:rPr>
              <w:t>Razmotriti obustavu terapije</w:t>
            </w:r>
          </w:p>
        </w:tc>
        <w:tc>
          <w:tcPr>
            <w:tcW w:w="1661" w:type="dxa"/>
            <w:tcBorders>
              <w:top w:val="single" w:sz="4" w:space="0" w:color="auto"/>
              <w:left w:val="nil"/>
              <w:bottom w:val="single" w:sz="4" w:space="0" w:color="auto"/>
              <w:right w:val="nil"/>
            </w:tcBorders>
          </w:tcPr>
          <w:p w14:paraId="50F3157B" w14:textId="77777777" w:rsidR="0058338A" w:rsidRPr="00531B03" w:rsidRDefault="0058338A" w:rsidP="00D21251">
            <w:pPr>
              <w:keepNext/>
              <w:widowControl w:val="0"/>
              <w:tabs>
                <w:tab w:val="left" w:pos="567"/>
              </w:tabs>
              <w:spacing w:line="260" w:lineRule="exact"/>
              <w:rPr>
                <w:color w:val="000000"/>
                <w:sz w:val="20"/>
                <w:szCs w:val="20"/>
                <w:lang w:val="it-IT"/>
              </w:rPr>
            </w:pPr>
          </w:p>
        </w:tc>
        <w:tc>
          <w:tcPr>
            <w:tcW w:w="2064" w:type="dxa"/>
            <w:gridSpan w:val="2"/>
            <w:tcBorders>
              <w:top w:val="single" w:sz="4" w:space="0" w:color="auto"/>
              <w:left w:val="nil"/>
              <w:bottom w:val="single" w:sz="4" w:space="0" w:color="auto"/>
              <w:right w:val="nil"/>
            </w:tcBorders>
          </w:tcPr>
          <w:p w14:paraId="188BF13E" w14:textId="77777777" w:rsidR="0058338A" w:rsidRPr="00531B03" w:rsidRDefault="0058338A" w:rsidP="00D21251">
            <w:pPr>
              <w:keepNext/>
              <w:widowControl w:val="0"/>
              <w:tabs>
                <w:tab w:val="left" w:pos="567"/>
              </w:tabs>
              <w:spacing w:line="260" w:lineRule="exact"/>
              <w:rPr>
                <w:color w:val="000000"/>
                <w:sz w:val="20"/>
                <w:szCs w:val="20"/>
                <w:lang w:val="it-IT"/>
              </w:rPr>
            </w:pPr>
          </w:p>
        </w:tc>
        <w:tc>
          <w:tcPr>
            <w:tcW w:w="2037" w:type="dxa"/>
            <w:tcBorders>
              <w:top w:val="single" w:sz="4" w:space="0" w:color="auto"/>
              <w:left w:val="nil"/>
              <w:bottom w:val="single" w:sz="4" w:space="0" w:color="auto"/>
              <w:right w:val="nil"/>
            </w:tcBorders>
          </w:tcPr>
          <w:p w14:paraId="4BB29E08" w14:textId="77777777" w:rsidR="0058338A" w:rsidRPr="00531B03" w:rsidRDefault="0058338A" w:rsidP="00D21251">
            <w:pPr>
              <w:rPr>
                <w:sz w:val="20"/>
                <w:szCs w:val="20"/>
              </w:rPr>
            </w:pPr>
          </w:p>
        </w:tc>
        <w:tc>
          <w:tcPr>
            <w:tcW w:w="417" w:type="dxa"/>
            <w:tcBorders>
              <w:top w:val="single" w:sz="4" w:space="0" w:color="auto"/>
              <w:left w:val="nil"/>
              <w:bottom w:val="single" w:sz="4" w:space="0" w:color="auto"/>
              <w:right w:val="nil"/>
            </w:tcBorders>
          </w:tcPr>
          <w:p w14:paraId="1E656FD3" w14:textId="77777777" w:rsidR="0058338A" w:rsidRPr="00531B03" w:rsidRDefault="0058338A" w:rsidP="00D21251">
            <w:pPr>
              <w:widowControl w:val="0"/>
              <w:rPr>
                <w:b/>
                <w:color w:val="000000"/>
                <w:sz w:val="20"/>
                <w:szCs w:val="20"/>
              </w:rPr>
            </w:pPr>
          </w:p>
        </w:tc>
        <w:tc>
          <w:tcPr>
            <w:tcW w:w="1702" w:type="dxa"/>
            <w:tcBorders>
              <w:top w:val="single" w:sz="4" w:space="0" w:color="auto"/>
              <w:left w:val="nil"/>
              <w:bottom w:val="single" w:sz="4" w:space="0" w:color="auto"/>
              <w:right w:val="nil"/>
            </w:tcBorders>
          </w:tcPr>
          <w:p w14:paraId="347FC01A" w14:textId="77777777" w:rsidR="0058338A" w:rsidRPr="00531B03" w:rsidRDefault="0058338A" w:rsidP="00D21251">
            <w:pPr>
              <w:widowControl w:val="0"/>
              <w:rPr>
                <w:b/>
                <w:color w:val="000000"/>
                <w:sz w:val="20"/>
                <w:szCs w:val="20"/>
              </w:rPr>
            </w:pPr>
            <w:r w:rsidRPr="00531B03">
              <w:rPr>
                <w:b/>
                <w:color w:val="000000"/>
                <w:sz w:val="20"/>
                <w:szCs w:val="20"/>
              </w:rPr>
              <w:t>&lt;500 </w:t>
            </w:r>
          </w:p>
          <w:p w14:paraId="23F9861B" w14:textId="77777777" w:rsidR="0058338A" w:rsidRPr="00531B03" w:rsidRDefault="0058338A" w:rsidP="00CC48E0">
            <w:pPr>
              <w:widowControl w:val="0"/>
              <w:rPr>
                <w:b/>
                <w:color w:val="000000"/>
                <w:sz w:val="20"/>
                <w:szCs w:val="20"/>
              </w:rPr>
            </w:pPr>
            <w:r w:rsidRPr="00531B03">
              <w:rPr>
                <w:b/>
                <w:color w:val="000000"/>
                <w:sz w:val="20"/>
                <w:szCs w:val="20"/>
              </w:rPr>
              <w:t>mikrograma/</w:t>
            </w:r>
            <w:r w:rsidR="00CC48E0" w:rsidRPr="00531B03">
              <w:rPr>
                <w:b/>
                <w:color w:val="000000"/>
                <w:sz w:val="20"/>
                <w:szCs w:val="20"/>
              </w:rPr>
              <w:t>l</w:t>
            </w:r>
          </w:p>
        </w:tc>
      </w:tr>
    </w:tbl>
    <w:p w14:paraId="5F31063D" w14:textId="77777777" w:rsidR="00452E9D" w:rsidRDefault="00452E9D" w:rsidP="00480FB1">
      <w:pPr>
        <w:tabs>
          <w:tab w:val="left" w:pos="540"/>
          <w:tab w:val="left" w:pos="569"/>
        </w:tabs>
        <w:rPr>
          <w:bCs/>
          <w:sz w:val="22"/>
          <w:szCs w:val="22"/>
          <w:u w:val="single"/>
        </w:rPr>
      </w:pPr>
    </w:p>
    <w:p w14:paraId="76C9427A" w14:textId="77777777" w:rsidR="0058338A" w:rsidRPr="00D21251" w:rsidRDefault="0058338A" w:rsidP="00531B03">
      <w:pPr>
        <w:jc w:val="both"/>
        <w:rPr>
          <w:i/>
          <w:sz w:val="22"/>
          <w:szCs w:val="22"/>
          <w:lang w:val="sr-Latn-CS"/>
        </w:rPr>
      </w:pPr>
      <w:r w:rsidRPr="00D21251">
        <w:rPr>
          <w:i/>
          <w:sz w:val="22"/>
          <w:szCs w:val="22"/>
          <w:lang w:val="sr-Latn-CS"/>
        </w:rPr>
        <w:t>Početna doza</w:t>
      </w:r>
    </w:p>
    <w:p w14:paraId="220826E0" w14:textId="77777777" w:rsidR="0058338A" w:rsidRPr="00D21251" w:rsidRDefault="0058338A" w:rsidP="00531B03">
      <w:pPr>
        <w:jc w:val="both"/>
        <w:rPr>
          <w:sz w:val="22"/>
          <w:szCs w:val="22"/>
          <w:lang w:val="sr-Latn-CS"/>
        </w:rPr>
      </w:pPr>
      <w:r w:rsidRPr="00D21251">
        <w:rPr>
          <w:sz w:val="22"/>
          <w:szCs w:val="22"/>
          <w:lang w:val="sr-Latn-CS"/>
        </w:rPr>
        <w:t xml:space="preserve">Preporučena početna dnevna doza </w:t>
      </w:r>
      <w:r w:rsidR="00344FF6">
        <w:rPr>
          <w:sz w:val="22"/>
          <w:szCs w:val="22"/>
          <w:lang w:val="sr-Latn-CS"/>
        </w:rPr>
        <w:t>lijek</w:t>
      </w:r>
      <w:r w:rsidRPr="00D21251">
        <w:rPr>
          <w:sz w:val="22"/>
          <w:szCs w:val="22"/>
          <w:lang w:val="sr-Latn-CS"/>
        </w:rPr>
        <w:t>a Exjade film tablete je 14 mg/kg t</w:t>
      </w:r>
      <w:r w:rsidR="009E320F">
        <w:rPr>
          <w:sz w:val="22"/>
          <w:szCs w:val="22"/>
          <w:lang w:val="sr-Latn-CS"/>
        </w:rPr>
        <w:t>j</w:t>
      </w:r>
      <w:r w:rsidRPr="00D21251">
        <w:rPr>
          <w:sz w:val="22"/>
          <w:szCs w:val="22"/>
          <w:lang w:val="sr-Latn-CS"/>
        </w:rPr>
        <w:t>elesne mase.</w:t>
      </w:r>
    </w:p>
    <w:p w14:paraId="2DC83039" w14:textId="77777777" w:rsidR="0058338A" w:rsidRPr="00D21251" w:rsidRDefault="0058338A" w:rsidP="00531B03">
      <w:pPr>
        <w:jc w:val="both"/>
        <w:rPr>
          <w:sz w:val="22"/>
          <w:szCs w:val="22"/>
          <w:lang w:val="sr-Latn-CS"/>
        </w:rPr>
      </w:pPr>
    </w:p>
    <w:p w14:paraId="73EED42B" w14:textId="77777777" w:rsidR="0058338A" w:rsidRPr="00D21251" w:rsidRDefault="0058338A" w:rsidP="00531B03">
      <w:pPr>
        <w:pStyle w:val="Header"/>
        <w:tabs>
          <w:tab w:val="left" w:pos="284"/>
        </w:tabs>
        <w:jc w:val="both"/>
        <w:rPr>
          <w:sz w:val="22"/>
          <w:szCs w:val="22"/>
          <w:lang w:val="sr-Latn-CS"/>
        </w:rPr>
      </w:pPr>
      <w:r w:rsidRPr="00D21251">
        <w:rPr>
          <w:sz w:val="22"/>
          <w:szCs w:val="22"/>
          <w:lang w:val="sr-Latn-CS"/>
        </w:rPr>
        <w:t>Prim</w:t>
      </w:r>
      <w:r w:rsidR="00344FF6">
        <w:rPr>
          <w:sz w:val="22"/>
          <w:szCs w:val="22"/>
          <w:lang w:val="sr-Latn-CS"/>
        </w:rPr>
        <w:t>j</w:t>
      </w:r>
      <w:r w:rsidRPr="00D21251">
        <w:rPr>
          <w:sz w:val="22"/>
          <w:szCs w:val="22"/>
          <w:lang w:val="sr-Latn-CS"/>
        </w:rPr>
        <w:t xml:space="preserve">ena početne dnevne doze od 21 mg/kg </w:t>
      </w:r>
      <w:r w:rsidR="00941179" w:rsidRPr="00941179">
        <w:rPr>
          <w:sz w:val="22"/>
          <w:szCs w:val="22"/>
          <w:lang w:val="sr-Latn-CS"/>
        </w:rPr>
        <w:t>l</w:t>
      </w:r>
      <w:r w:rsidR="00941179">
        <w:rPr>
          <w:sz w:val="22"/>
          <w:szCs w:val="22"/>
          <w:lang w:val="sr-Latn-CS"/>
        </w:rPr>
        <w:t>ij</w:t>
      </w:r>
      <w:r w:rsidR="00941179" w:rsidRPr="00941179">
        <w:rPr>
          <w:sz w:val="22"/>
          <w:szCs w:val="22"/>
          <w:lang w:val="sr-Latn-CS"/>
        </w:rPr>
        <w:t xml:space="preserve">eka Exjade film tablete </w:t>
      </w:r>
      <w:r w:rsidRPr="00D21251">
        <w:rPr>
          <w:sz w:val="22"/>
          <w:szCs w:val="22"/>
          <w:lang w:val="sr-Latn-CS"/>
        </w:rPr>
        <w:t xml:space="preserve">se može razmotriti kod pacijenata kojima je potrebno smanjiti </w:t>
      </w:r>
      <w:r w:rsidR="005E5A3D">
        <w:rPr>
          <w:sz w:val="22"/>
          <w:szCs w:val="22"/>
          <w:lang w:val="sr-Latn-CS"/>
        </w:rPr>
        <w:t>povišenu koncentraciju</w:t>
      </w:r>
      <w:r w:rsidRPr="00D21251">
        <w:rPr>
          <w:sz w:val="22"/>
          <w:szCs w:val="22"/>
          <w:lang w:val="sr-Latn-CS"/>
        </w:rPr>
        <w:t xml:space="preserve"> gvožđa u t</w:t>
      </w:r>
      <w:r w:rsidR="009E320F">
        <w:rPr>
          <w:sz w:val="22"/>
          <w:szCs w:val="22"/>
          <w:lang w:val="sr-Latn-CS"/>
        </w:rPr>
        <w:t>ij</w:t>
      </w:r>
      <w:r w:rsidRPr="00D21251">
        <w:rPr>
          <w:sz w:val="22"/>
          <w:szCs w:val="22"/>
          <w:lang w:val="sr-Latn-CS"/>
        </w:rPr>
        <w:t xml:space="preserve">elu i koji takođe primaju više od 14 </w:t>
      </w:r>
      <w:r w:rsidR="00143DE7" w:rsidRPr="00D21251">
        <w:rPr>
          <w:sz w:val="22"/>
          <w:szCs w:val="22"/>
          <w:lang w:val="sr-Latn-CS"/>
        </w:rPr>
        <w:t>m</w:t>
      </w:r>
      <w:r w:rsidR="00143DE7">
        <w:rPr>
          <w:sz w:val="22"/>
          <w:szCs w:val="22"/>
          <w:lang w:val="sr-Latn-CS"/>
        </w:rPr>
        <w:t>l</w:t>
      </w:r>
      <w:r w:rsidRPr="00D21251">
        <w:rPr>
          <w:sz w:val="22"/>
          <w:szCs w:val="22"/>
          <w:lang w:val="sr-Latn-CS"/>
        </w:rPr>
        <w:t>/kg/m</w:t>
      </w:r>
      <w:r w:rsidR="009E320F">
        <w:rPr>
          <w:sz w:val="22"/>
          <w:szCs w:val="22"/>
          <w:lang w:val="sr-Latn-CS"/>
        </w:rPr>
        <w:t>j</w:t>
      </w:r>
      <w:r w:rsidRPr="00D21251">
        <w:rPr>
          <w:sz w:val="22"/>
          <w:szCs w:val="22"/>
          <w:lang w:val="sr-Latn-CS"/>
        </w:rPr>
        <w:t>esec koncentrovanih eritrocita (približno &gt;4 jedinice/m</w:t>
      </w:r>
      <w:r w:rsidR="009E320F">
        <w:rPr>
          <w:sz w:val="22"/>
          <w:szCs w:val="22"/>
          <w:lang w:val="sr-Latn-CS"/>
        </w:rPr>
        <w:t>j</w:t>
      </w:r>
      <w:r w:rsidRPr="00D21251">
        <w:rPr>
          <w:sz w:val="22"/>
          <w:szCs w:val="22"/>
          <w:lang w:val="sr-Latn-CS"/>
        </w:rPr>
        <w:t>esec za odrasle).</w:t>
      </w:r>
    </w:p>
    <w:p w14:paraId="2C4E712E" w14:textId="77777777" w:rsidR="0058338A" w:rsidRPr="00D21251" w:rsidRDefault="0058338A" w:rsidP="00531B03">
      <w:pPr>
        <w:jc w:val="both"/>
        <w:rPr>
          <w:sz w:val="22"/>
          <w:szCs w:val="22"/>
          <w:lang w:val="sr-Latn-CS"/>
        </w:rPr>
      </w:pPr>
    </w:p>
    <w:p w14:paraId="5858B96B" w14:textId="77777777" w:rsidR="0058338A" w:rsidRPr="00D21251" w:rsidRDefault="0058338A" w:rsidP="00531B03">
      <w:pPr>
        <w:jc w:val="both"/>
        <w:rPr>
          <w:sz w:val="22"/>
          <w:szCs w:val="22"/>
          <w:lang w:val="sr-Latn-CS"/>
        </w:rPr>
      </w:pPr>
      <w:r w:rsidRPr="00D21251">
        <w:rPr>
          <w:sz w:val="22"/>
          <w:szCs w:val="22"/>
          <w:lang w:val="sr-Latn-CS"/>
        </w:rPr>
        <w:t>Prim</w:t>
      </w:r>
      <w:r w:rsidR="00344FF6">
        <w:rPr>
          <w:sz w:val="22"/>
          <w:szCs w:val="22"/>
          <w:lang w:val="sr-Latn-CS"/>
        </w:rPr>
        <w:t>j</w:t>
      </w:r>
      <w:r w:rsidRPr="00D21251">
        <w:rPr>
          <w:sz w:val="22"/>
          <w:szCs w:val="22"/>
          <w:lang w:val="sr-Latn-CS"/>
        </w:rPr>
        <w:t xml:space="preserve">ena početne dnevne doze od 7 mg/kg </w:t>
      </w:r>
      <w:r w:rsidR="00941179" w:rsidRPr="00941179">
        <w:rPr>
          <w:sz w:val="22"/>
          <w:szCs w:val="22"/>
          <w:lang w:val="sr-Latn-CS"/>
        </w:rPr>
        <w:t>l</w:t>
      </w:r>
      <w:r w:rsidR="00941179">
        <w:rPr>
          <w:sz w:val="22"/>
          <w:szCs w:val="22"/>
          <w:lang w:val="sr-Latn-CS"/>
        </w:rPr>
        <w:t>ij</w:t>
      </w:r>
      <w:r w:rsidR="00941179" w:rsidRPr="00941179">
        <w:rPr>
          <w:sz w:val="22"/>
          <w:szCs w:val="22"/>
          <w:lang w:val="sr-Latn-CS"/>
        </w:rPr>
        <w:t xml:space="preserve">eka Exjade film tablete </w:t>
      </w:r>
      <w:r w:rsidRPr="00D21251">
        <w:rPr>
          <w:sz w:val="22"/>
          <w:szCs w:val="22"/>
          <w:lang w:val="sr-Latn-CS"/>
        </w:rPr>
        <w:t xml:space="preserve">se može razmotriti kod pacijenata kojima nije potrebno smanjenje </w:t>
      </w:r>
      <w:r w:rsidR="006F08C5">
        <w:rPr>
          <w:sz w:val="22"/>
          <w:szCs w:val="22"/>
          <w:lang w:val="sr-Latn-CS"/>
        </w:rPr>
        <w:t>koncentracije</w:t>
      </w:r>
      <w:r w:rsidRPr="00D21251">
        <w:rPr>
          <w:sz w:val="22"/>
          <w:szCs w:val="22"/>
          <w:lang w:val="sr-Latn-CS"/>
        </w:rPr>
        <w:t xml:space="preserve"> gvožđa u t</w:t>
      </w:r>
      <w:r w:rsidR="009E320F">
        <w:rPr>
          <w:sz w:val="22"/>
          <w:szCs w:val="22"/>
          <w:lang w:val="sr-Latn-CS"/>
        </w:rPr>
        <w:t>ij</w:t>
      </w:r>
      <w:r w:rsidRPr="00D21251">
        <w:rPr>
          <w:sz w:val="22"/>
          <w:szCs w:val="22"/>
          <w:lang w:val="sr-Latn-CS"/>
        </w:rPr>
        <w:t xml:space="preserve">elu i koji takođe primaju manje od 7 </w:t>
      </w:r>
      <w:r w:rsidR="00143DE7" w:rsidRPr="00D21251">
        <w:rPr>
          <w:sz w:val="22"/>
          <w:szCs w:val="22"/>
          <w:lang w:val="sr-Latn-CS"/>
        </w:rPr>
        <w:t>m</w:t>
      </w:r>
      <w:r w:rsidR="00143DE7">
        <w:rPr>
          <w:sz w:val="22"/>
          <w:szCs w:val="22"/>
          <w:lang w:val="sr-Latn-CS"/>
        </w:rPr>
        <w:t>l</w:t>
      </w:r>
      <w:r w:rsidRPr="00D21251">
        <w:rPr>
          <w:sz w:val="22"/>
          <w:szCs w:val="22"/>
          <w:lang w:val="sr-Latn-CS"/>
        </w:rPr>
        <w:t>/kg/m</w:t>
      </w:r>
      <w:r w:rsidR="009E320F">
        <w:rPr>
          <w:sz w:val="22"/>
          <w:szCs w:val="22"/>
          <w:lang w:val="sr-Latn-CS"/>
        </w:rPr>
        <w:t>j</w:t>
      </w:r>
      <w:r w:rsidRPr="00D21251">
        <w:rPr>
          <w:sz w:val="22"/>
          <w:szCs w:val="22"/>
          <w:lang w:val="sr-Latn-CS"/>
        </w:rPr>
        <w:t>esec koncentrovanih eritrocita (približno &lt;2 jedinice/m</w:t>
      </w:r>
      <w:r w:rsidR="009E320F">
        <w:rPr>
          <w:sz w:val="22"/>
          <w:szCs w:val="22"/>
          <w:lang w:val="sr-Latn-CS"/>
        </w:rPr>
        <w:t>j</w:t>
      </w:r>
      <w:r w:rsidRPr="00D21251">
        <w:rPr>
          <w:sz w:val="22"/>
          <w:szCs w:val="22"/>
          <w:lang w:val="sr-Latn-CS"/>
        </w:rPr>
        <w:t>esec za odrasle). Odgovor pacijenta na terapiju se mora pratiti i trebalo bi razmotriti povećanje doze ako nije postignuta zadovoljavajuća efikasnost (vid</w:t>
      </w:r>
      <w:r w:rsidR="009E320F">
        <w:rPr>
          <w:sz w:val="22"/>
          <w:szCs w:val="22"/>
          <w:lang w:val="sr-Latn-CS"/>
        </w:rPr>
        <w:t>j</w:t>
      </w:r>
      <w:r w:rsidRPr="00D21251">
        <w:rPr>
          <w:sz w:val="22"/>
          <w:szCs w:val="22"/>
          <w:lang w:val="sr-Latn-CS"/>
        </w:rPr>
        <w:t xml:space="preserve">eti </w:t>
      </w:r>
      <w:r w:rsidR="001A3BB2">
        <w:rPr>
          <w:sz w:val="22"/>
          <w:szCs w:val="22"/>
          <w:lang w:val="sr-Latn-CS"/>
        </w:rPr>
        <w:t>dio</w:t>
      </w:r>
      <w:r w:rsidR="001A3BB2" w:rsidRPr="00D21251">
        <w:rPr>
          <w:sz w:val="22"/>
          <w:szCs w:val="22"/>
          <w:lang w:val="sr-Latn-CS"/>
        </w:rPr>
        <w:t xml:space="preserve"> </w:t>
      </w:r>
      <w:r w:rsidRPr="00D21251">
        <w:rPr>
          <w:sz w:val="22"/>
          <w:szCs w:val="22"/>
          <w:lang w:val="sr-Latn-CS"/>
        </w:rPr>
        <w:t>5.1).</w:t>
      </w:r>
    </w:p>
    <w:p w14:paraId="5ECE1131" w14:textId="77777777" w:rsidR="0058338A" w:rsidRPr="00D21251" w:rsidRDefault="0058338A" w:rsidP="00531B03">
      <w:pPr>
        <w:jc w:val="both"/>
        <w:rPr>
          <w:sz w:val="22"/>
          <w:szCs w:val="22"/>
          <w:lang w:val="sr-Latn-CS"/>
        </w:rPr>
      </w:pPr>
    </w:p>
    <w:p w14:paraId="22765E0B" w14:textId="77777777" w:rsidR="0058338A" w:rsidRPr="00D21251" w:rsidRDefault="0058338A" w:rsidP="00531B03">
      <w:pPr>
        <w:jc w:val="both"/>
        <w:rPr>
          <w:sz w:val="22"/>
          <w:szCs w:val="22"/>
          <w:lang w:val="sr-Latn-CS"/>
        </w:rPr>
      </w:pPr>
      <w:r w:rsidRPr="00D21251">
        <w:rPr>
          <w:sz w:val="22"/>
          <w:szCs w:val="22"/>
          <w:lang w:val="sr-Latn-CS"/>
        </w:rPr>
        <w:t xml:space="preserve">Kod pacijenata koji su dobro kontrolisani deferoksaminom, za početnu dozu </w:t>
      </w:r>
      <w:r w:rsidR="00344FF6">
        <w:rPr>
          <w:sz w:val="22"/>
          <w:szCs w:val="22"/>
          <w:lang w:val="sr-Latn-CS"/>
        </w:rPr>
        <w:t>lijek</w:t>
      </w:r>
      <w:r w:rsidRPr="00D21251">
        <w:rPr>
          <w:sz w:val="22"/>
          <w:szCs w:val="22"/>
          <w:lang w:val="sr-Latn-CS"/>
        </w:rPr>
        <w:t>a Exjade film tablete može se razmotriti trećina doze deferoksamina izražena numerički (npr. pacijenti koji primaju 40 mg/kg/dan deferoksamina tokom 5 dana u ned</w:t>
      </w:r>
      <w:r w:rsidR="009E320F">
        <w:rPr>
          <w:sz w:val="22"/>
          <w:szCs w:val="22"/>
          <w:lang w:val="sr-Latn-CS"/>
        </w:rPr>
        <w:t>j</w:t>
      </w:r>
      <w:r w:rsidRPr="00D21251">
        <w:rPr>
          <w:sz w:val="22"/>
          <w:szCs w:val="22"/>
          <w:lang w:val="sr-Latn-CS"/>
        </w:rPr>
        <w:t xml:space="preserve">elji (ili ekvivalentno tome) mogli bi da budu prevedeni na početnu dnevnu dozu </w:t>
      </w:r>
      <w:r w:rsidR="00344FF6">
        <w:rPr>
          <w:sz w:val="22"/>
          <w:szCs w:val="22"/>
          <w:lang w:val="sr-Latn-CS"/>
        </w:rPr>
        <w:t>lijek</w:t>
      </w:r>
      <w:r w:rsidRPr="00D21251">
        <w:rPr>
          <w:sz w:val="22"/>
          <w:szCs w:val="22"/>
          <w:lang w:val="sr-Latn-CS"/>
        </w:rPr>
        <w:t xml:space="preserve">a Exjade film tablete od 14 mg/kg/dan). Kada se ovo postigne u dnevnoj dozi manjoj od 14 mg/kg </w:t>
      </w:r>
      <w:r w:rsidR="007916C3">
        <w:rPr>
          <w:sz w:val="22"/>
          <w:szCs w:val="22"/>
          <w:lang w:val="sr-Latn-CS"/>
        </w:rPr>
        <w:t>tjelesn</w:t>
      </w:r>
      <w:r w:rsidRPr="00D21251">
        <w:rPr>
          <w:sz w:val="22"/>
          <w:szCs w:val="22"/>
          <w:lang w:val="sr-Latn-CS"/>
        </w:rPr>
        <w:t>e mase, mora se pratiti odgovor pacijenta na terapiju i treba razmotriti povećanje doze ako nije postignuta zadovoljavajuća efikasnost (</w:t>
      </w:r>
      <w:r w:rsidR="009E320F">
        <w:rPr>
          <w:sz w:val="22"/>
          <w:szCs w:val="22"/>
          <w:lang w:val="sr-Latn-CS"/>
        </w:rPr>
        <w:t xml:space="preserve">vidjeti </w:t>
      </w:r>
      <w:r w:rsidR="001A3BB2">
        <w:rPr>
          <w:sz w:val="22"/>
          <w:szCs w:val="22"/>
          <w:lang w:val="sr-Latn-CS"/>
        </w:rPr>
        <w:t>dio</w:t>
      </w:r>
      <w:r w:rsidR="001A3BB2" w:rsidRPr="00D21251">
        <w:rPr>
          <w:sz w:val="22"/>
          <w:szCs w:val="22"/>
          <w:lang w:val="sr-Latn-CS"/>
        </w:rPr>
        <w:t xml:space="preserve"> </w:t>
      </w:r>
      <w:r w:rsidRPr="00D21251">
        <w:rPr>
          <w:sz w:val="22"/>
          <w:szCs w:val="22"/>
          <w:lang w:val="sr-Latn-CS"/>
        </w:rPr>
        <w:t>5.1).</w:t>
      </w:r>
    </w:p>
    <w:p w14:paraId="32028C49" w14:textId="77777777" w:rsidR="0058338A" w:rsidRPr="00D21251" w:rsidRDefault="0058338A" w:rsidP="00531B03">
      <w:pPr>
        <w:jc w:val="both"/>
        <w:rPr>
          <w:sz w:val="22"/>
          <w:szCs w:val="22"/>
          <w:lang w:val="sr-Latn-CS"/>
        </w:rPr>
      </w:pPr>
    </w:p>
    <w:p w14:paraId="26CCA084" w14:textId="77777777" w:rsidR="0058338A" w:rsidRPr="00D21251" w:rsidRDefault="0058338A" w:rsidP="00531B03">
      <w:pPr>
        <w:jc w:val="both"/>
        <w:rPr>
          <w:i/>
          <w:sz w:val="22"/>
          <w:szCs w:val="22"/>
          <w:lang w:val="sr-Latn-CS"/>
        </w:rPr>
      </w:pPr>
      <w:r w:rsidRPr="00D21251">
        <w:rPr>
          <w:i/>
          <w:sz w:val="22"/>
          <w:szCs w:val="22"/>
          <w:lang w:val="sr-Latn-CS"/>
        </w:rPr>
        <w:t>Prilagođavanje doze</w:t>
      </w:r>
    </w:p>
    <w:p w14:paraId="1336B32F" w14:textId="77777777" w:rsidR="0058338A" w:rsidRPr="00D21251" w:rsidRDefault="0058338A" w:rsidP="006B5E2B">
      <w:pPr>
        <w:tabs>
          <w:tab w:val="left" w:pos="540"/>
          <w:tab w:val="left" w:pos="569"/>
        </w:tabs>
        <w:jc w:val="both"/>
        <w:rPr>
          <w:sz w:val="22"/>
          <w:szCs w:val="22"/>
          <w:lang w:val="sr-Latn-CS"/>
        </w:rPr>
      </w:pPr>
      <w:r w:rsidRPr="00D21251">
        <w:rPr>
          <w:sz w:val="22"/>
          <w:szCs w:val="22"/>
          <w:lang w:val="sr-Latn-CS"/>
        </w:rPr>
        <w:t xml:space="preserve">Preporučuje se da se </w:t>
      </w:r>
      <w:r w:rsidR="0071118F">
        <w:rPr>
          <w:sz w:val="22"/>
          <w:szCs w:val="22"/>
          <w:lang w:val="sr-Latn-CS"/>
        </w:rPr>
        <w:t>vrijednost</w:t>
      </w:r>
      <w:r w:rsidRPr="00D21251">
        <w:rPr>
          <w:sz w:val="22"/>
          <w:szCs w:val="22"/>
          <w:lang w:val="sr-Latn-CS"/>
        </w:rPr>
        <w:t>i serumskog feritina određuju svakog m</w:t>
      </w:r>
      <w:r w:rsidR="0071118F">
        <w:rPr>
          <w:sz w:val="22"/>
          <w:szCs w:val="22"/>
          <w:lang w:val="sr-Latn-CS"/>
        </w:rPr>
        <w:t>j</w:t>
      </w:r>
      <w:r w:rsidRPr="00D21251">
        <w:rPr>
          <w:sz w:val="22"/>
          <w:szCs w:val="22"/>
          <w:lang w:val="sr-Latn-CS"/>
        </w:rPr>
        <w:t xml:space="preserve">eseca i da se, ako je potrebno, doza </w:t>
      </w:r>
      <w:r w:rsidR="00344FF6">
        <w:rPr>
          <w:sz w:val="22"/>
          <w:szCs w:val="22"/>
          <w:lang w:val="sr-Latn-CS"/>
        </w:rPr>
        <w:t>lijek</w:t>
      </w:r>
      <w:r w:rsidRPr="00D21251">
        <w:rPr>
          <w:sz w:val="22"/>
          <w:szCs w:val="22"/>
          <w:lang w:val="sr-Latn-CS"/>
        </w:rPr>
        <w:t xml:space="preserve">a Exjade </w:t>
      </w:r>
      <w:r w:rsidR="00941179">
        <w:rPr>
          <w:sz w:val="22"/>
          <w:szCs w:val="22"/>
          <w:lang w:val="sr-Latn-CS"/>
        </w:rPr>
        <w:t xml:space="preserve">film tablete </w:t>
      </w:r>
      <w:r w:rsidRPr="00D21251">
        <w:rPr>
          <w:sz w:val="22"/>
          <w:szCs w:val="22"/>
          <w:lang w:val="sr-Latn-CS"/>
        </w:rPr>
        <w:t xml:space="preserve">prilagođava </w:t>
      </w:r>
      <w:r w:rsidR="006F08C5">
        <w:rPr>
          <w:sz w:val="22"/>
          <w:szCs w:val="22"/>
          <w:lang w:val="sr-Latn-CS"/>
        </w:rPr>
        <w:t xml:space="preserve">na </w:t>
      </w:r>
      <w:r w:rsidRPr="00D21251">
        <w:rPr>
          <w:sz w:val="22"/>
          <w:szCs w:val="22"/>
          <w:lang w:val="sr-Latn-CS"/>
        </w:rPr>
        <w:t>svakih 3 do 6 m</w:t>
      </w:r>
      <w:r w:rsidR="0071118F">
        <w:rPr>
          <w:sz w:val="22"/>
          <w:szCs w:val="22"/>
          <w:lang w:val="sr-Latn-CS"/>
        </w:rPr>
        <w:t>j</w:t>
      </w:r>
      <w:r w:rsidRPr="00D21251">
        <w:rPr>
          <w:sz w:val="22"/>
          <w:szCs w:val="22"/>
          <w:lang w:val="sr-Latn-CS"/>
        </w:rPr>
        <w:t>eseci, na osnovu trenda prom</w:t>
      </w:r>
      <w:r w:rsidR="0071118F">
        <w:rPr>
          <w:sz w:val="22"/>
          <w:szCs w:val="22"/>
          <w:lang w:val="sr-Latn-CS"/>
        </w:rPr>
        <w:t>j</w:t>
      </w:r>
      <w:r w:rsidRPr="00D21251">
        <w:rPr>
          <w:sz w:val="22"/>
          <w:szCs w:val="22"/>
          <w:lang w:val="sr-Latn-CS"/>
        </w:rPr>
        <w:t xml:space="preserve">ene </w:t>
      </w:r>
      <w:r w:rsidR="0071118F">
        <w:rPr>
          <w:sz w:val="22"/>
          <w:szCs w:val="22"/>
          <w:lang w:val="sr-Latn-CS"/>
        </w:rPr>
        <w:t>vrijednost</w:t>
      </w:r>
      <w:r w:rsidRPr="00D21251">
        <w:rPr>
          <w:sz w:val="22"/>
          <w:szCs w:val="22"/>
          <w:lang w:val="sr-Latn-CS"/>
        </w:rPr>
        <w:t xml:space="preserve">i serumskog feritina. Prilagođavanje doze može biti postepeno, u koracima od 3,5 mg/kg do 7 mg/kg, a najvažnije </w:t>
      </w:r>
      <w:r w:rsidR="00E1165A">
        <w:rPr>
          <w:sz w:val="22"/>
          <w:szCs w:val="22"/>
          <w:lang w:val="sr-Latn-CS"/>
        </w:rPr>
        <w:t xml:space="preserve">je </w:t>
      </w:r>
      <w:r w:rsidRPr="00D21251">
        <w:rPr>
          <w:sz w:val="22"/>
          <w:szCs w:val="22"/>
          <w:lang w:val="sr-Latn-CS"/>
        </w:rPr>
        <w:t xml:space="preserve">da se prilagodi odgovoru svakog pacijenta ponaosob, kao i terapijskom cilju (održavanje ili smanjenje opterećenja gvožđem). Kod pacijenata kod kojih nije postignuta adekvatna kontrola dozama od 21 mg/kg (npr. </w:t>
      </w:r>
      <w:r w:rsidR="0071118F">
        <w:rPr>
          <w:sz w:val="22"/>
          <w:szCs w:val="22"/>
          <w:lang w:val="sr-Latn-CS"/>
        </w:rPr>
        <w:t>vrijednost</w:t>
      </w:r>
      <w:r w:rsidRPr="00D21251">
        <w:rPr>
          <w:sz w:val="22"/>
          <w:szCs w:val="22"/>
          <w:lang w:val="sr-Latn-CS"/>
        </w:rPr>
        <w:t>i serumskog feritina su</w:t>
      </w:r>
      <w:r w:rsidRPr="001B39EC">
        <w:rPr>
          <w:szCs w:val="22"/>
          <w:lang w:val="sr-Latn-CS"/>
        </w:rPr>
        <w:t xml:space="preserve"> </w:t>
      </w:r>
      <w:r w:rsidRPr="00D21251">
        <w:rPr>
          <w:sz w:val="22"/>
          <w:szCs w:val="22"/>
          <w:lang w:val="sr-Latn-CS"/>
        </w:rPr>
        <w:t>stalno iznad 2500 mikrograma/</w:t>
      </w:r>
      <w:r w:rsidR="00143DE7">
        <w:rPr>
          <w:sz w:val="22"/>
          <w:szCs w:val="22"/>
          <w:lang w:val="sr-Latn-CS"/>
        </w:rPr>
        <w:t>l</w:t>
      </w:r>
      <w:r w:rsidR="00143DE7" w:rsidRPr="00D21251">
        <w:rPr>
          <w:sz w:val="22"/>
          <w:szCs w:val="22"/>
          <w:lang w:val="sr-Latn-CS"/>
        </w:rPr>
        <w:t xml:space="preserve"> </w:t>
      </w:r>
      <w:r w:rsidRPr="00D21251">
        <w:rPr>
          <w:sz w:val="22"/>
          <w:szCs w:val="22"/>
          <w:lang w:val="sr-Latn-CS"/>
        </w:rPr>
        <w:t xml:space="preserve">i ne pokazuju opadajući trend tokom vremena), mogu se razmotriti doze do 28 mg/kg. Trenutno je ograničena dostupnost podataka </w:t>
      </w:r>
      <w:r w:rsidR="00143DE7">
        <w:rPr>
          <w:sz w:val="22"/>
          <w:szCs w:val="22"/>
          <w:lang w:val="sr-Latn-CS"/>
        </w:rPr>
        <w:t xml:space="preserve">iz sprovedenih kliničkih ispitivanja </w:t>
      </w:r>
      <w:r w:rsidRPr="00D21251">
        <w:rPr>
          <w:sz w:val="22"/>
          <w:szCs w:val="22"/>
          <w:lang w:val="sr-Latn-CS"/>
        </w:rPr>
        <w:t>o efikasnosti i bezb</w:t>
      </w:r>
      <w:r w:rsidR="0071118F">
        <w:rPr>
          <w:sz w:val="22"/>
          <w:szCs w:val="22"/>
          <w:lang w:val="sr-Latn-CS"/>
        </w:rPr>
        <w:t>j</w:t>
      </w:r>
      <w:r w:rsidRPr="00D21251">
        <w:rPr>
          <w:sz w:val="22"/>
          <w:szCs w:val="22"/>
          <w:lang w:val="sr-Latn-CS"/>
        </w:rPr>
        <w:t>ednosti dugotrajne prim</w:t>
      </w:r>
      <w:r w:rsidR="00344FF6">
        <w:rPr>
          <w:sz w:val="22"/>
          <w:szCs w:val="22"/>
          <w:lang w:val="sr-Latn-CS"/>
        </w:rPr>
        <w:t>j</w:t>
      </w:r>
      <w:r w:rsidRPr="00D21251">
        <w:rPr>
          <w:sz w:val="22"/>
          <w:szCs w:val="22"/>
          <w:lang w:val="sr-Latn-CS"/>
        </w:rPr>
        <w:t xml:space="preserve">ene </w:t>
      </w:r>
      <w:r w:rsidR="00344FF6">
        <w:rPr>
          <w:sz w:val="22"/>
          <w:szCs w:val="22"/>
          <w:lang w:val="sr-Latn-CS"/>
        </w:rPr>
        <w:t>lijek</w:t>
      </w:r>
      <w:r w:rsidRPr="00D21251">
        <w:rPr>
          <w:sz w:val="22"/>
          <w:szCs w:val="22"/>
          <w:lang w:val="sr-Latn-CS"/>
        </w:rPr>
        <w:t>a Exjade disperzibilnih tableta u dozama iznad 30 mg/kg (264 pacijenata je praćeno pros</w:t>
      </w:r>
      <w:r w:rsidR="0071118F">
        <w:rPr>
          <w:sz w:val="22"/>
          <w:szCs w:val="22"/>
          <w:lang w:val="sr-Latn-CS"/>
        </w:rPr>
        <w:t>j</w:t>
      </w:r>
      <w:r w:rsidRPr="00D21251">
        <w:rPr>
          <w:sz w:val="22"/>
          <w:szCs w:val="22"/>
          <w:lang w:val="sr-Latn-CS"/>
        </w:rPr>
        <w:t>ečno 1 godinu nakon povećanja doze). Ako je postignuta veoma slaba kontrola hemosideroze dozama do 21 mg/kg i</w:t>
      </w:r>
      <w:r w:rsidR="00CB1A9D">
        <w:rPr>
          <w:sz w:val="22"/>
          <w:szCs w:val="22"/>
          <w:lang w:val="sr-Latn-CS"/>
        </w:rPr>
        <w:t xml:space="preserve"> ako se</w:t>
      </w:r>
      <w:r w:rsidRPr="00D21251">
        <w:rPr>
          <w:sz w:val="22"/>
          <w:szCs w:val="22"/>
          <w:lang w:val="sr-Latn-CS"/>
        </w:rPr>
        <w:t xml:space="preserve"> daljim povećanjem doze (do maksimalnih 28 mg/kg)</w:t>
      </w:r>
      <w:r w:rsidR="00CB1A9D">
        <w:rPr>
          <w:sz w:val="22"/>
          <w:szCs w:val="22"/>
          <w:lang w:val="sr-Latn-CS"/>
        </w:rPr>
        <w:t xml:space="preserve"> ne</w:t>
      </w:r>
      <w:r w:rsidRPr="00D21251">
        <w:rPr>
          <w:sz w:val="22"/>
          <w:szCs w:val="22"/>
          <w:lang w:val="sr-Latn-CS"/>
        </w:rPr>
        <w:t xml:space="preserve"> postigne zadovoljavajuća kontrola, trebalo bi razmotriti izm</w:t>
      </w:r>
      <w:r w:rsidR="0071118F">
        <w:rPr>
          <w:sz w:val="22"/>
          <w:szCs w:val="22"/>
          <w:lang w:val="sr-Latn-CS"/>
        </w:rPr>
        <w:t>j</w:t>
      </w:r>
      <w:r w:rsidRPr="00D21251">
        <w:rPr>
          <w:sz w:val="22"/>
          <w:szCs w:val="22"/>
          <w:lang w:val="sr-Latn-CS"/>
        </w:rPr>
        <w:t>enu terapije. Ako se ne postigne zadovoljavajuća kontrola dozama iznad 21 mg/kg, terapiju ne treba nastavljati tako visokim dozama i kada god je moguće, treba</w:t>
      </w:r>
      <w:r w:rsidR="00CB1A9D">
        <w:rPr>
          <w:sz w:val="22"/>
          <w:szCs w:val="22"/>
          <w:lang w:val="sr-Latn-CS"/>
        </w:rPr>
        <w:t xml:space="preserve"> </w:t>
      </w:r>
      <w:r w:rsidRPr="00D21251">
        <w:rPr>
          <w:sz w:val="22"/>
          <w:szCs w:val="22"/>
          <w:lang w:val="sr-Latn-CS"/>
        </w:rPr>
        <w:t xml:space="preserve">razmotriti </w:t>
      </w:r>
      <w:r w:rsidR="00CB1A9D">
        <w:rPr>
          <w:sz w:val="22"/>
          <w:szCs w:val="22"/>
          <w:lang w:val="sr-Latn-CS"/>
        </w:rPr>
        <w:t>druge mogućnosti liječenja</w:t>
      </w:r>
      <w:r w:rsidRPr="00D21251">
        <w:rPr>
          <w:sz w:val="22"/>
          <w:szCs w:val="22"/>
          <w:lang w:val="sr-Latn-CS"/>
        </w:rPr>
        <w:t>. Ne preporučuje se prim</w:t>
      </w:r>
      <w:r w:rsidR="00344FF6">
        <w:rPr>
          <w:sz w:val="22"/>
          <w:szCs w:val="22"/>
          <w:lang w:val="sr-Latn-CS"/>
        </w:rPr>
        <w:t>j</w:t>
      </w:r>
      <w:r w:rsidRPr="00D21251">
        <w:rPr>
          <w:sz w:val="22"/>
          <w:szCs w:val="22"/>
          <w:lang w:val="sr-Latn-CS"/>
        </w:rPr>
        <w:t>ena doza iznad 28 mg/kg, jer sa prim</w:t>
      </w:r>
      <w:r w:rsidR="00344FF6">
        <w:rPr>
          <w:sz w:val="22"/>
          <w:szCs w:val="22"/>
          <w:lang w:val="sr-Latn-CS"/>
        </w:rPr>
        <w:t>j</w:t>
      </w:r>
      <w:r w:rsidRPr="00D21251">
        <w:rPr>
          <w:sz w:val="22"/>
          <w:szCs w:val="22"/>
          <w:lang w:val="sr-Latn-CS"/>
        </w:rPr>
        <w:t>enom ovih doza postoje samo ograničena iskustva (</w:t>
      </w:r>
      <w:r w:rsidR="009E320F">
        <w:rPr>
          <w:sz w:val="22"/>
          <w:szCs w:val="22"/>
          <w:lang w:val="sr-Latn-CS"/>
        </w:rPr>
        <w:t xml:space="preserve">vidjeti </w:t>
      </w:r>
      <w:r w:rsidR="00CB1A9D">
        <w:rPr>
          <w:sz w:val="22"/>
          <w:szCs w:val="22"/>
          <w:lang w:val="sr-Latn-CS"/>
        </w:rPr>
        <w:t>dio</w:t>
      </w:r>
      <w:r w:rsidR="00CB1A9D" w:rsidRPr="00D21251">
        <w:rPr>
          <w:sz w:val="22"/>
          <w:szCs w:val="22"/>
          <w:lang w:val="sr-Latn-CS"/>
        </w:rPr>
        <w:t xml:space="preserve"> </w:t>
      </w:r>
      <w:r w:rsidRPr="00D21251">
        <w:rPr>
          <w:sz w:val="22"/>
          <w:szCs w:val="22"/>
          <w:lang w:val="sr-Latn-CS"/>
        </w:rPr>
        <w:t xml:space="preserve">5.1). </w:t>
      </w:r>
    </w:p>
    <w:p w14:paraId="3484D3A3" w14:textId="77777777" w:rsidR="0058338A" w:rsidRPr="00D21251" w:rsidRDefault="0058338A" w:rsidP="00531B03">
      <w:pPr>
        <w:jc w:val="both"/>
        <w:rPr>
          <w:sz w:val="22"/>
          <w:szCs w:val="22"/>
          <w:lang w:val="sr-Latn-CS"/>
        </w:rPr>
      </w:pPr>
    </w:p>
    <w:p w14:paraId="66B7EB94" w14:textId="583D335B" w:rsidR="0058338A" w:rsidRPr="00D21251" w:rsidRDefault="0058338A" w:rsidP="00531B03">
      <w:pPr>
        <w:jc w:val="both"/>
        <w:rPr>
          <w:sz w:val="22"/>
          <w:szCs w:val="22"/>
          <w:lang w:val="sr-Latn-CS"/>
        </w:rPr>
      </w:pPr>
      <w:r w:rsidRPr="00D21251">
        <w:rPr>
          <w:sz w:val="22"/>
          <w:szCs w:val="22"/>
          <w:lang w:val="sr-Latn-CS"/>
        </w:rPr>
        <w:t>Kod pacijenata koji su l</w:t>
      </w:r>
      <w:r w:rsidR="0071118F">
        <w:rPr>
          <w:sz w:val="22"/>
          <w:szCs w:val="22"/>
          <w:lang w:val="sr-Latn-CS"/>
        </w:rPr>
        <w:t>ij</w:t>
      </w:r>
      <w:r w:rsidRPr="00D21251">
        <w:rPr>
          <w:sz w:val="22"/>
          <w:szCs w:val="22"/>
          <w:lang w:val="sr-Latn-CS"/>
        </w:rPr>
        <w:t xml:space="preserve">ečeni dozama većim od 21 mg/kg, treba razmotriti smanjivanje doze kada je postignuta kontrola u koracima od 3,5 mg/kg do 7 mg/kg (npr. </w:t>
      </w:r>
      <w:r w:rsidR="0071118F">
        <w:rPr>
          <w:sz w:val="22"/>
          <w:szCs w:val="22"/>
          <w:lang w:val="sr-Latn-CS"/>
        </w:rPr>
        <w:t>vrijednost</w:t>
      </w:r>
      <w:r w:rsidRPr="00D21251">
        <w:rPr>
          <w:sz w:val="22"/>
          <w:szCs w:val="22"/>
          <w:lang w:val="sr-Latn-CS"/>
        </w:rPr>
        <w:t xml:space="preserve">i serumskog feritina su stalno </w:t>
      </w:r>
      <w:r w:rsidR="00DC24F5" w:rsidRPr="00DC24F5">
        <w:rPr>
          <w:sz w:val="22"/>
          <w:szCs w:val="22"/>
          <w:lang w:val="sr-Latn-CS"/>
        </w:rPr>
        <w:t>≤</w:t>
      </w:r>
      <w:r w:rsidRPr="00D21251">
        <w:rPr>
          <w:sz w:val="22"/>
          <w:szCs w:val="22"/>
          <w:lang w:val="sr-Latn-CS"/>
        </w:rPr>
        <w:t xml:space="preserve"> 2500 mikrograma/</w:t>
      </w:r>
      <w:r w:rsidR="00143DE7">
        <w:rPr>
          <w:sz w:val="22"/>
          <w:szCs w:val="22"/>
          <w:lang w:val="sr-Latn-CS"/>
        </w:rPr>
        <w:t>l</w:t>
      </w:r>
      <w:r w:rsidR="00143DE7" w:rsidRPr="00D21251">
        <w:rPr>
          <w:sz w:val="22"/>
          <w:szCs w:val="22"/>
          <w:lang w:val="sr-Latn-CS"/>
        </w:rPr>
        <w:t xml:space="preserve"> </w:t>
      </w:r>
      <w:r w:rsidRPr="00D21251">
        <w:rPr>
          <w:sz w:val="22"/>
          <w:szCs w:val="22"/>
          <w:lang w:val="sr-Latn-CS"/>
        </w:rPr>
        <w:t>i pokazuju</w:t>
      </w:r>
      <w:r w:rsidRPr="00D21251">
        <w:rPr>
          <w:sz w:val="22"/>
          <w:szCs w:val="22"/>
          <w:lang w:val="sr-Latn-RS"/>
        </w:rPr>
        <w:t xml:space="preserve"> </w:t>
      </w:r>
      <w:r w:rsidRPr="00D21251">
        <w:rPr>
          <w:sz w:val="22"/>
          <w:szCs w:val="22"/>
          <w:lang w:val="sr-Latn-CS"/>
        </w:rPr>
        <w:t xml:space="preserve">opadajući trend tokom vremena). Kod pacijenata kod kojih je postignuta ciljna </w:t>
      </w:r>
      <w:r w:rsidR="0071118F">
        <w:rPr>
          <w:sz w:val="22"/>
          <w:szCs w:val="22"/>
          <w:lang w:val="sr-Latn-CS"/>
        </w:rPr>
        <w:t>vrijednost</w:t>
      </w:r>
      <w:r w:rsidRPr="00D21251">
        <w:rPr>
          <w:sz w:val="22"/>
          <w:szCs w:val="22"/>
          <w:lang w:val="sr-Latn-CS"/>
        </w:rPr>
        <w:t xml:space="preserve"> serumskog feritina (obično između 500 i 1000 mikrograma/</w:t>
      </w:r>
      <w:r w:rsidR="00143DE7">
        <w:rPr>
          <w:sz w:val="22"/>
          <w:szCs w:val="22"/>
          <w:lang w:val="sr-Latn-CS"/>
        </w:rPr>
        <w:t>l</w:t>
      </w:r>
      <w:r w:rsidRPr="00D21251">
        <w:rPr>
          <w:sz w:val="22"/>
          <w:szCs w:val="22"/>
          <w:lang w:val="sr-Latn-CS"/>
        </w:rPr>
        <w:t xml:space="preserve">), treba </w:t>
      </w:r>
      <w:r w:rsidRPr="00D21251">
        <w:rPr>
          <w:sz w:val="22"/>
          <w:szCs w:val="22"/>
          <w:lang w:val="sr-Latn-CS"/>
        </w:rPr>
        <w:lastRenderedPageBreak/>
        <w:t>razmotriti smanjivanje doze u koracima od 3,5 mg/kg do 7 mg/kg</w:t>
      </w:r>
      <w:r w:rsidR="00143DE7">
        <w:rPr>
          <w:sz w:val="22"/>
          <w:szCs w:val="22"/>
          <w:lang w:val="sr-Latn-CS"/>
        </w:rPr>
        <w:t>,</w:t>
      </w:r>
      <w:r w:rsidRPr="00D21251">
        <w:rPr>
          <w:sz w:val="22"/>
          <w:szCs w:val="22"/>
          <w:lang w:val="sr-Latn-CS"/>
        </w:rPr>
        <w:t xml:space="preserve"> da bi se održao ciljni opseg </w:t>
      </w:r>
      <w:r w:rsidR="0071118F">
        <w:rPr>
          <w:sz w:val="22"/>
          <w:szCs w:val="22"/>
          <w:lang w:val="sr-Latn-CS"/>
        </w:rPr>
        <w:t>vrijednost</w:t>
      </w:r>
      <w:r w:rsidRPr="00D21251">
        <w:rPr>
          <w:sz w:val="22"/>
          <w:szCs w:val="22"/>
          <w:lang w:val="sr-Latn-CS"/>
        </w:rPr>
        <w:t>i serumskog feritina i da bi se smanjio rizik od prekom</w:t>
      </w:r>
      <w:r w:rsidR="0071118F">
        <w:rPr>
          <w:sz w:val="22"/>
          <w:szCs w:val="22"/>
          <w:lang w:val="sr-Latn-CS"/>
        </w:rPr>
        <w:t>j</w:t>
      </w:r>
      <w:r w:rsidRPr="00D21251">
        <w:rPr>
          <w:sz w:val="22"/>
          <w:szCs w:val="22"/>
          <w:lang w:val="sr-Latn-CS"/>
        </w:rPr>
        <w:t xml:space="preserve">erne helacije. Ukoliko </w:t>
      </w:r>
      <w:r w:rsidR="0071118F">
        <w:rPr>
          <w:sz w:val="22"/>
          <w:szCs w:val="22"/>
          <w:lang w:val="sr-Latn-CS"/>
        </w:rPr>
        <w:t xml:space="preserve">vrijednost </w:t>
      </w:r>
      <w:r w:rsidRPr="00D21251">
        <w:rPr>
          <w:sz w:val="22"/>
          <w:szCs w:val="22"/>
          <w:lang w:val="sr-Latn-CS"/>
        </w:rPr>
        <w:t>serumskog feritina konstantno pada ispod 500 mikrograma/</w:t>
      </w:r>
      <w:r w:rsidR="00143DE7">
        <w:rPr>
          <w:sz w:val="22"/>
          <w:szCs w:val="22"/>
          <w:lang w:val="sr-Latn-CS"/>
        </w:rPr>
        <w:t>l</w:t>
      </w:r>
      <w:r w:rsidRPr="00D21251">
        <w:rPr>
          <w:sz w:val="22"/>
          <w:szCs w:val="22"/>
          <w:lang w:val="sr-Latn-CS"/>
        </w:rPr>
        <w:t>, treba razmotriti mogućnost obustavljanja terapije (</w:t>
      </w:r>
      <w:r w:rsidR="009E320F">
        <w:rPr>
          <w:sz w:val="22"/>
          <w:szCs w:val="22"/>
          <w:lang w:val="sr-Latn-CS"/>
        </w:rPr>
        <w:t xml:space="preserve">vidjeti </w:t>
      </w:r>
      <w:r w:rsidR="00100A45">
        <w:rPr>
          <w:sz w:val="22"/>
          <w:szCs w:val="22"/>
          <w:lang w:val="sr-Latn-CS"/>
        </w:rPr>
        <w:t>dio</w:t>
      </w:r>
      <w:r w:rsidR="00100A45" w:rsidRPr="00D21251">
        <w:rPr>
          <w:sz w:val="22"/>
          <w:szCs w:val="22"/>
          <w:lang w:val="sr-Latn-CS"/>
        </w:rPr>
        <w:t xml:space="preserve"> </w:t>
      </w:r>
      <w:r w:rsidRPr="00D21251">
        <w:rPr>
          <w:sz w:val="22"/>
          <w:szCs w:val="22"/>
          <w:lang w:val="sr-Latn-CS"/>
        </w:rPr>
        <w:t>4.4).</w:t>
      </w:r>
    </w:p>
    <w:p w14:paraId="38D58507" w14:textId="77777777" w:rsidR="0058338A" w:rsidRPr="00D21251" w:rsidRDefault="0058338A" w:rsidP="00531B03">
      <w:pPr>
        <w:jc w:val="both"/>
        <w:rPr>
          <w:b/>
          <w:sz w:val="22"/>
          <w:szCs w:val="22"/>
          <w:lang w:val="sr-Latn-CS"/>
        </w:rPr>
      </w:pPr>
    </w:p>
    <w:p w14:paraId="725D2579" w14:textId="77777777" w:rsidR="0058338A" w:rsidRPr="00D21251" w:rsidRDefault="0058338A" w:rsidP="00531B03">
      <w:pPr>
        <w:jc w:val="both"/>
        <w:rPr>
          <w:i/>
          <w:sz w:val="22"/>
          <w:szCs w:val="22"/>
          <w:u w:val="single"/>
          <w:lang w:val="sr-Latn-CS"/>
        </w:rPr>
      </w:pPr>
      <w:r w:rsidRPr="00D21251">
        <w:rPr>
          <w:i/>
          <w:sz w:val="22"/>
          <w:szCs w:val="22"/>
          <w:u w:val="single"/>
          <w:lang w:val="sr-Latn-CS"/>
        </w:rPr>
        <w:t>Talasemijski sindromi koji ne zavise od transfuzije krvi</w:t>
      </w:r>
    </w:p>
    <w:p w14:paraId="7A737B2E" w14:textId="77777777" w:rsidR="0058338A" w:rsidRPr="00D21251" w:rsidRDefault="0058338A" w:rsidP="00531B03">
      <w:pPr>
        <w:jc w:val="both"/>
        <w:rPr>
          <w:sz w:val="22"/>
          <w:szCs w:val="22"/>
          <w:highlight w:val="green"/>
          <w:lang w:val="sr-Latn-CS"/>
        </w:rPr>
      </w:pPr>
    </w:p>
    <w:p w14:paraId="3B498707" w14:textId="77777777" w:rsidR="0058338A" w:rsidRPr="00D21251" w:rsidRDefault="0058338A" w:rsidP="00531B03">
      <w:pPr>
        <w:jc w:val="both"/>
        <w:rPr>
          <w:sz w:val="22"/>
          <w:szCs w:val="22"/>
          <w:lang w:val="sr-Latn-CS"/>
        </w:rPr>
      </w:pPr>
      <w:r w:rsidRPr="00D21251">
        <w:rPr>
          <w:sz w:val="22"/>
          <w:szCs w:val="22"/>
          <w:lang w:val="sr-Latn-CS"/>
        </w:rPr>
        <w:t>Helacionu terapiju treba započeti samo kada postoji dokaz preopterećenja gvožđem (koncentracija gvožđa u jetri [LIC</w:t>
      </w:r>
      <w:r w:rsidR="005F6A60">
        <w:rPr>
          <w:sz w:val="22"/>
          <w:szCs w:val="22"/>
          <w:lang w:val="sr-Latn-CS"/>
        </w:rPr>
        <w:t xml:space="preserve">, engl. </w:t>
      </w:r>
      <w:r w:rsidR="005F6A60" w:rsidRPr="006B5E2B">
        <w:rPr>
          <w:i/>
          <w:sz w:val="22"/>
          <w:szCs w:val="22"/>
          <w:lang w:val="sr-Latn-CS"/>
        </w:rPr>
        <w:t>liver iron concentration</w:t>
      </w:r>
      <w:r w:rsidRPr="00D21251">
        <w:rPr>
          <w:sz w:val="22"/>
          <w:szCs w:val="22"/>
          <w:lang w:val="sr-Latn-CS"/>
        </w:rPr>
        <w:t xml:space="preserve">] ≥5 mg Fe/g suvog tkiva jetre ili je </w:t>
      </w:r>
      <w:r w:rsidR="0071118F">
        <w:rPr>
          <w:sz w:val="22"/>
          <w:szCs w:val="22"/>
          <w:lang w:val="sr-Latn-CS"/>
        </w:rPr>
        <w:t>vrijednost</w:t>
      </w:r>
      <w:r w:rsidRPr="00D21251">
        <w:rPr>
          <w:sz w:val="22"/>
          <w:szCs w:val="22"/>
          <w:lang w:val="sr-Latn-CS"/>
        </w:rPr>
        <w:t xml:space="preserve"> serumskog feritina konstantno preko 800 mikrograma/</w:t>
      </w:r>
      <w:r w:rsidR="005F6A60">
        <w:rPr>
          <w:sz w:val="22"/>
          <w:szCs w:val="22"/>
          <w:lang w:val="sr-Latn-CS"/>
        </w:rPr>
        <w:t>l</w:t>
      </w:r>
      <w:r w:rsidRPr="00D21251">
        <w:rPr>
          <w:sz w:val="22"/>
          <w:szCs w:val="22"/>
          <w:lang w:val="sr-Latn-CS"/>
        </w:rPr>
        <w:t>). LIC je metoda koja se preferira kod određivanja preopterećenja gvožđem i treba je prim</w:t>
      </w:r>
      <w:r w:rsidR="00344FF6">
        <w:rPr>
          <w:sz w:val="22"/>
          <w:szCs w:val="22"/>
          <w:lang w:val="sr-Latn-CS"/>
        </w:rPr>
        <w:t>ij</w:t>
      </w:r>
      <w:r w:rsidRPr="00D21251">
        <w:rPr>
          <w:sz w:val="22"/>
          <w:szCs w:val="22"/>
          <w:lang w:val="sr-Latn-CS"/>
        </w:rPr>
        <w:t>eniti kad god je to moguće. Potreban je oprez tokom helacione terapije kako bi se smanjio rizik od prekom</w:t>
      </w:r>
      <w:r w:rsidR="0071118F">
        <w:rPr>
          <w:sz w:val="22"/>
          <w:szCs w:val="22"/>
          <w:lang w:val="sr-Latn-CS"/>
        </w:rPr>
        <w:t>j</w:t>
      </w:r>
      <w:r w:rsidRPr="00D21251">
        <w:rPr>
          <w:sz w:val="22"/>
          <w:szCs w:val="22"/>
          <w:lang w:val="sr-Latn-CS"/>
        </w:rPr>
        <w:t>erne helacije kod svih pacijenata (</w:t>
      </w:r>
      <w:r w:rsidR="009E320F">
        <w:rPr>
          <w:sz w:val="22"/>
          <w:szCs w:val="22"/>
          <w:lang w:val="sr-Latn-CS"/>
        </w:rPr>
        <w:t xml:space="preserve">vidjeti </w:t>
      </w:r>
      <w:r w:rsidR="00100A45">
        <w:rPr>
          <w:sz w:val="22"/>
          <w:szCs w:val="22"/>
          <w:lang w:val="sr-Latn-CS"/>
        </w:rPr>
        <w:t>dio</w:t>
      </w:r>
      <w:r w:rsidR="00100A45" w:rsidRPr="00D21251">
        <w:rPr>
          <w:sz w:val="22"/>
          <w:szCs w:val="22"/>
          <w:lang w:val="sr-Latn-CS"/>
        </w:rPr>
        <w:t xml:space="preserve"> </w:t>
      </w:r>
      <w:r w:rsidRPr="00D21251">
        <w:rPr>
          <w:sz w:val="22"/>
          <w:szCs w:val="22"/>
          <w:lang w:val="sr-Latn-CS"/>
        </w:rPr>
        <w:t>4.4).</w:t>
      </w:r>
    </w:p>
    <w:p w14:paraId="0ECDE001" w14:textId="77777777" w:rsidR="0058338A" w:rsidRPr="00D21251" w:rsidRDefault="0058338A" w:rsidP="00531B03">
      <w:pPr>
        <w:jc w:val="both"/>
        <w:rPr>
          <w:sz w:val="22"/>
          <w:szCs w:val="22"/>
          <w:lang w:val="sr-Latn-CS"/>
        </w:rPr>
      </w:pPr>
    </w:p>
    <w:p w14:paraId="1E11A01A" w14:textId="0E1A1568" w:rsidR="0058338A" w:rsidRPr="00D21251" w:rsidRDefault="00941179" w:rsidP="00531B03">
      <w:pPr>
        <w:jc w:val="both"/>
        <w:rPr>
          <w:sz w:val="22"/>
          <w:szCs w:val="22"/>
        </w:rPr>
      </w:pPr>
      <w:r w:rsidRPr="00941179">
        <w:rPr>
          <w:sz w:val="22"/>
          <w:szCs w:val="22"/>
          <w:lang w:val="sr-Latn-CS"/>
        </w:rPr>
        <w:t>L</w:t>
      </w:r>
      <w:r>
        <w:rPr>
          <w:sz w:val="22"/>
          <w:szCs w:val="22"/>
          <w:lang w:val="sr-Latn-CS"/>
        </w:rPr>
        <w:t>j</w:t>
      </w:r>
      <w:r w:rsidRPr="00941179">
        <w:rPr>
          <w:sz w:val="22"/>
          <w:szCs w:val="22"/>
          <w:lang w:val="sr-Latn-CS"/>
        </w:rPr>
        <w:t xml:space="preserve">ekovi koji sadrže deferasiroks na tržištu se nalaze kao film tablete i disperzibilne tablete. Zbog različitog farmakokinetičkog profila potrebna je za 30% manja doza film tableta u poređenju sa preporučenom dozom disperzibilnih tableta (videti </w:t>
      </w:r>
      <w:r>
        <w:rPr>
          <w:sz w:val="22"/>
          <w:szCs w:val="22"/>
          <w:lang w:val="sr-Latn-CS"/>
        </w:rPr>
        <w:t>dio</w:t>
      </w:r>
      <w:r w:rsidRPr="00941179">
        <w:rPr>
          <w:sz w:val="22"/>
          <w:szCs w:val="22"/>
          <w:lang w:val="sr-Latn-CS"/>
        </w:rPr>
        <w:t xml:space="preserve"> 5.1).</w:t>
      </w:r>
    </w:p>
    <w:p w14:paraId="2537C270" w14:textId="77777777" w:rsidR="0058338A" w:rsidRPr="00D21251" w:rsidRDefault="0058338A" w:rsidP="00531B03">
      <w:pPr>
        <w:jc w:val="both"/>
        <w:rPr>
          <w:sz w:val="22"/>
          <w:szCs w:val="22"/>
          <w:lang w:val="sr-Latn-CS"/>
        </w:rPr>
      </w:pPr>
      <w:r w:rsidRPr="00D21251">
        <w:rPr>
          <w:sz w:val="22"/>
          <w:szCs w:val="22"/>
          <w:u w:val="single"/>
          <w:lang w:val="sr-Latn-CS"/>
        </w:rPr>
        <w:t>Tabela 2</w:t>
      </w:r>
      <w:r w:rsidRPr="0071118F">
        <w:rPr>
          <w:sz w:val="22"/>
          <w:szCs w:val="22"/>
          <w:lang w:val="sr-Latn-CS"/>
        </w:rPr>
        <w:tab/>
      </w:r>
      <w:r w:rsidRPr="00D21251">
        <w:rPr>
          <w:sz w:val="22"/>
          <w:szCs w:val="22"/>
          <w:lang w:val="sr-Latn-CS"/>
        </w:rPr>
        <w:t>Preporučene doze za talasemijske sindrome koji ne zavise od transfuzije krvi</w:t>
      </w:r>
    </w:p>
    <w:p w14:paraId="672B16FB" w14:textId="77777777" w:rsidR="0058338A" w:rsidRPr="00D21251" w:rsidRDefault="0058338A" w:rsidP="0058338A">
      <w:pPr>
        <w:rPr>
          <w:sz w:val="22"/>
          <w:szCs w:val="22"/>
        </w:rPr>
      </w:pPr>
    </w:p>
    <w:tbl>
      <w:tblPr>
        <w:tblStyle w:val="TableGrid"/>
        <w:tblW w:w="0" w:type="auto"/>
        <w:tblLook w:val="04A0" w:firstRow="1" w:lastRow="0" w:firstColumn="1" w:lastColumn="0" w:noHBand="0" w:noVBand="1"/>
      </w:tblPr>
      <w:tblGrid>
        <w:gridCol w:w="1716"/>
        <w:gridCol w:w="1692"/>
        <w:gridCol w:w="1746"/>
        <w:gridCol w:w="1934"/>
        <w:gridCol w:w="411"/>
        <w:gridCol w:w="1586"/>
      </w:tblGrid>
      <w:tr w:rsidR="0058338A" w:rsidRPr="00474536" w14:paraId="316CDC52" w14:textId="77777777" w:rsidTr="00D21251">
        <w:tc>
          <w:tcPr>
            <w:tcW w:w="1758" w:type="dxa"/>
            <w:tcBorders>
              <w:left w:val="nil"/>
              <w:bottom w:val="single" w:sz="4" w:space="0" w:color="auto"/>
              <w:right w:val="nil"/>
            </w:tcBorders>
          </w:tcPr>
          <w:p w14:paraId="7B1D8248" w14:textId="77777777" w:rsidR="0058338A" w:rsidRPr="00531B03" w:rsidRDefault="0058338A" w:rsidP="00D21251">
            <w:pPr>
              <w:rPr>
                <w:sz w:val="20"/>
                <w:szCs w:val="20"/>
              </w:rPr>
            </w:pPr>
          </w:p>
        </w:tc>
        <w:tc>
          <w:tcPr>
            <w:tcW w:w="1661" w:type="dxa"/>
            <w:tcBorders>
              <w:left w:val="nil"/>
              <w:bottom w:val="single" w:sz="4" w:space="0" w:color="auto"/>
              <w:right w:val="nil"/>
            </w:tcBorders>
          </w:tcPr>
          <w:p w14:paraId="361C01F6" w14:textId="77777777" w:rsidR="0058338A" w:rsidRPr="00531B03" w:rsidRDefault="0058338A" w:rsidP="00D21251">
            <w:pPr>
              <w:keepNext/>
              <w:widowControl w:val="0"/>
              <w:rPr>
                <w:b/>
                <w:color w:val="000000"/>
                <w:sz w:val="20"/>
                <w:szCs w:val="20"/>
              </w:rPr>
            </w:pPr>
            <w:r w:rsidRPr="00531B03">
              <w:rPr>
                <w:b/>
                <w:sz w:val="20"/>
                <w:szCs w:val="20"/>
              </w:rPr>
              <w:t>Film tablete</w:t>
            </w:r>
          </w:p>
        </w:tc>
        <w:tc>
          <w:tcPr>
            <w:tcW w:w="2064" w:type="dxa"/>
            <w:tcBorders>
              <w:left w:val="nil"/>
              <w:bottom w:val="single" w:sz="4" w:space="0" w:color="auto"/>
              <w:right w:val="nil"/>
            </w:tcBorders>
          </w:tcPr>
          <w:p w14:paraId="6B84134E" w14:textId="19B3FC3F" w:rsidR="0058338A" w:rsidRPr="00531B03" w:rsidRDefault="0058338A" w:rsidP="00D21251">
            <w:pPr>
              <w:keepNext/>
              <w:widowControl w:val="0"/>
              <w:rPr>
                <w:b/>
                <w:color w:val="000000"/>
                <w:sz w:val="20"/>
                <w:szCs w:val="20"/>
                <w:lang w:val="sr-Latn-CS"/>
              </w:rPr>
            </w:pPr>
          </w:p>
        </w:tc>
        <w:tc>
          <w:tcPr>
            <w:tcW w:w="2037" w:type="dxa"/>
            <w:tcBorders>
              <w:left w:val="nil"/>
              <w:bottom w:val="single" w:sz="4" w:space="0" w:color="auto"/>
              <w:right w:val="nil"/>
            </w:tcBorders>
          </w:tcPr>
          <w:p w14:paraId="44E5887A" w14:textId="77777777" w:rsidR="0058338A" w:rsidRPr="00531B03" w:rsidRDefault="0058338A" w:rsidP="00D21251">
            <w:pPr>
              <w:keepNext/>
              <w:widowControl w:val="0"/>
              <w:rPr>
                <w:b/>
                <w:color w:val="000000"/>
                <w:sz w:val="20"/>
                <w:szCs w:val="20"/>
                <w:lang w:val="sr-Latn-CS"/>
              </w:rPr>
            </w:pPr>
            <w:r w:rsidRPr="00531B03">
              <w:rPr>
                <w:b/>
                <w:color w:val="000000"/>
                <w:sz w:val="20"/>
                <w:szCs w:val="20"/>
              </w:rPr>
              <w:t>Koncentracija gvožđa u jetri (LIC)*</w:t>
            </w:r>
          </w:p>
        </w:tc>
        <w:tc>
          <w:tcPr>
            <w:tcW w:w="417" w:type="dxa"/>
            <w:tcBorders>
              <w:left w:val="nil"/>
              <w:bottom w:val="single" w:sz="4" w:space="0" w:color="auto"/>
              <w:right w:val="nil"/>
            </w:tcBorders>
          </w:tcPr>
          <w:p w14:paraId="34B194F3" w14:textId="77777777" w:rsidR="0058338A" w:rsidRPr="00531B03" w:rsidRDefault="0058338A" w:rsidP="00D21251">
            <w:pPr>
              <w:rPr>
                <w:b/>
                <w:color w:val="000000"/>
                <w:sz w:val="20"/>
                <w:szCs w:val="20"/>
              </w:rPr>
            </w:pPr>
          </w:p>
        </w:tc>
        <w:tc>
          <w:tcPr>
            <w:tcW w:w="1702" w:type="dxa"/>
            <w:tcBorders>
              <w:left w:val="nil"/>
              <w:bottom w:val="single" w:sz="4" w:space="0" w:color="auto"/>
              <w:right w:val="nil"/>
            </w:tcBorders>
          </w:tcPr>
          <w:p w14:paraId="1BAC05F2" w14:textId="77777777" w:rsidR="0058338A" w:rsidRPr="00531B03" w:rsidRDefault="0058338A" w:rsidP="00D21251">
            <w:pPr>
              <w:rPr>
                <w:sz w:val="20"/>
                <w:szCs w:val="20"/>
              </w:rPr>
            </w:pPr>
            <w:r w:rsidRPr="00531B03">
              <w:rPr>
                <w:b/>
                <w:color w:val="000000"/>
                <w:sz w:val="20"/>
                <w:szCs w:val="20"/>
              </w:rPr>
              <w:t>Serumski</w:t>
            </w:r>
            <w:r w:rsidRPr="00531B03">
              <w:rPr>
                <w:b/>
                <w:color w:val="000000"/>
                <w:sz w:val="20"/>
                <w:szCs w:val="20"/>
                <w:lang w:val="sr-Latn-CS"/>
              </w:rPr>
              <w:t xml:space="preserve"> </w:t>
            </w:r>
            <w:r w:rsidRPr="00531B03">
              <w:rPr>
                <w:b/>
                <w:color w:val="000000"/>
                <w:sz w:val="20"/>
                <w:szCs w:val="20"/>
              </w:rPr>
              <w:t>feritin</w:t>
            </w:r>
          </w:p>
        </w:tc>
      </w:tr>
      <w:tr w:rsidR="0058338A" w:rsidRPr="00474536" w14:paraId="7115A046" w14:textId="77777777" w:rsidTr="00D21251">
        <w:tc>
          <w:tcPr>
            <w:tcW w:w="1758" w:type="dxa"/>
            <w:tcBorders>
              <w:left w:val="nil"/>
              <w:bottom w:val="single" w:sz="4" w:space="0" w:color="auto"/>
              <w:right w:val="nil"/>
            </w:tcBorders>
          </w:tcPr>
          <w:p w14:paraId="384D139A" w14:textId="77777777" w:rsidR="0058338A" w:rsidRPr="00531B03" w:rsidRDefault="0058338A" w:rsidP="00D21251">
            <w:pPr>
              <w:rPr>
                <w:b/>
                <w:sz w:val="20"/>
                <w:szCs w:val="20"/>
              </w:rPr>
            </w:pPr>
            <w:r w:rsidRPr="00531B03">
              <w:rPr>
                <w:b/>
                <w:sz w:val="20"/>
                <w:szCs w:val="20"/>
              </w:rPr>
              <w:t>Početna doza</w:t>
            </w:r>
          </w:p>
        </w:tc>
        <w:tc>
          <w:tcPr>
            <w:tcW w:w="1661" w:type="dxa"/>
            <w:tcBorders>
              <w:left w:val="nil"/>
              <w:bottom w:val="single" w:sz="4" w:space="0" w:color="auto"/>
              <w:right w:val="nil"/>
            </w:tcBorders>
          </w:tcPr>
          <w:p w14:paraId="7FF5BE4D" w14:textId="77777777" w:rsidR="0058338A" w:rsidRPr="00531B03" w:rsidRDefault="0058338A" w:rsidP="00D21251">
            <w:pPr>
              <w:rPr>
                <w:b/>
                <w:sz w:val="20"/>
                <w:szCs w:val="20"/>
              </w:rPr>
            </w:pPr>
            <w:r w:rsidRPr="00531B03">
              <w:rPr>
                <w:b/>
                <w:sz w:val="20"/>
                <w:szCs w:val="20"/>
              </w:rPr>
              <w:t>7 mg/kg/dan</w:t>
            </w:r>
          </w:p>
        </w:tc>
        <w:tc>
          <w:tcPr>
            <w:tcW w:w="2064" w:type="dxa"/>
            <w:tcBorders>
              <w:left w:val="nil"/>
              <w:bottom w:val="single" w:sz="4" w:space="0" w:color="auto"/>
              <w:right w:val="nil"/>
            </w:tcBorders>
          </w:tcPr>
          <w:p w14:paraId="11929B7E" w14:textId="28E0AF9D" w:rsidR="0058338A" w:rsidRPr="00531B03" w:rsidRDefault="0058338A" w:rsidP="00D21251">
            <w:pPr>
              <w:rPr>
                <w:b/>
                <w:sz w:val="20"/>
                <w:szCs w:val="20"/>
              </w:rPr>
            </w:pPr>
          </w:p>
        </w:tc>
        <w:tc>
          <w:tcPr>
            <w:tcW w:w="2037" w:type="dxa"/>
            <w:tcBorders>
              <w:left w:val="nil"/>
              <w:bottom w:val="single" w:sz="4" w:space="0" w:color="auto"/>
              <w:right w:val="nil"/>
            </w:tcBorders>
          </w:tcPr>
          <w:p w14:paraId="4063ECA4" w14:textId="77777777" w:rsidR="0058338A" w:rsidRPr="00531B03" w:rsidRDefault="0058338A" w:rsidP="00D21251">
            <w:pPr>
              <w:keepNext/>
              <w:widowControl w:val="0"/>
              <w:rPr>
                <w:color w:val="000000"/>
                <w:sz w:val="20"/>
                <w:szCs w:val="20"/>
              </w:rPr>
            </w:pPr>
            <w:r w:rsidRPr="00531B03">
              <w:rPr>
                <w:color w:val="000000"/>
                <w:sz w:val="20"/>
                <w:szCs w:val="20"/>
              </w:rPr>
              <w:t>≥5 mg Fe/g suvog tkiva jetre</w:t>
            </w:r>
          </w:p>
        </w:tc>
        <w:tc>
          <w:tcPr>
            <w:tcW w:w="417" w:type="dxa"/>
            <w:tcBorders>
              <w:left w:val="nil"/>
              <w:bottom w:val="single" w:sz="4" w:space="0" w:color="auto"/>
              <w:right w:val="nil"/>
            </w:tcBorders>
          </w:tcPr>
          <w:p w14:paraId="547A2E70" w14:textId="77777777" w:rsidR="0058338A" w:rsidRPr="00531B03" w:rsidRDefault="0058338A" w:rsidP="00D21251">
            <w:pPr>
              <w:rPr>
                <w:sz w:val="20"/>
                <w:szCs w:val="20"/>
              </w:rPr>
            </w:pPr>
            <w:r w:rsidRPr="00531B03">
              <w:rPr>
                <w:sz w:val="20"/>
                <w:szCs w:val="20"/>
              </w:rPr>
              <w:t>ili</w:t>
            </w:r>
          </w:p>
        </w:tc>
        <w:tc>
          <w:tcPr>
            <w:tcW w:w="1702" w:type="dxa"/>
            <w:tcBorders>
              <w:left w:val="nil"/>
              <w:bottom w:val="single" w:sz="4" w:space="0" w:color="auto"/>
              <w:right w:val="nil"/>
            </w:tcBorders>
          </w:tcPr>
          <w:p w14:paraId="6E5456E0" w14:textId="77777777" w:rsidR="0058338A" w:rsidRPr="00531B03" w:rsidRDefault="0058338A" w:rsidP="00D21251">
            <w:pPr>
              <w:rPr>
                <w:sz w:val="20"/>
                <w:szCs w:val="20"/>
              </w:rPr>
            </w:pPr>
            <w:r w:rsidRPr="00531B03">
              <w:rPr>
                <w:sz w:val="20"/>
                <w:szCs w:val="20"/>
              </w:rPr>
              <w:t xml:space="preserve">&gt;800 </w:t>
            </w:r>
          </w:p>
          <w:p w14:paraId="3495C790" w14:textId="77777777" w:rsidR="0058338A" w:rsidRPr="00531B03" w:rsidRDefault="00017625" w:rsidP="005F6A60">
            <w:pPr>
              <w:rPr>
                <w:sz w:val="20"/>
                <w:szCs w:val="20"/>
              </w:rPr>
            </w:pPr>
            <w:r w:rsidRPr="00531B03">
              <w:rPr>
                <w:sz w:val="20"/>
                <w:szCs w:val="20"/>
                <w:lang w:val="sr-Latn-CS"/>
              </w:rPr>
              <w:t>µg</w:t>
            </w:r>
            <w:r w:rsidR="0058338A" w:rsidRPr="00531B03">
              <w:rPr>
                <w:sz w:val="20"/>
                <w:szCs w:val="20"/>
              </w:rPr>
              <w:t>/</w:t>
            </w:r>
            <w:r w:rsidR="005F6A60" w:rsidRPr="00531B03">
              <w:rPr>
                <w:sz w:val="20"/>
                <w:szCs w:val="20"/>
              </w:rPr>
              <w:t>l</w:t>
            </w:r>
          </w:p>
        </w:tc>
      </w:tr>
      <w:tr w:rsidR="0058338A" w:rsidRPr="00474536" w14:paraId="5FD3A9F2" w14:textId="77777777" w:rsidTr="00D21251">
        <w:tc>
          <w:tcPr>
            <w:tcW w:w="1758" w:type="dxa"/>
            <w:tcBorders>
              <w:left w:val="nil"/>
              <w:bottom w:val="single" w:sz="4" w:space="0" w:color="auto"/>
              <w:right w:val="nil"/>
            </w:tcBorders>
          </w:tcPr>
          <w:p w14:paraId="65B289C6" w14:textId="77777777" w:rsidR="0058338A" w:rsidRPr="00531B03" w:rsidRDefault="0058338A" w:rsidP="00D21251">
            <w:pPr>
              <w:keepNext/>
              <w:widowControl w:val="0"/>
              <w:rPr>
                <w:b/>
                <w:color w:val="000000"/>
                <w:sz w:val="20"/>
                <w:szCs w:val="20"/>
              </w:rPr>
            </w:pPr>
            <w:r w:rsidRPr="00531B03">
              <w:rPr>
                <w:b/>
                <w:color w:val="000000"/>
                <w:sz w:val="20"/>
                <w:szCs w:val="20"/>
              </w:rPr>
              <w:t xml:space="preserve">Praćenje </w:t>
            </w:r>
          </w:p>
        </w:tc>
        <w:tc>
          <w:tcPr>
            <w:tcW w:w="1661" w:type="dxa"/>
            <w:tcBorders>
              <w:left w:val="nil"/>
              <w:bottom w:val="single" w:sz="4" w:space="0" w:color="auto"/>
              <w:right w:val="nil"/>
            </w:tcBorders>
          </w:tcPr>
          <w:p w14:paraId="0D5C63F3" w14:textId="77777777" w:rsidR="0058338A" w:rsidRPr="00531B03" w:rsidRDefault="0058338A" w:rsidP="00D21251">
            <w:pPr>
              <w:rPr>
                <w:sz w:val="20"/>
                <w:szCs w:val="20"/>
              </w:rPr>
            </w:pPr>
          </w:p>
        </w:tc>
        <w:tc>
          <w:tcPr>
            <w:tcW w:w="2064" w:type="dxa"/>
            <w:tcBorders>
              <w:left w:val="nil"/>
              <w:bottom w:val="single" w:sz="4" w:space="0" w:color="auto"/>
              <w:right w:val="nil"/>
            </w:tcBorders>
          </w:tcPr>
          <w:p w14:paraId="2C730DC9" w14:textId="77777777" w:rsidR="0058338A" w:rsidRPr="00531B03" w:rsidRDefault="0058338A" w:rsidP="00D21251">
            <w:pPr>
              <w:rPr>
                <w:sz w:val="20"/>
                <w:szCs w:val="20"/>
              </w:rPr>
            </w:pPr>
          </w:p>
        </w:tc>
        <w:tc>
          <w:tcPr>
            <w:tcW w:w="2037" w:type="dxa"/>
            <w:tcBorders>
              <w:left w:val="nil"/>
              <w:bottom w:val="single" w:sz="4" w:space="0" w:color="auto"/>
              <w:right w:val="nil"/>
            </w:tcBorders>
          </w:tcPr>
          <w:p w14:paraId="54E4ADD0" w14:textId="77777777" w:rsidR="0058338A" w:rsidRPr="00531B03" w:rsidRDefault="0058338A" w:rsidP="00D21251">
            <w:pPr>
              <w:rPr>
                <w:sz w:val="20"/>
                <w:szCs w:val="20"/>
              </w:rPr>
            </w:pPr>
          </w:p>
        </w:tc>
        <w:tc>
          <w:tcPr>
            <w:tcW w:w="417" w:type="dxa"/>
            <w:tcBorders>
              <w:left w:val="nil"/>
              <w:bottom w:val="single" w:sz="4" w:space="0" w:color="auto"/>
              <w:right w:val="nil"/>
            </w:tcBorders>
          </w:tcPr>
          <w:p w14:paraId="63ECDD93" w14:textId="77777777" w:rsidR="0058338A" w:rsidRPr="00531B03" w:rsidRDefault="0058338A" w:rsidP="00D21251">
            <w:pPr>
              <w:rPr>
                <w:b/>
                <w:sz w:val="20"/>
                <w:szCs w:val="20"/>
              </w:rPr>
            </w:pPr>
          </w:p>
        </w:tc>
        <w:tc>
          <w:tcPr>
            <w:tcW w:w="1702" w:type="dxa"/>
            <w:tcBorders>
              <w:left w:val="nil"/>
              <w:bottom w:val="single" w:sz="4" w:space="0" w:color="auto"/>
              <w:right w:val="nil"/>
            </w:tcBorders>
          </w:tcPr>
          <w:p w14:paraId="10FD4884" w14:textId="77777777" w:rsidR="0058338A" w:rsidRPr="00531B03" w:rsidRDefault="0058338A" w:rsidP="00D21251">
            <w:pPr>
              <w:rPr>
                <w:b/>
                <w:sz w:val="20"/>
                <w:szCs w:val="20"/>
              </w:rPr>
            </w:pPr>
            <w:r w:rsidRPr="00531B03">
              <w:rPr>
                <w:b/>
                <w:sz w:val="20"/>
                <w:szCs w:val="20"/>
              </w:rPr>
              <w:t>M</w:t>
            </w:r>
            <w:r w:rsidR="0071118F" w:rsidRPr="00531B03">
              <w:rPr>
                <w:b/>
                <w:sz w:val="20"/>
                <w:szCs w:val="20"/>
              </w:rPr>
              <w:t>j</w:t>
            </w:r>
            <w:r w:rsidRPr="00531B03">
              <w:rPr>
                <w:b/>
                <w:sz w:val="20"/>
                <w:szCs w:val="20"/>
              </w:rPr>
              <w:t xml:space="preserve">esečno </w:t>
            </w:r>
          </w:p>
        </w:tc>
      </w:tr>
      <w:tr w:rsidR="0058338A" w:rsidRPr="00474536" w14:paraId="5D0F4BBD" w14:textId="77777777" w:rsidTr="00D21251">
        <w:tc>
          <w:tcPr>
            <w:tcW w:w="1758" w:type="dxa"/>
            <w:tcBorders>
              <w:top w:val="single" w:sz="4" w:space="0" w:color="auto"/>
              <w:left w:val="nil"/>
              <w:bottom w:val="nil"/>
              <w:right w:val="nil"/>
            </w:tcBorders>
          </w:tcPr>
          <w:p w14:paraId="562B9961" w14:textId="77777777" w:rsidR="0058338A" w:rsidRPr="00531B03" w:rsidRDefault="0058338A" w:rsidP="005C6997">
            <w:pPr>
              <w:keepNext/>
              <w:widowControl w:val="0"/>
              <w:rPr>
                <w:b/>
                <w:color w:val="000000"/>
                <w:sz w:val="20"/>
                <w:szCs w:val="20"/>
              </w:rPr>
            </w:pPr>
            <w:r w:rsidRPr="00531B03">
              <w:rPr>
                <w:b/>
                <w:color w:val="000000"/>
                <w:sz w:val="20"/>
                <w:szCs w:val="20"/>
              </w:rPr>
              <w:t xml:space="preserve">Koraci </w:t>
            </w:r>
            <w:r w:rsidR="005C6997" w:rsidRPr="00531B03">
              <w:rPr>
                <w:b/>
                <w:color w:val="000000"/>
                <w:sz w:val="20"/>
                <w:szCs w:val="20"/>
              </w:rPr>
              <w:t>prilagođavanja</w:t>
            </w:r>
          </w:p>
        </w:tc>
        <w:tc>
          <w:tcPr>
            <w:tcW w:w="3725" w:type="dxa"/>
            <w:gridSpan w:val="2"/>
            <w:tcBorders>
              <w:top w:val="single" w:sz="4" w:space="0" w:color="auto"/>
              <w:left w:val="nil"/>
              <w:bottom w:val="nil"/>
              <w:right w:val="nil"/>
            </w:tcBorders>
          </w:tcPr>
          <w:p w14:paraId="61A810BA" w14:textId="77777777" w:rsidR="0058338A" w:rsidRPr="00531B03" w:rsidRDefault="0058338A" w:rsidP="00D21251">
            <w:pPr>
              <w:keepNext/>
              <w:widowControl w:val="0"/>
              <w:jc w:val="center"/>
              <w:rPr>
                <w:color w:val="000000"/>
                <w:sz w:val="20"/>
                <w:szCs w:val="20"/>
              </w:rPr>
            </w:pPr>
            <w:r w:rsidRPr="00531B03">
              <w:rPr>
                <w:b/>
                <w:color w:val="000000"/>
                <w:sz w:val="20"/>
                <w:szCs w:val="20"/>
                <w:lang w:val="es-ES"/>
              </w:rPr>
              <w:t>Povećanje</w:t>
            </w:r>
          </w:p>
        </w:tc>
        <w:tc>
          <w:tcPr>
            <w:tcW w:w="2037" w:type="dxa"/>
            <w:tcBorders>
              <w:top w:val="single" w:sz="4" w:space="0" w:color="auto"/>
              <w:left w:val="nil"/>
              <w:bottom w:val="nil"/>
              <w:right w:val="nil"/>
            </w:tcBorders>
          </w:tcPr>
          <w:p w14:paraId="07969E65" w14:textId="77777777" w:rsidR="0058338A" w:rsidRPr="00531B03" w:rsidRDefault="0058338A" w:rsidP="00D21251">
            <w:pPr>
              <w:keepNext/>
              <w:widowControl w:val="0"/>
              <w:rPr>
                <w:color w:val="000000"/>
                <w:sz w:val="20"/>
                <w:szCs w:val="20"/>
              </w:rPr>
            </w:pPr>
            <w:r w:rsidRPr="00531B03">
              <w:rPr>
                <w:color w:val="000000"/>
                <w:sz w:val="20"/>
                <w:szCs w:val="20"/>
              </w:rPr>
              <w:t>≥7 mg Fe/g suvog tkiva jetre</w:t>
            </w:r>
          </w:p>
        </w:tc>
        <w:tc>
          <w:tcPr>
            <w:tcW w:w="417" w:type="dxa"/>
            <w:tcBorders>
              <w:top w:val="single" w:sz="4" w:space="0" w:color="auto"/>
              <w:left w:val="nil"/>
              <w:bottom w:val="nil"/>
              <w:right w:val="nil"/>
            </w:tcBorders>
          </w:tcPr>
          <w:p w14:paraId="38472E9B" w14:textId="77777777" w:rsidR="0058338A" w:rsidRPr="00531B03" w:rsidRDefault="0058338A" w:rsidP="00D21251">
            <w:pPr>
              <w:keepNext/>
              <w:widowControl w:val="0"/>
              <w:rPr>
                <w:color w:val="000000"/>
                <w:sz w:val="20"/>
                <w:szCs w:val="20"/>
              </w:rPr>
            </w:pPr>
            <w:r w:rsidRPr="00531B03">
              <w:rPr>
                <w:color w:val="000000"/>
                <w:sz w:val="20"/>
                <w:szCs w:val="20"/>
              </w:rPr>
              <w:t>ili</w:t>
            </w:r>
          </w:p>
        </w:tc>
        <w:tc>
          <w:tcPr>
            <w:tcW w:w="1702" w:type="dxa"/>
            <w:tcBorders>
              <w:top w:val="single" w:sz="4" w:space="0" w:color="auto"/>
              <w:left w:val="nil"/>
              <w:bottom w:val="nil"/>
              <w:right w:val="nil"/>
            </w:tcBorders>
          </w:tcPr>
          <w:p w14:paraId="1DD3C6B4" w14:textId="77777777" w:rsidR="0058338A" w:rsidRPr="00531B03" w:rsidRDefault="0058338A" w:rsidP="00D21251">
            <w:pPr>
              <w:keepNext/>
              <w:widowControl w:val="0"/>
              <w:rPr>
                <w:color w:val="000000"/>
                <w:sz w:val="20"/>
                <w:szCs w:val="20"/>
              </w:rPr>
            </w:pPr>
            <w:r w:rsidRPr="00531B03">
              <w:rPr>
                <w:color w:val="000000"/>
                <w:sz w:val="20"/>
                <w:szCs w:val="20"/>
              </w:rPr>
              <w:t>&gt;2000 </w:t>
            </w:r>
          </w:p>
          <w:p w14:paraId="607AAB6D" w14:textId="77777777" w:rsidR="0058338A" w:rsidRPr="00531B03" w:rsidRDefault="00017625" w:rsidP="005F6A60">
            <w:pPr>
              <w:keepNext/>
              <w:widowControl w:val="0"/>
              <w:rPr>
                <w:b/>
                <w:color w:val="000000"/>
                <w:sz w:val="20"/>
                <w:szCs w:val="20"/>
              </w:rPr>
            </w:pPr>
            <w:r w:rsidRPr="00531B03">
              <w:rPr>
                <w:color w:val="000000"/>
                <w:sz w:val="20"/>
                <w:szCs w:val="20"/>
                <w:lang w:val="sr-Latn-CS"/>
              </w:rPr>
              <w:t>µg</w:t>
            </w:r>
            <w:r w:rsidR="0058338A" w:rsidRPr="00531B03">
              <w:rPr>
                <w:color w:val="000000"/>
                <w:sz w:val="20"/>
                <w:szCs w:val="20"/>
              </w:rPr>
              <w:t>/</w:t>
            </w:r>
            <w:r w:rsidR="005F6A60" w:rsidRPr="00531B03">
              <w:rPr>
                <w:color w:val="000000"/>
                <w:sz w:val="20"/>
                <w:szCs w:val="20"/>
              </w:rPr>
              <w:t>l</w:t>
            </w:r>
          </w:p>
        </w:tc>
      </w:tr>
      <w:tr w:rsidR="0058338A" w:rsidRPr="00474536" w14:paraId="2EA6428E" w14:textId="77777777" w:rsidTr="00D21251">
        <w:tc>
          <w:tcPr>
            <w:tcW w:w="1758" w:type="dxa"/>
            <w:tcBorders>
              <w:top w:val="nil"/>
              <w:left w:val="nil"/>
              <w:bottom w:val="nil"/>
              <w:right w:val="nil"/>
            </w:tcBorders>
          </w:tcPr>
          <w:p w14:paraId="2ED97504" w14:textId="77777777" w:rsidR="0058338A" w:rsidRPr="00531B03" w:rsidRDefault="0058338A" w:rsidP="00D21251">
            <w:pPr>
              <w:keepNext/>
              <w:widowControl w:val="0"/>
              <w:rPr>
                <w:color w:val="000000"/>
                <w:sz w:val="20"/>
                <w:szCs w:val="20"/>
              </w:rPr>
            </w:pPr>
            <w:r w:rsidRPr="00531B03" w:rsidDel="00D97D7A">
              <w:rPr>
                <w:b/>
                <w:color w:val="000000"/>
                <w:sz w:val="20"/>
                <w:szCs w:val="20"/>
              </w:rPr>
              <w:t xml:space="preserve"> </w:t>
            </w:r>
            <w:r w:rsidRPr="00531B03">
              <w:rPr>
                <w:color w:val="000000"/>
                <w:sz w:val="20"/>
                <w:szCs w:val="20"/>
              </w:rPr>
              <w:t xml:space="preserve">(svakih </w:t>
            </w:r>
          </w:p>
          <w:p w14:paraId="676AEEBF" w14:textId="77777777" w:rsidR="0058338A" w:rsidRPr="00531B03" w:rsidRDefault="0058338A" w:rsidP="00D21251">
            <w:pPr>
              <w:keepNext/>
              <w:widowControl w:val="0"/>
              <w:rPr>
                <w:b/>
                <w:color w:val="000000"/>
                <w:sz w:val="20"/>
                <w:szCs w:val="20"/>
              </w:rPr>
            </w:pPr>
            <w:r w:rsidRPr="00531B03">
              <w:rPr>
                <w:color w:val="000000"/>
                <w:sz w:val="20"/>
                <w:szCs w:val="20"/>
              </w:rPr>
              <w:t>3-6 m</w:t>
            </w:r>
            <w:r w:rsidR="0071118F" w:rsidRPr="00531B03">
              <w:rPr>
                <w:color w:val="000000"/>
                <w:sz w:val="20"/>
                <w:szCs w:val="20"/>
              </w:rPr>
              <w:t>j</w:t>
            </w:r>
            <w:r w:rsidRPr="00531B03">
              <w:rPr>
                <w:color w:val="000000"/>
                <w:sz w:val="20"/>
                <w:szCs w:val="20"/>
              </w:rPr>
              <w:t>eseci)</w:t>
            </w:r>
          </w:p>
        </w:tc>
        <w:tc>
          <w:tcPr>
            <w:tcW w:w="1778" w:type="dxa"/>
            <w:tcBorders>
              <w:top w:val="nil"/>
              <w:left w:val="nil"/>
              <w:bottom w:val="nil"/>
              <w:right w:val="nil"/>
            </w:tcBorders>
          </w:tcPr>
          <w:p w14:paraId="0C55FC7E" w14:textId="77777777" w:rsidR="0058338A" w:rsidRPr="00531B03" w:rsidRDefault="0058338A" w:rsidP="00D21251">
            <w:pPr>
              <w:keepNext/>
              <w:widowControl w:val="0"/>
              <w:rPr>
                <w:sz w:val="20"/>
                <w:szCs w:val="20"/>
                <w:lang w:val="es-ES"/>
              </w:rPr>
            </w:pPr>
            <w:r w:rsidRPr="00531B03">
              <w:rPr>
                <w:sz w:val="20"/>
                <w:szCs w:val="20"/>
                <w:lang w:val="es-ES"/>
              </w:rPr>
              <w:t>3,5-7 mg/kg/dan</w:t>
            </w:r>
          </w:p>
          <w:p w14:paraId="59C41EDA" w14:textId="77777777" w:rsidR="0058338A" w:rsidRPr="00531B03" w:rsidRDefault="0058338A" w:rsidP="00D21251">
            <w:pPr>
              <w:keepNext/>
              <w:widowControl w:val="0"/>
              <w:rPr>
                <w:b/>
                <w:color w:val="000000"/>
                <w:sz w:val="20"/>
                <w:szCs w:val="20"/>
                <w:lang w:val="es-ES"/>
              </w:rPr>
            </w:pPr>
          </w:p>
        </w:tc>
        <w:tc>
          <w:tcPr>
            <w:tcW w:w="1947" w:type="dxa"/>
            <w:tcBorders>
              <w:top w:val="nil"/>
              <w:left w:val="nil"/>
              <w:bottom w:val="nil"/>
              <w:right w:val="nil"/>
            </w:tcBorders>
          </w:tcPr>
          <w:p w14:paraId="6351AB9F" w14:textId="77777777" w:rsidR="0058338A" w:rsidRPr="00531B03" w:rsidRDefault="0058338A" w:rsidP="00F547CC">
            <w:pPr>
              <w:keepNext/>
              <w:widowControl w:val="0"/>
              <w:rPr>
                <w:color w:val="000000"/>
                <w:sz w:val="20"/>
                <w:szCs w:val="20"/>
                <w:lang w:val="es-ES"/>
              </w:rPr>
            </w:pPr>
          </w:p>
        </w:tc>
        <w:tc>
          <w:tcPr>
            <w:tcW w:w="2037" w:type="dxa"/>
            <w:tcBorders>
              <w:top w:val="nil"/>
              <w:left w:val="nil"/>
              <w:bottom w:val="nil"/>
              <w:right w:val="nil"/>
            </w:tcBorders>
          </w:tcPr>
          <w:p w14:paraId="4F31DB5C" w14:textId="77777777" w:rsidR="0058338A" w:rsidRPr="00531B03" w:rsidRDefault="0058338A" w:rsidP="00D21251">
            <w:pPr>
              <w:rPr>
                <w:sz w:val="20"/>
                <w:szCs w:val="20"/>
              </w:rPr>
            </w:pPr>
          </w:p>
        </w:tc>
        <w:tc>
          <w:tcPr>
            <w:tcW w:w="417" w:type="dxa"/>
            <w:tcBorders>
              <w:top w:val="nil"/>
              <w:left w:val="nil"/>
              <w:bottom w:val="nil"/>
              <w:right w:val="nil"/>
            </w:tcBorders>
          </w:tcPr>
          <w:p w14:paraId="46B94824" w14:textId="77777777" w:rsidR="0058338A" w:rsidRPr="00531B03" w:rsidRDefault="0058338A" w:rsidP="00D21251">
            <w:pPr>
              <w:rPr>
                <w:sz w:val="20"/>
                <w:szCs w:val="20"/>
              </w:rPr>
            </w:pPr>
          </w:p>
        </w:tc>
        <w:tc>
          <w:tcPr>
            <w:tcW w:w="1702" w:type="dxa"/>
            <w:tcBorders>
              <w:top w:val="nil"/>
              <w:left w:val="nil"/>
              <w:bottom w:val="nil"/>
              <w:right w:val="nil"/>
            </w:tcBorders>
          </w:tcPr>
          <w:p w14:paraId="4D116040" w14:textId="77777777" w:rsidR="0058338A" w:rsidRPr="00531B03" w:rsidRDefault="0058338A" w:rsidP="00D21251">
            <w:pPr>
              <w:rPr>
                <w:sz w:val="20"/>
                <w:szCs w:val="20"/>
              </w:rPr>
            </w:pPr>
          </w:p>
        </w:tc>
      </w:tr>
      <w:tr w:rsidR="0058338A" w:rsidRPr="00474536" w14:paraId="5939E236" w14:textId="77777777" w:rsidTr="00D21251">
        <w:tc>
          <w:tcPr>
            <w:tcW w:w="1758" w:type="dxa"/>
            <w:tcBorders>
              <w:top w:val="nil"/>
              <w:left w:val="nil"/>
              <w:bottom w:val="nil"/>
              <w:right w:val="nil"/>
            </w:tcBorders>
          </w:tcPr>
          <w:p w14:paraId="3B540A1E" w14:textId="77777777" w:rsidR="0058338A" w:rsidRPr="00531B03" w:rsidRDefault="0058338A" w:rsidP="00D21251">
            <w:pPr>
              <w:rPr>
                <w:sz w:val="20"/>
                <w:szCs w:val="20"/>
              </w:rPr>
            </w:pPr>
          </w:p>
        </w:tc>
        <w:tc>
          <w:tcPr>
            <w:tcW w:w="3725" w:type="dxa"/>
            <w:gridSpan w:val="2"/>
            <w:tcBorders>
              <w:top w:val="nil"/>
              <w:left w:val="nil"/>
              <w:bottom w:val="nil"/>
              <w:right w:val="nil"/>
            </w:tcBorders>
          </w:tcPr>
          <w:p w14:paraId="2214F425" w14:textId="77777777" w:rsidR="0058338A" w:rsidRPr="00531B03" w:rsidRDefault="0058338A" w:rsidP="00D21251">
            <w:pPr>
              <w:jc w:val="center"/>
              <w:rPr>
                <w:sz w:val="20"/>
                <w:szCs w:val="20"/>
              </w:rPr>
            </w:pPr>
            <w:r w:rsidRPr="00531B03">
              <w:rPr>
                <w:b/>
                <w:color w:val="000000"/>
                <w:sz w:val="20"/>
                <w:szCs w:val="20"/>
              </w:rPr>
              <w:t>Smanjenje</w:t>
            </w:r>
          </w:p>
        </w:tc>
        <w:tc>
          <w:tcPr>
            <w:tcW w:w="2037" w:type="dxa"/>
            <w:tcBorders>
              <w:top w:val="nil"/>
              <w:left w:val="nil"/>
              <w:bottom w:val="nil"/>
              <w:right w:val="nil"/>
            </w:tcBorders>
          </w:tcPr>
          <w:p w14:paraId="18E701B7" w14:textId="77777777" w:rsidR="0058338A" w:rsidRPr="00531B03" w:rsidRDefault="0058338A" w:rsidP="00D21251">
            <w:pPr>
              <w:rPr>
                <w:sz w:val="20"/>
                <w:szCs w:val="20"/>
              </w:rPr>
            </w:pPr>
            <w:r w:rsidRPr="00531B03">
              <w:rPr>
                <w:color w:val="000000"/>
                <w:sz w:val="20"/>
                <w:szCs w:val="20"/>
              </w:rPr>
              <w:t>&lt;7 mg Fe/g suvog tkiva jetre</w:t>
            </w:r>
          </w:p>
        </w:tc>
        <w:tc>
          <w:tcPr>
            <w:tcW w:w="417" w:type="dxa"/>
            <w:tcBorders>
              <w:top w:val="nil"/>
              <w:left w:val="nil"/>
              <w:bottom w:val="nil"/>
              <w:right w:val="nil"/>
            </w:tcBorders>
          </w:tcPr>
          <w:p w14:paraId="71398DE3" w14:textId="77777777" w:rsidR="0058338A" w:rsidRPr="00531B03" w:rsidRDefault="0058338A" w:rsidP="00D21251">
            <w:pPr>
              <w:rPr>
                <w:sz w:val="20"/>
                <w:szCs w:val="20"/>
              </w:rPr>
            </w:pPr>
            <w:r w:rsidRPr="00531B03">
              <w:rPr>
                <w:sz w:val="20"/>
                <w:szCs w:val="20"/>
              </w:rPr>
              <w:t>ili</w:t>
            </w:r>
          </w:p>
        </w:tc>
        <w:tc>
          <w:tcPr>
            <w:tcW w:w="1702" w:type="dxa"/>
            <w:tcBorders>
              <w:top w:val="nil"/>
              <w:left w:val="nil"/>
              <w:bottom w:val="nil"/>
              <w:right w:val="nil"/>
            </w:tcBorders>
          </w:tcPr>
          <w:p w14:paraId="48053773" w14:textId="77777777" w:rsidR="0058338A" w:rsidRPr="00531B03" w:rsidRDefault="00B708F8" w:rsidP="00D21251">
            <w:pPr>
              <w:keepNext/>
              <w:widowControl w:val="0"/>
              <w:rPr>
                <w:color w:val="000000"/>
                <w:sz w:val="20"/>
                <w:szCs w:val="20"/>
              </w:rPr>
            </w:pPr>
            <w:r w:rsidRPr="00531B03">
              <w:rPr>
                <w:color w:val="000000"/>
                <w:sz w:val="20"/>
                <w:szCs w:val="20"/>
              </w:rPr>
              <w:t>≤</w:t>
            </w:r>
            <w:r w:rsidR="0058338A" w:rsidRPr="00531B03">
              <w:rPr>
                <w:color w:val="000000"/>
                <w:sz w:val="20"/>
                <w:szCs w:val="20"/>
              </w:rPr>
              <w:t>2000 </w:t>
            </w:r>
          </w:p>
          <w:p w14:paraId="0B2D0588" w14:textId="77777777" w:rsidR="0058338A" w:rsidRPr="00531B03" w:rsidRDefault="00017625" w:rsidP="005F6A60">
            <w:pPr>
              <w:rPr>
                <w:sz w:val="20"/>
                <w:szCs w:val="20"/>
              </w:rPr>
            </w:pPr>
            <w:r w:rsidRPr="00531B03">
              <w:rPr>
                <w:color w:val="000000"/>
                <w:sz w:val="20"/>
                <w:szCs w:val="20"/>
                <w:lang w:val="sr-Latn-CS"/>
              </w:rPr>
              <w:t>µg</w:t>
            </w:r>
            <w:r w:rsidR="0058338A" w:rsidRPr="00531B03">
              <w:rPr>
                <w:color w:val="000000"/>
                <w:sz w:val="20"/>
                <w:szCs w:val="20"/>
              </w:rPr>
              <w:t>/</w:t>
            </w:r>
            <w:r w:rsidR="005F6A60" w:rsidRPr="00531B03">
              <w:rPr>
                <w:color w:val="000000"/>
                <w:sz w:val="20"/>
                <w:szCs w:val="20"/>
              </w:rPr>
              <w:t>l</w:t>
            </w:r>
          </w:p>
        </w:tc>
      </w:tr>
      <w:tr w:rsidR="0058338A" w:rsidRPr="00474536" w14:paraId="0BD5E2D6" w14:textId="77777777" w:rsidTr="00D21251">
        <w:tc>
          <w:tcPr>
            <w:tcW w:w="1758" w:type="dxa"/>
            <w:tcBorders>
              <w:top w:val="nil"/>
              <w:left w:val="nil"/>
              <w:bottom w:val="single" w:sz="4" w:space="0" w:color="auto"/>
              <w:right w:val="nil"/>
            </w:tcBorders>
          </w:tcPr>
          <w:p w14:paraId="1CA8071D" w14:textId="77777777" w:rsidR="0058338A" w:rsidRPr="00531B03" w:rsidRDefault="0058338A" w:rsidP="00D21251">
            <w:pPr>
              <w:rPr>
                <w:sz w:val="20"/>
                <w:szCs w:val="20"/>
              </w:rPr>
            </w:pPr>
          </w:p>
        </w:tc>
        <w:tc>
          <w:tcPr>
            <w:tcW w:w="1778" w:type="dxa"/>
            <w:tcBorders>
              <w:top w:val="nil"/>
              <w:left w:val="nil"/>
              <w:bottom w:val="single" w:sz="4" w:space="0" w:color="auto"/>
              <w:right w:val="nil"/>
            </w:tcBorders>
          </w:tcPr>
          <w:p w14:paraId="7525A0AC" w14:textId="77777777" w:rsidR="0058338A" w:rsidRPr="00531B03" w:rsidRDefault="0058338A" w:rsidP="00D21251">
            <w:pPr>
              <w:keepNext/>
              <w:widowControl w:val="0"/>
              <w:rPr>
                <w:sz w:val="20"/>
                <w:szCs w:val="20"/>
                <w:lang w:val="es-ES"/>
              </w:rPr>
            </w:pPr>
            <w:r w:rsidRPr="00531B03">
              <w:rPr>
                <w:color w:val="000000"/>
                <w:sz w:val="20"/>
                <w:szCs w:val="20"/>
              </w:rPr>
              <w:t xml:space="preserve"> </w:t>
            </w:r>
            <w:r w:rsidRPr="00531B03">
              <w:rPr>
                <w:sz w:val="20"/>
                <w:szCs w:val="20"/>
                <w:lang w:val="es-ES"/>
              </w:rPr>
              <w:t>3,5-7 mg/kg/dan</w:t>
            </w:r>
          </w:p>
        </w:tc>
        <w:tc>
          <w:tcPr>
            <w:tcW w:w="1947" w:type="dxa"/>
            <w:tcBorders>
              <w:top w:val="nil"/>
              <w:left w:val="nil"/>
              <w:bottom w:val="single" w:sz="4" w:space="0" w:color="auto"/>
              <w:right w:val="nil"/>
            </w:tcBorders>
          </w:tcPr>
          <w:p w14:paraId="3F91EF14" w14:textId="68168BFC" w:rsidR="0058338A" w:rsidRPr="00531B03" w:rsidRDefault="0058338A" w:rsidP="00D21251">
            <w:pPr>
              <w:keepNext/>
              <w:widowControl w:val="0"/>
              <w:rPr>
                <w:color w:val="000000"/>
                <w:sz w:val="20"/>
                <w:szCs w:val="20"/>
              </w:rPr>
            </w:pPr>
          </w:p>
          <w:p w14:paraId="5C8DB133" w14:textId="77777777" w:rsidR="0058338A" w:rsidRPr="00531B03" w:rsidRDefault="0058338A" w:rsidP="00D21251">
            <w:pPr>
              <w:keepNext/>
              <w:widowControl w:val="0"/>
              <w:rPr>
                <w:color w:val="000000"/>
                <w:sz w:val="20"/>
                <w:szCs w:val="20"/>
              </w:rPr>
            </w:pPr>
          </w:p>
        </w:tc>
        <w:tc>
          <w:tcPr>
            <w:tcW w:w="2037" w:type="dxa"/>
            <w:tcBorders>
              <w:top w:val="nil"/>
              <w:left w:val="nil"/>
              <w:bottom w:val="single" w:sz="4" w:space="0" w:color="auto"/>
              <w:right w:val="nil"/>
            </w:tcBorders>
          </w:tcPr>
          <w:p w14:paraId="42D3D0B0" w14:textId="77777777" w:rsidR="0058338A" w:rsidRPr="00531B03" w:rsidRDefault="0058338A" w:rsidP="00D21251">
            <w:pPr>
              <w:rPr>
                <w:sz w:val="20"/>
                <w:szCs w:val="20"/>
              </w:rPr>
            </w:pPr>
          </w:p>
        </w:tc>
        <w:tc>
          <w:tcPr>
            <w:tcW w:w="417" w:type="dxa"/>
            <w:tcBorders>
              <w:top w:val="nil"/>
              <w:left w:val="nil"/>
              <w:bottom w:val="single" w:sz="4" w:space="0" w:color="auto"/>
              <w:right w:val="nil"/>
            </w:tcBorders>
          </w:tcPr>
          <w:p w14:paraId="52F9BDA3" w14:textId="77777777" w:rsidR="0058338A" w:rsidRPr="00531B03" w:rsidRDefault="0058338A" w:rsidP="00D21251">
            <w:pPr>
              <w:keepNext/>
              <w:widowControl w:val="0"/>
              <w:rPr>
                <w:color w:val="000000"/>
                <w:sz w:val="20"/>
                <w:szCs w:val="20"/>
              </w:rPr>
            </w:pPr>
          </w:p>
        </w:tc>
        <w:tc>
          <w:tcPr>
            <w:tcW w:w="1702" w:type="dxa"/>
            <w:tcBorders>
              <w:top w:val="nil"/>
              <w:left w:val="nil"/>
              <w:bottom w:val="single" w:sz="4" w:space="0" w:color="auto"/>
              <w:right w:val="nil"/>
            </w:tcBorders>
          </w:tcPr>
          <w:p w14:paraId="51ECFDEA" w14:textId="77777777" w:rsidR="0058338A" w:rsidRPr="00531B03" w:rsidRDefault="0058338A" w:rsidP="00D21251">
            <w:pPr>
              <w:rPr>
                <w:sz w:val="20"/>
                <w:szCs w:val="20"/>
              </w:rPr>
            </w:pPr>
          </w:p>
        </w:tc>
      </w:tr>
      <w:tr w:rsidR="0058338A" w:rsidRPr="00474536" w14:paraId="0EE007B9" w14:textId="77777777" w:rsidTr="00D21251">
        <w:tc>
          <w:tcPr>
            <w:tcW w:w="1758" w:type="dxa"/>
            <w:tcBorders>
              <w:top w:val="single" w:sz="4" w:space="0" w:color="auto"/>
              <w:left w:val="nil"/>
              <w:bottom w:val="nil"/>
              <w:right w:val="nil"/>
            </w:tcBorders>
          </w:tcPr>
          <w:p w14:paraId="276BE3A4" w14:textId="77777777" w:rsidR="0058338A" w:rsidRPr="00531B03" w:rsidRDefault="0058338A" w:rsidP="00D21251">
            <w:pPr>
              <w:rPr>
                <w:sz w:val="20"/>
                <w:szCs w:val="20"/>
              </w:rPr>
            </w:pPr>
            <w:r w:rsidRPr="00531B03">
              <w:rPr>
                <w:b/>
                <w:color w:val="000000"/>
                <w:sz w:val="20"/>
                <w:szCs w:val="20"/>
              </w:rPr>
              <w:t>Maksimalna doza</w:t>
            </w:r>
          </w:p>
        </w:tc>
        <w:tc>
          <w:tcPr>
            <w:tcW w:w="1661" w:type="dxa"/>
            <w:tcBorders>
              <w:top w:val="single" w:sz="4" w:space="0" w:color="auto"/>
              <w:left w:val="nil"/>
              <w:bottom w:val="dashSmallGap" w:sz="4" w:space="0" w:color="auto"/>
              <w:right w:val="nil"/>
            </w:tcBorders>
          </w:tcPr>
          <w:p w14:paraId="097846A8" w14:textId="77777777" w:rsidR="0058338A" w:rsidRDefault="0058338A" w:rsidP="00D21251">
            <w:pPr>
              <w:widowControl w:val="0"/>
              <w:rPr>
                <w:b/>
                <w:sz w:val="20"/>
                <w:szCs w:val="20"/>
              </w:rPr>
            </w:pPr>
            <w:r w:rsidRPr="00531B03">
              <w:rPr>
                <w:b/>
                <w:sz w:val="20"/>
                <w:szCs w:val="20"/>
              </w:rPr>
              <w:t>14 mg/kg/dan</w:t>
            </w:r>
          </w:p>
          <w:p w14:paraId="7108D162" w14:textId="6D04F7C0" w:rsidR="00F72E6F" w:rsidRPr="00531B03" w:rsidRDefault="00F72E6F" w:rsidP="00D21251">
            <w:pPr>
              <w:widowControl w:val="0"/>
              <w:rPr>
                <w:b/>
                <w:color w:val="000000"/>
                <w:sz w:val="20"/>
                <w:szCs w:val="20"/>
              </w:rPr>
            </w:pPr>
            <w:r w:rsidRPr="00531B03">
              <w:rPr>
                <w:color w:val="000000"/>
                <w:sz w:val="20"/>
                <w:szCs w:val="20"/>
                <w:lang w:val="de-DE"/>
              </w:rPr>
              <w:t>Za odrasle</w:t>
            </w:r>
          </w:p>
        </w:tc>
        <w:tc>
          <w:tcPr>
            <w:tcW w:w="2064" w:type="dxa"/>
            <w:tcBorders>
              <w:top w:val="single" w:sz="4" w:space="0" w:color="auto"/>
              <w:left w:val="nil"/>
              <w:bottom w:val="dashSmallGap" w:sz="4" w:space="0" w:color="auto"/>
              <w:right w:val="nil"/>
            </w:tcBorders>
          </w:tcPr>
          <w:p w14:paraId="7A558F63" w14:textId="44053364" w:rsidR="0058338A" w:rsidRPr="00531B03" w:rsidRDefault="0058338A" w:rsidP="00D21251">
            <w:pPr>
              <w:widowControl w:val="0"/>
              <w:rPr>
                <w:b/>
                <w:color w:val="000000"/>
                <w:sz w:val="20"/>
                <w:szCs w:val="20"/>
              </w:rPr>
            </w:pPr>
          </w:p>
        </w:tc>
        <w:tc>
          <w:tcPr>
            <w:tcW w:w="2037" w:type="dxa"/>
            <w:tcBorders>
              <w:top w:val="single" w:sz="4" w:space="0" w:color="auto"/>
              <w:left w:val="nil"/>
              <w:bottom w:val="dashSmallGap" w:sz="4" w:space="0" w:color="auto"/>
              <w:right w:val="nil"/>
            </w:tcBorders>
          </w:tcPr>
          <w:p w14:paraId="3F6AD3A8" w14:textId="77777777" w:rsidR="0058338A" w:rsidRPr="00531B03" w:rsidRDefault="0058338A" w:rsidP="00D21251">
            <w:pPr>
              <w:rPr>
                <w:sz w:val="20"/>
                <w:szCs w:val="20"/>
              </w:rPr>
            </w:pPr>
          </w:p>
        </w:tc>
        <w:tc>
          <w:tcPr>
            <w:tcW w:w="417" w:type="dxa"/>
            <w:tcBorders>
              <w:top w:val="single" w:sz="4" w:space="0" w:color="auto"/>
              <w:left w:val="nil"/>
              <w:bottom w:val="dashSmallGap" w:sz="4" w:space="0" w:color="auto"/>
              <w:right w:val="nil"/>
            </w:tcBorders>
          </w:tcPr>
          <w:p w14:paraId="0046B644" w14:textId="77777777" w:rsidR="0058338A" w:rsidRPr="00531B03" w:rsidRDefault="0058338A" w:rsidP="00D21251">
            <w:pPr>
              <w:rPr>
                <w:sz w:val="20"/>
                <w:szCs w:val="20"/>
              </w:rPr>
            </w:pPr>
          </w:p>
        </w:tc>
        <w:tc>
          <w:tcPr>
            <w:tcW w:w="1702" w:type="dxa"/>
            <w:tcBorders>
              <w:top w:val="single" w:sz="4" w:space="0" w:color="auto"/>
              <w:left w:val="nil"/>
              <w:bottom w:val="dashSmallGap" w:sz="4" w:space="0" w:color="auto"/>
              <w:right w:val="nil"/>
            </w:tcBorders>
          </w:tcPr>
          <w:p w14:paraId="33CB0733" w14:textId="77777777" w:rsidR="0058338A" w:rsidRPr="00531B03" w:rsidRDefault="0058338A" w:rsidP="00D21251">
            <w:pPr>
              <w:rPr>
                <w:sz w:val="20"/>
                <w:szCs w:val="20"/>
              </w:rPr>
            </w:pPr>
          </w:p>
        </w:tc>
      </w:tr>
      <w:tr w:rsidR="0058338A" w:rsidRPr="00474536" w14:paraId="4E6C3577" w14:textId="77777777" w:rsidTr="00D21251">
        <w:tc>
          <w:tcPr>
            <w:tcW w:w="1758" w:type="dxa"/>
            <w:tcBorders>
              <w:top w:val="nil"/>
              <w:left w:val="nil"/>
              <w:bottom w:val="nil"/>
              <w:right w:val="nil"/>
            </w:tcBorders>
          </w:tcPr>
          <w:p w14:paraId="4394FE0D" w14:textId="77777777" w:rsidR="0058338A" w:rsidRPr="00531B03" w:rsidRDefault="0058338A" w:rsidP="00D21251">
            <w:pPr>
              <w:rPr>
                <w:b/>
                <w:color w:val="000000"/>
                <w:sz w:val="20"/>
                <w:szCs w:val="20"/>
              </w:rPr>
            </w:pPr>
          </w:p>
        </w:tc>
        <w:tc>
          <w:tcPr>
            <w:tcW w:w="1661" w:type="dxa"/>
            <w:tcBorders>
              <w:top w:val="dashSmallGap" w:sz="4" w:space="0" w:color="auto"/>
              <w:left w:val="nil"/>
              <w:bottom w:val="nil"/>
              <w:right w:val="nil"/>
            </w:tcBorders>
          </w:tcPr>
          <w:p w14:paraId="457D2AEF" w14:textId="77777777" w:rsidR="0058338A" w:rsidRDefault="0058338A" w:rsidP="00D21251">
            <w:pPr>
              <w:widowControl w:val="0"/>
              <w:rPr>
                <w:b/>
                <w:sz w:val="20"/>
                <w:szCs w:val="20"/>
              </w:rPr>
            </w:pPr>
            <w:r w:rsidRPr="00531B03">
              <w:rPr>
                <w:b/>
                <w:sz w:val="20"/>
                <w:szCs w:val="20"/>
              </w:rPr>
              <w:t>7 mg/kg/dan</w:t>
            </w:r>
          </w:p>
          <w:p w14:paraId="2026DAEC" w14:textId="77777777" w:rsidR="00F72E6F" w:rsidRDefault="00F72E6F" w:rsidP="00D21251">
            <w:pPr>
              <w:widowControl w:val="0"/>
              <w:rPr>
                <w:color w:val="000000"/>
                <w:sz w:val="20"/>
                <w:szCs w:val="20"/>
              </w:rPr>
            </w:pPr>
            <w:r w:rsidRPr="00531B03">
              <w:rPr>
                <w:color w:val="000000"/>
                <w:sz w:val="20"/>
                <w:szCs w:val="20"/>
              </w:rPr>
              <w:t>Za pedijatrijske pacijente</w:t>
            </w:r>
          </w:p>
          <w:p w14:paraId="19F1A648" w14:textId="77777777" w:rsidR="00F72E6F" w:rsidRDefault="00F72E6F" w:rsidP="00F72E6F">
            <w:pPr>
              <w:widowControl w:val="0"/>
              <w:rPr>
                <w:b/>
                <w:sz w:val="20"/>
                <w:szCs w:val="20"/>
              </w:rPr>
            </w:pPr>
            <w:r w:rsidRPr="00531B03">
              <w:rPr>
                <w:b/>
                <w:sz w:val="20"/>
                <w:szCs w:val="20"/>
              </w:rPr>
              <w:t>7 mg/kg/dan</w:t>
            </w:r>
          </w:p>
          <w:p w14:paraId="45E31B41" w14:textId="557DA440" w:rsidR="00F72E6F" w:rsidRPr="00F72E6F" w:rsidRDefault="00F72E6F" w:rsidP="00D21251">
            <w:pPr>
              <w:widowControl w:val="0"/>
              <w:rPr>
                <w:bCs/>
                <w:color w:val="000000"/>
                <w:sz w:val="20"/>
                <w:szCs w:val="20"/>
                <w:lang w:val="de-DE"/>
              </w:rPr>
            </w:pPr>
            <w:r w:rsidRPr="00F72E6F">
              <w:rPr>
                <w:bCs/>
                <w:color w:val="000000"/>
                <w:sz w:val="20"/>
                <w:szCs w:val="20"/>
                <w:lang w:val="de-DE"/>
              </w:rPr>
              <w:t>Za odrasle i pedijatrijske pacijente</w:t>
            </w:r>
          </w:p>
        </w:tc>
        <w:tc>
          <w:tcPr>
            <w:tcW w:w="2064" w:type="dxa"/>
            <w:tcBorders>
              <w:top w:val="dashSmallGap" w:sz="4" w:space="0" w:color="auto"/>
              <w:left w:val="nil"/>
              <w:bottom w:val="nil"/>
              <w:right w:val="nil"/>
            </w:tcBorders>
          </w:tcPr>
          <w:p w14:paraId="349960FC" w14:textId="16914BF0" w:rsidR="0058338A" w:rsidRPr="00531B03" w:rsidRDefault="0058338A" w:rsidP="00D21251">
            <w:pPr>
              <w:widowControl w:val="0"/>
              <w:rPr>
                <w:color w:val="000000"/>
                <w:sz w:val="20"/>
                <w:szCs w:val="20"/>
                <w:lang w:val="de-DE"/>
              </w:rPr>
            </w:pPr>
          </w:p>
        </w:tc>
        <w:tc>
          <w:tcPr>
            <w:tcW w:w="2037" w:type="dxa"/>
            <w:tcBorders>
              <w:top w:val="dashSmallGap" w:sz="4" w:space="0" w:color="auto"/>
              <w:left w:val="nil"/>
              <w:bottom w:val="nil"/>
              <w:right w:val="nil"/>
            </w:tcBorders>
          </w:tcPr>
          <w:p w14:paraId="6370AA1A" w14:textId="77777777" w:rsidR="0058338A" w:rsidRDefault="0058338A" w:rsidP="00D21251">
            <w:pPr>
              <w:rPr>
                <w:sz w:val="20"/>
                <w:szCs w:val="20"/>
              </w:rPr>
            </w:pPr>
          </w:p>
          <w:p w14:paraId="6322316F" w14:textId="77777777" w:rsidR="00F72E6F" w:rsidRDefault="00F72E6F" w:rsidP="00F72E6F">
            <w:pPr>
              <w:rPr>
                <w:sz w:val="20"/>
                <w:szCs w:val="20"/>
              </w:rPr>
            </w:pPr>
          </w:p>
          <w:p w14:paraId="79D76F2D" w14:textId="77777777" w:rsidR="00F72E6F" w:rsidRPr="00F72E6F" w:rsidRDefault="00F72E6F" w:rsidP="00F72E6F">
            <w:pPr>
              <w:rPr>
                <w:sz w:val="20"/>
                <w:szCs w:val="20"/>
              </w:rPr>
            </w:pPr>
          </w:p>
          <w:p w14:paraId="6439E6F8" w14:textId="77777777" w:rsidR="00F72E6F" w:rsidRDefault="00F72E6F" w:rsidP="00F72E6F">
            <w:pPr>
              <w:rPr>
                <w:sz w:val="20"/>
                <w:szCs w:val="20"/>
              </w:rPr>
            </w:pPr>
          </w:p>
          <w:p w14:paraId="7B2A6B40" w14:textId="4CD66EFE" w:rsidR="00F72E6F" w:rsidRPr="00F72E6F" w:rsidRDefault="00F72E6F" w:rsidP="00F72E6F">
            <w:pPr>
              <w:rPr>
                <w:sz w:val="20"/>
                <w:szCs w:val="20"/>
              </w:rPr>
            </w:pPr>
            <w:r w:rsidRPr="00F72E6F">
              <w:rPr>
                <w:sz w:val="20"/>
                <w:szCs w:val="20"/>
              </w:rPr>
              <w:t>Nije procijenjeno</w:t>
            </w:r>
          </w:p>
        </w:tc>
        <w:tc>
          <w:tcPr>
            <w:tcW w:w="417" w:type="dxa"/>
            <w:tcBorders>
              <w:top w:val="dashSmallGap" w:sz="4" w:space="0" w:color="auto"/>
              <w:left w:val="nil"/>
              <w:bottom w:val="nil"/>
              <w:right w:val="nil"/>
            </w:tcBorders>
          </w:tcPr>
          <w:p w14:paraId="7E2CDBA0" w14:textId="77777777" w:rsidR="0058338A" w:rsidRDefault="0058338A" w:rsidP="00D21251">
            <w:pPr>
              <w:rPr>
                <w:sz w:val="20"/>
                <w:szCs w:val="20"/>
              </w:rPr>
            </w:pPr>
          </w:p>
          <w:p w14:paraId="095D03C0" w14:textId="77777777" w:rsidR="00F72E6F" w:rsidRPr="00F72E6F" w:rsidRDefault="00F72E6F" w:rsidP="00F72E6F">
            <w:pPr>
              <w:rPr>
                <w:sz w:val="20"/>
                <w:szCs w:val="20"/>
              </w:rPr>
            </w:pPr>
          </w:p>
          <w:p w14:paraId="6432690A" w14:textId="77777777" w:rsidR="00F72E6F" w:rsidRPr="00F72E6F" w:rsidRDefault="00F72E6F" w:rsidP="00F72E6F">
            <w:pPr>
              <w:rPr>
                <w:sz w:val="20"/>
                <w:szCs w:val="20"/>
              </w:rPr>
            </w:pPr>
          </w:p>
          <w:p w14:paraId="4FFFDBF1" w14:textId="77777777" w:rsidR="00F72E6F" w:rsidRDefault="00F72E6F" w:rsidP="00F72E6F">
            <w:pPr>
              <w:rPr>
                <w:sz w:val="20"/>
                <w:szCs w:val="20"/>
              </w:rPr>
            </w:pPr>
          </w:p>
          <w:p w14:paraId="25616FEF" w14:textId="6AD9C331" w:rsidR="00F72E6F" w:rsidRPr="00F72E6F" w:rsidRDefault="00F72E6F" w:rsidP="00F72E6F">
            <w:pPr>
              <w:rPr>
                <w:sz w:val="20"/>
                <w:szCs w:val="20"/>
              </w:rPr>
            </w:pPr>
            <w:r>
              <w:rPr>
                <w:sz w:val="20"/>
                <w:szCs w:val="20"/>
              </w:rPr>
              <w:t>i</w:t>
            </w:r>
          </w:p>
        </w:tc>
        <w:tc>
          <w:tcPr>
            <w:tcW w:w="1702" w:type="dxa"/>
            <w:tcBorders>
              <w:top w:val="dashSmallGap" w:sz="4" w:space="0" w:color="auto"/>
              <w:left w:val="nil"/>
              <w:bottom w:val="nil"/>
              <w:right w:val="nil"/>
            </w:tcBorders>
          </w:tcPr>
          <w:p w14:paraId="7B74E0EC" w14:textId="77777777" w:rsidR="0058338A" w:rsidRDefault="0058338A" w:rsidP="00D21251">
            <w:pPr>
              <w:rPr>
                <w:sz w:val="20"/>
                <w:szCs w:val="20"/>
              </w:rPr>
            </w:pPr>
          </w:p>
          <w:p w14:paraId="7E2DDA8A" w14:textId="77777777" w:rsidR="00F72E6F" w:rsidRPr="00F72E6F" w:rsidRDefault="00F72E6F" w:rsidP="00F72E6F">
            <w:pPr>
              <w:rPr>
                <w:sz w:val="20"/>
                <w:szCs w:val="20"/>
              </w:rPr>
            </w:pPr>
          </w:p>
          <w:p w14:paraId="07897B83" w14:textId="77777777" w:rsidR="00F72E6F" w:rsidRPr="00F72E6F" w:rsidRDefault="00F72E6F" w:rsidP="00F72E6F">
            <w:pPr>
              <w:rPr>
                <w:sz w:val="20"/>
                <w:szCs w:val="20"/>
              </w:rPr>
            </w:pPr>
          </w:p>
          <w:p w14:paraId="74DBD2F0" w14:textId="77777777" w:rsidR="00F72E6F" w:rsidRDefault="00F72E6F" w:rsidP="00F72E6F">
            <w:pPr>
              <w:rPr>
                <w:sz w:val="20"/>
                <w:szCs w:val="20"/>
              </w:rPr>
            </w:pPr>
          </w:p>
          <w:p w14:paraId="39C9B717" w14:textId="77777777" w:rsidR="00F72E6F" w:rsidRPr="00F72E6F" w:rsidRDefault="00F72E6F" w:rsidP="00F72E6F">
            <w:pPr>
              <w:rPr>
                <w:sz w:val="20"/>
                <w:szCs w:val="20"/>
              </w:rPr>
            </w:pPr>
            <w:r w:rsidRPr="00F72E6F">
              <w:rPr>
                <w:sz w:val="20"/>
                <w:szCs w:val="20"/>
              </w:rPr>
              <w:t>≤2000 </w:t>
            </w:r>
          </w:p>
          <w:p w14:paraId="260FFD11" w14:textId="0A81C7F3" w:rsidR="00F72E6F" w:rsidRPr="00F72E6F" w:rsidRDefault="00F72E6F" w:rsidP="00F72E6F">
            <w:pPr>
              <w:rPr>
                <w:sz w:val="20"/>
                <w:szCs w:val="20"/>
              </w:rPr>
            </w:pPr>
            <w:r w:rsidRPr="00F72E6F">
              <w:rPr>
                <w:sz w:val="20"/>
                <w:szCs w:val="20"/>
                <w:lang w:val="sr-Latn-CS"/>
              </w:rPr>
              <w:t>µg</w:t>
            </w:r>
            <w:r w:rsidRPr="00F72E6F">
              <w:rPr>
                <w:sz w:val="20"/>
                <w:szCs w:val="20"/>
              </w:rPr>
              <w:t>/l</w:t>
            </w:r>
          </w:p>
        </w:tc>
      </w:tr>
      <w:tr w:rsidR="0058338A" w:rsidRPr="00474536" w14:paraId="5F538DF4" w14:textId="77777777" w:rsidTr="00D21251">
        <w:tc>
          <w:tcPr>
            <w:tcW w:w="1758" w:type="dxa"/>
            <w:tcBorders>
              <w:top w:val="nil"/>
              <w:left w:val="nil"/>
              <w:bottom w:val="nil"/>
              <w:right w:val="nil"/>
            </w:tcBorders>
          </w:tcPr>
          <w:p w14:paraId="284BEA3A" w14:textId="77777777" w:rsidR="0058338A" w:rsidRPr="00531B03" w:rsidRDefault="0058338A" w:rsidP="00D21251">
            <w:pPr>
              <w:rPr>
                <w:b/>
                <w:color w:val="000000"/>
                <w:sz w:val="20"/>
                <w:szCs w:val="20"/>
              </w:rPr>
            </w:pPr>
          </w:p>
        </w:tc>
        <w:tc>
          <w:tcPr>
            <w:tcW w:w="3725" w:type="dxa"/>
            <w:gridSpan w:val="2"/>
            <w:tcBorders>
              <w:top w:val="nil"/>
              <w:left w:val="nil"/>
              <w:bottom w:val="nil"/>
              <w:right w:val="nil"/>
            </w:tcBorders>
          </w:tcPr>
          <w:p w14:paraId="03657E4D" w14:textId="26914FC9" w:rsidR="0058338A" w:rsidRPr="00531B03" w:rsidRDefault="0058338A" w:rsidP="00D21251">
            <w:pPr>
              <w:widowControl w:val="0"/>
              <w:jc w:val="center"/>
              <w:rPr>
                <w:b/>
                <w:color w:val="000000"/>
                <w:sz w:val="20"/>
                <w:szCs w:val="20"/>
              </w:rPr>
            </w:pPr>
          </w:p>
        </w:tc>
        <w:tc>
          <w:tcPr>
            <w:tcW w:w="2037" w:type="dxa"/>
            <w:tcBorders>
              <w:top w:val="nil"/>
              <w:left w:val="nil"/>
              <w:bottom w:val="nil"/>
              <w:right w:val="nil"/>
            </w:tcBorders>
          </w:tcPr>
          <w:p w14:paraId="67AB1188" w14:textId="45D711C1" w:rsidR="0058338A" w:rsidRPr="00531B03" w:rsidRDefault="0058338A" w:rsidP="000F5050">
            <w:pPr>
              <w:widowControl w:val="0"/>
              <w:rPr>
                <w:color w:val="000000"/>
                <w:sz w:val="20"/>
                <w:szCs w:val="20"/>
                <w:lang w:val="de-DE"/>
              </w:rPr>
            </w:pPr>
          </w:p>
        </w:tc>
        <w:tc>
          <w:tcPr>
            <w:tcW w:w="417" w:type="dxa"/>
            <w:tcBorders>
              <w:top w:val="nil"/>
              <w:left w:val="nil"/>
              <w:bottom w:val="nil"/>
              <w:right w:val="nil"/>
            </w:tcBorders>
          </w:tcPr>
          <w:p w14:paraId="28CC8C23" w14:textId="4C835A79" w:rsidR="0058338A" w:rsidRPr="00531B03" w:rsidRDefault="0058338A" w:rsidP="00D21251">
            <w:pPr>
              <w:widowControl w:val="0"/>
              <w:rPr>
                <w:color w:val="000000"/>
                <w:sz w:val="20"/>
                <w:szCs w:val="20"/>
              </w:rPr>
            </w:pPr>
          </w:p>
        </w:tc>
        <w:tc>
          <w:tcPr>
            <w:tcW w:w="1702" w:type="dxa"/>
            <w:tcBorders>
              <w:top w:val="nil"/>
              <w:left w:val="nil"/>
              <w:bottom w:val="nil"/>
              <w:right w:val="nil"/>
            </w:tcBorders>
          </w:tcPr>
          <w:p w14:paraId="1F0A0AF8" w14:textId="79E88ED9" w:rsidR="0058338A" w:rsidRPr="00531B03" w:rsidRDefault="0058338A" w:rsidP="005F6A60">
            <w:pPr>
              <w:widowControl w:val="0"/>
              <w:rPr>
                <w:color w:val="000000"/>
                <w:sz w:val="20"/>
                <w:szCs w:val="20"/>
              </w:rPr>
            </w:pPr>
          </w:p>
        </w:tc>
      </w:tr>
      <w:tr w:rsidR="0058338A" w:rsidRPr="00474536" w14:paraId="410B3B4F" w14:textId="77777777" w:rsidTr="00D21251">
        <w:tc>
          <w:tcPr>
            <w:tcW w:w="1758" w:type="dxa"/>
            <w:tcBorders>
              <w:top w:val="nil"/>
              <w:left w:val="nil"/>
              <w:bottom w:val="single" w:sz="4" w:space="0" w:color="auto"/>
              <w:right w:val="nil"/>
            </w:tcBorders>
          </w:tcPr>
          <w:p w14:paraId="2379BCE2" w14:textId="77777777" w:rsidR="0058338A" w:rsidRPr="00531B03" w:rsidRDefault="0058338A" w:rsidP="00D21251">
            <w:pPr>
              <w:rPr>
                <w:b/>
                <w:color w:val="000000"/>
                <w:sz w:val="20"/>
                <w:szCs w:val="20"/>
              </w:rPr>
            </w:pPr>
          </w:p>
        </w:tc>
        <w:tc>
          <w:tcPr>
            <w:tcW w:w="3725" w:type="dxa"/>
            <w:gridSpan w:val="2"/>
            <w:tcBorders>
              <w:top w:val="nil"/>
              <w:left w:val="nil"/>
              <w:bottom w:val="single" w:sz="4" w:space="0" w:color="auto"/>
              <w:right w:val="nil"/>
            </w:tcBorders>
          </w:tcPr>
          <w:p w14:paraId="104FEB84" w14:textId="2FAE96CE" w:rsidR="0058338A" w:rsidRPr="00531B03" w:rsidRDefault="0058338A" w:rsidP="00D21251">
            <w:pPr>
              <w:widowControl w:val="0"/>
              <w:jc w:val="center"/>
              <w:rPr>
                <w:color w:val="000000"/>
                <w:sz w:val="20"/>
                <w:szCs w:val="20"/>
                <w:lang w:val="de-DE"/>
              </w:rPr>
            </w:pPr>
          </w:p>
        </w:tc>
        <w:tc>
          <w:tcPr>
            <w:tcW w:w="2037" w:type="dxa"/>
            <w:tcBorders>
              <w:top w:val="nil"/>
              <w:left w:val="nil"/>
              <w:bottom w:val="single" w:sz="4" w:space="0" w:color="auto"/>
              <w:right w:val="nil"/>
            </w:tcBorders>
          </w:tcPr>
          <w:p w14:paraId="650AF062" w14:textId="77777777" w:rsidR="0058338A" w:rsidRPr="00531B03" w:rsidRDefault="0058338A" w:rsidP="00D21251">
            <w:pPr>
              <w:widowControl w:val="0"/>
              <w:rPr>
                <w:color w:val="000000"/>
                <w:sz w:val="20"/>
                <w:szCs w:val="20"/>
              </w:rPr>
            </w:pPr>
          </w:p>
        </w:tc>
        <w:tc>
          <w:tcPr>
            <w:tcW w:w="417" w:type="dxa"/>
            <w:tcBorders>
              <w:top w:val="nil"/>
              <w:left w:val="nil"/>
              <w:bottom w:val="single" w:sz="4" w:space="0" w:color="auto"/>
              <w:right w:val="nil"/>
            </w:tcBorders>
          </w:tcPr>
          <w:p w14:paraId="6FB4B9BD" w14:textId="77777777" w:rsidR="0058338A" w:rsidRPr="00531B03" w:rsidRDefault="0058338A" w:rsidP="00D21251">
            <w:pPr>
              <w:widowControl w:val="0"/>
              <w:rPr>
                <w:color w:val="000000"/>
                <w:sz w:val="20"/>
                <w:szCs w:val="20"/>
              </w:rPr>
            </w:pPr>
          </w:p>
        </w:tc>
        <w:tc>
          <w:tcPr>
            <w:tcW w:w="1702" w:type="dxa"/>
            <w:tcBorders>
              <w:top w:val="nil"/>
              <w:left w:val="nil"/>
              <w:bottom w:val="single" w:sz="4" w:space="0" w:color="auto"/>
              <w:right w:val="nil"/>
            </w:tcBorders>
          </w:tcPr>
          <w:p w14:paraId="03467536" w14:textId="77777777" w:rsidR="0058338A" w:rsidRPr="00531B03" w:rsidRDefault="0058338A" w:rsidP="00D21251">
            <w:pPr>
              <w:widowControl w:val="0"/>
              <w:rPr>
                <w:color w:val="000000"/>
                <w:sz w:val="20"/>
                <w:szCs w:val="20"/>
              </w:rPr>
            </w:pPr>
          </w:p>
        </w:tc>
      </w:tr>
      <w:tr w:rsidR="0058338A" w:rsidRPr="00474536" w14:paraId="09EC1398" w14:textId="77777777" w:rsidTr="00D21251">
        <w:tc>
          <w:tcPr>
            <w:tcW w:w="1758" w:type="dxa"/>
            <w:tcBorders>
              <w:top w:val="single" w:sz="4" w:space="0" w:color="auto"/>
              <w:left w:val="nil"/>
              <w:bottom w:val="single" w:sz="4" w:space="0" w:color="auto"/>
              <w:right w:val="nil"/>
            </w:tcBorders>
          </w:tcPr>
          <w:p w14:paraId="66EF235C" w14:textId="77777777" w:rsidR="0058338A" w:rsidRPr="00531B03" w:rsidRDefault="0058338A" w:rsidP="00D21251">
            <w:pPr>
              <w:widowControl w:val="0"/>
              <w:rPr>
                <w:b/>
                <w:color w:val="000000"/>
                <w:sz w:val="20"/>
                <w:szCs w:val="20"/>
              </w:rPr>
            </w:pPr>
            <w:r w:rsidRPr="00531B03">
              <w:rPr>
                <w:b/>
                <w:color w:val="000000"/>
                <w:sz w:val="20"/>
                <w:szCs w:val="20"/>
              </w:rPr>
              <w:t>Obustava terapije</w:t>
            </w:r>
          </w:p>
        </w:tc>
        <w:tc>
          <w:tcPr>
            <w:tcW w:w="1661" w:type="dxa"/>
            <w:tcBorders>
              <w:top w:val="single" w:sz="4" w:space="0" w:color="auto"/>
              <w:left w:val="nil"/>
              <w:bottom w:val="single" w:sz="4" w:space="0" w:color="auto"/>
              <w:right w:val="nil"/>
            </w:tcBorders>
          </w:tcPr>
          <w:p w14:paraId="7F2C7335" w14:textId="77777777" w:rsidR="0058338A" w:rsidRPr="00531B03" w:rsidRDefault="0058338A" w:rsidP="00D21251">
            <w:pPr>
              <w:keepNext/>
              <w:widowControl w:val="0"/>
              <w:tabs>
                <w:tab w:val="left" w:pos="567"/>
              </w:tabs>
              <w:spacing w:line="260" w:lineRule="exact"/>
              <w:rPr>
                <w:color w:val="000000"/>
                <w:sz w:val="20"/>
                <w:szCs w:val="20"/>
                <w:lang w:val="it-IT"/>
              </w:rPr>
            </w:pPr>
          </w:p>
        </w:tc>
        <w:tc>
          <w:tcPr>
            <w:tcW w:w="2064" w:type="dxa"/>
            <w:tcBorders>
              <w:top w:val="single" w:sz="4" w:space="0" w:color="auto"/>
              <w:left w:val="nil"/>
              <w:bottom w:val="single" w:sz="4" w:space="0" w:color="auto"/>
              <w:right w:val="nil"/>
            </w:tcBorders>
          </w:tcPr>
          <w:p w14:paraId="674CC2F2" w14:textId="77777777" w:rsidR="0058338A" w:rsidRPr="00531B03" w:rsidRDefault="0058338A" w:rsidP="00D21251">
            <w:pPr>
              <w:keepNext/>
              <w:widowControl w:val="0"/>
              <w:tabs>
                <w:tab w:val="left" w:pos="567"/>
              </w:tabs>
              <w:spacing w:line="260" w:lineRule="exact"/>
              <w:rPr>
                <w:color w:val="000000"/>
                <w:sz w:val="20"/>
                <w:szCs w:val="20"/>
                <w:lang w:val="it-IT"/>
              </w:rPr>
            </w:pPr>
          </w:p>
        </w:tc>
        <w:tc>
          <w:tcPr>
            <w:tcW w:w="2037" w:type="dxa"/>
            <w:tcBorders>
              <w:top w:val="single" w:sz="4" w:space="0" w:color="auto"/>
              <w:left w:val="nil"/>
              <w:bottom w:val="single" w:sz="4" w:space="0" w:color="auto"/>
              <w:right w:val="nil"/>
            </w:tcBorders>
          </w:tcPr>
          <w:p w14:paraId="06DFA026" w14:textId="77777777" w:rsidR="0058338A" w:rsidRPr="00531B03" w:rsidRDefault="0058338A" w:rsidP="00D21251">
            <w:pPr>
              <w:widowControl w:val="0"/>
              <w:ind w:right="-197"/>
              <w:rPr>
                <w:b/>
                <w:color w:val="000000"/>
                <w:sz w:val="20"/>
                <w:szCs w:val="20"/>
              </w:rPr>
            </w:pPr>
            <w:r w:rsidRPr="00531B03">
              <w:rPr>
                <w:b/>
                <w:color w:val="000000"/>
                <w:sz w:val="20"/>
                <w:szCs w:val="20"/>
              </w:rPr>
              <w:t>&lt;3 mg Fe/g suvog tkiva jetre</w:t>
            </w:r>
          </w:p>
        </w:tc>
        <w:tc>
          <w:tcPr>
            <w:tcW w:w="417" w:type="dxa"/>
            <w:tcBorders>
              <w:top w:val="single" w:sz="4" w:space="0" w:color="auto"/>
              <w:left w:val="nil"/>
              <w:bottom w:val="single" w:sz="4" w:space="0" w:color="auto"/>
              <w:right w:val="nil"/>
            </w:tcBorders>
          </w:tcPr>
          <w:p w14:paraId="4C0F8A4D" w14:textId="77777777" w:rsidR="0058338A" w:rsidRPr="00531B03" w:rsidRDefault="0058338A" w:rsidP="00D21251">
            <w:pPr>
              <w:widowControl w:val="0"/>
              <w:rPr>
                <w:color w:val="000000"/>
                <w:sz w:val="20"/>
                <w:szCs w:val="20"/>
              </w:rPr>
            </w:pPr>
            <w:r w:rsidRPr="00531B03">
              <w:rPr>
                <w:color w:val="000000"/>
                <w:sz w:val="20"/>
                <w:szCs w:val="20"/>
              </w:rPr>
              <w:t>ili</w:t>
            </w:r>
          </w:p>
        </w:tc>
        <w:tc>
          <w:tcPr>
            <w:tcW w:w="1702" w:type="dxa"/>
            <w:tcBorders>
              <w:top w:val="single" w:sz="4" w:space="0" w:color="auto"/>
              <w:left w:val="nil"/>
              <w:bottom w:val="single" w:sz="4" w:space="0" w:color="auto"/>
              <w:right w:val="nil"/>
            </w:tcBorders>
          </w:tcPr>
          <w:p w14:paraId="0B39842B" w14:textId="77777777" w:rsidR="0058338A" w:rsidRPr="00531B03" w:rsidRDefault="0058338A" w:rsidP="00D21251">
            <w:pPr>
              <w:widowControl w:val="0"/>
              <w:rPr>
                <w:b/>
                <w:color w:val="000000"/>
                <w:sz w:val="20"/>
                <w:szCs w:val="20"/>
              </w:rPr>
            </w:pPr>
            <w:r w:rsidRPr="00531B03">
              <w:rPr>
                <w:b/>
                <w:color w:val="000000"/>
                <w:sz w:val="20"/>
                <w:szCs w:val="20"/>
              </w:rPr>
              <w:t>&lt;300 </w:t>
            </w:r>
          </w:p>
          <w:p w14:paraId="38901115" w14:textId="77777777" w:rsidR="0058338A" w:rsidRPr="00531B03" w:rsidRDefault="00017625" w:rsidP="005F6A60">
            <w:pPr>
              <w:widowControl w:val="0"/>
              <w:rPr>
                <w:b/>
                <w:color w:val="000000"/>
                <w:sz w:val="20"/>
                <w:szCs w:val="20"/>
              </w:rPr>
            </w:pPr>
            <w:r w:rsidRPr="00531B03">
              <w:rPr>
                <w:b/>
                <w:color w:val="000000"/>
                <w:sz w:val="20"/>
                <w:szCs w:val="20"/>
                <w:lang w:val="sr-Latn-CS"/>
              </w:rPr>
              <w:t>µg</w:t>
            </w:r>
            <w:r w:rsidR="0058338A" w:rsidRPr="00531B03">
              <w:rPr>
                <w:b/>
                <w:color w:val="000000"/>
                <w:sz w:val="20"/>
                <w:szCs w:val="20"/>
              </w:rPr>
              <w:t>/</w:t>
            </w:r>
            <w:r w:rsidR="005F6A60" w:rsidRPr="00531B03">
              <w:rPr>
                <w:b/>
                <w:color w:val="000000"/>
                <w:sz w:val="20"/>
                <w:szCs w:val="20"/>
              </w:rPr>
              <w:t>l</w:t>
            </w:r>
          </w:p>
        </w:tc>
      </w:tr>
      <w:tr w:rsidR="0058338A" w:rsidRPr="00474536" w14:paraId="4A9A7B29" w14:textId="77777777" w:rsidTr="00D21251">
        <w:tc>
          <w:tcPr>
            <w:tcW w:w="1758" w:type="dxa"/>
            <w:tcBorders>
              <w:top w:val="single" w:sz="4" w:space="0" w:color="auto"/>
              <w:left w:val="nil"/>
              <w:bottom w:val="single" w:sz="4" w:space="0" w:color="auto"/>
              <w:right w:val="nil"/>
            </w:tcBorders>
          </w:tcPr>
          <w:p w14:paraId="40B87434" w14:textId="77777777" w:rsidR="0058338A" w:rsidRPr="00531B03" w:rsidRDefault="0058338A" w:rsidP="00D21251">
            <w:pPr>
              <w:widowControl w:val="0"/>
              <w:rPr>
                <w:b/>
                <w:color w:val="000000"/>
                <w:sz w:val="20"/>
                <w:szCs w:val="20"/>
              </w:rPr>
            </w:pPr>
            <w:r w:rsidRPr="00531B03">
              <w:rPr>
                <w:b/>
                <w:color w:val="000000"/>
                <w:sz w:val="20"/>
                <w:szCs w:val="20"/>
                <w:lang w:val="fr-FR"/>
              </w:rPr>
              <w:t>Ponovno započinjanje terapije</w:t>
            </w:r>
          </w:p>
        </w:tc>
        <w:tc>
          <w:tcPr>
            <w:tcW w:w="1661" w:type="dxa"/>
            <w:tcBorders>
              <w:top w:val="single" w:sz="4" w:space="0" w:color="auto"/>
              <w:left w:val="nil"/>
              <w:bottom w:val="single" w:sz="4" w:space="0" w:color="auto"/>
              <w:right w:val="nil"/>
            </w:tcBorders>
          </w:tcPr>
          <w:p w14:paraId="7F4EBB64" w14:textId="77777777" w:rsidR="0058338A" w:rsidRPr="00531B03" w:rsidRDefault="0058338A" w:rsidP="00D21251">
            <w:pPr>
              <w:keepNext/>
              <w:widowControl w:val="0"/>
              <w:tabs>
                <w:tab w:val="left" w:pos="567"/>
              </w:tabs>
              <w:spacing w:line="260" w:lineRule="exact"/>
              <w:rPr>
                <w:color w:val="000000"/>
                <w:sz w:val="20"/>
                <w:szCs w:val="20"/>
                <w:lang w:val="it-IT"/>
              </w:rPr>
            </w:pPr>
          </w:p>
        </w:tc>
        <w:tc>
          <w:tcPr>
            <w:tcW w:w="2064" w:type="dxa"/>
            <w:tcBorders>
              <w:top w:val="single" w:sz="4" w:space="0" w:color="auto"/>
              <w:left w:val="nil"/>
              <w:bottom w:val="single" w:sz="4" w:space="0" w:color="auto"/>
              <w:right w:val="nil"/>
            </w:tcBorders>
          </w:tcPr>
          <w:p w14:paraId="0A77D6A1" w14:textId="77777777" w:rsidR="0058338A" w:rsidRPr="00531B03" w:rsidRDefault="0058338A" w:rsidP="00D21251">
            <w:pPr>
              <w:keepNext/>
              <w:widowControl w:val="0"/>
              <w:tabs>
                <w:tab w:val="left" w:pos="567"/>
              </w:tabs>
              <w:spacing w:line="260" w:lineRule="exact"/>
              <w:rPr>
                <w:color w:val="000000"/>
                <w:sz w:val="20"/>
                <w:szCs w:val="20"/>
                <w:lang w:val="it-IT"/>
              </w:rPr>
            </w:pPr>
          </w:p>
        </w:tc>
        <w:tc>
          <w:tcPr>
            <w:tcW w:w="4156" w:type="dxa"/>
            <w:gridSpan w:val="3"/>
            <w:tcBorders>
              <w:top w:val="single" w:sz="4" w:space="0" w:color="auto"/>
              <w:left w:val="nil"/>
              <w:bottom w:val="single" w:sz="4" w:space="0" w:color="auto"/>
              <w:right w:val="nil"/>
            </w:tcBorders>
            <w:vAlign w:val="center"/>
          </w:tcPr>
          <w:p w14:paraId="32719629" w14:textId="77777777" w:rsidR="0058338A" w:rsidRPr="00531B03" w:rsidRDefault="0058338A" w:rsidP="00D21251">
            <w:pPr>
              <w:widowControl w:val="0"/>
              <w:jc w:val="center"/>
              <w:rPr>
                <w:b/>
                <w:color w:val="000000"/>
                <w:sz w:val="20"/>
                <w:szCs w:val="20"/>
              </w:rPr>
            </w:pPr>
            <w:r w:rsidRPr="00531B03">
              <w:rPr>
                <w:b/>
                <w:color w:val="000000"/>
                <w:sz w:val="20"/>
                <w:szCs w:val="20"/>
                <w:lang w:val="fr-FR"/>
              </w:rPr>
              <w:t>Ne preporučuje se</w:t>
            </w:r>
          </w:p>
        </w:tc>
      </w:tr>
    </w:tbl>
    <w:p w14:paraId="2373ACB0" w14:textId="77777777" w:rsidR="0058338A" w:rsidRPr="00D21251" w:rsidRDefault="0058338A" w:rsidP="0058338A">
      <w:pPr>
        <w:rPr>
          <w:color w:val="000000"/>
          <w:sz w:val="22"/>
          <w:szCs w:val="22"/>
          <w:lang w:val="it-IT"/>
        </w:rPr>
      </w:pPr>
      <w:r w:rsidRPr="00D21251">
        <w:rPr>
          <w:color w:val="000000"/>
          <w:sz w:val="22"/>
          <w:szCs w:val="22"/>
        </w:rPr>
        <w:t xml:space="preserve">*LIC (engl. </w:t>
      </w:r>
      <w:r w:rsidRPr="00D21251">
        <w:rPr>
          <w:i/>
          <w:color w:val="000000"/>
          <w:sz w:val="22"/>
          <w:szCs w:val="22"/>
          <w:lang w:val="it-IT"/>
        </w:rPr>
        <w:t>Liver Iron Concentration</w:t>
      </w:r>
      <w:r w:rsidRPr="00D21251">
        <w:rPr>
          <w:color w:val="000000"/>
          <w:sz w:val="22"/>
          <w:szCs w:val="22"/>
          <w:lang w:val="it-IT"/>
        </w:rPr>
        <w:t xml:space="preserve">) je preferirana metoda za određivanje prepoterećenja gvožđem </w:t>
      </w:r>
    </w:p>
    <w:p w14:paraId="27B498C8" w14:textId="77777777" w:rsidR="0071118F" w:rsidRDefault="0071118F" w:rsidP="0058338A">
      <w:pPr>
        <w:rPr>
          <w:i/>
          <w:sz w:val="22"/>
          <w:szCs w:val="22"/>
          <w:lang w:val="sr-Latn-CS"/>
        </w:rPr>
      </w:pPr>
    </w:p>
    <w:p w14:paraId="5655F703" w14:textId="77777777" w:rsidR="0058338A" w:rsidRPr="00D21251" w:rsidRDefault="0058338A" w:rsidP="00531B03">
      <w:pPr>
        <w:jc w:val="both"/>
        <w:rPr>
          <w:i/>
          <w:sz w:val="22"/>
          <w:szCs w:val="22"/>
          <w:lang w:val="sr-Latn-CS"/>
        </w:rPr>
      </w:pPr>
      <w:r w:rsidRPr="00D21251">
        <w:rPr>
          <w:i/>
          <w:sz w:val="22"/>
          <w:szCs w:val="22"/>
          <w:lang w:val="sr-Latn-CS"/>
        </w:rPr>
        <w:t>Početna doza</w:t>
      </w:r>
    </w:p>
    <w:p w14:paraId="75600203" w14:textId="57DC2CEF" w:rsidR="0058338A" w:rsidRPr="00D21251" w:rsidRDefault="0058338A" w:rsidP="00531B03">
      <w:pPr>
        <w:jc w:val="both"/>
        <w:rPr>
          <w:sz w:val="22"/>
          <w:szCs w:val="22"/>
          <w:lang w:val="sr-Latn-CS"/>
        </w:rPr>
      </w:pPr>
      <w:r w:rsidRPr="00D21251">
        <w:rPr>
          <w:sz w:val="22"/>
          <w:szCs w:val="22"/>
          <w:lang w:val="sr-Latn-CS"/>
        </w:rPr>
        <w:t xml:space="preserve">Preporučena početna dnevna doza </w:t>
      </w:r>
      <w:r w:rsidR="00344FF6">
        <w:rPr>
          <w:sz w:val="22"/>
          <w:szCs w:val="22"/>
          <w:lang w:val="sr-Latn-CS"/>
        </w:rPr>
        <w:t>lijek</w:t>
      </w:r>
      <w:r w:rsidRPr="00D21251">
        <w:rPr>
          <w:sz w:val="22"/>
          <w:szCs w:val="22"/>
          <w:lang w:val="sr-Latn-CS"/>
        </w:rPr>
        <w:t>a Exjade, film tablete kod pacijenata sa talasemijskim sindromima koji ne zavise od transfuzije krvi je 7 mg/kg t</w:t>
      </w:r>
      <w:r w:rsidR="0071118F">
        <w:rPr>
          <w:sz w:val="22"/>
          <w:szCs w:val="22"/>
          <w:lang w:val="sr-Latn-CS"/>
        </w:rPr>
        <w:t>j</w:t>
      </w:r>
      <w:r w:rsidRPr="00D21251">
        <w:rPr>
          <w:sz w:val="22"/>
          <w:szCs w:val="22"/>
          <w:lang w:val="sr-Latn-CS"/>
        </w:rPr>
        <w:t>elesne mase.</w:t>
      </w:r>
    </w:p>
    <w:p w14:paraId="542EFCFA" w14:textId="77777777" w:rsidR="00AE3826" w:rsidRDefault="00AE3826" w:rsidP="00531B03">
      <w:pPr>
        <w:jc w:val="both"/>
        <w:rPr>
          <w:i/>
          <w:sz w:val="22"/>
          <w:szCs w:val="22"/>
          <w:lang w:val="sr-Latn-CS"/>
        </w:rPr>
      </w:pPr>
    </w:p>
    <w:p w14:paraId="29ABF670" w14:textId="77777777" w:rsidR="0058338A" w:rsidRPr="00D21251" w:rsidRDefault="0058338A" w:rsidP="00531B03">
      <w:pPr>
        <w:jc w:val="both"/>
        <w:rPr>
          <w:i/>
          <w:sz w:val="22"/>
          <w:szCs w:val="22"/>
          <w:lang w:val="sr-Latn-CS"/>
        </w:rPr>
      </w:pPr>
      <w:r w:rsidRPr="00D21251">
        <w:rPr>
          <w:i/>
          <w:sz w:val="22"/>
          <w:szCs w:val="22"/>
          <w:lang w:val="sr-Latn-CS"/>
        </w:rPr>
        <w:t>Prilagođavanje doze</w:t>
      </w:r>
    </w:p>
    <w:p w14:paraId="4519E494" w14:textId="77777777" w:rsidR="0058338A" w:rsidRPr="00D21251" w:rsidRDefault="0058338A" w:rsidP="00531B03">
      <w:pPr>
        <w:jc w:val="both"/>
        <w:rPr>
          <w:sz w:val="22"/>
          <w:szCs w:val="22"/>
          <w:lang w:val="sr-Latn-CS"/>
        </w:rPr>
      </w:pPr>
      <w:r w:rsidRPr="00D21251">
        <w:rPr>
          <w:sz w:val="22"/>
          <w:szCs w:val="22"/>
          <w:lang w:val="sr-Latn-CS"/>
        </w:rPr>
        <w:t xml:space="preserve">Preporučuje se da se prati </w:t>
      </w:r>
      <w:r w:rsidR="0071118F">
        <w:rPr>
          <w:sz w:val="22"/>
          <w:szCs w:val="22"/>
          <w:lang w:val="sr-Latn-CS"/>
        </w:rPr>
        <w:t>vrijednost</w:t>
      </w:r>
      <w:r w:rsidRPr="00D21251">
        <w:rPr>
          <w:sz w:val="22"/>
          <w:szCs w:val="22"/>
          <w:lang w:val="sr-Latn-CS"/>
        </w:rPr>
        <w:t xml:space="preserve"> serumskog feritina svakog </w:t>
      </w:r>
      <w:r w:rsidR="0071118F">
        <w:rPr>
          <w:sz w:val="22"/>
          <w:szCs w:val="22"/>
          <w:lang w:val="sr-Latn-CS"/>
        </w:rPr>
        <w:t>mjesec</w:t>
      </w:r>
      <w:r w:rsidRPr="00D21251">
        <w:rPr>
          <w:sz w:val="22"/>
          <w:szCs w:val="22"/>
          <w:lang w:val="sr-Latn-CS"/>
        </w:rPr>
        <w:t>a</w:t>
      </w:r>
      <w:r w:rsidR="005F6A60">
        <w:rPr>
          <w:sz w:val="22"/>
          <w:szCs w:val="22"/>
          <w:lang w:val="sr-Latn-CS"/>
        </w:rPr>
        <w:t>,</w:t>
      </w:r>
      <w:r w:rsidRPr="00D21251">
        <w:rPr>
          <w:sz w:val="22"/>
          <w:szCs w:val="22"/>
          <w:lang w:val="sr-Latn-CS"/>
        </w:rPr>
        <w:t xml:space="preserve"> da bi se </w:t>
      </w:r>
      <w:r w:rsidR="000F5050">
        <w:rPr>
          <w:sz w:val="22"/>
          <w:szCs w:val="22"/>
          <w:lang w:val="sr-Latn-CS"/>
        </w:rPr>
        <w:t>proc</w:t>
      </w:r>
      <w:r w:rsidR="00F90136">
        <w:rPr>
          <w:sz w:val="22"/>
          <w:szCs w:val="22"/>
          <w:lang w:val="sr-Latn-CS"/>
        </w:rPr>
        <w:t>i</w:t>
      </w:r>
      <w:r w:rsidR="000F5050">
        <w:rPr>
          <w:sz w:val="22"/>
          <w:szCs w:val="22"/>
          <w:lang w:val="sr-Latn-CS"/>
        </w:rPr>
        <w:t>jen</w:t>
      </w:r>
      <w:r w:rsidRPr="00D21251">
        <w:rPr>
          <w:sz w:val="22"/>
          <w:szCs w:val="22"/>
          <w:lang w:val="sr-Latn-CS"/>
        </w:rPr>
        <w:t>io odgovor pacijenta na terapiju i da bi se smanjio rizik od prekom</w:t>
      </w:r>
      <w:r w:rsidR="000F5050">
        <w:rPr>
          <w:sz w:val="22"/>
          <w:szCs w:val="22"/>
          <w:lang w:val="sr-Latn-CS"/>
        </w:rPr>
        <w:t>j</w:t>
      </w:r>
      <w:r w:rsidRPr="00D21251">
        <w:rPr>
          <w:sz w:val="22"/>
          <w:szCs w:val="22"/>
          <w:lang w:val="sr-Latn-CS"/>
        </w:rPr>
        <w:t>erne helacije (</w:t>
      </w:r>
      <w:r w:rsidR="009E320F">
        <w:rPr>
          <w:sz w:val="22"/>
          <w:szCs w:val="22"/>
          <w:lang w:val="sr-Latn-CS"/>
        </w:rPr>
        <w:t xml:space="preserve">vidjeti </w:t>
      </w:r>
      <w:r w:rsidR="00017625">
        <w:rPr>
          <w:sz w:val="22"/>
          <w:szCs w:val="22"/>
          <w:lang w:val="sr-Latn-CS"/>
        </w:rPr>
        <w:t>dio</w:t>
      </w:r>
      <w:r w:rsidR="00017625" w:rsidRPr="00D21251">
        <w:rPr>
          <w:sz w:val="22"/>
          <w:szCs w:val="22"/>
          <w:lang w:val="sr-Latn-CS"/>
        </w:rPr>
        <w:t xml:space="preserve"> </w:t>
      </w:r>
      <w:r w:rsidRPr="00D21251">
        <w:rPr>
          <w:sz w:val="22"/>
          <w:szCs w:val="22"/>
          <w:lang w:val="sr-Latn-CS"/>
        </w:rPr>
        <w:t xml:space="preserve">4.4). Nakon svakih 3 do 6 </w:t>
      </w:r>
      <w:r w:rsidR="0071118F">
        <w:rPr>
          <w:sz w:val="22"/>
          <w:szCs w:val="22"/>
          <w:lang w:val="sr-Latn-CS"/>
        </w:rPr>
        <w:t>mjesec</w:t>
      </w:r>
      <w:r w:rsidRPr="00D21251">
        <w:rPr>
          <w:sz w:val="22"/>
          <w:szCs w:val="22"/>
          <w:lang w:val="sr-Latn-CS"/>
        </w:rPr>
        <w:t xml:space="preserve">i terapije, potrebno je razmotriti mogućnost povećanja doze postepeno u koracima od 3,5 mg/kg do 7 mg/kg, ukoliko je LIC ≥7 mg Fe/g suvog tkiva jetre ili ukoliko je </w:t>
      </w:r>
      <w:r w:rsidR="0071118F">
        <w:rPr>
          <w:sz w:val="22"/>
          <w:szCs w:val="22"/>
          <w:lang w:val="sr-Latn-CS"/>
        </w:rPr>
        <w:t>vrijednost</w:t>
      </w:r>
      <w:r w:rsidRPr="00D21251">
        <w:rPr>
          <w:sz w:val="22"/>
          <w:szCs w:val="22"/>
          <w:lang w:val="sr-Latn-CS"/>
        </w:rPr>
        <w:t xml:space="preserve"> serumskog </w:t>
      </w:r>
      <w:r w:rsidRPr="00D21251">
        <w:rPr>
          <w:sz w:val="22"/>
          <w:szCs w:val="22"/>
          <w:lang w:val="sr-Latn-CS"/>
        </w:rPr>
        <w:lastRenderedPageBreak/>
        <w:t>feritina konstantno preko 2000 </w:t>
      </w:r>
      <w:r w:rsidR="00017625" w:rsidRPr="00017625">
        <w:rPr>
          <w:color w:val="000000"/>
          <w:sz w:val="22"/>
          <w:szCs w:val="22"/>
          <w:lang w:val="sr-Latn-CS"/>
        </w:rPr>
        <w:t>µg</w:t>
      </w:r>
      <w:r w:rsidRPr="00D21251">
        <w:rPr>
          <w:sz w:val="22"/>
          <w:szCs w:val="22"/>
          <w:lang w:val="sr-Latn-CS"/>
        </w:rPr>
        <w:t>/</w:t>
      </w:r>
      <w:r w:rsidR="00B708F8">
        <w:rPr>
          <w:sz w:val="22"/>
          <w:szCs w:val="22"/>
          <w:lang w:val="sr-Latn-CS"/>
        </w:rPr>
        <w:t>l</w:t>
      </w:r>
      <w:r w:rsidR="00B708F8" w:rsidRPr="00D21251">
        <w:rPr>
          <w:sz w:val="22"/>
          <w:szCs w:val="22"/>
          <w:lang w:val="sr-Latn-CS"/>
        </w:rPr>
        <w:t xml:space="preserve"> </w:t>
      </w:r>
      <w:r w:rsidRPr="00D21251">
        <w:rPr>
          <w:sz w:val="22"/>
          <w:szCs w:val="22"/>
          <w:lang w:val="sr-Latn-CS"/>
        </w:rPr>
        <w:t xml:space="preserve">i ne pokazuje opadajući trend tokom vremena, a pacijent dobro podnosi </w:t>
      </w:r>
      <w:r w:rsidR="00344FF6">
        <w:rPr>
          <w:sz w:val="22"/>
          <w:szCs w:val="22"/>
          <w:lang w:val="sr-Latn-CS"/>
        </w:rPr>
        <w:t>lijek</w:t>
      </w:r>
      <w:r w:rsidRPr="00D21251">
        <w:rPr>
          <w:sz w:val="22"/>
          <w:szCs w:val="22"/>
          <w:lang w:val="sr-Latn-CS"/>
        </w:rPr>
        <w:t xml:space="preserve">. </w:t>
      </w:r>
      <w:r w:rsidRPr="00D21251">
        <w:rPr>
          <w:sz w:val="22"/>
          <w:szCs w:val="22"/>
        </w:rPr>
        <w:t>Ne</w:t>
      </w:r>
      <w:r w:rsidRPr="00D21251">
        <w:rPr>
          <w:spacing w:val="-3"/>
          <w:sz w:val="22"/>
          <w:szCs w:val="22"/>
          <w:lang w:val="sr-Latn-CS"/>
        </w:rPr>
        <w:t xml:space="preserve"> </w:t>
      </w:r>
      <w:r w:rsidRPr="00D21251">
        <w:rPr>
          <w:sz w:val="22"/>
          <w:szCs w:val="22"/>
        </w:rPr>
        <w:t>preporu</w:t>
      </w:r>
      <w:r w:rsidRPr="00D21251">
        <w:rPr>
          <w:sz w:val="22"/>
          <w:szCs w:val="22"/>
          <w:lang w:val="sr-Latn-CS"/>
        </w:rPr>
        <w:t>č</w:t>
      </w:r>
      <w:r w:rsidRPr="00D21251">
        <w:rPr>
          <w:sz w:val="22"/>
          <w:szCs w:val="22"/>
        </w:rPr>
        <w:t>uje</w:t>
      </w:r>
      <w:r w:rsidRPr="00D21251">
        <w:rPr>
          <w:spacing w:val="-10"/>
          <w:sz w:val="22"/>
          <w:szCs w:val="22"/>
          <w:lang w:val="sr-Latn-CS"/>
        </w:rPr>
        <w:t xml:space="preserve"> </w:t>
      </w:r>
      <w:r w:rsidRPr="00D21251">
        <w:rPr>
          <w:spacing w:val="-1"/>
          <w:sz w:val="22"/>
          <w:szCs w:val="22"/>
        </w:rPr>
        <w:t>s</w:t>
      </w:r>
      <w:r w:rsidRPr="00D21251">
        <w:rPr>
          <w:sz w:val="22"/>
          <w:szCs w:val="22"/>
        </w:rPr>
        <w:t>e</w:t>
      </w:r>
      <w:r w:rsidRPr="00D21251">
        <w:rPr>
          <w:spacing w:val="-2"/>
          <w:sz w:val="22"/>
          <w:szCs w:val="22"/>
          <w:lang w:val="sr-Latn-CS"/>
        </w:rPr>
        <w:t xml:space="preserve"> prim</w:t>
      </w:r>
      <w:r w:rsidR="00344FF6">
        <w:rPr>
          <w:spacing w:val="-2"/>
          <w:sz w:val="22"/>
          <w:szCs w:val="22"/>
          <w:lang w:val="sr-Latn-CS"/>
        </w:rPr>
        <w:t>j</w:t>
      </w:r>
      <w:r w:rsidRPr="00D21251">
        <w:rPr>
          <w:spacing w:val="-2"/>
          <w:sz w:val="22"/>
          <w:szCs w:val="22"/>
          <w:lang w:val="sr-Latn-CS"/>
        </w:rPr>
        <w:t xml:space="preserve">ena </w:t>
      </w:r>
      <w:r w:rsidRPr="00D21251">
        <w:rPr>
          <w:sz w:val="22"/>
          <w:szCs w:val="22"/>
        </w:rPr>
        <w:t>doza</w:t>
      </w:r>
      <w:r w:rsidR="00941179">
        <w:rPr>
          <w:sz w:val="22"/>
          <w:szCs w:val="22"/>
        </w:rPr>
        <w:t xml:space="preserve"> </w:t>
      </w:r>
      <w:r w:rsidR="00941179">
        <w:rPr>
          <w:sz w:val="22"/>
          <w:szCs w:val="22"/>
          <w:lang w:val="sr-Latn-CS"/>
        </w:rPr>
        <w:t>lijeka Exjade film tablete</w:t>
      </w:r>
      <w:r w:rsidRPr="00D21251">
        <w:rPr>
          <w:spacing w:val="-3"/>
          <w:sz w:val="22"/>
          <w:szCs w:val="22"/>
          <w:lang w:val="sr-Latn-CS"/>
        </w:rPr>
        <w:t xml:space="preserve"> </w:t>
      </w:r>
      <w:r w:rsidRPr="00D21251">
        <w:rPr>
          <w:sz w:val="22"/>
          <w:szCs w:val="22"/>
        </w:rPr>
        <w:t>iznad</w:t>
      </w:r>
      <w:r w:rsidRPr="00D21251">
        <w:rPr>
          <w:spacing w:val="-4"/>
          <w:sz w:val="22"/>
          <w:szCs w:val="22"/>
          <w:lang w:val="sr-Latn-CS"/>
        </w:rPr>
        <w:t xml:space="preserve"> 14</w:t>
      </w:r>
      <w:r w:rsidRPr="00D21251">
        <w:rPr>
          <w:spacing w:val="-1"/>
          <w:sz w:val="22"/>
          <w:szCs w:val="22"/>
          <w:lang w:val="sr-Latn-CS"/>
        </w:rPr>
        <w:t> </w:t>
      </w:r>
      <w:r w:rsidRPr="00D21251">
        <w:rPr>
          <w:spacing w:val="-2"/>
          <w:sz w:val="22"/>
          <w:szCs w:val="22"/>
        </w:rPr>
        <w:t>m</w:t>
      </w:r>
      <w:r w:rsidRPr="00D21251">
        <w:rPr>
          <w:spacing w:val="1"/>
          <w:sz w:val="22"/>
          <w:szCs w:val="22"/>
        </w:rPr>
        <w:t>g</w:t>
      </w:r>
      <w:r w:rsidRPr="00D21251">
        <w:rPr>
          <w:sz w:val="22"/>
          <w:szCs w:val="22"/>
          <w:lang w:val="sr-Latn-CS"/>
        </w:rPr>
        <w:t>/</w:t>
      </w:r>
      <w:r w:rsidRPr="00D21251">
        <w:rPr>
          <w:sz w:val="22"/>
          <w:szCs w:val="22"/>
        </w:rPr>
        <w:t>kg</w:t>
      </w:r>
      <w:r w:rsidRPr="00D21251">
        <w:rPr>
          <w:sz w:val="22"/>
          <w:szCs w:val="22"/>
          <w:lang w:val="sr-Latn-CS"/>
        </w:rPr>
        <w:t>,</w:t>
      </w:r>
      <w:r w:rsidRPr="00D21251">
        <w:rPr>
          <w:spacing w:val="-5"/>
          <w:sz w:val="22"/>
          <w:szCs w:val="22"/>
          <w:lang w:val="sr-Latn-CS"/>
        </w:rPr>
        <w:t xml:space="preserve"> s </w:t>
      </w:r>
      <w:r w:rsidRPr="00D21251">
        <w:rPr>
          <w:sz w:val="22"/>
          <w:szCs w:val="22"/>
        </w:rPr>
        <w:t>ob</w:t>
      </w:r>
      <w:r w:rsidRPr="00D21251">
        <w:rPr>
          <w:spacing w:val="-1"/>
          <w:sz w:val="22"/>
          <w:szCs w:val="22"/>
        </w:rPr>
        <w:t>z</w:t>
      </w:r>
      <w:r w:rsidRPr="00D21251">
        <w:rPr>
          <w:sz w:val="22"/>
          <w:szCs w:val="22"/>
        </w:rPr>
        <w:t>irom</w:t>
      </w:r>
      <w:r w:rsidRPr="00D21251">
        <w:rPr>
          <w:spacing w:val="-8"/>
          <w:sz w:val="22"/>
          <w:szCs w:val="22"/>
          <w:lang w:val="sr-Latn-CS"/>
        </w:rPr>
        <w:t xml:space="preserve"> </w:t>
      </w:r>
      <w:proofErr w:type="gramStart"/>
      <w:r w:rsidRPr="00D21251">
        <w:rPr>
          <w:spacing w:val="-8"/>
          <w:sz w:val="22"/>
          <w:szCs w:val="22"/>
          <w:lang w:val="sr-Latn-CS"/>
        </w:rPr>
        <w:t>na</w:t>
      </w:r>
      <w:proofErr w:type="gramEnd"/>
      <w:r w:rsidRPr="00D21251">
        <w:rPr>
          <w:spacing w:val="-8"/>
          <w:sz w:val="22"/>
          <w:szCs w:val="22"/>
          <w:lang w:val="sr-Latn-CS"/>
        </w:rPr>
        <w:t xml:space="preserve"> to </w:t>
      </w:r>
      <w:r w:rsidRPr="00D21251">
        <w:rPr>
          <w:sz w:val="22"/>
          <w:szCs w:val="22"/>
        </w:rPr>
        <w:t>da</w:t>
      </w:r>
      <w:r w:rsidRPr="00D21251">
        <w:rPr>
          <w:spacing w:val="-2"/>
          <w:sz w:val="22"/>
          <w:szCs w:val="22"/>
          <w:lang w:val="sr-Latn-CS"/>
        </w:rPr>
        <w:t xml:space="preserve"> </w:t>
      </w:r>
      <w:r w:rsidRPr="00D21251">
        <w:rPr>
          <w:sz w:val="22"/>
          <w:szCs w:val="22"/>
        </w:rPr>
        <w:t>nema</w:t>
      </w:r>
      <w:r w:rsidRPr="00D21251">
        <w:rPr>
          <w:spacing w:val="-2"/>
          <w:sz w:val="22"/>
          <w:szCs w:val="22"/>
          <w:lang w:val="sr-Latn-CS"/>
        </w:rPr>
        <w:t xml:space="preserve"> </w:t>
      </w:r>
      <w:r w:rsidRPr="00D21251">
        <w:rPr>
          <w:sz w:val="22"/>
          <w:szCs w:val="22"/>
        </w:rPr>
        <w:t>iskustva</w:t>
      </w:r>
      <w:r w:rsidRPr="00D21251">
        <w:rPr>
          <w:spacing w:val="-8"/>
          <w:sz w:val="22"/>
          <w:szCs w:val="22"/>
          <w:lang w:val="sr-Latn-CS"/>
        </w:rPr>
        <w:t xml:space="preserve"> </w:t>
      </w:r>
      <w:r w:rsidRPr="00D21251">
        <w:rPr>
          <w:sz w:val="22"/>
          <w:szCs w:val="22"/>
        </w:rPr>
        <w:t>sa</w:t>
      </w:r>
      <w:r w:rsidRPr="00D21251">
        <w:rPr>
          <w:sz w:val="22"/>
          <w:szCs w:val="22"/>
          <w:lang w:val="sr-Latn-CS"/>
        </w:rPr>
        <w:t xml:space="preserve"> </w:t>
      </w:r>
      <w:r w:rsidRPr="00D21251">
        <w:rPr>
          <w:sz w:val="22"/>
          <w:szCs w:val="22"/>
        </w:rPr>
        <w:t>prim</w:t>
      </w:r>
      <w:r w:rsidR="00344FF6">
        <w:rPr>
          <w:sz w:val="22"/>
          <w:szCs w:val="22"/>
        </w:rPr>
        <w:t>j</w:t>
      </w:r>
      <w:r w:rsidRPr="00D21251">
        <w:rPr>
          <w:sz w:val="22"/>
          <w:szCs w:val="22"/>
        </w:rPr>
        <w:t>enom</w:t>
      </w:r>
      <w:r w:rsidRPr="00D21251">
        <w:rPr>
          <w:sz w:val="22"/>
          <w:szCs w:val="22"/>
          <w:lang w:val="sr-Latn-CS"/>
        </w:rPr>
        <w:t xml:space="preserve"> </w:t>
      </w:r>
      <w:r w:rsidRPr="00D21251">
        <w:rPr>
          <w:sz w:val="22"/>
          <w:szCs w:val="22"/>
        </w:rPr>
        <w:t>ovih</w:t>
      </w:r>
      <w:r w:rsidRPr="00D21251">
        <w:rPr>
          <w:sz w:val="22"/>
          <w:szCs w:val="22"/>
          <w:lang w:val="sr-Latn-CS"/>
        </w:rPr>
        <w:t xml:space="preserve"> </w:t>
      </w:r>
      <w:r w:rsidRPr="00D21251">
        <w:rPr>
          <w:sz w:val="22"/>
          <w:szCs w:val="22"/>
        </w:rPr>
        <w:t>doza</w:t>
      </w:r>
      <w:r w:rsidRPr="00D21251">
        <w:rPr>
          <w:spacing w:val="-7"/>
          <w:sz w:val="22"/>
          <w:szCs w:val="22"/>
          <w:lang w:val="sr-Latn-CS"/>
        </w:rPr>
        <w:t xml:space="preserve"> </w:t>
      </w:r>
      <w:r w:rsidRPr="00D21251">
        <w:rPr>
          <w:sz w:val="22"/>
          <w:szCs w:val="22"/>
        </w:rPr>
        <w:t>kod</w:t>
      </w:r>
      <w:r w:rsidRPr="00D21251">
        <w:rPr>
          <w:sz w:val="22"/>
          <w:szCs w:val="22"/>
          <w:lang w:val="sr-Latn-CS"/>
        </w:rPr>
        <w:t xml:space="preserve"> </w:t>
      </w:r>
      <w:r w:rsidRPr="00D21251">
        <w:rPr>
          <w:sz w:val="22"/>
          <w:szCs w:val="22"/>
        </w:rPr>
        <w:t>pacijenata</w:t>
      </w:r>
      <w:r w:rsidRPr="00D21251">
        <w:rPr>
          <w:sz w:val="22"/>
          <w:szCs w:val="22"/>
          <w:lang w:val="sr-Latn-CS"/>
        </w:rPr>
        <w:t xml:space="preserve"> </w:t>
      </w:r>
      <w:r w:rsidRPr="00D21251">
        <w:rPr>
          <w:sz w:val="22"/>
          <w:szCs w:val="22"/>
        </w:rPr>
        <w:t>sa</w:t>
      </w:r>
      <w:r w:rsidRPr="00D21251">
        <w:rPr>
          <w:spacing w:val="-1"/>
          <w:sz w:val="22"/>
          <w:szCs w:val="22"/>
          <w:lang w:val="sr-Latn-CS"/>
        </w:rPr>
        <w:t xml:space="preserve"> </w:t>
      </w:r>
      <w:r w:rsidRPr="00D21251">
        <w:rPr>
          <w:sz w:val="22"/>
          <w:szCs w:val="22"/>
        </w:rPr>
        <w:t>talasemijsk</w:t>
      </w:r>
      <w:r w:rsidRPr="00D21251">
        <w:rPr>
          <w:spacing w:val="2"/>
          <w:sz w:val="22"/>
          <w:szCs w:val="22"/>
        </w:rPr>
        <w:t>i</w:t>
      </w:r>
      <w:r w:rsidRPr="00D21251">
        <w:rPr>
          <w:sz w:val="22"/>
          <w:szCs w:val="22"/>
        </w:rPr>
        <w:t>m</w:t>
      </w:r>
      <w:r w:rsidRPr="00D21251">
        <w:rPr>
          <w:spacing w:val="-13"/>
          <w:sz w:val="22"/>
          <w:szCs w:val="22"/>
          <w:lang w:val="sr-Latn-CS"/>
        </w:rPr>
        <w:t xml:space="preserve"> </w:t>
      </w:r>
      <w:r w:rsidRPr="00D21251">
        <w:rPr>
          <w:sz w:val="22"/>
          <w:szCs w:val="22"/>
        </w:rPr>
        <w:t>sindro</w:t>
      </w:r>
      <w:r w:rsidRPr="00D21251">
        <w:rPr>
          <w:spacing w:val="-2"/>
          <w:sz w:val="22"/>
          <w:szCs w:val="22"/>
        </w:rPr>
        <w:t>m</w:t>
      </w:r>
      <w:r w:rsidRPr="00D21251">
        <w:rPr>
          <w:spacing w:val="1"/>
          <w:sz w:val="22"/>
          <w:szCs w:val="22"/>
        </w:rPr>
        <w:t>i</w:t>
      </w:r>
      <w:r w:rsidRPr="00D21251">
        <w:rPr>
          <w:sz w:val="22"/>
          <w:szCs w:val="22"/>
        </w:rPr>
        <w:t>ma</w:t>
      </w:r>
      <w:r w:rsidRPr="00D21251">
        <w:rPr>
          <w:spacing w:val="-11"/>
          <w:sz w:val="22"/>
          <w:szCs w:val="22"/>
          <w:lang w:val="sr-Latn-CS"/>
        </w:rPr>
        <w:t xml:space="preserve"> koji </w:t>
      </w:r>
      <w:r w:rsidRPr="00D21251">
        <w:rPr>
          <w:sz w:val="22"/>
          <w:szCs w:val="22"/>
        </w:rPr>
        <w:t>ne</w:t>
      </w:r>
      <w:r w:rsidRPr="00531B03">
        <w:rPr>
          <w:sz w:val="22"/>
          <w:szCs w:val="22"/>
          <w:lang w:val="sr-Latn-CS"/>
        </w:rPr>
        <w:t xml:space="preserve"> </w:t>
      </w:r>
      <w:r w:rsidRPr="00D21251">
        <w:rPr>
          <w:sz w:val="22"/>
          <w:szCs w:val="22"/>
        </w:rPr>
        <w:t>zavise</w:t>
      </w:r>
      <w:r w:rsidRPr="00D21251">
        <w:rPr>
          <w:sz w:val="22"/>
          <w:szCs w:val="22"/>
          <w:lang w:val="sr-Latn-CS"/>
        </w:rPr>
        <w:t xml:space="preserve"> </w:t>
      </w:r>
      <w:r w:rsidRPr="00D21251">
        <w:rPr>
          <w:sz w:val="22"/>
          <w:szCs w:val="22"/>
        </w:rPr>
        <w:t>od</w:t>
      </w:r>
      <w:r w:rsidRPr="00D21251">
        <w:rPr>
          <w:sz w:val="22"/>
          <w:szCs w:val="22"/>
          <w:lang w:val="sr-Latn-CS"/>
        </w:rPr>
        <w:t xml:space="preserve"> </w:t>
      </w:r>
      <w:r w:rsidRPr="00D21251">
        <w:rPr>
          <w:sz w:val="22"/>
          <w:szCs w:val="22"/>
        </w:rPr>
        <w:t>transfuzije</w:t>
      </w:r>
      <w:r w:rsidRPr="00D21251">
        <w:rPr>
          <w:sz w:val="22"/>
          <w:szCs w:val="22"/>
          <w:lang w:val="sr-Latn-CS"/>
        </w:rPr>
        <w:t xml:space="preserve"> </w:t>
      </w:r>
      <w:r w:rsidRPr="00D21251">
        <w:rPr>
          <w:sz w:val="22"/>
          <w:szCs w:val="22"/>
        </w:rPr>
        <w:t>krvi</w:t>
      </w:r>
      <w:r w:rsidRPr="00D21251">
        <w:rPr>
          <w:sz w:val="22"/>
          <w:szCs w:val="22"/>
          <w:lang w:val="sr-Latn-CS"/>
        </w:rPr>
        <w:t>.</w:t>
      </w:r>
    </w:p>
    <w:p w14:paraId="0D62DCF5" w14:textId="77777777" w:rsidR="0058338A" w:rsidRPr="00D21251" w:rsidRDefault="0058338A" w:rsidP="00531B03">
      <w:pPr>
        <w:widowControl w:val="0"/>
        <w:spacing w:before="13" w:line="240" w:lineRule="exact"/>
        <w:jc w:val="both"/>
        <w:rPr>
          <w:rFonts w:eastAsia="Courier New"/>
          <w:sz w:val="22"/>
          <w:szCs w:val="22"/>
          <w:lang w:val="sr-Latn-CS"/>
        </w:rPr>
      </w:pPr>
    </w:p>
    <w:p w14:paraId="24C358A8" w14:textId="77777777" w:rsidR="0058338A" w:rsidRPr="00D21251" w:rsidRDefault="0058338A" w:rsidP="00531B03">
      <w:pPr>
        <w:jc w:val="both"/>
        <w:rPr>
          <w:sz w:val="22"/>
          <w:szCs w:val="22"/>
          <w:lang w:val="sr-Latn-CS"/>
        </w:rPr>
      </w:pPr>
      <w:r w:rsidRPr="00D21251">
        <w:rPr>
          <w:sz w:val="22"/>
          <w:szCs w:val="22"/>
          <w:lang w:val="sr-Latn-CS"/>
        </w:rPr>
        <w:t xml:space="preserve">Kod pacijenata kod kojih koncentracija LIC nije utvrđena i kod kojih je </w:t>
      </w:r>
      <w:r w:rsidR="0071118F">
        <w:rPr>
          <w:sz w:val="22"/>
          <w:szCs w:val="22"/>
          <w:lang w:val="sr-Latn-CS"/>
        </w:rPr>
        <w:t>vrijednost</w:t>
      </w:r>
      <w:r w:rsidRPr="00D21251">
        <w:rPr>
          <w:sz w:val="22"/>
          <w:szCs w:val="22"/>
          <w:lang w:val="sr-Latn-CS"/>
        </w:rPr>
        <w:t xml:space="preserve"> serumskog feritina ≤2000 </w:t>
      </w:r>
      <w:r w:rsidR="001B7D98" w:rsidRPr="001B7D98">
        <w:rPr>
          <w:sz w:val="22"/>
          <w:szCs w:val="22"/>
          <w:lang w:val="sr-Latn-CS"/>
        </w:rPr>
        <w:t>µg</w:t>
      </w:r>
      <w:r w:rsidRPr="00D21251">
        <w:rPr>
          <w:sz w:val="22"/>
          <w:szCs w:val="22"/>
          <w:lang w:val="sr-Latn-CS"/>
        </w:rPr>
        <w:t>/</w:t>
      </w:r>
      <w:r w:rsidR="00B708F8">
        <w:rPr>
          <w:sz w:val="22"/>
          <w:szCs w:val="22"/>
          <w:lang w:val="sr-Latn-CS"/>
        </w:rPr>
        <w:t>l</w:t>
      </w:r>
      <w:r w:rsidRPr="00D21251">
        <w:rPr>
          <w:sz w:val="22"/>
          <w:szCs w:val="22"/>
          <w:lang w:val="sr-Latn-CS"/>
        </w:rPr>
        <w:t xml:space="preserve">, doza </w:t>
      </w:r>
      <w:r w:rsidR="00941179">
        <w:rPr>
          <w:sz w:val="22"/>
          <w:szCs w:val="22"/>
          <w:lang w:val="sr-Latn-CS"/>
        </w:rPr>
        <w:t xml:space="preserve">lijeka Exjade film tablete </w:t>
      </w:r>
      <w:r w:rsidRPr="00D21251">
        <w:rPr>
          <w:sz w:val="22"/>
          <w:szCs w:val="22"/>
          <w:lang w:val="sr-Latn-CS"/>
        </w:rPr>
        <w:t>ne sm</w:t>
      </w:r>
      <w:r w:rsidR="000F5050">
        <w:rPr>
          <w:sz w:val="22"/>
          <w:szCs w:val="22"/>
          <w:lang w:val="sr-Latn-CS"/>
        </w:rPr>
        <w:t>ij</w:t>
      </w:r>
      <w:r w:rsidRPr="00D21251">
        <w:rPr>
          <w:sz w:val="22"/>
          <w:szCs w:val="22"/>
          <w:lang w:val="sr-Latn-CS"/>
        </w:rPr>
        <w:t>e da pređe 7 mg/kg.</w:t>
      </w:r>
    </w:p>
    <w:p w14:paraId="752CDA9A" w14:textId="77777777" w:rsidR="0058338A" w:rsidRPr="00D21251" w:rsidRDefault="0058338A" w:rsidP="00531B03">
      <w:pPr>
        <w:jc w:val="both"/>
        <w:rPr>
          <w:sz w:val="22"/>
          <w:szCs w:val="22"/>
          <w:lang w:val="sr-Latn-CS"/>
        </w:rPr>
      </w:pPr>
    </w:p>
    <w:p w14:paraId="54CB4147" w14:textId="77777777" w:rsidR="0058338A" w:rsidRPr="00D21251" w:rsidRDefault="0058338A" w:rsidP="00531B03">
      <w:pPr>
        <w:jc w:val="both"/>
        <w:rPr>
          <w:sz w:val="22"/>
          <w:szCs w:val="22"/>
          <w:lang w:val="sr-Latn-CS"/>
        </w:rPr>
      </w:pPr>
      <w:r w:rsidRPr="00D21251">
        <w:rPr>
          <w:sz w:val="22"/>
          <w:szCs w:val="22"/>
          <w:lang w:val="sr-Latn-CS"/>
        </w:rPr>
        <w:t xml:space="preserve">Kod pacijenata kod kojih se doza poveća </w:t>
      </w:r>
      <w:r w:rsidR="003E15DF">
        <w:rPr>
          <w:sz w:val="22"/>
          <w:szCs w:val="22"/>
          <w:lang w:val="sr-Latn-CS"/>
        </w:rPr>
        <w:t>na</w:t>
      </w:r>
      <w:r w:rsidR="001B7D98">
        <w:rPr>
          <w:sz w:val="22"/>
          <w:szCs w:val="22"/>
          <w:lang w:val="sr-Latn-CS"/>
        </w:rPr>
        <w:t xml:space="preserve"> </w:t>
      </w:r>
      <w:r w:rsidRPr="00D21251">
        <w:rPr>
          <w:sz w:val="22"/>
          <w:szCs w:val="22"/>
          <w:lang w:val="sr-Latn-CS"/>
        </w:rPr>
        <w:t xml:space="preserve">&gt;7 mg/kg, preporučuje se smanjenje doze na 7 mg/kg ili manje kada je LIC &lt;7 mg Fe/g suvog tkiva jetre ili je </w:t>
      </w:r>
      <w:r w:rsidR="0071118F">
        <w:rPr>
          <w:sz w:val="22"/>
          <w:szCs w:val="22"/>
          <w:lang w:val="sr-Latn-CS"/>
        </w:rPr>
        <w:t>vrijednost</w:t>
      </w:r>
      <w:r w:rsidRPr="00D21251">
        <w:rPr>
          <w:sz w:val="22"/>
          <w:szCs w:val="22"/>
          <w:lang w:val="sr-Latn-CS"/>
        </w:rPr>
        <w:t xml:space="preserve"> serumskog feritina ≤</w:t>
      </w:r>
      <w:r w:rsidR="001B7D98">
        <w:rPr>
          <w:sz w:val="22"/>
          <w:szCs w:val="22"/>
          <w:lang w:val="sr-Latn-CS"/>
        </w:rPr>
        <w:t xml:space="preserve"> </w:t>
      </w:r>
      <w:r w:rsidRPr="00D21251">
        <w:rPr>
          <w:sz w:val="22"/>
          <w:szCs w:val="22"/>
          <w:lang w:val="sr-Latn-CS"/>
        </w:rPr>
        <w:t xml:space="preserve">2000 </w:t>
      </w:r>
      <w:r w:rsidR="001B7D98" w:rsidRPr="001B7D98">
        <w:rPr>
          <w:sz w:val="22"/>
          <w:szCs w:val="22"/>
          <w:lang w:val="sr-Latn-CS"/>
        </w:rPr>
        <w:t>µg</w:t>
      </w:r>
      <w:r w:rsidRPr="00D21251">
        <w:rPr>
          <w:sz w:val="22"/>
          <w:szCs w:val="22"/>
          <w:lang w:val="sr-Latn-CS"/>
        </w:rPr>
        <w:t>/</w:t>
      </w:r>
      <w:r w:rsidR="003E15DF">
        <w:rPr>
          <w:sz w:val="22"/>
          <w:szCs w:val="22"/>
          <w:lang w:val="sr-Latn-CS"/>
        </w:rPr>
        <w:t>l</w:t>
      </w:r>
      <w:r w:rsidRPr="00D21251">
        <w:rPr>
          <w:sz w:val="22"/>
          <w:szCs w:val="22"/>
          <w:lang w:val="sr-Latn-CS"/>
        </w:rPr>
        <w:t>.</w:t>
      </w:r>
    </w:p>
    <w:p w14:paraId="14941A09" w14:textId="77777777" w:rsidR="0058338A" w:rsidRPr="00D21251" w:rsidRDefault="0058338A" w:rsidP="00531B03">
      <w:pPr>
        <w:jc w:val="both"/>
        <w:rPr>
          <w:sz w:val="22"/>
          <w:szCs w:val="22"/>
          <w:lang w:val="sr-Latn-CS"/>
        </w:rPr>
      </w:pPr>
    </w:p>
    <w:p w14:paraId="10B78B90" w14:textId="77777777" w:rsidR="0058338A" w:rsidRPr="00D21251" w:rsidRDefault="0058338A" w:rsidP="00531B03">
      <w:pPr>
        <w:jc w:val="both"/>
        <w:rPr>
          <w:i/>
          <w:sz w:val="22"/>
          <w:szCs w:val="22"/>
          <w:lang w:val="sr-Latn-CS"/>
        </w:rPr>
      </w:pPr>
      <w:r w:rsidRPr="00D21251">
        <w:rPr>
          <w:i/>
          <w:sz w:val="22"/>
          <w:szCs w:val="22"/>
          <w:lang w:val="sr-Latn-CS"/>
        </w:rPr>
        <w:t>Prekid l</w:t>
      </w:r>
      <w:r w:rsidR="000F5050">
        <w:rPr>
          <w:i/>
          <w:sz w:val="22"/>
          <w:szCs w:val="22"/>
          <w:lang w:val="sr-Latn-CS"/>
        </w:rPr>
        <w:t>ij</w:t>
      </w:r>
      <w:r w:rsidRPr="00D21251">
        <w:rPr>
          <w:i/>
          <w:sz w:val="22"/>
          <w:szCs w:val="22"/>
          <w:lang w:val="sr-Latn-CS"/>
        </w:rPr>
        <w:t>ečenja</w:t>
      </w:r>
    </w:p>
    <w:p w14:paraId="6C71C0F1" w14:textId="77777777" w:rsidR="0058338A" w:rsidRPr="00D21251" w:rsidRDefault="0058338A" w:rsidP="00531B03">
      <w:pPr>
        <w:jc w:val="both"/>
        <w:rPr>
          <w:sz w:val="22"/>
          <w:szCs w:val="22"/>
          <w:lang w:val="sr-Latn-CS"/>
        </w:rPr>
      </w:pPr>
      <w:r w:rsidRPr="00D21251">
        <w:rPr>
          <w:sz w:val="22"/>
          <w:szCs w:val="22"/>
          <w:lang w:val="sr-Latn-CS"/>
        </w:rPr>
        <w:t>Nakon što se postigne zadovoljavajuć</w:t>
      </w:r>
      <w:r w:rsidR="001B7D98">
        <w:rPr>
          <w:sz w:val="22"/>
          <w:szCs w:val="22"/>
          <w:lang w:val="sr-Latn-CS"/>
        </w:rPr>
        <w:t>i</w:t>
      </w:r>
      <w:r w:rsidRPr="00D21251">
        <w:rPr>
          <w:sz w:val="22"/>
          <w:szCs w:val="22"/>
          <w:lang w:val="sr-Latn-CS"/>
        </w:rPr>
        <w:t xml:space="preserve"> nivo gvožđa u organizmu (LIC &lt;3 mg Fe/g suvog tkiva jetre ili je </w:t>
      </w:r>
      <w:r w:rsidR="0071118F">
        <w:rPr>
          <w:sz w:val="22"/>
          <w:szCs w:val="22"/>
          <w:lang w:val="sr-Latn-CS"/>
        </w:rPr>
        <w:t>vrijednost</w:t>
      </w:r>
      <w:r w:rsidRPr="00D21251">
        <w:rPr>
          <w:sz w:val="22"/>
          <w:szCs w:val="22"/>
          <w:lang w:val="sr-Latn-CS"/>
        </w:rPr>
        <w:t xml:space="preserve"> serumskog feritina &lt;300</w:t>
      </w:r>
      <w:r w:rsidR="001B7D98" w:rsidRPr="006B5E2B">
        <w:rPr>
          <w:color w:val="000000"/>
          <w:sz w:val="22"/>
          <w:szCs w:val="22"/>
          <w:lang w:val="sr-Latn-CS"/>
        </w:rPr>
        <w:t xml:space="preserve"> </w:t>
      </w:r>
      <w:r w:rsidR="001B7D98" w:rsidRPr="001B7D98">
        <w:rPr>
          <w:color w:val="000000"/>
          <w:sz w:val="22"/>
          <w:szCs w:val="22"/>
          <w:lang w:val="sr-Latn-CS"/>
        </w:rPr>
        <w:t>µg</w:t>
      </w:r>
      <w:r w:rsidRPr="00D21251">
        <w:rPr>
          <w:sz w:val="22"/>
          <w:szCs w:val="22"/>
          <w:lang w:val="sr-Latn-CS"/>
        </w:rPr>
        <w:t>/</w:t>
      </w:r>
      <w:r w:rsidR="003E15DF">
        <w:rPr>
          <w:sz w:val="22"/>
          <w:szCs w:val="22"/>
          <w:lang w:val="sr-Latn-CS"/>
        </w:rPr>
        <w:t>l</w:t>
      </w:r>
      <w:r w:rsidRPr="00D21251">
        <w:rPr>
          <w:sz w:val="22"/>
          <w:szCs w:val="22"/>
          <w:lang w:val="sr-Latn-CS"/>
        </w:rPr>
        <w:t>) l</w:t>
      </w:r>
      <w:r w:rsidR="000F5050">
        <w:rPr>
          <w:sz w:val="22"/>
          <w:szCs w:val="22"/>
          <w:lang w:val="sr-Latn-CS"/>
        </w:rPr>
        <w:t>ij</w:t>
      </w:r>
      <w:r w:rsidRPr="00D21251">
        <w:rPr>
          <w:sz w:val="22"/>
          <w:szCs w:val="22"/>
          <w:lang w:val="sr-Latn-CS"/>
        </w:rPr>
        <w:t>ečenje je potrebno prekinuti. Nema dostupnih podataka o ponovljenom l</w:t>
      </w:r>
      <w:r w:rsidR="000F5050">
        <w:rPr>
          <w:sz w:val="22"/>
          <w:szCs w:val="22"/>
          <w:lang w:val="sr-Latn-CS"/>
        </w:rPr>
        <w:t>ij</w:t>
      </w:r>
      <w:r w:rsidRPr="00D21251">
        <w:rPr>
          <w:sz w:val="22"/>
          <w:szCs w:val="22"/>
          <w:lang w:val="sr-Latn-CS"/>
        </w:rPr>
        <w:t>ečenju pacijenata kod kojih ponovo dođe do akumulacije gvožđa nakon postizanja zadovoljavajućeg nivoa gvožđa u organizmu, pa se zato ponovno l</w:t>
      </w:r>
      <w:r w:rsidR="000F5050">
        <w:rPr>
          <w:sz w:val="22"/>
          <w:szCs w:val="22"/>
          <w:lang w:val="sr-Latn-CS"/>
        </w:rPr>
        <w:t>ij</w:t>
      </w:r>
      <w:r w:rsidRPr="00D21251">
        <w:rPr>
          <w:sz w:val="22"/>
          <w:szCs w:val="22"/>
          <w:lang w:val="sr-Latn-CS"/>
        </w:rPr>
        <w:t>ečenje ne preporučuje.</w:t>
      </w:r>
    </w:p>
    <w:p w14:paraId="6303CF24" w14:textId="77777777" w:rsidR="0058338A" w:rsidRPr="00D21251" w:rsidRDefault="0058338A" w:rsidP="00531B03">
      <w:pPr>
        <w:jc w:val="both"/>
        <w:rPr>
          <w:sz w:val="22"/>
          <w:szCs w:val="22"/>
          <w:lang w:val="sr-Latn-CS"/>
        </w:rPr>
      </w:pPr>
    </w:p>
    <w:p w14:paraId="242E8001" w14:textId="77777777" w:rsidR="0058338A" w:rsidRPr="00D21251" w:rsidRDefault="0058338A" w:rsidP="00531B03">
      <w:pPr>
        <w:jc w:val="both"/>
        <w:rPr>
          <w:i/>
          <w:sz w:val="22"/>
          <w:szCs w:val="22"/>
          <w:u w:val="single"/>
          <w:lang w:val="sr-Latn-CS"/>
        </w:rPr>
      </w:pPr>
      <w:r w:rsidRPr="00D21251">
        <w:rPr>
          <w:i/>
          <w:sz w:val="22"/>
          <w:szCs w:val="22"/>
          <w:u w:val="single"/>
          <w:lang w:val="sr-Latn-CS"/>
        </w:rPr>
        <w:t>Posebne populacije</w:t>
      </w:r>
      <w:r w:rsidR="00E1165A">
        <w:rPr>
          <w:i/>
          <w:sz w:val="22"/>
          <w:szCs w:val="22"/>
          <w:u w:val="single"/>
          <w:lang w:val="sr-Latn-CS"/>
        </w:rPr>
        <w:t xml:space="preserve"> pacijenata</w:t>
      </w:r>
    </w:p>
    <w:p w14:paraId="26F17DBB" w14:textId="77777777" w:rsidR="0058338A" w:rsidRPr="00D21251" w:rsidRDefault="0058338A" w:rsidP="00531B03">
      <w:pPr>
        <w:jc w:val="both"/>
        <w:rPr>
          <w:i/>
          <w:sz w:val="22"/>
          <w:szCs w:val="22"/>
          <w:lang w:val="sr-Latn-CS"/>
        </w:rPr>
      </w:pPr>
    </w:p>
    <w:p w14:paraId="197140D5" w14:textId="77777777" w:rsidR="0058338A" w:rsidRPr="00D21251" w:rsidRDefault="0058338A" w:rsidP="00531B03">
      <w:pPr>
        <w:jc w:val="both"/>
        <w:rPr>
          <w:i/>
          <w:sz w:val="22"/>
          <w:szCs w:val="22"/>
          <w:lang w:val="sr-Latn-CS"/>
        </w:rPr>
      </w:pPr>
      <w:r w:rsidRPr="00D21251">
        <w:rPr>
          <w:i/>
          <w:sz w:val="22"/>
          <w:szCs w:val="22"/>
          <w:lang w:val="sr-Latn-CS"/>
        </w:rPr>
        <w:t>Stariji pacijenti (65 godina i više)</w:t>
      </w:r>
    </w:p>
    <w:p w14:paraId="28D0F350" w14:textId="77777777" w:rsidR="0058338A" w:rsidRPr="00D21251" w:rsidRDefault="0058338A" w:rsidP="00531B03">
      <w:pPr>
        <w:jc w:val="both"/>
        <w:rPr>
          <w:sz w:val="22"/>
          <w:szCs w:val="22"/>
          <w:lang w:val="sr-Latn-CS"/>
        </w:rPr>
      </w:pPr>
      <w:r w:rsidRPr="00D21251">
        <w:rPr>
          <w:sz w:val="22"/>
          <w:szCs w:val="22"/>
          <w:lang w:val="sr-Latn-CS"/>
        </w:rPr>
        <w:t>Preporuke za doziranje kod starijih pacijenata su iste kao što je opisano u prethodnom d</w:t>
      </w:r>
      <w:r w:rsidR="000F5050">
        <w:rPr>
          <w:sz w:val="22"/>
          <w:szCs w:val="22"/>
          <w:lang w:val="sr-Latn-CS"/>
        </w:rPr>
        <w:t>ij</w:t>
      </w:r>
      <w:r w:rsidRPr="00D21251">
        <w:rPr>
          <w:sz w:val="22"/>
          <w:szCs w:val="22"/>
          <w:lang w:val="sr-Latn-CS"/>
        </w:rPr>
        <w:t xml:space="preserve">elu. U kliničkim studijama, stariji pacijenti su imali češće neželjene reakcije nego mlađi pacijenti (posebno </w:t>
      </w:r>
      <w:r w:rsidR="003E15DF" w:rsidRPr="00D21251">
        <w:rPr>
          <w:sz w:val="22"/>
          <w:szCs w:val="22"/>
          <w:lang w:val="sr-Latn-CS"/>
        </w:rPr>
        <w:t>dijarej</w:t>
      </w:r>
      <w:r w:rsidR="003E15DF">
        <w:rPr>
          <w:sz w:val="22"/>
          <w:szCs w:val="22"/>
          <w:lang w:val="sr-Latn-CS"/>
        </w:rPr>
        <w:t>u</w:t>
      </w:r>
      <w:r w:rsidRPr="00D21251">
        <w:rPr>
          <w:sz w:val="22"/>
          <w:szCs w:val="22"/>
          <w:lang w:val="sr-Latn-CS"/>
        </w:rPr>
        <w:t>) i treba ih pažljivo pratiti zbog neželjenih reakcija koje mogu da zaht</w:t>
      </w:r>
      <w:r w:rsidR="000F5050">
        <w:rPr>
          <w:sz w:val="22"/>
          <w:szCs w:val="22"/>
          <w:lang w:val="sr-Latn-CS"/>
        </w:rPr>
        <w:t>ij</w:t>
      </w:r>
      <w:r w:rsidRPr="00D21251">
        <w:rPr>
          <w:sz w:val="22"/>
          <w:szCs w:val="22"/>
          <w:lang w:val="sr-Latn-CS"/>
        </w:rPr>
        <w:t xml:space="preserve">evaju </w:t>
      </w:r>
      <w:r w:rsidR="00E1165A">
        <w:rPr>
          <w:sz w:val="22"/>
          <w:szCs w:val="22"/>
          <w:lang w:val="sr-Latn-CS"/>
        </w:rPr>
        <w:t>prilagođavanje</w:t>
      </w:r>
      <w:r w:rsidRPr="00D21251">
        <w:rPr>
          <w:sz w:val="22"/>
          <w:szCs w:val="22"/>
          <w:lang w:val="sr-Latn-CS"/>
        </w:rPr>
        <w:t xml:space="preserve"> doze.</w:t>
      </w:r>
    </w:p>
    <w:p w14:paraId="731305EC" w14:textId="77777777" w:rsidR="0058338A" w:rsidRPr="00D21251" w:rsidRDefault="0058338A" w:rsidP="00531B03">
      <w:pPr>
        <w:jc w:val="both"/>
        <w:rPr>
          <w:b/>
          <w:sz w:val="22"/>
          <w:szCs w:val="22"/>
          <w:lang w:val="sr-Latn-CS"/>
        </w:rPr>
      </w:pPr>
    </w:p>
    <w:p w14:paraId="3BD721FA" w14:textId="77777777" w:rsidR="0058338A" w:rsidRPr="00D21251" w:rsidRDefault="0058338A" w:rsidP="00531B03">
      <w:pPr>
        <w:jc w:val="both"/>
        <w:rPr>
          <w:i/>
          <w:sz w:val="22"/>
          <w:szCs w:val="22"/>
          <w:lang w:val="sr-Latn-CS"/>
        </w:rPr>
      </w:pPr>
      <w:r w:rsidRPr="00D21251">
        <w:rPr>
          <w:i/>
          <w:sz w:val="22"/>
          <w:szCs w:val="22"/>
          <w:lang w:val="sr-Latn-CS"/>
        </w:rPr>
        <w:t>Pedijatrijska populacija</w:t>
      </w:r>
    </w:p>
    <w:p w14:paraId="473F3562" w14:textId="77777777" w:rsidR="0058338A" w:rsidRPr="00D21251" w:rsidRDefault="0058338A" w:rsidP="00531B03">
      <w:pPr>
        <w:jc w:val="both"/>
        <w:rPr>
          <w:sz w:val="22"/>
          <w:szCs w:val="22"/>
          <w:lang w:val="sr-Latn-CS"/>
        </w:rPr>
      </w:pPr>
      <w:r w:rsidRPr="00D21251">
        <w:rPr>
          <w:sz w:val="22"/>
          <w:szCs w:val="22"/>
          <w:lang w:val="sr-Latn-CS"/>
        </w:rPr>
        <w:t xml:space="preserve">Preopterećenje gvožđem koje je </w:t>
      </w:r>
      <w:r w:rsidR="000F5050">
        <w:rPr>
          <w:sz w:val="22"/>
          <w:szCs w:val="22"/>
          <w:lang w:val="sr-Latn-CS"/>
        </w:rPr>
        <w:t>posljed</w:t>
      </w:r>
      <w:r w:rsidRPr="00D21251">
        <w:rPr>
          <w:sz w:val="22"/>
          <w:szCs w:val="22"/>
          <w:lang w:val="sr-Latn-CS"/>
        </w:rPr>
        <w:t>ica transfuzije krvi:</w:t>
      </w:r>
    </w:p>
    <w:p w14:paraId="5EEFC7F7" w14:textId="77777777" w:rsidR="0058338A" w:rsidRPr="00D21251" w:rsidRDefault="0058338A" w:rsidP="00531B03">
      <w:pPr>
        <w:jc w:val="both"/>
        <w:rPr>
          <w:sz w:val="22"/>
          <w:szCs w:val="22"/>
          <w:lang w:val="sr-Latn-CS"/>
        </w:rPr>
      </w:pPr>
      <w:r w:rsidRPr="00D21251">
        <w:rPr>
          <w:sz w:val="22"/>
          <w:szCs w:val="22"/>
          <w:lang w:val="sr-Latn-CS"/>
        </w:rPr>
        <w:t>Preporučene doze za pedijatrijske pacijente uzrasta od 2 do 17 godina sa preopterećenjem gvožđem koje je posl</w:t>
      </w:r>
      <w:r w:rsidR="000F5050">
        <w:rPr>
          <w:sz w:val="22"/>
          <w:szCs w:val="22"/>
          <w:lang w:val="sr-Latn-CS"/>
        </w:rPr>
        <w:t>j</w:t>
      </w:r>
      <w:r w:rsidRPr="00D21251">
        <w:rPr>
          <w:sz w:val="22"/>
          <w:szCs w:val="22"/>
          <w:lang w:val="sr-Latn-CS"/>
        </w:rPr>
        <w:t>edica transfuzije krvi iste su kao i za odrasle pacijente (</w:t>
      </w:r>
      <w:r w:rsidR="009E320F">
        <w:rPr>
          <w:sz w:val="22"/>
          <w:szCs w:val="22"/>
          <w:lang w:val="sr-Latn-CS"/>
        </w:rPr>
        <w:t xml:space="preserve">vidjeti </w:t>
      </w:r>
      <w:r w:rsidR="007907C4">
        <w:rPr>
          <w:sz w:val="22"/>
          <w:szCs w:val="22"/>
          <w:lang w:val="sr-Latn-CS"/>
        </w:rPr>
        <w:t>dio</w:t>
      </w:r>
      <w:r w:rsidR="007907C4" w:rsidRPr="00D21251">
        <w:rPr>
          <w:sz w:val="22"/>
          <w:szCs w:val="22"/>
          <w:lang w:val="sr-Latn-CS"/>
        </w:rPr>
        <w:t xml:space="preserve"> </w:t>
      </w:r>
      <w:r w:rsidRPr="00D21251">
        <w:rPr>
          <w:sz w:val="22"/>
          <w:szCs w:val="22"/>
          <w:lang w:val="sr-Latn-CS"/>
        </w:rPr>
        <w:t xml:space="preserve">4.2). Preporučuje se praćenje </w:t>
      </w:r>
      <w:r w:rsidR="0071118F">
        <w:rPr>
          <w:sz w:val="22"/>
          <w:szCs w:val="22"/>
          <w:lang w:val="sr-Latn-CS"/>
        </w:rPr>
        <w:t>vrijednost</w:t>
      </w:r>
      <w:r w:rsidRPr="00D21251">
        <w:rPr>
          <w:sz w:val="22"/>
          <w:szCs w:val="22"/>
          <w:lang w:val="sr-Latn-CS"/>
        </w:rPr>
        <w:t xml:space="preserve">i serumskog feritina svakog </w:t>
      </w:r>
      <w:r w:rsidR="0071118F">
        <w:rPr>
          <w:sz w:val="22"/>
          <w:szCs w:val="22"/>
          <w:lang w:val="sr-Latn-CS"/>
        </w:rPr>
        <w:t>mjesec</w:t>
      </w:r>
      <w:r w:rsidRPr="00D21251">
        <w:rPr>
          <w:sz w:val="22"/>
          <w:szCs w:val="22"/>
          <w:lang w:val="sr-Latn-CS"/>
        </w:rPr>
        <w:t>a</w:t>
      </w:r>
      <w:r w:rsidR="003E15DF">
        <w:rPr>
          <w:sz w:val="22"/>
          <w:szCs w:val="22"/>
          <w:lang w:val="sr-Latn-CS"/>
        </w:rPr>
        <w:t>,</w:t>
      </w:r>
      <w:r w:rsidRPr="00D21251">
        <w:rPr>
          <w:sz w:val="22"/>
          <w:szCs w:val="22"/>
          <w:lang w:val="sr-Latn-CS"/>
        </w:rPr>
        <w:t xml:space="preserve"> da bi se </w:t>
      </w:r>
      <w:r w:rsidR="000F5050">
        <w:rPr>
          <w:sz w:val="22"/>
          <w:szCs w:val="22"/>
          <w:lang w:val="sr-Latn-CS"/>
        </w:rPr>
        <w:t>proc</w:t>
      </w:r>
      <w:r w:rsidR="00F90136">
        <w:rPr>
          <w:sz w:val="22"/>
          <w:szCs w:val="22"/>
          <w:lang w:val="sr-Latn-CS"/>
        </w:rPr>
        <w:t>i</w:t>
      </w:r>
      <w:r w:rsidR="000F5050">
        <w:rPr>
          <w:sz w:val="22"/>
          <w:szCs w:val="22"/>
          <w:lang w:val="sr-Latn-CS"/>
        </w:rPr>
        <w:t>jen</w:t>
      </w:r>
      <w:r w:rsidRPr="00D21251">
        <w:rPr>
          <w:sz w:val="22"/>
          <w:szCs w:val="22"/>
          <w:lang w:val="sr-Latn-CS"/>
        </w:rPr>
        <w:t>io odgovor pacijenta na terapiju i da bi se smanjio rizik od prekom</w:t>
      </w:r>
      <w:r w:rsidR="00022A1D">
        <w:rPr>
          <w:sz w:val="22"/>
          <w:szCs w:val="22"/>
          <w:lang w:val="sr-Latn-CS"/>
        </w:rPr>
        <w:t>j</w:t>
      </w:r>
      <w:r w:rsidRPr="00D21251">
        <w:rPr>
          <w:sz w:val="22"/>
          <w:szCs w:val="22"/>
          <w:lang w:val="sr-Latn-CS"/>
        </w:rPr>
        <w:t>erne helacije (</w:t>
      </w:r>
      <w:r w:rsidR="009E320F">
        <w:rPr>
          <w:sz w:val="22"/>
          <w:szCs w:val="22"/>
          <w:lang w:val="sr-Latn-CS"/>
        </w:rPr>
        <w:t xml:space="preserve">vidjeti </w:t>
      </w:r>
      <w:r w:rsidR="007907C4">
        <w:rPr>
          <w:sz w:val="22"/>
          <w:szCs w:val="22"/>
          <w:lang w:val="sr-Latn-CS"/>
        </w:rPr>
        <w:t>dio</w:t>
      </w:r>
      <w:r w:rsidR="007907C4" w:rsidRPr="00D21251">
        <w:rPr>
          <w:sz w:val="22"/>
          <w:szCs w:val="22"/>
          <w:lang w:val="sr-Latn-CS"/>
        </w:rPr>
        <w:t xml:space="preserve"> </w:t>
      </w:r>
      <w:r w:rsidRPr="00D21251">
        <w:rPr>
          <w:sz w:val="22"/>
          <w:szCs w:val="22"/>
          <w:lang w:val="sr-Latn-CS"/>
        </w:rPr>
        <w:t>4.4). Prom</w:t>
      </w:r>
      <w:r w:rsidR="00F90136">
        <w:rPr>
          <w:sz w:val="22"/>
          <w:szCs w:val="22"/>
          <w:lang w:val="sr-Latn-CS"/>
        </w:rPr>
        <w:t>j</w:t>
      </w:r>
      <w:r w:rsidRPr="00D21251">
        <w:rPr>
          <w:sz w:val="22"/>
          <w:szCs w:val="22"/>
          <w:lang w:val="sr-Latn-CS"/>
        </w:rPr>
        <w:t xml:space="preserve">ene </w:t>
      </w:r>
      <w:r w:rsidR="007916C3">
        <w:rPr>
          <w:sz w:val="22"/>
          <w:szCs w:val="22"/>
          <w:lang w:val="sr-Latn-CS"/>
        </w:rPr>
        <w:t>tjelesn</w:t>
      </w:r>
      <w:r w:rsidRPr="00D21251">
        <w:rPr>
          <w:sz w:val="22"/>
          <w:szCs w:val="22"/>
          <w:lang w:val="sr-Latn-CS"/>
        </w:rPr>
        <w:t xml:space="preserve">e mase pedijatrijskih pacijenata tokom vremena, moraju se uzeti u obzir kada se izračunava doza. </w:t>
      </w:r>
    </w:p>
    <w:p w14:paraId="2FD746FE" w14:textId="77777777" w:rsidR="0058338A" w:rsidRPr="00D21251" w:rsidRDefault="0058338A" w:rsidP="00531B03">
      <w:pPr>
        <w:jc w:val="both"/>
        <w:rPr>
          <w:sz w:val="22"/>
          <w:szCs w:val="22"/>
          <w:lang w:val="sr-Latn-CS"/>
        </w:rPr>
      </w:pPr>
    </w:p>
    <w:p w14:paraId="70CB4634" w14:textId="77777777" w:rsidR="0058338A" w:rsidRPr="00D21251" w:rsidRDefault="0058338A" w:rsidP="00531B03">
      <w:pPr>
        <w:jc w:val="both"/>
        <w:rPr>
          <w:sz w:val="22"/>
          <w:szCs w:val="22"/>
          <w:lang w:val="sr-Latn-CS"/>
        </w:rPr>
      </w:pPr>
      <w:r w:rsidRPr="00D21251">
        <w:rPr>
          <w:sz w:val="22"/>
          <w:szCs w:val="22"/>
          <w:lang w:val="sr-Latn-CS"/>
        </w:rPr>
        <w:t>Kod d</w:t>
      </w:r>
      <w:r w:rsidR="009A2ACE">
        <w:rPr>
          <w:sz w:val="22"/>
          <w:szCs w:val="22"/>
          <w:lang w:val="sr-Latn-CS"/>
        </w:rPr>
        <w:t>j</w:t>
      </w:r>
      <w:r w:rsidRPr="00D21251">
        <w:rPr>
          <w:sz w:val="22"/>
          <w:szCs w:val="22"/>
          <w:lang w:val="sr-Latn-CS"/>
        </w:rPr>
        <w:t xml:space="preserve">ece uzrasta od 2 do 5 godina sa preopterećenjem gvožđem koje je </w:t>
      </w:r>
      <w:r w:rsidR="000F5050">
        <w:rPr>
          <w:sz w:val="22"/>
          <w:szCs w:val="22"/>
          <w:lang w:val="sr-Latn-CS"/>
        </w:rPr>
        <w:t>posljed</w:t>
      </w:r>
      <w:r w:rsidRPr="00D21251">
        <w:rPr>
          <w:sz w:val="22"/>
          <w:szCs w:val="22"/>
          <w:lang w:val="sr-Latn-CS"/>
        </w:rPr>
        <w:t xml:space="preserve">ica transfuzije krvi, izloženost </w:t>
      </w:r>
      <w:r w:rsidR="00344FF6">
        <w:rPr>
          <w:sz w:val="22"/>
          <w:szCs w:val="22"/>
          <w:lang w:val="sr-Latn-CS"/>
        </w:rPr>
        <w:t>lijek</w:t>
      </w:r>
      <w:r w:rsidRPr="00D21251">
        <w:rPr>
          <w:sz w:val="22"/>
          <w:szCs w:val="22"/>
          <w:lang w:val="sr-Latn-CS"/>
        </w:rPr>
        <w:t>u je niža nego kod odraslih (</w:t>
      </w:r>
      <w:r w:rsidR="009E320F">
        <w:rPr>
          <w:sz w:val="22"/>
          <w:szCs w:val="22"/>
          <w:lang w:val="sr-Latn-CS"/>
        </w:rPr>
        <w:t xml:space="preserve">vidjeti </w:t>
      </w:r>
      <w:r w:rsidR="007907C4">
        <w:rPr>
          <w:sz w:val="22"/>
          <w:szCs w:val="22"/>
          <w:lang w:val="sr-Latn-CS"/>
        </w:rPr>
        <w:t>dio</w:t>
      </w:r>
      <w:r w:rsidR="007907C4" w:rsidRPr="00D21251">
        <w:rPr>
          <w:sz w:val="22"/>
          <w:szCs w:val="22"/>
          <w:lang w:val="sr-Latn-CS"/>
        </w:rPr>
        <w:t xml:space="preserve"> </w:t>
      </w:r>
      <w:r w:rsidRPr="00D21251">
        <w:rPr>
          <w:sz w:val="22"/>
          <w:szCs w:val="22"/>
          <w:lang w:val="sr-Latn-CS"/>
        </w:rPr>
        <w:t>5.2). U ovoj uzrasnoj grupi će usl</w:t>
      </w:r>
      <w:r w:rsidR="000F5050">
        <w:rPr>
          <w:sz w:val="22"/>
          <w:szCs w:val="22"/>
          <w:lang w:val="sr-Latn-CS"/>
        </w:rPr>
        <w:t>j</w:t>
      </w:r>
      <w:r w:rsidRPr="00D21251">
        <w:rPr>
          <w:sz w:val="22"/>
          <w:szCs w:val="22"/>
          <w:lang w:val="sr-Latn-CS"/>
        </w:rPr>
        <w:t>ed toga možda biti potrebno prim</w:t>
      </w:r>
      <w:r w:rsidR="00344FF6">
        <w:rPr>
          <w:sz w:val="22"/>
          <w:szCs w:val="22"/>
          <w:lang w:val="sr-Latn-CS"/>
        </w:rPr>
        <w:t>ij</w:t>
      </w:r>
      <w:r w:rsidRPr="00D21251">
        <w:rPr>
          <w:sz w:val="22"/>
          <w:szCs w:val="22"/>
          <w:lang w:val="sr-Latn-CS"/>
        </w:rPr>
        <w:t>eniti više doze nego kod odraslih. Ipak, početna doza mora biti ista kao i kod odraslih, a kasnije se individualno titrira.</w:t>
      </w:r>
    </w:p>
    <w:p w14:paraId="4151211E" w14:textId="77777777" w:rsidR="0058338A" w:rsidRPr="00D21251" w:rsidRDefault="0058338A" w:rsidP="00531B03">
      <w:pPr>
        <w:jc w:val="both"/>
        <w:rPr>
          <w:sz w:val="22"/>
          <w:szCs w:val="22"/>
          <w:lang w:val="sr-Latn-CS"/>
        </w:rPr>
      </w:pPr>
    </w:p>
    <w:p w14:paraId="607048D9" w14:textId="77777777" w:rsidR="0058338A" w:rsidRPr="00D21251" w:rsidRDefault="0058338A" w:rsidP="00531B03">
      <w:pPr>
        <w:jc w:val="both"/>
        <w:rPr>
          <w:sz w:val="22"/>
          <w:szCs w:val="22"/>
          <w:lang w:val="sr-Latn-CS"/>
        </w:rPr>
      </w:pPr>
      <w:r w:rsidRPr="00D21251">
        <w:rPr>
          <w:sz w:val="22"/>
          <w:szCs w:val="22"/>
          <w:lang w:val="sr-Latn-CS"/>
        </w:rPr>
        <w:t>Talasemijski sindromi koji ne zavise od transfuzije krvi:</w:t>
      </w:r>
    </w:p>
    <w:p w14:paraId="4EA79B93" w14:textId="77777777" w:rsidR="0058338A" w:rsidRPr="00D21251" w:rsidRDefault="0058338A" w:rsidP="00531B03">
      <w:pPr>
        <w:jc w:val="both"/>
        <w:rPr>
          <w:sz w:val="22"/>
          <w:szCs w:val="22"/>
          <w:lang w:val="sr-Latn-CS"/>
        </w:rPr>
      </w:pPr>
      <w:r w:rsidRPr="00D21251">
        <w:rPr>
          <w:sz w:val="22"/>
          <w:szCs w:val="22"/>
          <w:lang w:val="sr-Latn-CS"/>
        </w:rPr>
        <w:t xml:space="preserve">Kod pedijatrijske populacije sa talasemijskim sindromima koji ne zavise od transfuzije krvi, doza </w:t>
      </w:r>
      <w:r w:rsidR="00941179">
        <w:rPr>
          <w:sz w:val="22"/>
          <w:szCs w:val="22"/>
          <w:lang w:val="sr-Latn-CS"/>
        </w:rPr>
        <w:t xml:space="preserve">lijeka Exjade film tablete </w:t>
      </w:r>
      <w:r w:rsidR="000F5050">
        <w:rPr>
          <w:sz w:val="22"/>
          <w:szCs w:val="22"/>
          <w:lang w:val="sr-Latn-CS"/>
        </w:rPr>
        <w:t>ne smije</w:t>
      </w:r>
      <w:r w:rsidRPr="00D21251">
        <w:rPr>
          <w:sz w:val="22"/>
          <w:szCs w:val="22"/>
          <w:lang w:val="sr-Latn-CS"/>
        </w:rPr>
        <w:t xml:space="preserve"> biti veća od 7 mg/kg. Kod ovih pacijenata, od velike važnosti je pažljivo praćenje LIC i </w:t>
      </w:r>
      <w:r w:rsidR="0071118F">
        <w:rPr>
          <w:sz w:val="22"/>
          <w:szCs w:val="22"/>
          <w:lang w:val="sr-Latn-CS"/>
        </w:rPr>
        <w:t>vrijednost</w:t>
      </w:r>
      <w:r w:rsidRPr="00D21251">
        <w:rPr>
          <w:sz w:val="22"/>
          <w:szCs w:val="22"/>
          <w:lang w:val="sr-Latn-CS"/>
        </w:rPr>
        <w:t>i serumskog feritina</w:t>
      </w:r>
      <w:r w:rsidR="003E15DF">
        <w:rPr>
          <w:sz w:val="22"/>
          <w:szCs w:val="22"/>
          <w:lang w:val="sr-Latn-CS"/>
        </w:rPr>
        <w:t>,</w:t>
      </w:r>
      <w:r w:rsidRPr="00D21251">
        <w:rPr>
          <w:sz w:val="22"/>
          <w:szCs w:val="22"/>
          <w:lang w:val="sr-Latn-CS"/>
        </w:rPr>
        <w:t xml:space="preserve"> kako bi se izb</w:t>
      </w:r>
      <w:r w:rsidR="000F5050">
        <w:rPr>
          <w:sz w:val="22"/>
          <w:szCs w:val="22"/>
          <w:lang w:val="sr-Latn-CS"/>
        </w:rPr>
        <w:t>j</w:t>
      </w:r>
      <w:r w:rsidRPr="00D21251">
        <w:rPr>
          <w:sz w:val="22"/>
          <w:szCs w:val="22"/>
          <w:lang w:val="sr-Latn-CS"/>
        </w:rPr>
        <w:t>egla prekom</w:t>
      </w:r>
      <w:r w:rsidR="000F5050">
        <w:rPr>
          <w:sz w:val="22"/>
          <w:szCs w:val="22"/>
          <w:lang w:val="sr-Latn-CS"/>
        </w:rPr>
        <w:t>j</w:t>
      </w:r>
      <w:r w:rsidRPr="00D21251">
        <w:rPr>
          <w:sz w:val="22"/>
          <w:szCs w:val="22"/>
          <w:lang w:val="sr-Latn-CS"/>
        </w:rPr>
        <w:t>erna helacija (</w:t>
      </w:r>
      <w:r w:rsidR="009E320F">
        <w:rPr>
          <w:sz w:val="22"/>
          <w:szCs w:val="22"/>
          <w:lang w:val="sr-Latn-CS"/>
        </w:rPr>
        <w:t xml:space="preserve">vidjeti </w:t>
      </w:r>
      <w:r w:rsidR="007907C4">
        <w:rPr>
          <w:sz w:val="22"/>
          <w:szCs w:val="22"/>
          <w:lang w:val="sr-Latn-CS"/>
        </w:rPr>
        <w:t>dio</w:t>
      </w:r>
      <w:r w:rsidR="007907C4" w:rsidRPr="00D21251">
        <w:rPr>
          <w:sz w:val="22"/>
          <w:szCs w:val="22"/>
          <w:lang w:val="sr-Latn-CS"/>
        </w:rPr>
        <w:t xml:space="preserve"> </w:t>
      </w:r>
      <w:r w:rsidRPr="00D21251">
        <w:rPr>
          <w:sz w:val="22"/>
          <w:szCs w:val="22"/>
          <w:lang w:val="sr-Latn-CS"/>
        </w:rPr>
        <w:t>4.4). Osim m</w:t>
      </w:r>
      <w:r w:rsidR="000F5050">
        <w:rPr>
          <w:sz w:val="22"/>
          <w:szCs w:val="22"/>
          <w:lang w:val="sr-Latn-CS"/>
        </w:rPr>
        <w:t>j</w:t>
      </w:r>
      <w:r w:rsidRPr="00D21251">
        <w:rPr>
          <w:sz w:val="22"/>
          <w:szCs w:val="22"/>
          <w:lang w:val="sr-Latn-CS"/>
        </w:rPr>
        <w:t xml:space="preserve">esečnog određivanja serumskog feritina, LIC je potrebno pratiti svaka tri </w:t>
      </w:r>
      <w:r w:rsidR="0071118F">
        <w:rPr>
          <w:sz w:val="22"/>
          <w:szCs w:val="22"/>
          <w:lang w:val="sr-Latn-CS"/>
        </w:rPr>
        <w:t>mjesec</w:t>
      </w:r>
      <w:r w:rsidRPr="00D21251">
        <w:rPr>
          <w:sz w:val="22"/>
          <w:szCs w:val="22"/>
          <w:lang w:val="sr-Latn-CS"/>
        </w:rPr>
        <w:t xml:space="preserve">a kada je </w:t>
      </w:r>
      <w:r w:rsidR="0071118F">
        <w:rPr>
          <w:sz w:val="22"/>
          <w:szCs w:val="22"/>
          <w:lang w:val="sr-Latn-CS"/>
        </w:rPr>
        <w:t>vrijednost</w:t>
      </w:r>
      <w:r w:rsidRPr="00D21251">
        <w:rPr>
          <w:sz w:val="22"/>
          <w:szCs w:val="22"/>
          <w:lang w:val="sr-Latn-CS"/>
        </w:rPr>
        <w:t xml:space="preserve"> serumskog feritina ≤</w:t>
      </w:r>
      <w:r w:rsidR="00B74448">
        <w:rPr>
          <w:sz w:val="22"/>
          <w:szCs w:val="22"/>
          <w:lang w:val="sr-Latn-CS"/>
        </w:rPr>
        <w:t xml:space="preserve"> </w:t>
      </w:r>
      <w:r w:rsidRPr="00D21251">
        <w:rPr>
          <w:sz w:val="22"/>
          <w:szCs w:val="22"/>
          <w:lang w:val="sr-Latn-CS"/>
        </w:rPr>
        <w:t xml:space="preserve">800 </w:t>
      </w:r>
      <w:r w:rsidRPr="00D21251">
        <w:rPr>
          <w:color w:val="000000"/>
          <w:sz w:val="22"/>
          <w:szCs w:val="22"/>
        </w:rPr>
        <w:t>mikrograma</w:t>
      </w:r>
      <w:r w:rsidRPr="00D21251">
        <w:rPr>
          <w:sz w:val="22"/>
          <w:szCs w:val="22"/>
          <w:lang w:val="sr-Latn-CS"/>
        </w:rPr>
        <w:t>/</w:t>
      </w:r>
      <w:r w:rsidR="003E15DF">
        <w:rPr>
          <w:sz w:val="22"/>
          <w:szCs w:val="22"/>
          <w:lang w:val="sr-Latn-CS"/>
        </w:rPr>
        <w:t>l</w:t>
      </w:r>
      <w:r w:rsidRPr="00D21251">
        <w:rPr>
          <w:sz w:val="22"/>
          <w:szCs w:val="22"/>
          <w:lang w:val="sr-Latn-CS"/>
        </w:rPr>
        <w:t>.</w:t>
      </w:r>
    </w:p>
    <w:p w14:paraId="0F084214" w14:textId="77777777" w:rsidR="0058338A" w:rsidRPr="001B39EC" w:rsidRDefault="0058338A" w:rsidP="00531B03">
      <w:pPr>
        <w:jc w:val="both"/>
        <w:rPr>
          <w:szCs w:val="22"/>
          <w:lang w:val="sr-Latn-CS"/>
        </w:rPr>
      </w:pPr>
    </w:p>
    <w:p w14:paraId="4ADBAD6A" w14:textId="77777777" w:rsidR="0058338A" w:rsidRPr="00D21251" w:rsidRDefault="0058338A" w:rsidP="00531B03">
      <w:pPr>
        <w:jc w:val="both"/>
        <w:rPr>
          <w:sz w:val="22"/>
          <w:szCs w:val="22"/>
          <w:lang w:val="sr-Latn-CS"/>
        </w:rPr>
      </w:pPr>
      <w:r w:rsidRPr="00D21251">
        <w:rPr>
          <w:sz w:val="22"/>
          <w:szCs w:val="22"/>
          <w:lang w:val="sr-Latn-CS"/>
        </w:rPr>
        <w:t>D</w:t>
      </w:r>
      <w:r w:rsidR="000F5050">
        <w:rPr>
          <w:sz w:val="22"/>
          <w:szCs w:val="22"/>
          <w:lang w:val="sr-Latn-CS"/>
        </w:rPr>
        <w:t>j</w:t>
      </w:r>
      <w:r w:rsidRPr="00D21251">
        <w:rPr>
          <w:sz w:val="22"/>
          <w:szCs w:val="22"/>
          <w:lang w:val="sr-Latn-CS"/>
        </w:rPr>
        <w:t xml:space="preserve">eca od rođenja do 23 </w:t>
      </w:r>
      <w:r w:rsidR="0071118F">
        <w:rPr>
          <w:sz w:val="22"/>
          <w:szCs w:val="22"/>
          <w:lang w:val="sr-Latn-CS"/>
        </w:rPr>
        <w:t>mjesec</w:t>
      </w:r>
      <w:r w:rsidRPr="00D21251">
        <w:rPr>
          <w:sz w:val="22"/>
          <w:szCs w:val="22"/>
          <w:lang w:val="sr-Latn-CS"/>
        </w:rPr>
        <w:t>a:</w:t>
      </w:r>
    </w:p>
    <w:p w14:paraId="6898A587" w14:textId="77777777" w:rsidR="0058338A" w:rsidRPr="00D21251" w:rsidRDefault="0058338A" w:rsidP="00531B03">
      <w:pPr>
        <w:jc w:val="both"/>
        <w:rPr>
          <w:sz w:val="22"/>
          <w:szCs w:val="22"/>
          <w:lang w:val="sr-Latn-CS"/>
        </w:rPr>
      </w:pPr>
      <w:r w:rsidRPr="00D21251">
        <w:rPr>
          <w:sz w:val="22"/>
          <w:szCs w:val="22"/>
          <w:lang w:val="sr-Latn-CS"/>
        </w:rPr>
        <w:t>Bezb</w:t>
      </w:r>
      <w:r w:rsidR="000F5050">
        <w:rPr>
          <w:sz w:val="22"/>
          <w:szCs w:val="22"/>
          <w:lang w:val="sr-Latn-CS"/>
        </w:rPr>
        <w:t>j</w:t>
      </w:r>
      <w:r w:rsidRPr="00D21251">
        <w:rPr>
          <w:sz w:val="22"/>
          <w:szCs w:val="22"/>
          <w:lang w:val="sr-Latn-CS"/>
        </w:rPr>
        <w:t xml:space="preserve">ednost i efikasnost </w:t>
      </w:r>
      <w:r w:rsidR="00344FF6">
        <w:rPr>
          <w:sz w:val="22"/>
          <w:szCs w:val="22"/>
          <w:lang w:val="sr-Latn-CS"/>
        </w:rPr>
        <w:t>lijek</w:t>
      </w:r>
      <w:r w:rsidRPr="00D21251">
        <w:rPr>
          <w:sz w:val="22"/>
          <w:szCs w:val="22"/>
          <w:lang w:val="sr-Latn-CS"/>
        </w:rPr>
        <w:t>a Exjade kod d</w:t>
      </w:r>
      <w:r w:rsidR="000F5050">
        <w:rPr>
          <w:sz w:val="22"/>
          <w:szCs w:val="22"/>
          <w:lang w:val="sr-Latn-CS"/>
        </w:rPr>
        <w:t>j</w:t>
      </w:r>
      <w:r w:rsidRPr="00D21251">
        <w:rPr>
          <w:sz w:val="22"/>
          <w:szCs w:val="22"/>
          <w:lang w:val="sr-Latn-CS"/>
        </w:rPr>
        <w:t xml:space="preserve">ece od rođenja do 23 </w:t>
      </w:r>
      <w:r w:rsidR="0071118F">
        <w:rPr>
          <w:sz w:val="22"/>
          <w:szCs w:val="22"/>
          <w:lang w:val="sr-Latn-CS"/>
        </w:rPr>
        <w:t>mjesec</w:t>
      </w:r>
      <w:r w:rsidRPr="00D21251">
        <w:rPr>
          <w:sz w:val="22"/>
          <w:szCs w:val="22"/>
          <w:lang w:val="sr-Latn-CS"/>
        </w:rPr>
        <w:t>a još uv</w:t>
      </w:r>
      <w:r w:rsidR="003E15DF">
        <w:rPr>
          <w:sz w:val="22"/>
          <w:szCs w:val="22"/>
          <w:lang w:val="sr-Latn-CS"/>
        </w:rPr>
        <w:t>ij</w:t>
      </w:r>
      <w:r w:rsidRPr="00D21251">
        <w:rPr>
          <w:sz w:val="22"/>
          <w:szCs w:val="22"/>
          <w:lang w:val="sr-Latn-CS"/>
        </w:rPr>
        <w:t>ek nije utvrđena. Nema dostupnih podataka.</w:t>
      </w:r>
    </w:p>
    <w:p w14:paraId="43132D12" w14:textId="77777777" w:rsidR="0058338A" w:rsidRPr="00D21251" w:rsidRDefault="0058338A" w:rsidP="00531B03">
      <w:pPr>
        <w:jc w:val="both"/>
        <w:rPr>
          <w:b/>
          <w:sz w:val="22"/>
          <w:szCs w:val="22"/>
          <w:lang w:val="sr-Latn-CS"/>
        </w:rPr>
      </w:pPr>
    </w:p>
    <w:p w14:paraId="51B4DD23" w14:textId="77777777" w:rsidR="0058338A" w:rsidRPr="00D21251" w:rsidRDefault="0058338A" w:rsidP="00531B03">
      <w:pPr>
        <w:jc w:val="both"/>
        <w:rPr>
          <w:i/>
          <w:sz w:val="22"/>
          <w:szCs w:val="22"/>
          <w:lang w:val="sr-Latn-CS"/>
        </w:rPr>
      </w:pPr>
      <w:r w:rsidRPr="00D21251">
        <w:rPr>
          <w:i/>
          <w:sz w:val="22"/>
          <w:szCs w:val="22"/>
          <w:lang w:val="sr-Latn-CS"/>
        </w:rPr>
        <w:t xml:space="preserve">Pacijenti sa </w:t>
      </w:r>
      <w:r w:rsidR="00E1165A">
        <w:rPr>
          <w:i/>
          <w:sz w:val="22"/>
          <w:szCs w:val="22"/>
          <w:lang w:val="sr-Latn-CS"/>
        </w:rPr>
        <w:t>oštećenjem</w:t>
      </w:r>
      <w:r w:rsidRPr="00D21251">
        <w:rPr>
          <w:i/>
          <w:sz w:val="22"/>
          <w:szCs w:val="22"/>
          <w:lang w:val="sr-Latn-CS"/>
        </w:rPr>
        <w:t xml:space="preserve"> funkcij</w:t>
      </w:r>
      <w:r w:rsidR="00E1165A">
        <w:rPr>
          <w:i/>
          <w:sz w:val="22"/>
          <w:szCs w:val="22"/>
          <w:lang w:val="sr-Latn-CS"/>
        </w:rPr>
        <w:t>e</w:t>
      </w:r>
      <w:r w:rsidRPr="00D21251">
        <w:rPr>
          <w:i/>
          <w:sz w:val="22"/>
          <w:szCs w:val="22"/>
          <w:lang w:val="sr-Latn-CS"/>
        </w:rPr>
        <w:t xml:space="preserve"> bubrega</w:t>
      </w:r>
    </w:p>
    <w:p w14:paraId="3052C310" w14:textId="34B4AD55" w:rsidR="0058338A" w:rsidRPr="00D21251" w:rsidRDefault="00344FF6" w:rsidP="00531B03">
      <w:pPr>
        <w:jc w:val="both"/>
        <w:rPr>
          <w:sz w:val="22"/>
          <w:szCs w:val="22"/>
          <w:lang w:val="sr-Latn-CS"/>
        </w:rPr>
      </w:pPr>
      <w:r>
        <w:rPr>
          <w:sz w:val="22"/>
          <w:szCs w:val="22"/>
          <w:lang w:val="sr-Latn-CS"/>
        </w:rPr>
        <w:t>Lijek</w:t>
      </w:r>
      <w:r w:rsidR="0058338A" w:rsidRPr="00D21251">
        <w:rPr>
          <w:sz w:val="22"/>
          <w:szCs w:val="22"/>
          <w:lang w:val="sr-Latn-CS"/>
        </w:rPr>
        <w:t xml:space="preserve"> Exjade nije ispitivan kod pacijenata sa oštećenom funkcijom bubrega i kontraindikovan je kod pacijenata sa </w:t>
      </w:r>
      <w:r w:rsidR="000F5050">
        <w:rPr>
          <w:sz w:val="22"/>
          <w:szCs w:val="22"/>
          <w:lang w:val="sr-Latn-CS"/>
        </w:rPr>
        <w:t>proc</w:t>
      </w:r>
      <w:r w:rsidR="00F90136">
        <w:rPr>
          <w:sz w:val="22"/>
          <w:szCs w:val="22"/>
          <w:lang w:val="sr-Latn-CS"/>
        </w:rPr>
        <w:t>i</w:t>
      </w:r>
      <w:r w:rsidR="000F5050">
        <w:rPr>
          <w:sz w:val="22"/>
          <w:szCs w:val="22"/>
          <w:lang w:val="sr-Latn-CS"/>
        </w:rPr>
        <w:t>jen</w:t>
      </w:r>
      <w:r w:rsidR="0058338A" w:rsidRPr="00D21251">
        <w:rPr>
          <w:sz w:val="22"/>
          <w:szCs w:val="22"/>
          <w:lang w:val="sr-Latn-CS"/>
        </w:rPr>
        <w:t>jenim klirensom kreatinina &lt;60 </w:t>
      </w:r>
      <w:r w:rsidR="003E15DF" w:rsidRPr="00D21251">
        <w:rPr>
          <w:sz w:val="22"/>
          <w:szCs w:val="22"/>
          <w:lang w:val="sr-Latn-CS"/>
        </w:rPr>
        <w:t>m</w:t>
      </w:r>
      <w:r w:rsidR="003E15DF">
        <w:rPr>
          <w:sz w:val="22"/>
          <w:szCs w:val="22"/>
          <w:lang w:val="sr-Latn-CS"/>
        </w:rPr>
        <w:t>l</w:t>
      </w:r>
      <w:r w:rsidR="0058338A" w:rsidRPr="00D21251">
        <w:rPr>
          <w:sz w:val="22"/>
          <w:szCs w:val="22"/>
          <w:lang w:val="sr-Latn-CS"/>
        </w:rPr>
        <w:t>/min (vid</w:t>
      </w:r>
      <w:r w:rsidR="00F90136">
        <w:rPr>
          <w:sz w:val="22"/>
          <w:szCs w:val="22"/>
          <w:lang w:val="sr-Latn-CS"/>
        </w:rPr>
        <w:t>j</w:t>
      </w:r>
      <w:r w:rsidR="0058338A" w:rsidRPr="00D21251">
        <w:rPr>
          <w:sz w:val="22"/>
          <w:szCs w:val="22"/>
          <w:lang w:val="sr-Latn-CS"/>
        </w:rPr>
        <w:t xml:space="preserve">eti </w:t>
      </w:r>
      <w:r w:rsidR="00866668">
        <w:rPr>
          <w:sz w:val="22"/>
          <w:szCs w:val="22"/>
          <w:lang w:val="sr-Latn-CS"/>
        </w:rPr>
        <w:t>djelove</w:t>
      </w:r>
      <w:r w:rsidR="00866668" w:rsidRPr="00D21251">
        <w:rPr>
          <w:sz w:val="22"/>
          <w:szCs w:val="22"/>
          <w:lang w:val="sr-Latn-CS"/>
        </w:rPr>
        <w:t xml:space="preserve"> </w:t>
      </w:r>
      <w:r w:rsidR="0058338A" w:rsidRPr="00D21251">
        <w:rPr>
          <w:sz w:val="22"/>
          <w:szCs w:val="22"/>
          <w:lang w:val="sr-Latn-CS"/>
        </w:rPr>
        <w:t>4.3 i 4.4).</w:t>
      </w:r>
    </w:p>
    <w:p w14:paraId="72120830" w14:textId="77777777" w:rsidR="00474536" w:rsidRDefault="00474536" w:rsidP="00531B03">
      <w:pPr>
        <w:jc w:val="both"/>
        <w:rPr>
          <w:i/>
          <w:sz w:val="22"/>
          <w:szCs w:val="22"/>
          <w:lang w:val="sr-Latn-CS"/>
        </w:rPr>
      </w:pPr>
    </w:p>
    <w:p w14:paraId="38D10F4D" w14:textId="77777777" w:rsidR="0058338A" w:rsidRPr="00D21251" w:rsidRDefault="0058338A" w:rsidP="00531B03">
      <w:pPr>
        <w:jc w:val="both"/>
        <w:rPr>
          <w:i/>
          <w:sz w:val="22"/>
          <w:szCs w:val="22"/>
          <w:lang w:val="sr-Latn-CS"/>
        </w:rPr>
      </w:pPr>
      <w:r w:rsidRPr="00D21251">
        <w:rPr>
          <w:i/>
          <w:sz w:val="22"/>
          <w:szCs w:val="22"/>
          <w:lang w:val="sr-Latn-CS"/>
        </w:rPr>
        <w:t>Pacijenti sa oštećenom funkcijom jetre</w:t>
      </w:r>
    </w:p>
    <w:p w14:paraId="4744CC2C" w14:textId="77777777" w:rsidR="0058338A" w:rsidRPr="00D21251" w:rsidRDefault="00344FF6" w:rsidP="00531B03">
      <w:pPr>
        <w:pStyle w:val="Header"/>
        <w:tabs>
          <w:tab w:val="left" w:pos="284"/>
        </w:tabs>
        <w:jc w:val="both"/>
        <w:rPr>
          <w:b/>
          <w:bCs/>
          <w:sz w:val="22"/>
          <w:szCs w:val="22"/>
          <w:lang w:val="sr-Latn-CS"/>
        </w:rPr>
      </w:pPr>
      <w:r>
        <w:rPr>
          <w:sz w:val="22"/>
          <w:szCs w:val="22"/>
          <w:lang w:val="sr-Latn-CS"/>
        </w:rPr>
        <w:t>Lijek</w:t>
      </w:r>
      <w:r w:rsidR="0058338A" w:rsidRPr="00D21251">
        <w:rPr>
          <w:sz w:val="22"/>
          <w:szCs w:val="22"/>
          <w:lang w:val="sr-Latn-CS"/>
        </w:rPr>
        <w:t xml:space="preserve"> Exjade se ne preporučuje kod pacijenata sa teškim oštećenjem funkcije jetre (</w:t>
      </w:r>
      <w:r w:rsidR="0058338A" w:rsidRPr="00531B03">
        <w:rPr>
          <w:i/>
          <w:sz w:val="22"/>
          <w:szCs w:val="22"/>
          <w:lang w:val="sr-Latn-CS"/>
        </w:rPr>
        <w:t>Child-Pugh</w:t>
      </w:r>
      <w:r w:rsidR="0058338A" w:rsidRPr="00D21251">
        <w:rPr>
          <w:sz w:val="22"/>
          <w:szCs w:val="22"/>
          <w:lang w:val="sr-Latn-CS"/>
        </w:rPr>
        <w:t xml:space="preserve"> klasa C). Kod pacijenata sa um</w:t>
      </w:r>
      <w:r w:rsidR="006C19D8">
        <w:rPr>
          <w:sz w:val="22"/>
          <w:szCs w:val="22"/>
          <w:lang w:val="sr-Latn-CS"/>
        </w:rPr>
        <w:t>j</w:t>
      </w:r>
      <w:r w:rsidR="0058338A" w:rsidRPr="00D21251">
        <w:rPr>
          <w:sz w:val="22"/>
          <w:szCs w:val="22"/>
          <w:lang w:val="sr-Latn-CS"/>
        </w:rPr>
        <w:t>erenim oštećenjem funkcije jetre (</w:t>
      </w:r>
      <w:r w:rsidR="0058338A" w:rsidRPr="00531B03">
        <w:rPr>
          <w:i/>
          <w:sz w:val="22"/>
          <w:szCs w:val="22"/>
          <w:lang w:val="sr-Latn-CS"/>
        </w:rPr>
        <w:t>Child-Pugh</w:t>
      </w:r>
      <w:r w:rsidR="0058338A" w:rsidRPr="00D21251">
        <w:rPr>
          <w:sz w:val="22"/>
          <w:szCs w:val="22"/>
          <w:lang w:val="sr-Latn-CS"/>
        </w:rPr>
        <w:t xml:space="preserve"> klasa B), doza treba da bude značajno smanjena</w:t>
      </w:r>
      <w:r w:rsidR="00BF7BAD">
        <w:rPr>
          <w:sz w:val="22"/>
          <w:szCs w:val="22"/>
          <w:lang w:val="sr-Latn-CS"/>
        </w:rPr>
        <w:t>,</w:t>
      </w:r>
      <w:r w:rsidR="0058338A" w:rsidRPr="00D21251">
        <w:rPr>
          <w:sz w:val="22"/>
          <w:szCs w:val="22"/>
          <w:lang w:val="sr-Latn-CS"/>
        </w:rPr>
        <w:t xml:space="preserve"> sa naknadnim postepenim povećanjem doze do 50% (</w:t>
      </w:r>
      <w:r w:rsidR="009E320F">
        <w:rPr>
          <w:sz w:val="22"/>
          <w:szCs w:val="22"/>
          <w:lang w:val="sr-Latn-CS"/>
        </w:rPr>
        <w:t xml:space="preserve">vidjeti </w:t>
      </w:r>
      <w:r w:rsidR="00866668">
        <w:rPr>
          <w:sz w:val="22"/>
          <w:szCs w:val="22"/>
          <w:lang w:val="sr-Latn-CS"/>
        </w:rPr>
        <w:t>djelove</w:t>
      </w:r>
      <w:r w:rsidR="00866668" w:rsidRPr="00D21251">
        <w:rPr>
          <w:sz w:val="22"/>
          <w:szCs w:val="22"/>
          <w:lang w:val="sr-Latn-CS"/>
        </w:rPr>
        <w:t xml:space="preserve"> </w:t>
      </w:r>
      <w:r w:rsidR="0058338A" w:rsidRPr="00D21251">
        <w:rPr>
          <w:sz w:val="22"/>
          <w:szCs w:val="22"/>
          <w:lang w:val="sr-Latn-CS"/>
        </w:rPr>
        <w:t>4.4 i 5.2)</w:t>
      </w:r>
      <w:r w:rsidR="00BF7BAD">
        <w:rPr>
          <w:sz w:val="22"/>
          <w:szCs w:val="22"/>
          <w:lang w:val="sr-Latn-CS"/>
        </w:rPr>
        <w:t>,</w:t>
      </w:r>
      <w:r w:rsidR="0058338A" w:rsidRPr="00D21251">
        <w:rPr>
          <w:sz w:val="22"/>
          <w:szCs w:val="22"/>
          <w:lang w:val="sr-Latn-CS"/>
        </w:rPr>
        <w:t xml:space="preserve"> i </w:t>
      </w:r>
      <w:r>
        <w:rPr>
          <w:sz w:val="22"/>
          <w:szCs w:val="22"/>
          <w:lang w:val="sr-Latn-CS"/>
        </w:rPr>
        <w:t>lijek</w:t>
      </w:r>
      <w:r w:rsidR="0058338A" w:rsidRPr="00D21251">
        <w:rPr>
          <w:sz w:val="22"/>
          <w:szCs w:val="22"/>
          <w:lang w:val="sr-Latn-CS"/>
        </w:rPr>
        <w:t xml:space="preserve"> Exjade se mora oprezno prim</w:t>
      </w:r>
      <w:r>
        <w:rPr>
          <w:sz w:val="22"/>
          <w:szCs w:val="22"/>
          <w:lang w:val="sr-Latn-CS"/>
        </w:rPr>
        <w:t>j</w:t>
      </w:r>
      <w:r w:rsidR="0058338A" w:rsidRPr="00D21251">
        <w:rPr>
          <w:sz w:val="22"/>
          <w:szCs w:val="22"/>
          <w:lang w:val="sr-Latn-CS"/>
        </w:rPr>
        <w:t xml:space="preserve">enjivati kod ovih pacijenata. Kod svih pacijenata </w:t>
      </w:r>
      <w:r w:rsidR="00BF7BAD">
        <w:rPr>
          <w:sz w:val="22"/>
          <w:szCs w:val="22"/>
          <w:lang w:val="sr-Latn-CS"/>
        </w:rPr>
        <w:t xml:space="preserve">je </w:t>
      </w:r>
      <w:r w:rsidR="0058338A" w:rsidRPr="00D21251">
        <w:rPr>
          <w:sz w:val="22"/>
          <w:szCs w:val="22"/>
          <w:lang w:val="sr-Latn-CS"/>
        </w:rPr>
        <w:t xml:space="preserve">potrebno </w:t>
      </w:r>
      <w:r w:rsidR="0058338A" w:rsidRPr="00D21251">
        <w:rPr>
          <w:sz w:val="22"/>
          <w:szCs w:val="22"/>
          <w:lang w:val="sr-Latn-CS"/>
        </w:rPr>
        <w:lastRenderedPageBreak/>
        <w:t>kontrolisati funkciju jetre pr</w:t>
      </w:r>
      <w:r w:rsidR="006C19D8">
        <w:rPr>
          <w:sz w:val="22"/>
          <w:szCs w:val="22"/>
          <w:lang w:val="sr-Latn-CS"/>
        </w:rPr>
        <w:t>ij</w:t>
      </w:r>
      <w:r w:rsidR="0058338A" w:rsidRPr="00D21251">
        <w:rPr>
          <w:sz w:val="22"/>
          <w:szCs w:val="22"/>
          <w:lang w:val="sr-Latn-CS"/>
        </w:rPr>
        <w:t>e započinjanja terapije, svake dv</w:t>
      </w:r>
      <w:r w:rsidR="006C19D8">
        <w:rPr>
          <w:sz w:val="22"/>
          <w:szCs w:val="22"/>
          <w:lang w:val="sr-Latn-CS"/>
        </w:rPr>
        <w:t>ij</w:t>
      </w:r>
      <w:r w:rsidR="0058338A" w:rsidRPr="00D21251">
        <w:rPr>
          <w:sz w:val="22"/>
          <w:szCs w:val="22"/>
          <w:lang w:val="sr-Latn-CS"/>
        </w:rPr>
        <w:t>e ned</w:t>
      </w:r>
      <w:r w:rsidR="006C19D8">
        <w:rPr>
          <w:sz w:val="22"/>
          <w:szCs w:val="22"/>
          <w:lang w:val="sr-Latn-CS"/>
        </w:rPr>
        <w:t>j</w:t>
      </w:r>
      <w:r w:rsidR="0058338A" w:rsidRPr="00D21251">
        <w:rPr>
          <w:sz w:val="22"/>
          <w:szCs w:val="22"/>
          <w:lang w:val="sr-Latn-CS"/>
        </w:rPr>
        <w:t xml:space="preserve">elje u toku prvog </w:t>
      </w:r>
      <w:r w:rsidR="0071118F">
        <w:rPr>
          <w:sz w:val="22"/>
          <w:szCs w:val="22"/>
          <w:lang w:val="sr-Latn-CS"/>
        </w:rPr>
        <w:t>mjesec</w:t>
      </w:r>
      <w:r w:rsidR="0058338A" w:rsidRPr="00D21251">
        <w:rPr>
          <w:sz w:val="22"/>
          <w:szCs w:val="22"/>
          <w:lang w:val="sr-Latn-CS"/>
        </w:rPr>
        <w:t xml:space="preserve">a terapije i jednom </w:t>
      </w:r>
      <w:r w:rsidR="00B00CF2">
        <w:rPr>
          <w:sz w:val="22"/>
          <w:szCs w:val="22"/>
          <w:lang w:val="sr-Latn-CS"/>
        </w:rPr>
        <w:t>mjeseč</w:t>
      </w:r>
      <w:r w:rsidR="0058338A" w:rsidRPr="00D21251">
        <w:rPr>
          <w:sz w:val="22"/>
          <w:szCs w:val="22"/>
          <w:lang w:val="sr-Latn-CS"/>
        </w:rPr>
        <w:t>no nakon toga (</w:t>
      </w:r>
      <w:r w:rsidR="009E320F">
        <w:rPr>
          <w:sz w:val="22"/>
          <w:szCs w:val="22"/>
          <w:lang w:val="sr-Latn-CS"/>
        </w:rPr>
        <w:t xml:space="preserve">vidjeti </w:t>
      </w:r>
      <w:r w:rsidR="00866668">
        <w:rPr>
          <w:sz w:val="22"/>
          <w:szCs w:val="22"/>
          <w:lang w:val="sr-Latn-CS"/>
        </w:rPr>
        <w:t>dio</w:t>
      </w:r>
      <w:r w:rsidR="00866668" w:rsidRPr="00D21251">
        <w:rPr>
          <w:sz w:val="22"/>
          <w:szCs w:val="22"/>
          <w:lang w:val="sr-Latn-CS"/>
        </w:rPr>
        <w:t xml:space="preserve"> </w:t>
      </w:r>
      <w:r w:rsidR="0058338A" w:rsidRPr="00D21251">
        <w:rPr>
          <w:sz w:val="22"/>
          <w:szCs w:val="22"/>
          <w:lang w:val="sr-Latn-CS"/>
        </w:rPr>
        <w:t>4.4).</w:t>
      </w:r>
    </w:p>
    <w:p w14:paraId="35598D99" w14:textId="77777777" w:rsidR="00D21251" w:rsidRPr="00531B03" w:rsidRDefault="00D21251" w:rsidP="00531B03">
      <w:pPr>
        <w:tabs>
          <w:tab w:val="left" w:pos="540"/>
          <w:tab w:val="left" w:pos="569"/>
        </w:tabs>
        <w:jc w:val="both"/>
        <w:rPr>
          <w:bCs/>
          <w:sz w:val="22"/>
          <w:szCs w:val="22"/>
          <w:u w:val="single"/>
          <w:lang w:val="sr-Latn-CS"/>
        </w:rPr>
      </w:pPr>
    </w:p>
    <w:p w14:paraId="479A09B6" w14:textId="77777777" w:rsidR="00452E9D" w:rsidRPr="00D21251" w:rsidRDefault="00452E9D" w:rsidP="00531B03">
      <w:pPr>
        <w:tabs>
          <w:tab w:val="left" w:pos="540"/>
          <w:tab w:val="left" w:pos="569"/>
        </w:tabs>
        <w:jc w:val="both"/>
        <w:rPr>
          <w:bCs/>
          <w:sz w:val="22"/>
          <w:szCs w:val="22"/>
          <w:u w:val="single"/>
        </w:rPr>
      </w:pPr>
      <w:r w:rsidRPr="00D21251">
        <w:rPr>
          <w:bCs/>
          <w:sz w:val="22"/>
          <w:szCs w:val="22"/>
          <w:u w:val="single"/>
        </w:rPr>
        <w:t>Način primjene</w:t>
      </w:r>
    </w:p>
    <w:p w14:paraId="7B7370DE" w14:textId="77777777" w:rsidR="0058338A" w:rsidRPr="00D21251" w:rsidRDefault="0058338A" w:rsidP="00531B03">
      <w:pPr>
        <w:jc w:val="both"/>
        <w:rPr>
          <w:sz w:val="22"/>
          <w:szCs w:val="22"/>
          <w:lang w:val="sr-Latn-CS"/>
        </w:rPr>
      </w:pPr>
      <w:r w:rsidRPr="00D21251">
        <w:rPr>
          <w:sz w:val="22"/>
          <w:szCs w:val="22"/>
          <w:lang w:val="sr-Latn-CS"/>
        </w:rPr>
        <w:t>Za oralnu prim</w:t>
      </w:r>
      <w:r w:rsidR="00344FF6">
        <w:rPr>
          <w:sz w:val="22"/>
          <w:szCs w:val="22"/>
          <w:lang w:val="sr-Latn-CS"/>
        </w:rPr>
        <w:t>j</w:t>
      </w:r>
      <w:r w:rsidRPr="00D21251">
        <w:rPr>
          <w:sz w:val="22"/>
          <w:szCs w:val="22"/>
          <w:lang w:val="sr-Latn-CS"/>
        </w:rPr>
        <w:t>enu.</w:t>
      </w:r>
    </w:p>
    <w:p w14:paraId="16BDE81E" w14:textId="77777777" w:rsidR="0058338A" w:rsidRPr="00D21251" w:rsidRDefault="0058338A" w:rsidP="00531B03">
      <w:pPr>
        <w:jc w:val="both"/>
        <w:rPr>
          <w:sz w:val="22"/>
          <w:szCs w:val="22"/>
          <w:lang w:val="sr-Latn-CS"/>
        </w:rPr>
      </w:pPr>
    </w:p>
    <w:p w14:paraId="0E7E76EE" w14:textId="77777777" w:rsidR="0058338A" w:rsidRDefault="00344FF6" w:rsidP="00531B03">
      <w:pPr>
        <w:jc w:val="both"/>
        <w:rPr>
          <w:sz w:val="22"/>
          <w:szCs w:val="22"/>
          <w:lang w:val="sr-Latn-CS"/>
        </w:rPr>
      </w:pPr>
      <w:r>
        <w:rPr>
          <w:sz w:val="22"/>
          <w:szCs w:val="22"/>
          <w:lang w:val="sr-Latn-CS"/>
        </w:rPr>
        <w:t>Lijek</w:t>
      </w:r>
      <w:r w:rsidR="0058338A" w:rsidRPr="00D21251">
        <w:rPr>
          <w:sz w:val="22"/>
          <w:szCs w:val="22"/>
          <w:lang w:val="sr-Latn-CS"/>
        </w:rPr>
        <w:t xml:space="preserve"> Exjade, film tableta mora da se proguta c</w:t>
      </w:r>
      <w:r w:rsidR="00A95529">
        <w:rPr>
          <w:sz w:val="22"/>
          <w:szCs w:val="22"/>
          <w:lang w:val="sr-Latn-CS"/>
        </w:rPr>
        <w:t>ij</w:t>
      </w:r>
      <w:r w:rsidR="0058338A" w:rsidRPr="00D21251">
        <w:rPr>
          <w:sz w:val="22"/>
          <w:szCs w:val="22"/>
          <w:lang w:val="sr-Latn-CS"/>
        </w:rPr>
        <w:t>ela sa malo vode. Pacijenti koji ne mogu da progutaju c</w:t>
      </w:r>
      <w:r w:rsidR="00A95529">
        <w:rPr>
          <w:sz w:val="22"/>
          <w:szCs w:val="22"/>
          <w:lang w:val="sr-Latn-CS"/>
        </w:rPr>
        <w:t>ij</w:t>
      </w:r>
      <w:r w:rsidR="0058338A" w:rsidRPr="00D21251">
        <w:rPr>
          <w:sz w:val="22"/>
          <w:szCs w:val="22"/>
          <w:lang w:val="sr-Latn-CS"/>
        </w:rPr>
        <w:t xml:space="preserve">elu tabletu, mogu da izmrve film tabletu i </w:t>
      </w:r>
      <w:r>
        <w:rPr>
          <w:sz w:val="22"/>
          <w:szCs w:val="22"/>
          <w:lang w:val="sr-Latn-CS"/>
        </w:rPr>
        <w:t>lijek</w:t>
      </w:r>
      <w:r w:rsidR="0058338A" w:rsidRPr="00D21251">
        <w:rPr>
          <w:sz w:val="22"/>
          <w:szCs w:val="22"/>
          <w:lang w:val="sr-Latn-CS"/>
        </w:rPr>
        <w:t xml:space="preserve"> uzmu tako što će c</w:t>
      </w:r>
      <w:r w:rsidR="00F90136">
        <w:rPr>
          <w:sz w:val="22"/>
          <w:szCs w:val="22"/>
          <w:lang w:val="sr-Latn-CS"/>
        </w:rPr>
        <w:t>ij</w:t>
      </w:r>
      <w:r w:rsidR="0058338A" w:rsidRPr="00D21251">
        <w:rPr>
          <w:sz w:val="22"/>
          <w:szCs w:val="22"/>
          <w:lang w:val="sr-Latn-CS"/>
        </w:rPr>
        <w:t xml:space="preserve">elu dozu </w:t>
      </w:r>
      <w:r>
        <w:rPr>
          <w:sz w:val="22"/>
          <w:szCs w:val="22"/>
          <w:lang w:val="sr-Latn-CS"/>
        </w:rPr>
        <w:t>lijek</w:t>
      </w:r>
      <w:r w:rsidR="0058338A" w:rsidRPr="00D21251">
        <w:rPr>
          <w:sz w:val="22"/>
          <w:szCs w:val="22"/>
          <w:lang w:val="sr-Latn-CS"/>
        </w:rPr>
        <w:t>a posuti po mekoj hrani npr. jogurt</w:t>
      </w:r>
      <w:r w:rsidR="00570484">
        <w:rPr>
          <w:sz w:val="22"/>
          <w:szCs w:val="22"/>
          <w:lang w:val="sr-Latn-CS"/>
        </w:rPr>
        <w:t>u</w:t>
      </w:r>
      <w:r w:rsidR="0058338A" w:rsidRPr="00D21251">
        <w:rPr>
          <w:sz w:val="22"/>
          <w:szCs w:val="22"/>
          <w:lang w:val="sr-Latn-CS"/>
        </w:rPr>
        <w:t xml:space="preserve"> ili </w:t>
      </w:r>
      <w:r w:rsidR="00570484" w:rsidRPr="00D21251">
        <w:rPr>
          <w:sz w:val="22"/>
          <w:szCs w:val="22"/>
          <w:lang w:val="sr-Latn-CS"/>
        </w:rPr>
        <w:t>so</w:t>
      </w:r>
      <w:r w:rsidR="00570484">
        <w:rPr>
          <w:sz w:val="22"/>
          <w:szCs w:val="22"/>
          <w:lang w:val="sr-Latn-CS"/>
        </w:rPr>
        <w:t>su</w:t>
      </w:r>
      <w:r w:rsidR="00570484" w:rsidRPr="00D21251">
        <w:rPr>
          <w:sz w:val="22"/>
          <w:szCs w:val="22"/>
          <w:lang w:val="sr-Latn-CS"/>
        </w:rPr>
        <w:t xml:space="preserve"> </w:t>
      </w:r>
      <w:r w:rsidR="0058338A" w:rsidRPr="00D21251">
        <w:rPr>
          <w:sz w:val="22"/>
          <w:szCs w:val="22"/>
          <w:lang w:val="sr-Latn-CS"/>
        </w:rPr>
        <w:t xml:space="preserve">od jabuke (pire od jabuke). </w:t>
      </w:r>
      <w:r w:rsidR="008E0C6B">
        <w:rPr>
          <w:sz w:val="22"/>
          <w:szCs w:val="22"/>
          <w:lang w:val="sr-Latn-CS"/>
        </w:rPr>
        <w:t>Kompletna d</w:t>
      </w:r>
      <w:r w:rsidR="0058338A" w:rsidRPr="00D21251">
        <w:rPr>
          <w:sz w:val="22"/>
          <w:szCs w:val="22"/>
          <w:lang w:val="sr-Latn-CS"/>
        </w:rPr>
        <w:t xml:space="preserve">oza se mora uzeti odmah i </w:t>
      </w:r>
      <w:r w:rsidR="000F5050">
        <w:rPr>
          <w:sz w:val="22"/>
          <w:szCs w:val="22"/>
          <w:lang w:val="sr-Latn-CS"/>
        </w:rPr>
        <w:t>ne smije</w:t>
      </w:r>
      <w:r w:rsidR="0058338A" w:rsidRPr="00D21251">
        <w:rPr>
          <w:sz w:val="22"/>
          <w:szCs w:val="22"/>
          <w:lang w:val="sr-Latn-CS"/>
        </w:rPr>
        <w:t xml:space="preserve"> se čuvati za kasnije. </w:t>
      </w:r>
    </w:p>
    <w:p w14:paraId="55EC0F3D" w14:textId="77777777" w:rsidR="00A01E2A" w:rsidRPr="00D21251" w:rsidRDefault="00A01E2A" w:rsidP="00531B03">
      <w:pPr>
        <w:jc w:val="both"/>
        <w:rPr>
          <w:sz w:val="22"/>
          <w:szCs w:val="22"/>
          <w:lang w:val="sr-Latn-CS"/>
        </w:rPr>
      </w:pPr>
    </w:p>
    <w:p w14:paraId="24A54C7F" w14:textId="77777777" w:rsidR="0058338A" w:rsidRPr="00D21251" w:rsidRDefault="0058338A" w:rsidP="00531B03">
      <w:pPr>
        <w:jc w:val="both"/>
        <w:rPr>
          <w:sz w:val="22"/>
          <w:szCs w:val="22"/>
          <w:lang w:val="sr-Latn-CS"/>
        </w:rPr>
      </w:pPr>
      <w:r w:rsidRPr="00D21251">
        <w:rPr>
          <w:sz w:val="22"/>
          <w:szCs w:val="22"/>
          <w:lang w:val="sr-Latn-CS"/>
        </w:rPr>
        <w:t>Film tablete treba uz</w:t>
      </w:r>
      <w:r w:rsidR="008E0C6B">
        <w:rPr>
          <w:sz w:val="22"/>
          <w:szCs w:val="22"/>
          <w:lang w:val="sr-Latn-CS"/>
        </w:rPr>
        <w:t>imati</w:t>
      </w:r>
      <w:r w:rsidRPr="00D21251">
        <w:rPr>
          <w:sz w:val="22"/>
          <w:szCs w:val="22"/>
          <w:lang w:val="sr-Latn-CS"/>
        </w:rPr>
        <w:t xml:space="preserve"> jednom dnevno, po moguć</w:t>
      </w:r>
      <w:r w:rsidR="008E0C6B">
        <w:rPr>
          <w:sz w:val="22"/>
          <w:szCs w:val="22"/>
          <w:lang w:val="sr-Latn-CS"/>
        </w:rPr>
        <w:t>nosti</w:t>
      </w:r>
      <w:r w:rsidRPr="00D21251">
        <w:rPr>
          <w:sz w:val="22"/>
          <w:szCs w:val="22"/>
          <w:lang w:val="sr-Latn-CS"/>
        </w:rPr>
        <w:t xml:space="preserve"> svakoga dana u isto vr</w:t>
      </w:r>
      <w:r w:rsidR="00F90136">
        <w:rPr>
          <w:sz w:val="22"/>
          <w:szCs w:val="22"/>
          <w:lang w:val="sr-Latn-CS"/>
        </w:rPr>
        <w:t>ij</w:t>
      </w:r>
      <w:r w:rsidRPr="00D21251">
        <w:rPr>
          <w:sz w:val="22"/>
          <w:szCs w:val="22"/>
          <w:lang w:val="sr-Latn-CS"/>
        </w:rPr>
        <w:t>eme</w:t>
      </w:r>
      <w:r w:rsidR="00570484">
        <w:rPr>
          <w:sz w:val="22"/>
          <w:szCs w:val="22"/>
          <w:lang w:val="sr-Latn-CS"/>
        </w:rPr>
        <w:t>,</w:t>
      </w:r>
      <w:r w:rsidRPr="00D21251">
        <w:rPr>
          <w:sz w:val="22"/>
          <w:szCs w:val="22"/>
          <w:lang w:val="sr-Latn-CS"/>
        </w:rPr>
        <w:t xml:space="preserve"> i mogu se </w:t>
      </w:r>
      <w:r w:rsidR="008E0C6B">
        <w:rPr>
          <w:sz w:val="22"/>
          <w:szCs w:val="22"/>
          <w:lang w:val="sr-Latn-CS"/>
        </w:rPr>
        <w:t>primjenjivati</w:t>
      </w:r>
      <w:r w:rsidRPr="00D21251">
        <w:rPr>
          <w:sz w:val="22"/>
          <w:szCs w:val="22"/>
          <w:lang w:val="sr-Latn-CS"/>
        </w:rPr>
        <w:t xml:space="preserve"> na prazan stomak ili sa lakim obrokom</w:t>
      </w:r>
      <w:r w:rsidR="00F90136">
        <w:rPr>
          <w:sz w:val="22"/>
          <w:szCs w:val="22"/>
          <w:lang w:val="sr-Latn-CS"/>
        </w:rPr>
        <w:t xml:space="preserve"> </w:t>
      </w:r>
      <w:r w:rsidRPr="00D21251">
        <w:rPr>
          <w:sz w:val="22"/>
          <w:szCs w:val="22"/>
          <w:lang w:val="sr-Latn-CS"/>
        </w:rPr>
        <w:t>(vid</w:t>
      </w:r>
      <w:r w:rsidR="00F90136">
        <w:rPr>
          <w:sz w:val="22"/>
          <w:szCs w:val="22"/>
          <w:lang w:val="sr-Latn-CS"/>
        </w:rPr>
        <w:t>j</w:t>
      </w:r>
      <w:r w:rsidRPr="00D21251">
        <w:rPr>
          <w:sz w:val="22"/>
          <w:szCs w:val="22"/>
          <w:lang w:val="sr-Latn-CS"/>
        </w:rPr>
        <w:t xml:space="preserve">eti </w:t>
      </w:r>
      <w:r w:rsidR="00866668">
        <w:rPr>
          <w:sz w:val="22"/>
          <w:szCs w:val="22"/>
          <w:lang w:val="sr-Latn-CS"/>
        </w:rPr>
        <w:t>djelove</w:t>
      </w:r>
      <w:r w:rsidR="00866668" w:rsidRPr="00D21251">
        <w:rPr>
          <w:sz w:val="22"/>
          <w:szCs w:val="22"/>
          <w:lang w:val="sr-Latn-CS"/>
        </w:rPr>
        <w:t xml:space="preserve"> </w:t>
      </w:r>
      <w:r w:rsidRPr="00D21251">
        <w:rPr>
          <w:sz w:val="22"/>
          <w:szCs w:val="22"/>
          <w:lang w:val="sr-Latn-CS"/>
        </w:rPr>
        <w:t xml:space="preserve">4.5 i 5.2). </w:t>
      </w:r>
    </w:p>
    <w:p w14:paraId="74747B47" w14:textId="77777777" w:rsidR="00452E9D" w:rsidRPr="00D21251" w:rsidRDefault="00452E9D" w:rsidP="00531B03">
      <w:pPr>
        <w:tabs>
          <w:tab w:val="left" w:pos="540"/>
          <w:tab w:val="left" w:pos="569"/>
        </w:tabs>
        <w:jc w:val="both"/>
        <w:rPr>
          <w:bCs/>
          <w:sz w:val="22"/>
          <w:szCs w:val="22"/>
        </w:rPr>
      </w:pPr>
    </w:p>
    <w:p w14:paraId="33AA3626" w14:textId="77777777" w:rsidR="00411B4B" w:rsidRPr="00D21251" w:rsidRDefault="00411B4B" w:rsidP="00531B03">
      <w:pPr>
        <w:tabs>
          <w:tab w:val="left" w:pos="540"/>
          <w:tab w:val="left" w:pos="569"/>
        </w:tabs>
        <w:jc w:val="both"/>
        <w:rPr>
          <w:b/>
          <w:bCs/>
          <w:sz w:val="22"/>
          <w:szCs w:val="22"/>
        </w:rPr>
      </w:pPr>
      <w:r w:rsidRPr="00D21251">
        <w:rPr>
          <w:b/>
          <w:bCs/>
          <w:sz w:val="22"/>
          <w:szCs w:val="22"/>
        </w:rPr>
        <w:t xml:space="preserve">4.3. </w:t>
      </w:r>
      <w:r w:rsidR="00480FB1" w:rsidRPr="00D21251">
        <w:rPr>
          <w:b/>
          <w:bCs/>
          <w:sz w:val="22"/>
          <w:szCs w:val="22"/>
        </w:rPr>
        <w:tab/>
      </w:r>
      <w:r w:rsidRPr="00D21251">
        <w:rPr>
          <w:b/>
          <w:bCs/>
          <w:sz w:val="22"/>
          <w:szCs w:val="22"/>
        </w:rPr>
        <w:t>Kontraindikacije</w:t>
      </w:r>
    </w:p>
    <w:p w14:paraId="23EC2440" w14:textId="77777777" w:rsidR="00BF7BAD" w:rsidRDefault="00BF7BAD" w:rsidP="00531B03">
      <w:pPr>
        <w:jc w:val="both"/>
        <w:rPr>
          <w:sz w:val="22"/>
          <w:szCs w:val="22"/>
          <w:lang w:val="sr-Latn-CS"/>
        </w:rPr>
      </w:pPr>
    </w:p>
    <w:p w14:paraId="353779ED" w14:textId="77777777" w:rsidR="0058338A" w:rsidRPr="00D21251" w:rsidRDefault="0058338A" w:rsidP="00531B03">
      <w:pPr>
        <w:jc w:val="both"/>
        <w:rPr>
          <w:sz w:val="22"/>
          <w:szCs w:val="22"/>
          <w:lang w:val="sr-Latn-CS"/>
        </w:rPr>
      </w:pPr>
      <w:r w:rsidRPr="00D21251">
        <w:rPr>
          <w:sz w:val="22"/>
          <w:szCs w:val="22"/>
          <w:lang w:val="sr-Latn-CS"/>
        </w:rPr>
        <w:t>Preos</w:t>
      </w:r>
      <w:r w:rsidR="00022A1D">
        <w:rPr>
          <w:sz w:val="22"/>
          <w:szCs w:val="22"/>
          <w:lang w:val="sr-Latn-CS"/>
        </w:rPr>
        <w:t>j</w:t>
      </w:r>
      <w:r w:rsidRPr="00D21251">
        <w:rPr>
          <w:sz w:val="22"/>
          <w:szCs w:val="22"/>
          <w:lang w:val="sr-Latn-CS"/>
        </w:rPr>
        <w:t xml:space="preserve">etljivost na aktivnu supstancu ili </w:t>
      </w:r>
      <w:r w:rsidR="00BF7BAD">
        <w:rPr>
          <w:sz w:val="22"/>
          <w:szCs w:val="22"/>
          <w:lang w:val="sr-Latn-CS"/>
        </w:rPr>
        <w:t xml:space="preserve">na </w:t>
      </w:r>
      <w:r w:rsidRPr="00D21251">
        <w:rPr>
          <w:sz w:val="22"/>
          <w:szCs w:val="22"/>
          <w:lang w:val="sr-Latn-CS"/>
        </w:rPr>
        <w:t xml:space="preserve">bilo koju pomoćnu supstancu navedenu u </w:t>
      </w:r>
      <w:r w:rsidR="008E0C6B">
        <w:rPr>
          <w:sz w:val="22"/>
          <w:szCs w:val="22"/>
          <w:lang w:val="sr-Latn-CS"/>
        </w:rPr>
        <w:t>dijelu</w:t>
      </w:r>
      <w:r w:rsidR="008E0C6B" w:rsidRPr="00D21251">
        <w:rPr>
          <w:sz w:val="22"/>
          <w:szCs w:val="22"/>
          <w:lang w:val="sr-Latn-CS"/>
        </w:rPr>
        <w:t xml:space="preserve"> </w:t>
      </w:r>
      <w:r w:rsidRPr="00D21251">
        <w:rPr>
          <w:sz w:val="22"/>
          <w:szCs w:val="22"/>
          <w:lang w:val="sr-Latn-CS"/>
        </w:rPr>
        <w:t xml:space="preserve">6.1. </w:t>
      </w:r>
    </w:p>
    <w:p w14:paraId="2C4D484C" w14:textId="77777777" w:rsidR="0058338A" w:rsidRPr="00D21251" w:rsidRDefault="0058338A" w:rsidP="00531B03">
      <w:pPr>
        <w:jc w:val="both"/>
        <w:rPr>
          <w:sz w:val="22"/>
          <w:szCs w:val="22"/>
          <w:lang w:val="sr-Latn-CS"/>
        </w:rPr>
      </w:pPr>
    </w:p>
    <w:p w14:paraId="2BDB653A" w14:textId="77777777" w:rsidR="0058338A" w:rsidRPr="00D21251" w:rsidRDefault="0058338A" w:rsidP="00531B03">
      <w:pPr>
        <w:jc w:val="both"/>
        <w:rPr>
          <w:sz w:val="22"/>
          <w:szCs w:val="22"/>
          <w:lang w:val="sr-Latn-CS"/>
        </w:rPr>
      </w:pPr>
      <w:r w:rsidRPr="00D21251">
        <w:rPr>
          <w:sz w:val="22"/>
          <w:szCs w:val="22"/>
          <w:lang w:val="sr-Latn-CS"/>
        </w:rPr>
        <w:t>Kombinovanje sa drugim helatorima gvožđa</w:t>
      </w:r>
      <w:r w:rsidR="00BF7BAD">
        <w:rPr>
          <w:sz w:val="22"/>
          <w:szCs w:val="22"/>
          <w:lang w:val="sr-Latn-CS"/>
        </w:rPr>
        <w:t>,</w:t>
      </w:r>
      <w:r w:rsidRPr="00D21251">
        <w:rPr>
          <w:sz w:val="22"/>
          <w:szCs w:val="22"/>
          <w:lang w:val="sr-Latn-CS"/>
        </w:rPr>
        <w:t xml:space="preserve"> jer bezb</w:t>
      </w:r>
      <w:r w:rsidR="000F5050">
        <w:rPr>
          <w:sz w:val="22"/>
          <w:szCs w:val="22"/>
          <w:lang w:val="sr-Latn-CS"/>
        </w:rPr>
        <w:t>j</w:t>
      </w:r>
      <w:r w:rsidRPr="00D21251">
        <w:rPr>
          <w:sz w:val="22"/>
          <w:szCs w:val="22"/>
          <w:lang w:val="sr-Latn-CS"/>
        </w:rPr>
        <w:t>ednost ovakvih kombinacija nije utvrđena (</w:t>
      </w:r>
      <w:r w:rsidR="009E320F">
        <w:rPr>
          <w:sz w:val="22"/>
          <w:szCs w:val="22"/>
          <w:lang w:val="sr-Latn-CS"/>
        </w:rPr>
        <w:t xml:space="preserve">vidjeti </w:t>
      </w:r>
      <w:r w:rsidR="00DD432B">
        <w:rPr>
          <w:sz w:val="22"/>
          <w:szCs w:val="22"/>
          <w:lang w:val="sr-Latn-CS"/>
        </w:rPr>
        <w:t>dio</w:t>
      </w:r>
      <w:r w:rsidR="00DD432B" w:rsidRPr="00D21251">
        <w:rPr>
          <w:sz w:val="22"/>
          <w:szCs w:val="22"/>
          <w:lang w:val="sr-Latn-CS"/>
        </w:rPr>
        <w:t xml:space="preserve"> </w:t>
      </w:r>
      <w:r w:rsidRPr="00D21251">
        <w:rPr>
          <w:sz w:val="22"/>
          <w:szCs w:val="22"/>
          <w:lang w:val="sr-Latn-CS"/>
        </w:rPr>
        <w:t>4.5).</w:t>
      </w:r>
    </w:p>
    <w:p w14:paraId="1AC71ED7" w14:textId="77777777" w:rsidR="0058338A" w:rsidRPr="00D21251" w:rsidRDefault="0058338A" w:rsidP="00531B03">
      <w:pPr>
        <w:jc w:val="both"/>
        <w:rPr>
          <w:sz w:val="22"/>
          <w:szCs w:val="22"/>
          <w:lang w:val="sr-Latn-CS"/>
        </w:rPr>
      </w:pPr>
    </w:p>
    <w:p w14:paraId="63F6DD7E" w14:textId="77777777" w:rsidR="0058338A" w:rsidRPr="00D21251" w:rsidRDefault="0058338A" w:rsidP="00531B03">
      <w:pPr>
        <w:jc w:val="both"/>
        <w:rPr>
          <w:sz w:val="22"/>
          <w:szCs w:val="22"/>
          <w:lang w:val="sr-Latn-CS"/>
        </w:rPr>
      </w:pPr>
      <w:r w:rsidRPr="00D21251">
        <w:rPr>
          <w:sz w:val="22"/>
          <w:szCs w:val="22"/>
          <w:lang w:val="sr-Latn-CS"/>
        </w:rPr>
        <w:t xml:space="preserve">Pacijenti sa </w:t>
      </w:r>
      <w:r w:rsidR="000F5050">
        <w:rPr>
          <w:sz w:val="22"/>
          <w:szCs w:val="22"/>
          <w:lang w:val="sr-Latn-CS"/>
        </w:rPr>
        <w:t>proc</w:t>
      </w:r>
      <w:r w:rsidR="00F90136">
        <w:rPr>
          <w:sz w:val="22"/>
          <w:szCs w:val="22"/>
          <w:lang w:val="sr-Latn-CS"/>
        </w:rPr>
        <w:t>i</w:t>
      </w:r>
      <w:r w:rsidR="000F5050">
        <w:rPr>
          <w:sz w:val="22"/>
          <w:szCs w:val="22"/>
          <w:lang w:val="sr-Latn-CS"/>
        </w:rPr>
        <w:t>jen</w:t>
      </w:r>
      <w:r w:rsidRPr="00D21251">
        <w:rPr>
          <w:sz w:val="22"/>
          <w:szCs w:val="22"/>
          <w:lang w:val="sr-Latn-CS"/>
        </w:rPr>
        <w:t>jenim klirensom kreatinina &lt;60 </w:t>
      </w:r>
      <w:r w:rsidR="00BF7BAD" w:rsidRPr="00D21251">
        <w:rPr>
          <w:sz w:val="22"/>
          <w:szCs w:val="22"/>
          <w:lang w:val="sr-Latn-CS"/>
        </w:rPr>
        <w:t>m</w:t>
      </w:r>
      <w:r w:rsidR="00BF7BAD">
        <w:rPr>
          <w:sz w:val="22"/>
          <w:szCs w:val="22"/>
          <w:lang w:val="sr-Latn-CS"/>
        </w:rPr>
        <w:t>l</w:t>
      </w:r>
      <w:r w:rsidRPr="00D21251">
        <w:rPr>
          <w:sz w:val="22"/>
          <w:szCs w:val="22"/>
          <w:lang w:val="sr-Latn-CS"/>
        </w:rPr>
        <w:t xml:space="preserve">/min. </w:t>
      </w:r>
    </w:p>
    <w:p w14:paraId="109C1E3E" w14:textId="77777777" w:rsidR="0072020E" w:rsidRPr="00D21251" w:rsidRDefault="0072020E" w:rsidP="00480FB1">
      <w:pPr>
        <w:tabs>
          <w:tab w:val="left" w:pos="540"/>
          <w:tab w:val="left" w:pos="569"/>
        </w:tabs>
        <w:rPr>
          <w:bCs/>
          <w:sz w:val="22"/>
          <w:szCs w:val="22"/>
        </w:rPr>
      </w:pPr>
    </w:p>
    <w:p w14:paraId="5040E07A" w14:textId="77777777" w:rsidR="00411B4B" w:rsidRDefault="00411B4B" w:rsidP="00480FB1">
      <w:pPr>
        <w:tabs>
          <w:tab w:val="left" w:pos="540"/>
          <w:tab w:val="left" w:pos="569"/>
        </w:tabs>
        <w:rPr>
          <w:b/>
          <w:bCs/>
          <w:sz w:val="22"/>
          <w:szCs w:val="22"/>
        </w:rPr>
      </w:pPr>
      <w:r w:rsidRPr="00D21251">
        <w:rPr>
          <w:b/>
          <w:bCs/>
          <w:sz w:val="22"/>
          <w:szCs w:val="22"/>
        </w:rPr>
        <w:t xml:space="preserve">4.4. </w:t>
      </w:r>
      <w:r w:rsidR="00480FB1" w:rsidRPr="00D21251">
        <w:rPr>
          <w:b/>
          <w:bCs/>
          <w:sz w:val="22"/>
          <w:szCs w:val="22"/>
        </w:rPr>
        <w:tab/>
      </w:r>
      <w:r w:rsidRPr="00D21251">
        <w:rPr>
          <w:b/>
          <w:bCs/>
          <w:sz w:val="22"/>
          <w:szCs w:val="22"/>
        </w:rPr>
        <w:t>Posebna upozorenja i mjere opreza pri upotrebi lijeka</w:t>
      </w:r>
    </w:p>
    <w:p w14:paraId="63F08BC0" w14:textId="77777777" w:rsidR="00BF7BAD" w:rsidRPr="00D21251" w:rsidRDefault="00BF7BAD" w:rsidP="00480FB1">
      <w:pPr>
        <w:tabs>
          <w:tab w:val="left" w:pos="540"/>
          <w:tab w:val="left" w:pos="569"/>
        </w:tabs>
        <w:rPr>
          <w:b/>
          <w:bCs/>
          <w:sz w:val="22"/>
          <w:szCs w:val="22"/>
        </w:rPr>
      </w:pPr>
    </w:p>
    <w:tbl>
      <w:tblPr>
        <w:tblStyle w:val="TableGrid"/>
        <w:tblW w:w="0" w:type="auto"/>
        <w:tblLook w:val="04A0" w:firstRow="1" w:lastRow="0" w:firstColumn="1" w:lastColumn="0" w:noHBand="0" w:noVBand="1"/>
      </w:tblPr>
      <w:tblGrid>
        <w:gridCol w:w="9075"/>
      </w:tblGrid>
      <w:tr w:rsidR="0058338A" w:rsidRPr="00D21251" w14:paraId="568E8791" w14:textId="77777777" w:rsidTr="0058338A">
        <w:tc>
          <w:tcPr>
            <w:tcW w:w="9075" w:type="dxa"/>
          </w:tcPr>
          <w:p w14:paraId="1E2E2004" w14:textId="77777777" w:rsidR="0058338A" w:rsidRPr="00531B03" w:rsidRDefault="0058338A" w:rsidP="00531B03">
            <w:pPr>
              <w:jc w:val="both"/>
              <w:rPr>
                <w:sz w:val="22"/>
                <w:szCs w:val="22"/>
                <w:u w:val="single"/>
              </w:rPr>
            </w:pPr>
            <w:r w:rsidRPr="00531B03">
              <w:rPr>
                <w:sz w:val="22"/>
                <w:szCs w:val="22"/>
                <w:u w:val="single"/>
              </w:rPr>
              <w:t>Bubrežna funkcija</w:t>
            </w:r>
          </w:p>
          <w:p w14:paraId="6A8EF611" w14:textId="77777777" w:rsidR="0058338A" w:rsidRPr="00D21251" w:rsidRDefault="0058338A" w:rsidP="00531B03">
            <w:pPr>
              <w:jc w:val="both"/>
              <w:rPr>
                <w:sz w:val="22"/>
                <w:szCs w:val="22"/>
              </w:rPr>
            </w:pPr>
          </w:p>
          <w:p w14:paraId="0982E85C" w14:textId="77777777" w:rsidR="0058338A" w:rsidRPr="00D21251" w:rsidRDefault="0058338A" w:rsidP="00531B03">
            <w:pPr>
              <w:jc w:val="both"/>
              <w:rPr>
                <w:sz w:val="22"/>
                <w:szCs w:val="22"/>
              </w:rPr>
            </w:pPr>
            <w:r w:rsidRPr="00D21251">
              <w:rPr>
                <w:sz w:val="22"/>
                <w:szCs w:val="22"/>
              </w:rPr>
              <w:t xml:space="preserve">Deferasiroks je ispitivan samo kod pacijenata </w:t>
            </w:r>
            <w:r w:rsidR="00DD432B">
              <w:rPr>
                <w:sz w:val="22"/>
                <w:szCs w:val="22"/>
              </w:rPr>
              <w:t>kod kojih su</w:t>
            </w:r>
            <w:r w:rsidRPr="00D21251">
              <w:rPr>
                <w:sz w:val="22"/>
                <w:szCs w:val="22"/>
              </w:rPr>
              <w:t xml:space="preserve"> početn</w:t>
            </w:r>
            <w:r w:rsidR="00DD432B">
              <w:rPr>
                <w:sz w:val="22"/>
                <w:szCs w:val="22"/>
              </w:rPr>
              <w:t>e</w:t>
            </w:r>
            <w:r w:rsidRPr="00D21251">
              <w:rPr>
                <w:sz w:val="22"/>
                <w:szCs w:val="22"/>
              </w:rPr>
              <w:t xml:space="preserve"> </w:t>
            </w:r>
            <w:r w:rsidR="0071118F">
              <w:rPr>
                <w:sz w:val="22"/>
                <w:szCs w:val="22"/>
              </w:rPr>
              <w:t>vrijednost</w:t>
            </w:r>
            <w:r w:rsidRPr="00D21251">
              <w:rPr>
                <w:sz w:val="22"/>
                <w:szCs w:val="22"/>
              </w:rPr>
              <w:t xml:space="preserve">i serumskog kreatinina u granicama normalnih </w:t>
            </w:r>
            <w:r w:rsidR="0071118F">
              <w:rPr>
                <w:sz w:val="22"/>
                <w:szCs w:val="22"/>
              </w:rPr>
              <w:t>vrijednost</w:t>
            </w:r>
            <w:r w:rsidRPr="00D21251">
              <w:rPr>
                <w:sz w:val="22"/>
                <w:szCs w:val="22"/>
              </w:rPr>
              <w:t xml:space="preserve">i za određeni uzrast. </w:t>
            </w:r>
          </w:p>
          <w:p w14:paraId="7E18C066" w14:textId="77777777" w:rsidR="0058338A" w:rsidRPr="00D21251" w:rsidRDefault="0058338A" w:rsidP="00531B03">
            <w:pPr>
              <w:jc w:val="both"/>
              <w:rPr>
                <w:sz w:val="22"/>
                <w:szCs w:val="22"/>
              </w:rPr>
            </w:pPr>
          </w:p>
          <w:p w14:paraId="169A04FD" w14:textId="654A64BD" w:rsidR="0058338A" w:rsidRPr="00D21251" w:rsidRDefault="0058338A" w:rsidP="00531B03">
            <w:pPr>
              <w:jc w:val="both"/>
              <w:rPr>
                <w:sz w:val="22"/>
                <w:szCs w:val="22"/>
              </w:rPr>
            </w:pPr>
            <w:r w:rsidRPr="00D21251">
              <w:rPr>
                <w:sz w:val="22"/>
                <w:szCs w:val="22"/>
              </w:rPr>
              <w:t>Tokom kliničkih studija, porast serumskog kreatinina za &gt;33% u ≥</w:t>
            </w:r>
            <w:r w:rsidR="00567A98">
              <w:rPr>
                <w:sz w:val="22"/>
                <w:szCs w:val="22"/>
              </w:rPr>
              <w:t xml:space="preserve"> </w:t>
            </w:r>
            <w:r w:rsidRPr="00D21251">
              <w:rPr>
                <w:sz w:val="22"/>
                <w:szCs w:val="22"/>
              </w:rPr>
              <w:t xml:space="preserve">2 uzastopna slučaja, ponekad iznad gornje granice normalnih </w:t>
            </w:r>
            <w:r w:rsidR="0071118F">
              <w:rPr>
                <w:sz w:val="22"/>
                <w:szCs w:val="22"/>
              </w:rPr>
              <w:t>vrijednost</w:t>
            </w:r>
            <w:r w:rsidRPr="00D21251">
              <w:rPr>
                <w:sz w:val="22"/>
                <w:szCs w:val="22"/>
              </w:rPr>
              <w:t xml:space="preserve">i, javio se kod oko 36% pacijenata. Ovi porasti su bili dozno zavisni. Kod oko </w:t>
            </w:r>
            <w:r w:rsidR="006C19D8">
              <w:rPr>
                <w:sz w:val="22"/>
                <w:szCs w:val="22"/>
              </w:rPr>
              <w:t xml:space="preserve">dvije </w:t>
            </w:r>
            <w:r w:rsidR="007916C3">
              <w:rPr>
                <w:sz w:val="22"/>
                <w:szCs w:val="22"/>
              </w:rPr>
              <w:t>trećine pacijenata</w:t>
            </w:r>
            <w:r w:rsidR="00051326">
              <w:rPr>
                <w:sz w:val="22"/>
                <w:szCs w:val="22"/>
              </w:rPr>
              <w:t>,</w:t>
            </w:r>
            <w:r w:rsidR="007916C3">
              <w:rPr>
                <w:sz w:val="22"/>
                <w:szCs w:val="22"/>
              </w:rPr>
              <w:t xml:space="preserve"> povišene</w:t>
            </w:r>
            <w:r w:rsidRPr="00D21251">
              <w:rPr>
                <w:sz w:val="22"/>
                <w:szCs w:val="22"/>
              </w:rPr>
              <w:t xml:space="preserve"> </w:t>
            </w:r>
            <w:r w:rsidR="0071118F">
              <w:rPr>
                <w:sz w:val="22"/>
                <w:szCs w:val="22"/>
              </w:rPr>
              <w:t>vrijednost</w:t>
            </w:r>
            <w:r w:rsidRPr="00D21251">
              <w:rPr>
                <w:sz w:val="22"/>
                <w:szCs w:val="22"/>
              </w:rPr>
              <w:t xml:space="preserve">i serumskog kreatinina su se vratile na nivo ispod 33%, bez </w:t>
            </w:r>
            <w:r w:rsidR="005C6997">
              <w:rPr>
                <w:sz w:val="22"/>
                <w:szCs w:val="22"/>
              </w:rPr>
              <w:t>prilagođavanja</w:t>
            </w:r>
            <w:r w:rsidR="005C6997" w:rsidRPr="00D21251">
              <w:rPr>
                <w:sz w:val="22"/>
                <w:szCs w:val="22"/>
              </w:rPr>
              <w:t xml:space="preserve"> </w:t>
            </w:r>
            <w:r w:rsidRPr="00D21251">
              <w:rPr>
                <w:sz w:val="22"/>
                <w:szCs w:val="22"/>
              </w:rPr>
              <w:t>doze. Kod preostale trećine pacijenata</w:t>
            </w:r>
            <w:r w:rsidR="00051326">
              <w:rPr>
                <w:sz w:val="22"/>
                <w:szCs w:val="22"/>
              </w:rPr>
              <w:t>,</w:t>
            </w:r>
            <w:r w:rsidRPr="00D21251">
              <w:rPr>
                <w:sz w:val="22"/>
                <w:szCs w:val="22"/>
              </w:rPr>
              <w:t xml:space="preserve"> povišene </w:t>
            </w:r>
            <w:r w:rsidR="0071118F">
              <w:rPr>
                <w:sz w:val="22"/>
                <w:szCs w:val="22"/>
              </w:rPr>
              <w:t>vrijednost</w:t>
            </w:r>
            <w:r w:rsidRPr="00D21251">
              <w:rPr>
                <w:sz w:val="22"/>
                <w:szCs w:val="22"/>
              </w:rPr>
              <w:t>i serumskog kreatinina ni</w:t>
            </w:r>
            <w:r w:rsidR="00567A98">
              <w:rPr>
                <w:sz w:val="22"/>
                <w:szCs w:val="22"/>
              </w:rPr>
              <w:t>je</w:t>
            </w:r>
            <w:r w:rsidRPr="00D21251">
              <w:rPr>
                <w:sz w:val="22"/>
                <w:szCs w:val="22"/>
              </w:rPr>
              <w:t xml:space="preserve">su </w:t>
            </w:r>
            <w:r w:rsidR="00051326">
              <w:rPr>
                <w:sz w:val="22"/>
                <w:szCs w:val="22"/>
              </w:rPr>
              <w:t xml:space="preserve">uvijek </w:t>
            </w:r>
            <w:r w:rsidRPr="00D21251">
              <w:rPr>
                <w:sz w:val="22"/>
                <w:szCs w:val="22"/>
              </w:rPr>
              <w:t>imale prom</w:t>
            </w:r>
            <w:r w:rsidR="00F90136">
              <w:rPr>
                <w:sz w:val="22"/>
                <w:szCs w:val="22"/>
              </w:rPr>
              <w:t>j</w:t>
            </w:r>
            <w:r w:rsidRPr="00D21251">
              <w:rPr>
                <w:sz w:val="22"/>
                <w:szCs w:val="22"/>
              </w:rPr>
              <w:t>enu smanjenjem doze ili obustavom</w:t>
            </w:r>
            <w:r w:rsidR="00DD432B">
              <w:rPr>
                <w:sz w:val="22"/>
                <w:szCs w:val="22"/>
              </w:rPr>
              <w:t xml:space="preserve"> primjene</w:t>
            </w:r>
            <w:r w:rsidRPr="00D21251">
              <w:rPr>
                <w:sz w:val="22"/>
                <w:szCs w:val="22"/>
              </w:rPr>
              <w:t xml:space="preserve"> </w:t>
            </w:r>
            <w:r w:rsidR="00344FF6">
              <w:rPr>
                <w:sz w:val="22"/>
                <w:szCs w:val="22"/>
              </w:rPr>
              <w:t>lijek</w:t>
            </w:r>
            <w:r w:rsidRPr="00D21251">
              <w:rPr>
                <w:sz w:val="22"/>
                <w:szCs w:val="22"/>
              </w:rPr>
              <w:t xml:space="preserve">a. U nekim slučajevima, samo </w:t>
            </w:r>
            <w:r w:rsidR="00051326">
              <w:rPr>
                <w:sz w:val="22"/>
                <w:szCs w:val="22"/>
              </w:rPr>
              <w:t xml:space="preserve">je </w:t>
            </w:r>
            <w:r w:rsidRPr="00D21251">
              <w:rPr>
                <w:sz w:val="22"/>
                <w:szCs w:val="22"/>
              </w:rPr>
              <w:t xml:space="preserve">stabilizacija </w:t>
            </w:r>
            <w:r w:rsidR="0071118F">
              <w:rPr>
                <w:sz w:val="22"/>
                <w:szCs w:val="22"/>
              </w:rPr>
              <w:t>vrijednost</w:t>
            </w:r>
            <w:r w:rsidRPr="00D21251">
              <w:rPr>
                <w:sz w:val="22"/>
                <w:szCs w:val="22"/>
              </w:rPr>
              <w:t>i serumskog kreatinina uočena nakon smanjenja doze. Prijavljeni su slučajevi akutne bubrežne insuficijencije u postmarketinškim praćenjima prim</w:t>
            </w:r>
            <w:r w:rsidR="00344FF6">
              <w:rPr>
                <w:sz w:val="22"/>
                <w:szCs w:val="22"/>
              </w:rPr>
              <w:t>j</w:t>
            </w:r>
            <w:r w:rsidRPr="00D21251">
              <w:rPr>
                <w:sz w:val="22"/>
                <w:szCs w:val="22"/>
              </w:rPr>
              <w:t>ene deferasiroksa (</w:t>
            </w:r>
            <w:r w:rsidR="009E320F">
              <w:rPr>
                <w:sz w:val="22"/>
                <w:szCs w:val="22"/>
              </w:rPr>
              <w:t xml:space="preserve">vidjeti </w:t>
            </w:r>
            <w:r w:rsidR="00DD432B">
              <w:rPr>
                <w:sz w:val="22"/>
                <w:szCs w:val="22"/>
              </w:rPr>
              <w:t>dio</w:t>
            </w:r>
            <w:r w:rsidRPr="00D21251">
              <w:rPr>
                <w:sz w:val="22"/>
                <w:szCs w:val="22"/>
              </w:rPr>
              <w:t xml:space="preserve"> 4.8). U nekim postmarketinškim slučajevima, pogoršanje bubrežne funkcije je dovelo do bubrežne insuficijencije koja je zaht</w:t>
            </w:r>
            <w:r w:rsidR="00CF7D2F">
              <w:rPr>
                <w:sz w:val="22"/>
                <w:szCs w:val="22"/>
              </w:rPr>
              <w:t>i</w:t>
            </w:r>
            <w:r w:rsidR="007916C3">
              <w:rPr>
                <w:sz w:val="22"/>
                <w:szCs w:val="22"/>
              </w:rPr>
              <w:t>j</w:t>
            </w:r>
            <w:r w:rsidRPr="00D21251">
              <w:rPr>
                <w:sz w:val="22"/>
                <w:szCs w:val="22"/>
              </w:rPr>
              <w:t>evala privremenu ili trajnu dijalizu.</w:t>
            </w:r>
          </w:p>
          <w:p w14:paraId="2DBE222C" w14:textId="77777777" w:rsidR="0058338A" w:rsidRPr="00D21251" w:rsidRDefault="0058338A" w:rsidP="00531B03">
            <w:pPr>
              <w:jc w:val="both"/>
              <w:rPr>
                <w:sz w:val="22"/>
                <w:szCs w:val="22"/>
              </w:rPr>
            </w:pPr>
          </w:p>
          <w:p w14:paraId="7231B7AA" w14:textId="063E3D67" w:rsidR="0058338A" w:rsidRPr="00D21251" w:rsidRDefault="0058338A" w:rsidP="00531B03">
            <w:pPr>
              <w:jc w:val="both"/>
              <w:rPr>
                <w:sz w:val="22"/>
                <w:szCs w:val="22"/>
              </w:rPr>
            </w:pPr>
            <w:r w:rsidRPr="00D21251">
              <w:rPr>
                <w:sz w:val="22"/>
                <w:szCs w:val="22"/>
              </w:rPr>
              <w:t>Uzroci porasta serumskog kreatinina ni</w:t>
            </w:r>
            <w:r w:rsidR="00567A98">
              <w:rPr>
                <w:sz w:val="22"/>
                <w:szCs w:val="22"/>
              </w:rPr>
              <w:t>je</w:t>
            </w:r>
            <w:r w:rsidRPr="00D21251">
              <w:rPr>
                <w:sz w:val="22"/>
                <w:szCs w:val="22"/>
              </w:rPr>
              <w:t xml:space="preserve">su razjašnjeni. Treba obratiti posebnu pažnju na praćenje serumskog kreatinina kod pacijenata koji istovremeno uzimaju </w:t>
            </w:r>
            <w:r w:rsidR="00344FF6">
              <w:rPr>
                <w:sz w:val="22"/>
                <w:szCs w:val="22"/>
              </w:rPr>
              <w:t>ljek</w:t>
            </w:r>
            <w:r w:rsidRPr="00D21251">
              <w:rPr>
                <w:sz w:val="22"/>
                <w:szCs w:val="22"/>
              </w:rPr>
              <w:t xml:space="preserve">ove koji slabe bubrežnu funkciju, i kod pacijenata koji uzimaju visoke doze deferasiroksa i/ili primaju mali broj transfuzija (&lt;7 </w:t>
            </w:r>
            <w:r w:rsidR="00051326" w:rsidRPr="00D21251">
              <w:rPr>
                <w:sz w:val="22"/>
                <w:szCs w:val="22"/>
              </w:rPr>
              <w:t>m</w:t>
            </w:r>
            <w:r w:rsidR="00051326">
              <w:rPr>
                <w:sz w:val="22"/>
                <w:szCs w:val="22"/>
              </w:rPr>
              <w:t>l</w:t>
            </w:r>
            <w:r w:rsidRPr="00D21251">
              <w:rPr>
                <w:sz w:val="22"/>
                <w:szCs w:val="22"/>
              </w:rPr>
              <w:t>/kg/</w:t>
            </w:r>
            <w:r w:rsidR="0071118F">
              <w:rPr>
                <w:sz w:val="22"/>
                <w:szCs w:val="22"/>
              </w:rPr>
              <w:t>mjesec</w:t>
            </w:r>
            <w:r w:rsidRPr="00D21251">
              <w:rPr>
                <w:sz w:val="22"/>
                <w:szCs w:val="22"/>
              </w:rPr>
              <w:t xml:space="preserve"> koncentrovanih eritrocita ili &lt;2 jedinice/</w:t>
            </w:r>
            <w:r w:rsidR="0071118F">
              <w:rPr>
                <w:sz w:val="22"/>
                <w:szCs w:val="22"/>
              </w:rPr>
              <w:t>mjesec</w:t>
            </w:r>
            <w:r w:rsidRPr="00D21251">
              <w:rPr>
                <w:sz w:val="22"/>
                <w:szCs w:val="22"/>
              </w:rPr>
              <w:t xml:space="preserve"> za odrasle). Iako u kliničkim studijama nije prim</w:t>
            </w:r>
            <w:r w:rsidR="00CF7D2F">
              <w:rPr>
                <w:sz w:val="22"/>
                <w:szCs w:val="22"/>
              </w:rPr>
              <w:t>ij</w:t>
            </w:r>
            <w:r w:rsidRPr="00D21251">
              <w:rPr>
                <w:sz w:val="22"/>
                <w:szCs w:val="22"/>
              </w:rPr>
              <w:t>ećeno povećanje neželjenih događaja na nivou bubrega pri prim</w:t>
            </w:r>
            <w:r w:rsidR="00344FF6">
              <w:rPr>
                <w:sz w:val="22"/>
                <w:szCs w:val="22"/>
              </w:rPr>
              <w:t>j</w:t>
            </w:r>
            <w:r w:rsidRPr="00D21251">
              <w:rPr>
                <w:sz w:val="22"/>
                <w:szCs w:val="22"/>
              </w:rPr>
              <w:t xml:space="preserve">eni doza </w:t>
            </w:r>
            <w:r w:rsidR="00344FF6">
              <w:rPr>
                <w:sz w:val="22"/>
                <w:szCs w:val="22"/>
              </w:rPr>
              <w:t>lijek</w:t>
            </w:r>
            <w:r w:rsidRPr="00D21251">
              <w:rPr>
                <w:sz w:val="22"/>
                <w:szCs w:val="22"/>
              </w:rPr>
              <w:t xml:space="preserve">a Exjade, disperzibilnih tableta većih od 30 mg/kg, ne može se isključiti povećani rizik od renalnih neželjenih događaja kada se doza </w:t>
            </w:r>
            <w:r w:rsidR="00344FF6">
              <w:rPr>
                <w:sz w:val="22"/>
                <w:szCs w:val="22"/>
              </w:rPr>
              <w:t>lijek</w:t>
            </w:r>
            <w:r w:rsidRPr="00D21251">
              <w:rPr>
                <w:sz w:val="22"/>
                <w:szCs w:val="22"/>
              </w:rPr>
              <w:t>a Exjade, film tableta poveća iznad 21 mg/kg.</w:t>
            </w:r>
          </w:p>
          <w:p w14:paraId="785FF21C" w14:textId="77777777" w:rsidR="0058338A" w:rsidRPr="00D21251" w:rsidRDefault="0058338A" w:rsidP="00531B03">
            <w:pPr>
              <w:jc w:val="both"/>
              <w:rPr>
                <w:sz w:val="22"/>
                <w:szCs w:val="22"/>
              </w:rPr>
            </w:pPr>
          </w:p>
          <w:p w14:paraId="13D81808" w14:textId="77777777" w:rsidR="0058338A" w:rsidRPr="00D21251" w:rsidRDefault="0058338A" w:rsidP="00531B03">
            <w:pPr>
              <w:jc w:val="both"/>
              <w:rPr>
                <w:sz w:val="22"/>
                <w:szCs w:val="22"/>
              </w:rPr>
            </w:pPr>
            <w:r w:rsidRPr="00D21251">
              <w:rPr>
                <w:sz w:val="22"/>
                <w:szCs w:val="22"/>
              </w:rPr>
              <w:t xml:space="preserve">Preporučuje se </w:t>
            </w:r>
            <w:r w:rsidR="000F5050">
              <w:rPr>
                <w:sz w:val="22"/>
                <w:szCs w:val="22"/>
              </w:rPr>
              <w:t>procjen</w:t>
            </w:r>
            <w:r w:rsidRPr="00D21251">
              <w:rPr>
                <w:sz w:val="22"/>
                <w:szCs w:val="22"/>
              </w:rPr>
              <w:t>a serumskog kreatinina dva puta pr</w:t>
            </w:r>
            <w:r w:rsidR="006C19D8">
              <w:rPr>
                <w:sz w:val="22"/>
                <w:szCs w:val="22"/>
              </w:rPr>
              <w:t>ij</w:t>
            </w:r>
            <w:r w:rsidRPr="00D21251">
              <w:rPr>
                <w:sz w:val="22"/>
                <w:szCs w:val="22"/>
              </w:rPr>
              <w:t xml:space="preserve">e započinjanja terapije. </w:t>
            </w:r>
            <w:r w:rsidRPr="00D21251">
              <w:rPr>
                <w:b/>
                <w:sz w:val="22"/>
                <w:szCs w:val="22"/>
              </w:rPr>
              <w:t>Serumski kreatinin, klirens kreatinina</w:t>
            </w:r>
            <w:r w:rsidRPr="00D21251">
              <w:rPr>
                <w:sz w:val="22"/>
                <w:szCs w:val="22"/>
              </w:rPr>
              <w:t xml:space="preserve"> (</w:t>
            </w:r>
            <w:r w:rsidR="000F5050">
              <w:rPr>
                <w:sz w:val="22"/>
                <w:szCs w:val="22"/>
              </w:rPr>
              <w:t>proc</w:t>
            </w:r>
            <w:r w:rsidR="00F90136">
              <w:rPr>
                <w:sz w:val="22"/>
                <w:szCs w:val="22"/>
              </w:rPr>
              <w:t>i</w:t>
            </w:r>
            <w:r w:rsidR="000F5050">
              <w:rPr>
                <w:sz w:val="22"/>
                <w:szCs w:val="22"/>
              </w:rPr>
              <w:t>jen</w:t>
            </w:r>
            <w:r w:rsidRPr="00D21251">
              <w:rPr>
                <w:sz w:val="22"/>
                <w:szCs w:val="22"/>
              </w:rPr>
              <w:t xml:space="preserve">jen prema </w:t>
            </w:r>
            <w:r w:rsidRPr="00531B03">
              <w:rPr>
                <w:i/>
                <w:sz w:val="22"/>
                <w:szCs w:val="22"/>
              </w:rPr>
              <w:t>Cockcroft-Gault</w:t>
            </w:r>
            <w:r w:rsidRPr="00D21251">
              <w:rPr>
                <w:sz w:val="22"/>
                <w:szCs w:val="22"/>
              </w:rPr>
              <w:t xml:space="preserve">-u ili MDRD formuli kod odraslih i </w:t>
            </w:r>
            <w:r w:rsidRPr="00531B03">
              <w:rPr>
                <w:i/>
                <w:sz w:val="22"/>
                <w:szCs w:val="22"/>
              </w:rPr>
              <w:t>Schwartz</w:t>
            </w:r>
            <w:r w:rsidRPr="00D21251">
              <w:rPr>
                <w:sz w:val="22"/>
                <w:szCs w:val="22"/>
              </w:rPr>
              <w:t>-ovoj formuli kod d</w:t>
            </w:r>
            <w:r w:rsidR="009A2ACE">
              <w:rPr>
                <w:sz w:val="22"/>
                <w:szCs w:val="22"/>
              </w:rPr>
              <w:t>j</w:t>
            </w:r>
            <w:r w:rsidRPr="00D21251">
              <w:rPr>
                <w:sz w:val="22"/>
                <w:szCs w:val="22"/>
              </w:rPr>
              <w:t>ece) i/ili nivo</w:t>
            </w:r>
            <w:r w:rsidR="00051326">
              <w:rPr>
                <w:sz w:val="22"/>
                <w:szCs w:val="22"/>
              </w:rPr>
              <w:t>e</w:t>
            </w:r>
            <w:r w:rsidRPr="00D21251">
              <w:rPr>
                <w:sz w:val="22"/>
                <w:szCs w:val="22"/>
              </w:rPr>
              <w:t xml:space="preserve"> cistatina C u plazmi </w:t>
            </w:r>
            <w:r w:rsidRPr="00D21251">
              <w:rPr>
                <w:b/>
                <w:sz w:val="22"/>
                <w:szCs w:val="22"/>
              </w:rPr>
              <w:t>treba pratiti pr</w:t>
            </w:r>
            <w:r w:rsidR="006C19D8">
              <w:rPr>
                <w:b/>
                <w:sz w:val="22"/>
                <w:szCs w:val="22"/>
              </w:rPr>
              <w:t>ij</w:t>
            </w:r>
            <w:r w:rsidRPr="00D21251">
              <w:rPr>
                <w:b/>
                <w:sz w:val="22"/>
                <w:szCs w:val="22"/>
              </w:rPr>
              <w:t>e terapije, jednom ned</w:t>
            </w:r>
            <w:r w:rsidR="006C19D8">
              <w:rPr>
                <w:b/>
                <w:sz w:val="22"/>
                <w:szCs w:val="22"/>
              </w:rPr>
              <w:t>j</w:t>
            </w:r>
            <w:r w:rsidRPr="00D21251">
              <w:rPr>
                <w:b/>
                <w:sz w:val="22"/>
                <w:szCs w:val="22"/>
              </w:rPr>
              <w:t xml:space="preserve">eljno tokom prvog </w:t>
            </w:r>
            <w:r w:rsidR="0071118F">
              <w:rPr>
                <w:b/>
                <w:sz w:val="22"/>
                <w:szCs w:val="22"/>
              </w:rPr>
              <w:t>mjesec</w:t>
            </w:r>
            <w:r w:rsidRPr="00D21251">
              <w:rPr>
                <w:b/>
                <w:sz w:val="22"/>
                <w:szCs w:val="22"/>
              </w:rPr>
              <w:t xml:space="preserve">a nakon početka terapije ili modifikacije terapije </w:t>
            </w:r>
            <w:r w:rsidR="00344FF6">
              <w:rPr>
                <w:b/>
                <w:sz w:val="22"/>
                <w:szCs w:val="22"/>
              </w:rPr>
              <w:t>lijek</w:t>
            </w:r>
            <w:r w:rsidRPr="00D21251">
              <w:rPr>
                <w:b/>
                <w:sz w:val="22"/>
                <w:szCs w:val="22"/>
              </w:rPr>
              <w:t xml:space="preserve">om Exjade (uključujući i </w:t>
            </w:r>
            <w:r w:rsidR="003864AD">
              <w:rPr>
                <w:b/>
                <w:sz w:val="22"/>
                <w:szCs w:val="22"/>
              </w:rPr>
              <w:t>zamjen</w:t>
            </w:r>
            <w:r w:rsidRPr="00D21251">
              <w:rPr>
                <w:b/>
                <w:sz w:val="22"/>
                <w:szCs w:val="22"/>
              </w:rPr>
              <w:t xml:space="preserve">u formulacije), i jednom </w:t>
            </w:r>
            <w:r w:rsidR="00B00CF2">
              <w:rPr>
                <w:b/>
                <w:sz w:val="22"/>
                <w:szCs w:val="22"/>
              </w:rPr>
              <w:t>mjeseč</w:t>
            </w:r>
            <w:r w:rsidRPr="00D21251">
              <w:rPr>
                <w:b/>
                <w:sz w:val="22"/>
                <w:szCs w:val="22"/>
              </w:rPr>
              <w:t>no posl</w:t>
            </w:r>
            <w:r w:rsidR="00CF7D2F">
              <w:rPr>
                <w:b/>
                <w:sz w:val="22"/>
                <w:szCs w:val="22"/>
              </w:rPr>
              <w:t>ij</w:t>
            </w:r>
            <w:r w:rsidRPr="00D21251">
              <w:rPr>
                <w:b/>
                <w:sz w:val="22"/>
                <w:szCs w:val="22"/>
              </w:rPr>
              <w:t>e toga.</w:t>
            </w:r>
            <w:r w:rsidRPr="00D21251">
              <w:rPr>
                <w:sz w:val="22"/>
                <w:szCs w:val="22"/>
              </w:rPr>
              <w:t xml:space="preserve"> Pacijenti sa ranijim bubrežnim poremećajima i pacijenti koji primaju </w:t>
            </w:r>
            <w:r w:rsidR="00344FF6">
              <w:rPr>
                <w:sz w:val="22"/>
                <w:szCs w:val="22"/>
              </w:rPr>
              <w:t>ljekove</w:t>
            </w:r>
            <w:r w:rsidRPr="00D21251">
              <w:rPr>
                <w:sz w:val="22"/>
                <w:szCs w:val="22"/>
              </w:rPr>
              <w:t xml:space="preserve"> koji slabe bubrežnu funkciju mogu biti izloženi većem riziku </w:t>
            </w:r>
            <w:r w:rsidR="00E51188">
              <w:rPr>
                <w:sz w:val="22"/>
                <w:szCs w:val="22"/>
              </w:rPr>
              <w:t>od</w:t>
            </w:r>
            <w:r w:rsidR="00E51188" w:rsidRPr="00D21251">
              <w:rPr>
                <w:sz w:val="22"/>
                <w:szCs w:val="22"/>
              </w:rPr>
              <w:t xml:space="preserve"> </w:t>
            </w:r>
            <w:r w:rsidRPr="00D21251">
              <w:rPr>
                <w:sz w:val="22"/>
                <w:szCs w:val="22"/>
              </w:rPr>
              <w:t>pojav</w:t>
            </w:r>
            <w:r w:rsidR="00E51188">
              <w:rPr>
                <w:sz w:val="22"/>
                <w:szCs w:val="22"/>
              </w:rPr>
              <w:t>e</w:t>
            </w:r>
            <w:r w:rsidRPr="00D21251">
              <w:rPr>
                <w:sz w:val="22"/>
                <w:szCs w:val="22"/>
              </w:rPr>
              <w:t xml:space="preserve"> komplikacija. Kod pacijenata kod kojih se pojavi dijareja ili povraćanje treba paziti na održavanje adekvatne hidratacije.</w:t>
            </w:r>
          </w:p>
          <w:p w14:paraId="641EA81F" w14:textId="77777777" w:rsidR="0058338A" w:rsidRPr="00D21251" w:rsidRDefault="0058338A" w:rsidP="00531B03">
            <w:pPr>
              <w:jc w:val="both"/>
              <w:rPr>
                <w:sz w:val="22"/>
                <w:szCs w:val="22"/>
              </w:rPr>
            </w:pPr>
          </w:p>
          <w:p w14:paraId="07249677" w14:textId="77777777" w:rsidR="0058338A" w:rsidRPr="00D21251" w:rsidRDefault="0058338A" w:rsidP="00531B03">
            <w:pPr>
              <w:jc w:val="both"/>
              <w:rPr>
                <w:sz w:val="22"/>
                <w:szCs w:val="22"/>
              </w:rPr>
            </w:pPr>
            <w:r w:rsidRPr="00D21251">
              <w:rPr>
                <w:sz w:val="22"/>
                <w:szCs w:val="22"/>
              </w:rPr>
              <w:lastRenderedPageBreak/>
              <w:t xml:space="preserve">Nakon stavljanja </w:t>
            </w:r>
            <w:r w:rsidR="00344FF6">
              <w:rPr>
                <w:sz w:val="22"/>
                <w:szCs w:val="22"/>
              </w:rPr>
              <w:t>lijek</w:t>
            </w:r>
            <w:r w:rsidRPr="00D21251">
              <w:rPr>
                <w:sz w:val="22"/>
                <w:szCs w:val="22"/>
              </w:rPr>
              <w:t>a u promet</w:t>
            </w:r>
            <w:r w:rsidR="00051326">
              <w:rPr>
                <w:sz w:val="22"/>
                <w:szCs w:val="22"/>
              </w:rPr>
              <w:t>,</w:t>
            </w:r>
            <w:r w:rsidRPr="00D21251">
              <w:rPr>
                <w:sz w:val="22"/>
                <w:szCs w:val="22"/>
              </w:rPr>
              <w:t xml:space="preserve"> bili su prijavljeni slučajevi metaboličke acidoze koja se javljala tokom l</w:t>
            </w:r>
            <w:r w:rsidR="000F5050">
              <w:rPr>
                <w:sz w:val="22"/>
                <w:szCs w:val="22"/>
              </w:rPr>
              <w:t>ij</w:t>
            </w:r>
            <w:r w:rsidRPr="00D21251">
              <w:rPr>
                <w:sz w:val="22"/>
                <w:szCs w:val="22"/>
              </w:rPr>
              <w:t xml:space="preserve">ečenja deferasiroksom. Većina ovih pacijenata je imala oštećenje funkcije bubrega, bubrežnu tubulopatiju (Fankonijev sindrom) ili dijareju, ili stanja kod kojih je poremećaj acido-bazne ravnoteže poznata komplikacija. U ovoj populaciji </w:t>
            </w:r>
            <w:r w:rsidR="00051326">
              <w:rPr>
                <w:sz w:val="22"/>
                <w:szCs w:val="22"/>
              </w:rPr>
              <w:t xml:space="preserve">je </w:t>
            </w:r>
            <w:r w:rsidRPr="00D21251">
              <w:rPr>
                <w:sz w:val="22"/>
                <w:szCs w:val="22"/>
              </w:rPr>
              <w:t xml:space="preserve">potrebno pratiti acido-baznu ravnotežu kako je klinički indikovano. Potrebno je razmotriti prekid terapije </w:t>
            </w:r>
            <w:r w:rsidR="00344FF6">
              <w:rPr>
                <w:sz w:val="22"/>
                <w:szCs w:val="22"/>
              </w:rPr>
              <w:t>lijek</w:t>
            </w:r>
            <w:r w:rsidRPr="00D21251">
              <w:rPr>
                <w:sz w:val="22"/>
                <w:szCs w:val="22"/>
              </w:rPr>
              <w:t>om Exjade kod pacijenata kod kojih se javi metabolička acidoza.</w:t>
            </w:r>
          </w:p>
          <w:p w14:paraId="21AD079C" w14:textId="77777777" w:rsidR="0058338A" w:rsidRPr="00D21251" w:rsidRDefault="0058338A" w:rsidP="00531B03">
            <w:pPr>
              <w:jc w:val="both"/>
              <w:rPr>
                <w:sz w:val="22"/>
                <w:szCs w:val="22"/>
              </w:rPr>
            </w:pPr>
          </w:p>
          <w:p w14:paraId="06099DE1" w14:textId="77777777" w:rsidR="0058338A" w:rsidRPr="00D21251" w:rsidRDefault="0058338A" w:rsidP="00531B03">
            <w:pPr>
              <w:jc w:val="both"/>
              <w:rPr>
                <w:sz w:val="22"/>
                <w:szCs w:val="22"/>
              </w:rPr>
            </w:pPr>
            <w:r w:rsidRPr="00D21251">
              <w:rPr>
                <w:sz w:val="22"/>
                <w:szCs w:val="22"/>
              </w:rPr>
              <w:t xml:space="preserve">Nakon stavljanja </w:t>
            </w:r>
            <w:r w:rsidR="00344FF6">
              <w:rPr>
                <w:sz w:val="22"/>
                <w:szCs w:val="22"/>
              </w:rPr>
              <w:t>lijek</w:t>
            </w:r>
            <w:r w:rsidRPr="00D21251">
              <w:rPr>
                <w:sz w:val="22"/>
                <w:szCs w:val="22"/>
              </w:rPr>
              <w:t>a u promet, kod pacijenata l</w:t>
            </w:r>
            <w:r w:rsidR="00CF7D2F">
              <w:rPr>
                <w:sz w:val="22"/>
                <w:szCs w:val="22"/>
              </w:rPr>
              <w:t>ij</w:t>
            </w:r>
            <w:r w:rsidRPr="00D21251">
              <w:rPr>
                <w:sz w:val="22"/>
                <w:szCs w:val="22"/>
              </w:rPr>
              <w:t>ečenih defarasiroksom, uglavnom d</w:t>
            </w:r>
            <w:r w:rsidR="00CF7D2F">
              <w:rPr>
                <w:sz w:val="22"/>
                <w:szCs w:val="22"/>
              </w:rPr>
              <w:t>j</w:t>
            </w:r>
            <w:r w:rsidRPr="00D21251">
              <w:rPr>
                <w:sz w:val="22"/>
                <w:szCs w:val="22"/>
              </w:rPr>
              <w:t>ece, bili su prijavljeni slučajevi teških oblika bubrežne tubulopatije (kao što je Fankonijev sindrom) i insuficijencije bubrega povezani</w:t>
            </w:r>
            <w:r w:rsidR="0047665D">
              <w:rPr>
                <w:sz w:val="22"/>
                <w:szCs w:val="22"/>
              </w:rPr>
              <w:t>h</w:t>
            </w:r>
            <w:r w:rsidRPr="00D21251">
              <w:rPr>
                <w:sz w:val="22"/>
                <w:szCs w:val="22"/>
              </w:rPr>
              <w:t xml:space="preserve"> sa prom</w:t>
            </w:r>
            <w:r w:rsidR="00F90136">
              <w:rPr>
                <w:sz w:val="22"/>
                <w:szCs w:val="22"/>
              </w:rPr>
              <w:t>j</w:t>
            </w:r>
            <w:r w:rsidRPr="00D21251">
              <w:rPr>
                <w:sz w:val="22"/>
                <w:szCs w:val="22"/>
              </w:rPr>
              <w:t>enama sv</w:t>
            </w:r>
            <w:r w:rsidR="00CF7D2F">
              <w:rPr>
                <w:sz w:val="22"/>
                <w:szCs w:val="22"/>
              </w:rPr>
              <w:t>ij</w:t>
            </w:r>
            <w:r w:rsidRPr="00D21251">
              <w:rPr>
                <w:sz w:val="22"/>
                <w:szCs w:val="22"/>
              </w:rPr>
              <w:t>esti u sklopu hiperamonemične encefalopatije. Preporučuje se razmatranje hiperamonemične encefalopatije i m</w:t>
            </w:r>
            <w:r w:rsidR="007916C3">
              <w:rPr>
                <w:sz w:val="22"/>
                <w:szCs w:val="22"/>
              </w:rPr>
              <w:t>j</w:t>
            </w:r>
            <w:r w:rsidRPr="00D21251">
              <w:rPr>
                <w:sz w:val="22"/>
                <w:szCs w:val="22"/>
              </w:rPr>
              <w:t>erenje nivoa amonijaka kod pacijenata kod kojih dođe do neobjašnjivih prom</w:t>
            </w:r>
            <w:r w:rsidR="00F90136">
              <w:rPr>
                <w:sz w:val="22"/>
                <w:szCs w:val="22"/>
              </w:rPr>
              <w:t>j</w:t>
            </w:r>
            <w:r w:rsidRPr="00D21251">
              <w:rPr>
                <w:sz w:val="22"/>
                <w:szCs w:val="22"/>
              </w:rPr>
              <w:t xml:space="preserve">ena mentalnog stanja tokom terapije </w:t>
            </w:r>
            <w:r w:rsidR="00344FF6">
              <w:rPr>
                <w:sz w:val="22"/>
                <w:szCs w:val="22"/>
              </w:rPr>
              <w:t>lijek</w:t>
            </w:r>
            <w:r w:rsidRPr="00D21251">
              <w:rPr>
                <w:sz w:val="22"/>
                <w:szCs w:val="22"/>
              </w:rPr>
              <w:t>om Exjade.</w:t>
            </w:r>
          </w:p>
          <w:p w14:paraId="39FA68AD" w14:textId="77777777" w:rsidR="0058338A" w:rsidRPr="00D21251" w:rsidRDefault="0058338A" w:rsidP="0058338A">
            <w:pPr>
              <w:rPr>
                <w:sz w:val="22"/>
                <w:szCs w:val="22"/>
              </w:rPr>
            </w:pPr>
          </w:p>
        </w:tc>
      </w:tr>
    </w:tbl>
    <w:p w14:paraId="34F3B3E5" w14:textId="77777777" w:rsidR="0058338A" w:rsidRDefault="0058338A" w:rsidP="00480FB1">
      <w:pPr>
        <w:tabs>
          <w:tab w:val="left" w:pos="540"/>
          <w:tab w:val="left" w:pos="569"/>
        </w:tabs>
        <w:rPr>
          <w:bCs/>
          <w:sz w:val="22"/>
          <w:szCs w:val="22"/>
        </w:rPr>
      </w:pPr>
    </w:p>
    <w:tbl>
      <w:tblPr>
        <w:tblStyle w:val="TableGrid"/>
        <w:tblW w:w="0" w:type="auto"/>
        <w:tblLook w:val="04A0" w:firstRow="1" w:lastRow="0" w:firstColumn="1" w:lastColumn="0" w:noHBand="0" w:noVBand="1"/>
      </w:tblPr>
      <w:tblGrid>
        <w:gridCol w:w="9075"/>
      </w:tblGrid>
      <w:tr w:rsidR="0058338A" w:rsidRPr="004459D9" w14:paraId="2FAAAB4E" w14:textId="77777777" w:rsidTr="00531B03">
        <w:trPr>
          <w:trHeight w:val="132"/>
        </w:trPr>
        <w:tc>
          <w:tcPr>
            <w:tcW w:w="9075" w:type="dxa"/>
          </w:tcPr>
          <w:p w14:paraId="04493974" w14:textId="77777777" w:rsidR="0058338A" w:rsidRPr="004459D9" w:rsidRDefault="0058338A" w:rsidP="00D21251">
            <w:pPr>
              <w:rPr>
                <w:sz w:val="22"/>
                <w:szCs w:val="22"/>
              </w:rPr>
            </w:pPr>
            <w:r w:rsidRPr="004459D9">
              <w:rPr>
                <w:sz w:val="22"/>
                <w:szCs w:val="22"/>
                <w:u w:val="single"/>
              </w:rPr>
              <w:t>Tabela 3</w:t>
            </w:r>
            <w:r w:rsidRPr="004459D9">
              <w:rPr>
                <w:sz w:val="22"/>
                <w:szCs w:val="22"/>
              </w:rPr>
              <w:t xml:space="preserve"> </w:t>
            </w:r>
            <w:r w:rsidRPr="004459D9">
              <w:rPr>
                <w:sz w:val="22"/>
                <w:szCs w:val="22"/>
              </w:rPr>
              <w:tab/>
              <w:t>Prilagođavanje doze i obustava terapije kod praćenja bubrežne funkcije</w:t>
            </w:r>
          </w:p>
          <w:p w14:paraId="082DC1C7" w14:textId="77777777" w:rsidR="0058338A" w:rsidRPr="00531B03" w:rsidRDefault="0058338A" w:rsidP="00D21251">
            <w:pPr>
              <w:rPr>
                <w:sz w:val="20"/>
                <w:szCs w:val="20"/>
              </w:rPr>
            </w:pPr>
          </w:p>
          <w:tbl>
            <w:tblPr>
              <w:tblpPr w:leftFromText="180" w:rightFromText="180" w:vertAnchor="text" w:horzAnchor="margin" w:tblpX="108" w:tblpY="21"/>
              <w:tblW w:w="4819" w:type="pct"/>
              <w:tblLook w:val="04A0" w:firstRow="1" w:lastRow="0" w:firstColumn="1" w:lastColumn="0" w:noHBand="0" w:noVBand="1"/>
            </w:tblPr>
            <w:tblGrid>
              <w:gridCol w:w="2540"/>
              <w:gridCol w:w="2156"/>
              <w:gridCol w:w="1012"/>
              <w:gridCol w:w="2821"/>
            </w:tblGrid>
            <w:tr w:rsidR="0058338A" w:rsidRPr="004459D9" w14:paraId="06D37A10" w14:textId="77777777" w:rsidTr="00D21251">
              <w:tc>
                <w:tcPr>
                  <w:tcW w:w="1489" w:type="pct"/>
                  <w:tcBorders>
                    <w:top w:val="single" w:sz="4" w:space="0" w:color="auto"/>
                    <w:left w:val="single" w:sz="4" w:space="0" w:color="auto"/>
                    <w:bottom w:val="single" w:sz="4" w:space="0" w:color="auto"/>
                    <w:right w:val="single" w:sz="4" w:space="0" w:color="auto"/>
                  </w:tcBorders>
                  <w:shd w:val="clear" w:color="auto" w:fill="auto"/>
                </w:tcPr>
                <w:p w14:paraId="5E6FB054" w14:textId="77777777" w:rsidR="0058338A" w:rsidRPr="00531B03" w:rsidRDefault="0058338A" w:rsidP="00D21251">
                  <w:pPr>
                    <w:keepNext/>
                    <w:keepLines/>
                    <w:widowControl w:val="0"/>
                    <w:tabs>
                      <w:tab w:val="left" w:pos="567"/>
                    </w:tabs>
                    <w:spacing w:line="260" w:lineRule="exact"/>
                    <w:rPr>
                      <w:b/>
                      <w:color w:val="000000"/>
                      <w:sz w:val="20"/>
                      <w:szCs w:val="20"/>
                      <w:lang w:val="sr-Latn-CS"/>
                    </w:rPr>
                  </w:pP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7DCC79D4" w14:textId="77777777" w:rsidR="0058338A" w:rsidRPr="00531B03" w:rsidRDefault="0058338A" w:rsidP="00D21251">
                  <w:pPr>
                    <w:keepNext/>
                    <w:keepLines/>
                    <w:widowControl w:val="0"/>
                    <w:tabs>
                      <w:tab w:val="left" w:pos="567"/>
                    </w:tabs>
                    <w:spacing w:line="260" w:lineRule="exact"/>
                    <w:rPr>
                      <w:b/>
                      <w:color w:val="000000"/>
                      <w:sz w:val="20"/>
                      <w:szCs w:val="20"/>
                      <w:lang w:val="en-GB"/>
                    </w:rPr>
                  </w:pPr>
                  <w:r w:rsidRPr="00531B03">
                    <w:rPr>
                      <w:b/>
                      <w:color w:val="000000"/>
                      <w:sz w:val="20"/>
                      <w:szCs w:val="20"/>
                      <w:lang w:val="en-GB"/>
                    </w:rPr>
                    <w:t>Serumski kreatinin</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86AA8C3" w14:textId="77777777" w:rsidR="0058338A" w:rsidRPr="00531B03" w:rsidRDefault="0058338A" w:rsidP="00D21251">
                  <w:pPr>
                    <w:keepNext/>
                    <w:keepLines/>
                    <w:widowControl w:val="0"/>
                    <w:tabs>
                      <w:tab w:val="left" w:pos="567"/>
                    </w:tabs>
                    <w:spacing w:line="260" w:lineRule="exact"/>
                    <w:rPr>
                      <w:b/>
                      <w:color w:val="000000"/>
                      <w:sz w:val="20"/>
                      <w:szCs w:val="20"/>
                      <w:lang w:val="en-GB"/>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1ED9064D" w14:textId="77777777" w:rsidR="0058338A" w:rsidRPr="00531B03" w:rsidRDefault="0058338A" w:rsidP="00D21251">
                  <w:pPr>
                    <w:keepNext/>
                    <w:keepLines/>
                    <w:widowControl w:val="0"/>
                    <w:tabs>
                      <w:tab w:val="left" w:pos="567"/>
                    </w:tabs>
                    <w:spacing w:line="260" w:lineRule="exact"/>
                    <w:rPr>
                      <w:b/>
                      <w:color w:val="000000"/>
                      <w:sz w:val="20"/>
                      <w:szCs w:val="20"/>
                      <w:lang w:val="en-GB"/>
                    </w:rPr>
                  </w:pPr>
                  <w:r w:rsidRPr="00531B03">
                    <w:rPr>
                      <w:b/>
                      <w:color w:val="000000"/>
                      <w:sz w:val="20"/>
                      <w:szCs w:val="20"/>
                      <w:lang w:val="en-GB"/>
                    </w:rPr>
                    <w:t>Klirens kreatinina</w:t>
                  </w:r>
                </w:p>
              </w:tc>
            </w:tr>
            <w:tr w:rsidR="0058338A" w:rsidRPr="004459D9" w14:paraId="530DD939" w14:textId="77777777" w:rsidTr="00D21251">
              <w:tc>
                <w:tcPr>
                  <w:tcW w:w="1489" w:type="pct"/>
                  <w:tcBorders>
                    <w:top w:val="single" w:sz="4" w:space="0" w:color="auto"/>
                    <w:left w:val="single" w:sz="4" w:space="0" w:color="auto"/>
                    <w:bottom w:val="single" w:sz="4" w:space="0" w:color="auto"/>
                    <w:right w:val="single" w:sz="4" w:space="0" w:color="auto"/>
                  </w:tcBorders>
                  <w:shd w:val="clear" w:color="auto" w:fill="auto"/>
                </w:tcPr>
                <w:p w14:paraId="79FE733A" w14:textId="77777777" w:rsidR="0058338A" w:rsidRPr="00531B03" w:rsidRDefault="006C19D8" w:rsidP="00D21251">
                  <w:pPr>
                    <w:keepNext/>
                    <w:keepLines/>
                    <w:widowControl w:val="0"/>
                    <w:tabs>
                      <w:tab w:val="left" w:pos="567"/>
                    </w:tabs>
                    <w:spacing w:line="260" w:lineRule="exact"/>
                    <w:rPr>
                      <w:b/>
                      <w:color w:val="000000"/>
                      <w:sz w:val="20"/>
                      <w:szCs w:val="20"/>
                      <w:lang w:val="en-GB"/>
                    </w:rPr>
                  </w:pPr>
                  <w:r w:rsidRPr="00531B03">
                    <w:rPr>
                      <w:b/>
                      <w:color w:val="000000"/>
                      <w:sz w:val="20"/>
                      <w:szCs w:val="20"/>
                      <w:lang w:val="en-GB"/>
                    </w:rPr>
                    <w:t>Prije</w:t>
                  </w:r>
                  <w:r w:rsidR="00022A1D" w:rsidRPr="00531B03">
                    <w:rPr>
                      <w:b/>
                      <w:color w:val="000000"/>
                      <w:sz w:val="20"/>
                      <w:szCs w:val="20"/>
                      <w:lang w:val="en-GB"/>
                    </w:rPr>
                    <w:t xml:space="preserve"> </w:t>
                  </w:r>
                  <w:r w:rsidR="0058338A" w:rsidRPr="00531B03">
                    <w:rPr>
                      <w:b/>
                      <w:color w:val="000000"/>
                      <w:sz w:val="20"/>
                      <w:szCs w:val="20"/>
                      <w:lang w:val="en-GB"/>
                    </w:rPr>
                    <w:t xml:space="preserve">početka terapjie </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319779D9" w14:textId="77777777" w:rsidR="0058338A" w:rsidRPr="00531B03" w:rsidRDefault="0058338A" w:rsidP="00D21251">
                  <w:pPr>
                    <w:keepNext/>
                    <w:keepLines/>
                    <w:widowControl w:val="0"/>
                    <w:tabs>
                      <w:tab w:val="left" w:pos="567"/>
                    </w:tabs>
                    <w:spacing w:line="260" w:lineRule="exact"/>
                    <w:rPr>
                      <w:color w:val="000000"/>
                      <w:sz w:val="20"/>
                      <w:szCs w:val="20"/>
                      <w:lang w:val="en-GB"/>
                    </w:rPr>
                  </w:pPr>
                  <w:r w:rsidRPr="00531B03">
                    <w:rPr>
                      <w:color w:val="000000"/>
                      <w:sz w:val="20"/>
                      <w:szCs w:val="20"/>
                      <w:lang w:val="en-GB"/>
                    </w:rPr>
                    <w:t>Dvostruko (2x)</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1B2A4463" w14:textId="77777777" w:rsidR="0058338A" w:rsidRPr="00531B03" w:rsidRDefault="0058338A" w:rsidP="00D21251">
                  <w:pPr>
                    <w:keepNext/>
                    <w:keepLines/>
                    <w:widowControl w:val="0"/>
                    <w:tabs>
                      <w:tab w:val="left" w:pos="567"/>
                    </w:tabs>
                    <w:spacing w:line="260" w:lineRule="exact"/>
                    <w:rPr>
                      <w:color w:val="000000"/>
                      <w:sz w:val="20"/>
                      <w:szCs w:val="20"/>
                      <w:lang w:val="en-GB"/>
                    </w:rPr>
                  </w:pPr>
                  <w:r w:rsidRPr="00531B03">
                    <w:rPr>
                      <w:color w:val="000000"/>
                      <w:sz w:val="20"/>
                      <w:szCs w:val="20"/>
                      <w:lang w:val="en-GB"/>
                    </w:rPr>
                    <w:t>i</w:t>
                  </w: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3F8E598A" w14:textId="77777777" w:rsidR="0058338A" w:rsidRPr="00531B03" w:rsidRDefault="0058338A" w:rsidP="00D21251">
                  <w:pPr>
                    <w:keepNext/>
                    <w:keepLines/>
                    <w:widowControl w:val="0"/>
                    <w:tabs>
                      <w:tab w:val="left" w:pos="567"/>
                    </w:tabs>
                    <w:spacing w:line="260" w:lineRule="exact"/>
                    <w:rPr>
                      <w:color w:val="000000"/>
                      <w:sz w:val="20"/>
                      <w:szCs w:val="20"/>
                      <w:lang w:val="en-GB"/>
                    </w:rPr>
                  </w:pPr>
                  <w:r w:rsidRPr="00531B03">
                    <w:rPr>
                      <w:color w:val="000000"/>
                      <w:sz w:val="20"/>
                      <w:szCs w:val="20"/>
                      <w:lang w:val="en-GB"/>
                    </w:rPr>
                    <w:t>Jednostruko (1x)</w:t>
                  </w:r>
                </w:p>
              </w:tc>
            </w:tr>
            <w:tr w:rsidR="0058338A" w:rsidRPr="004459D9" w14:paraId="35C31205" w14:textId="77777777" w:rsidTr="00D21251">
              <w:tc>
                <w:tcPr>
                  <w:tcW w:w="1489" w:type="pct"/>
                  <w:tcBorders>
                    <w:top w:val="single" w:sz="4" w:space="0" w:color="auto"/>
                    <w:left w:val="single" w:sz="4" w:space="0" w:color="auto"/>
                    <w:bottom w:val="single" w:sz="4" w:space="0" w:color="auto"/>
                    <w:right w:val="single" w:sz="4" w:space="0" w:color="auto"/>
                  </w:tcBorders>
                  <w:shd w:val="clear" w:color="auto" w:fill="auto"/>
                </w:tcPr>
                <w:p w14:paraId="55535498" w14:textId="77777777" w:rsidR="0058338A" w:rsidRPr="00531B03" w:rsidRDefault="0058338A" w:rsidP="00D21251">
                  <w:pPr>
                    <w:keepNext/>
                    <w:keepLines/>
                    <w:widowControl w:val="0"/>
                    <w:tabs>
                      <w:tab w:val="left" w:pos="567"/>
                    </w:tabs>
                    <w:spacing w:line="260" w:lineRule="exact"/>
                    <w:rPr>
                      <w:b/>
                      <w:color w:val="000000"/>
                      <w:sz w:val="20"/>
                      <w:szCs w:val="20"/>
                      <w:lang w:val="en-GB"/>
                    </w:rPr>
                  </w:pPr>
                  <w:r w:rsidRPr="00531B03">
                    <w:rPr>
                      <w:b/>
                      <w:color w:val="000000"/>
                      <w:sz w:val="20"/>
                      <w:szCs w:val="20"/>
                      <w:lang w:val="en-GB"/>
                    </w:rPr>
                    <w:t xml:space="preserve">Kontraindikovano </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78E132D7" w14:textId="77777777" w:rsidR="0058338A" w:rsidRPr="00531B03" w:rsidRDefault="0058338A" w:rsidP="00D21251">
                  <w:pPr>
                    <w:keepNext/>
                    <w:keepLines/>
                    <w:widowControl w:val="0"/>
                    <w:tabs>
                      <w:tab w:val="left" w:pos="567"/>
                    </w:tabs>
                    <w:spacing w:line="260" w:lineRule="exact"/>
                    <w:rPr>
                      <w:b/>
                      <w:color w:val="000000"/>
                      <w:sz w:val="20"/>
                      <w:szCs w:val="20"/>
                      <w:lang w:val="en-GB"/>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72686A53" w14:textId="77777777" w:rsidR="0058338A" w:rsidRPr="00531B03" w:rsidRDefault="0058338A" w:rsidP="00D21251">
                  <w:pPr>
                    <w:keepNext/>
                    <w:keepLines/>
                    <w:widowControl w:val="0"/>
                    <w:tabs>
                      <w:tab w:val="left" w:pos="567"/>
                    </w:tabs>
                    <w:spacing w:line="260" w:lineRule="exact"/>
                    <w:rPr>
                      <w:b/>
                      <w:color w:val="000000"/>
                      <w:sz w:val="20"/>
                      <w:szCs w:val="20"/>
                      <w:lang w:val="en-GB"/>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2AC3D4AF" w14:textId="77777777" w:rsidR="0058338A" w:rsidRPr="00531B03" w:rsidRDefault="0058338A" w:rsidP="00F02C91">
                  <w:pPr>
                    <w:keepNext/>
                    <w:keepLines/>
                    <w:widowControl w:val="0"/>
                    <w:tabs>
                      <w:tab w:val="left" w:pos="567"/>
                    </w:tabs>
                    <w:spacing w:line="260" w:lineRule="exact"/>
                    <w:rPr>
                      <w:b/>
                      <w:color w:val="000000"/>
                      <w:sz w:val="20"/>
                      <w:szCs w:val="20"/>
                      <w:lang w:val="en-GB"/>
                    </w:rPr>
                  </w:pPr>
                  <w:r w:rsidRPr="00531B03">
                    <w:rPr>
                      <w:b/>
                      <w:color w:val="000000"/>
                      <w:sz w:val="20"/>
                      <w:szCs w:val="20"/>
                      <w:lang w:val="en-GB"/>
                    </w:rPr>
                    <w:t>&lt;60 </w:t>
                  </w:r>
                  <w:r w:rsidR="00F02C91" w:rsidRPr="00531B03">
                    <w:rPr>
                      <w:b/>
                      <w:color w:val="000000"/>
                      <w:sz w:val="20"/>
                      <w:szCs w:val="20"/>
                      <w:lang w:val="en-GB"/>
                    </w:rPr>
                    <w:t>ml</w:t>
                  </w:r>
                  <w:r w:rsidRPr="00531B03">
                    <w:rPr>
                      <w:b/>
                      <w:color w:val="000000"/>
                      <w:sz w:val="20"/>
                      <w:szCs w:val="20"/>
                      <w:lang w:val="en-GB"/>
                    </w:rPr>
                    <w:t>/min</w:t>
                  </w:r>
                </w:p>
              </w:tc>
            </w:tr>
            <w:tr w:rsidR="0058338A" w:rsidRPr="004459D9" w14:paraId="5F73A8DF" w14:textId="77777777" w:rsidTr="00D21251">
              <w:tc>
                <w:tcPr>
                  <w:tcW w:w="1489" w:type="pct"/>
                  <w:tcBorders>
                    <w:top w:val="single" w:sz="4" w:space="0" w:color="auto"/>
                    <w:left w:val="single" w:sz="4" w:space="0" w:color="auto"/>
                    <w:right w:val="single" w:sz="4" w:space="0" w:color="auto"/>
                  </w:tcBorders>
                  <w:shd w:val="clear" w:color="auto" w:fill="auto"/>
                </w:tcPr>
                <w:p w14:paraId="1797187E" w14:textId="77777777" w:rsidR="0058338A" w:rsidRPr="00531B03" w:rsidRDefault="0058338A" w:rsidP="00D21251">
                  <w:pPr>
                    <w:keepNext/>
                    <w:keepLines/>
                    <w:widowControl w:val="0"/>
                    <w:tabs>
                      <w:tab w:val="left" w:pos="567"/>
                    </w:tabs>
                    <w:spacing w:line="260" w:lineRule="exact"/>
                    <w:rPr>
                      <w:b/>
                      <w:color w:val="000000"/>
                      <w:sz w:val="20"/>
                      <w:szCs w:val="20"/>
                      <w:lang w:val="en-GB"/>
                    </w:rPr>
                  </w:pPr>
                  <w:r w:rsidRPr="00531B03">
                    <w:rPr>
                      <w:b/>
                      <w:color w:val="000000"/>
                      <w:sz w:val="20"/>
                      <w:szCs w:val="20"/>
                      <w:lang w:val="en-GB"/>
                    </w:rPr>
                    <w:t xml:space="preserve">Praćenje </w:t>
                  </w:r>
                </w:p>
              </w:tc>
              <w:tc>
                <w:tcPr>
                  <w:tcW w:w="1264" w:type="pct"/>
                  <w:tcBorders>
                    <w:top w:val="single" w:sz="4" w:space="0" w:color="auto"/>
                    <w:left w:val="single" w:sz="4" w:space="0" w:color="auto"/>
                    <w:right w:val="single" w:sz="4" w:space="0" w:color="auto"/>
                  </w:tcBorders>
                  <w:shd w:val="clear" w:color="auto" w:fill="auto"/>
                </w:tcPr>
                <w:p w14:paraId="1A9368FA" w14:textId="77777777" w:rsidR="0058338A" w:rsidRPr="00531B03" w:rsidRDefault="0058338A" w:rsidP="00D21251">
                  <w:pPr>
                    <w:keepNext/>
                    <w:keepLines/>
                    <w:widowControl w:val="0"/>
                    <w:tabs>
                      <w:tab w:val="left" w:pos="567"/>
                    </w:tabs>
                    <w:spacing w:line="260" w:lineRule="exact"/>
                    <w:rPr>
                      <w:b/>
                      <w:color w:val="000000"/>
                      <w:sz w:val="20"/>
                      <w:szCs w:val="20"/>
                      <w:lang w:val="en-GB"/>
                    </w:rPr>
                  </w:pPr>
                </w:p>
              </w:tc>
              <w:tc>
                <w:tcPr>
                  <w:tcW w:w="593" w:type="pct"/>
                  <w:tcBorders>
                    <w:top w:val="single" w:sz="4" w:space="0" w:color="auto"/>
                    <w:left w:val="single" w:sz="4" w:space="0" w:color="auto"/>
                    <w:right w:val="single" w:sz="4" w:space="0" w:color="auto"/>
                  </w:tcBorders>
                  <w:shd w:val="clear" w:color="auto" w:fill="auto"/>
                </w:tcPr>
                <w:p w14:paraId="242EF213" w14:textId="77777777" w:rsidR="0058338A" w:rsidRPr="00531B03" w:rsidRDefault="0058338A" w:rsidP="00D21251">
                  <w:pPr>
                    <w:keepNext/>
                    <w:keepLines/>
                    <w:widowControl w:val="0"/>
                    <w:tabs>
                      <w:tab w:val="left" w:pos="567"/>
                    </w:tabs>
                    <w:spacing w:line="260" w:lineRule="exact"/>
                    <w:rPr>
                      <w:b/>
                      <w:color w:val="000000"/>
                      <w:sz w:val="20"/>
                      <w:szCs w:val="20"/>
                      <w:lang w:val="en-GB"/>
                    </w:rPr>
                  </w:pPr>
                </w:p>
              </w:tc>
              <w:tc>
                <w:tcPr>
                  <w:tcW w:w="1654" w:type="pct"/>
                  <w:tcBorders>
                    <w:top w:val="single" w:sz="4" w:space="0" w:color="auto"/>
                    <w:left w:val="single" w:sz="4" w:space="0" w:color="auto"/>
                    <w:right w:val="single" w:sz="4" w:space="0" w:color="auto"/>
                  </w:tcBorders>
                  <w:shd w:val="clear" w:color="auto" w:fill="auto"/>
                </w:tcPr>
                <w:p w14:paraId="38097FAC" w14:textId="77777777" w:rsidR="0058338A" w:rsidRPr="00531B03" w:rsidRDefault="0058338A" w:rsidP="00D21251">
                  <w:pPr>
                    <w:keepNext/>
                    <w:keepLines/>
                    <w:widowControl w:val="0"/>
                    <w:tabs>
                      <w:tab w:val="left" w:pos="567"/>
                    </w:tabs>
                    <w:spacing w:line="260" w:lineRule="exact"/>
                    <w:rPr>
                      <w:b/>
                      <w:color w:val="000000"/>
                      <w:sz w:val="20"/>
                      <w:szCs w:val="20"/>
                      <w:lang w:val="en-GB"/>
                    </w:rPr>
                  </w:pPr>
                </w:p>
              </w:tc>
            </w:tr>
            <w:tr w:rsidR="0058338A" w:rsidRPr="004459D9" w14:paraId="3F607B05" w14:textId="77777777" w:rsidTr="00D21251">
              <w:tc>
                <w:tcPr>
                  <w:tcW w:w="1489" w:type="pct"/>
                  <w:tcBorders>
                    <w:left w:val="single" w:sz="4" w:space="0" w:color="auto"/>
                    <w:right w:val="single" w:sz="4" w:space="0" w:color="auto"/>
                  </w:tcBorders>
                  <w:shd w:val="clear" w:color="auto" w:fill="auto"/>
                </w:tcPr>
                <w:p w14:paraId="73226679" w14:textId="77777777" w:rsidR="0058338A" w:rsidRPr="00531B03" w:rsidRDefault="0058338A" w:rsidP="00474536">
                  <w:pPr>
                    <w:keepNext/>
                    <w:keepLines/>
                    <w:widowControl w:val="0"/>
                    <w:numPr>
                      <w:ilvl w:val="0"/>
                      <w:numId w:val="13"/>
                    </w:numPr>
                    <w:tabs>
                      <w:tab w:val="left" w:pos="567"/>
                    </w:tabs>
                    <w:spacing w:line="260" w:lineRule="exact"/>
                    <w:ind w:left="142" w:hanging="142"/>
                    <w:rPr>
                      <w:color w:val="000000"/>
                      <w:sz w:val="20"/>
                      <w:szCs w:val="20"/>
                      <w:lang w:val="en-GB"/>
                    </w:rPr>
                  </w:pPr>
                  <w:r w:rsidRPr="00531B03">
                    <w:rPr>
                      <w:color w:val="000000"/>
                      <w:sz w:val="20"/>
                      <w:szCs w:val="20"/>
                      <w:lang w:val="en-GB"/>
                    </w:rPr>
                    <w:t xml:space="preserve">Prvog </w:t>
                  </w:r>
                  <w:r w:rsidR="0071118F" w:rsidRPr="00531B03">
                    <w:rPr>
                      <w:color w:val="000000"/>
                      <w:sz w:val="20"/>
                      <w:szCs w:val="20"/>
                      <w:lang w:val="en-GB"/>
                    </w:rPr>
                    <w:t>mjesec</w:t>
                  </w:r>
                  <w:r w:rsidRPr="00531B03">
                    <w:rPr>
                      <w:color w:val="000000"/>
                      <w:sz w:val="20"/>
                      <w:szCs w:val="20"/>
                      <w:lang w:val="en-GB"/>
                    </w:rPr>
                    <w:t>a nakon početka terapije ili izm</w:t>
                  </w:r>
                  <w:r w:rsidR="000F5050" w:rsidRPr="00531B03">
                    <w:rPr>
                      <w:color w:val="000000"/>
                      <w:sz w:val="20"/>
                      <w:szCs w:val="20"/>
                      <w:lang w:val="en-GB"/>
                    </w:rPr>
                    <w:t>j</w:t>
                  </w:r>
                  <w:r w:rsidRPr="00531B03">
                    <w:rPr>
                      <w:color w:val="000000"/>
                      <w:sz w:val="20"/>
                      <w:szCs w:val="20"/>
                      <w:lang w:val="en-GB"/>
                    </w:rPr>
                    <w:t>ene doze (uključujući i zam</w:t>
                  </w:r>
                  <w:r w:rsidR="007D7327" w:rsidRPr="00531B03">
                    <w:rPr>
                      <w:color w:val="000000"/>
                      <w:sz w:val="20"/>
                      <w:szCs w:val="20"/>
                      <w:lang w:val="en-GB"/>
                    </w:rPr>
                    <w:t>j</w:t>
                  </w:r>
                  <w:r w:rsidRPr="00531B03">
                    <w:rPr>
                      <w:color w:val="000000"/>
                      <w:sz w:val="20"/>
                      <w:szCs w:val="20"/>
                      <w:lang w:val="en-GB"/>
                    </w:rPr>
                    <w:t>enu formulacije)</w:t>
                  </w:r>
                </w:p>
              </w:tc>
              <w:tc>
                <w:tcPr>
                  <w:tcW w:w="1264" w:type="pct"/>
                  <w:tcBorders>
                    <w:left w:val="single" w:sz="4" w:space="0" w:color="auto"/>
                    <w:right w:val="single" w:sz="4" w:space="0" w:color="auto"/>
                  </w:tcBorders>
                  <w:shd w:val="clear" w:color="auto" w:fill="auto"/>
                </w:tcPr>
                <w:p w14:paraId="09C22CA4" w14:textId="77777777" w:rsidR="0058338A" w:rsidRPr="00531B03" w:rsidRDefault="0058338A" w:rsidP="00D21251">
                  <w:pPr>
                    <w:keepNext/>
                    <w:keepLines/>
                    <w:widowControl w:val="0"/>
                    <w:tabs>
                      <w:tab w:val="left" w:pos="567"/>
                    </w:tabs>
                    <w:spacing w:line="260" w:lineRule="exact"/>
                    <w:rPr>
                      <w:color w:val="000000"/>
                      <w:sz w:val="20"/>
                      <w:szCs w:val="20"/>
                      <w:lang w:val="en-GB"/>
                    </w:rPr>
                  </w:pPr>
                  <w:r w:rsidRPr="00531B03">
                    <w:rPr>
                      <w:color w:val="000000"/>
                      <w:sz w:val="20"/>
                      <w:szCs w:val="20"/>
                      <w:lang w:val="en-GB"/>
                    </w:rPr>
                    <w:t>Ned</w:t>
                  </w:r>
                  <w:r w:rsidR="006C19D8" w:rsidRPr="00531B03">
                    <w:rPr>
                      <w:color w:val="000000"/>
                      <w:sz w:val="20"/>
                      <w:szCs w:val="20"/>
                      <w:lang w:val="en-GB"/>
                    </w:rPr>
                    <w:t>j</w:t>
                  </w:r>
                  <w:r w:rsidRPr="00531B03">
                    <w:rPr>
                      <w:color w:val="000000"/>
                      <w:sz w:val="20"/>
                      <w:szCs w:val="20"/>
                      <w:lang w:val="en-GB"/>
                    </w:rPr>
                    <w:t xml:space="preserve">eljno </w:t>
                  </w:r>
                </w:p>
              </w:tc>
              <w:tc>
                <w:tcPr>
                  <w:tcW w:w="593" w:type="pct"/>
                  <w:tcBorders>
                    <w:left w:val="single" w:sz="4" w:space="0" w:color="auto"/>
                    <w:right w:val="single" w:sz="4" w:space="0" w:color="auto"/>
                  </w:tcBorders>
                  <w:shd w:val="clear" w:color="auto" w:fill="auto"/>
                </w:tcPr>
                <w:p w14:paraId="79374CA4" w14:textId="77777777" w:rsidR="0058338A" w:rsidRPr="00531B03" w:rsidRDefault="0058338A" w:rsidP="00D21251">
                  <w:pPr>
                    <w:keepNext/>
                    <w:keepLines/>
                    <w:widowControl w:val="0"/>
                    <w:tabs>
                      <w:tab w:val="left" w:pos="567"/>
                    </w:tabs>
                    <w:spacing w:line="260" w:lineRule="exact"/>
                    <w:rPr>
                      <w:color w:val="000000"/>
                      <w:sz w:val="20"/>
                      <w:szCs w:val="20"/>
                      <w:lang w:val="en-GB"/>
                    </w:rPr>
                  </w:pPr>
                  <w:r w:rsidRPr="00531B03">
                    <w:rPr>
                      <w:color w:val="000000"/>
                      <w:sz w:val="20"/>
                      <w:szCs w:val="20"/>
                      <w:lang w:val="en-GB"/>
                    </w:rPr>
                    <w:t>i</w:t>
                  </w:r>
                </w:p>
              </w:tc>
              <w:tc>
                <w:tcPr>
                  <w:tcW w:w="1654" w:type="pct"/>
                  <w:tcBorders>
                    <w:left w:val="single" w:sz="4" w:space="0" w:color="auto"/>
                    <w:right w:val="single" w:sz="4" w:space="0" w:color="auto"/>
                  </w:tcBorders>
                  <w:shd w:val="clear" w:color="auto" w:fill="auto"/>
                </w:tcPr>
                <w:p w14:paraId="59843134" w14:textId="77777777" w:rsidR="0058338A" w:rsidRPr="00531B03" w:rsidRDefault="0058338A" w:rsidP="00D21251">
                  <w:pPr>
                    <w:keepNext/>
                    <w:keepLines/>
                    <w:widowControl w:val="0"/>
                    <w:tabs>
                      <w:tab w:val="left" w:pos="567"/>
                    </w:tabs>
                    <w:spacing w:line="260" w:lineRule="exact"/>
                    <w:rPr>
                      <w:color w:val="000000"/>
                      <w:sz w:val="20"/>
                      <w:szCs w:val="20"/>
                      <w:lang w:val="en-GB"/>
                    </w:rPr>
                  </w:pPr>
                  <w:r w:rsidRPr="00531B03">
                    <w:rPr>
                      <w:color w:val="000000"/>
                      <w:sz w:val="20"/>
                      <w:szCs w:val="20"/>
                      <w:lang w:val="en-GB"/>
                    </w:rPr>
                    <w:t>Ned</w:t>
                  </w:r>
                  <w:r w:rsidR="00B00CF2" w:rsidRPr="00531B03">
                    <w:rPr>
                      <w:color w:val="000000"/>
                      <w:sz w:val="20"/>
                      <w:szCs w:val="20"/>
                      <w:lang w:val="en-GB"/>
                    </w:rPr>
                    <w:t>j</w:t>
                  </w:r>
                  <w:r w:rsidRPr="00531B03">
                    <w:rPr>
                      <w:color w:val="000000"/>
                      <w:sz w:val="20"/>
                      <w:szCs w:val="20"/>
                      <w:lang w:val="en-GB"/>
                    </w:rPr>
                    <w:t xml:space="preserve">eljno </w:t>
                  </w:r>
                </w:p>
              </w:tc>
            </w:tr>
            <w:tr w:rsidR="0058338A" w:rsidRPr="004459D9" w14:paraId="2513656B" w14:textId="77777777" w:rsidTr="00D21251">
              <w:tc>
                <w:tcPr>
                  <w:tcW w:w="1489" w:type="pct"/>
                  <w:tcBorders>
                    <w:left w:val="single" w:sz="4" w:space="0" w:color="auto"/>
                    <w:bottom w:val="single" w:sz="4" w:space="0" w:color="auto"/>
                    <w:right w:val="single" w:sz="4" w:space="0" w:color="auto"/>
                  </w:tcBorders>
                  <w:shd w:val="clear" w:color="auto" w:fill="auto"/>
                </w:tcPr>
                <w:p w14:paraId="735C5491" w14:textId="77777777" w:rsidR="0058338A" w:rsidRPr="00531B03" w:rsidRDefault="0058338A" w:rsidP="00531B03">
                  <w:pPr>
                    <w:keepNext/>
                    <w:keepLines/>
                    <w:widowControl w:val="0"/>
                    <w:numPr>
                      <w:ilvl w:val="0"/>
                      <w:numId w:val="13"/>
                    </w:numPr>
                    <w:tabs>
                      <w:tab w:val="left" w:pos="567"/>
                    </w:tabs>
                    <w:spacing w:line="260" w:lineRule="exact"/>
                    <w:ind w:left="142" w:hanging="142"/>
                    <w:jc w:val="both"/>
                    <w:rPr>
                      <w:color w:val="000000"/>
                      <w:sz w:val="20"/>
                      <w:szCs w:val="20"/>
                      <w:lang w:val="en-GB"/>
                    </w:rPr>
                  </w:pPr>
                  <w:r w:rsidRPr="00531B03">
                    <w:rPr>
                      <w:color w:val="000000"/>
                      <w:sz w:val="20"/>
                      <w:szCs w:val="20"/>
                      <w:lang w:val="en-GB"/>
                    </w:rPr>
                    <w:t xml:space="preserve">U nastavku terapije </w:t>
                  </w:r>
                </w:p>
              </w:tc>
              <w:tc>
                <w:tcPr>
                  <w:tcW w:w="1264" w:type="pct"/>
                  <w:tcBorders>
                    <w:left w:val="single" w:sz="4" w:space="0" w:color="auto"/>
                    <w:bottom w:val="single" w:sz="4" w:space="0" w:color="auto"/>
                    <w:right w:val="single" w:sz="4" w:space="0" w:color="auto"/>
                  </w:tcBorders>
                  <w:shd w:val="clear" w:color="auto" w:fill="auto"/>
                </w:tcPr>
                <w:p w14:paraId="38253224" w14:textId="77777777" w:rsidR="0058338A" w:rsidRPr="00531B03" w:rsidRDefault="0058338A" w:rsidP="00D21251">
                  <w:pPr>
                    <w:keepNext/>
                    <w:keepLines/>
                    <w:widowControl w:val="0"/>
                    <w:tabs>
                      <w:tab w:val="left" w:pos="567"/>
                    </w:tabs>
                    <w:spacing w:line="260" w:lineRule="exact"/>
                    <w:rPr>
                      <w:color w:val="000000"/>
                      <w:sz w:val="20"/>
                      <w:szCs w:val="20"/>
                      <w:lang w:val="en-GB"/>
                    </w:rPr>
                  </w:pPr>
                  <w:r w:rsidRPr="00531B03">
                    <w:rPr>
                      <w:color w:val="000000"/>
                      <w:sz w:val="20"/>
                      <w:szCs w:val="20"/>
                      <w:lang w:val="en-GB"/>
                    </w:rPr>
                    <w:t>M</w:t>
                  </w:r>
                  <w:r w:rsidR="006C19D8" w:rsidRPr="00531B03">
                    <w:rPr>
                      <w:color w:val="000000"/>
                      <w:sz w:val="20"/>
                      <w:szCs w:val="20"/>
                      <w:lang w:val="en-GB"/>
                    </w:rPr>
                    <w:t>j</w:t>
                  </w:r>
                  <w:r w:rsidRPr="00531B03">
                    <w:rPr>
                      <w:color w:val="000000"/>
                      <w:sz w:val="20"/>
                      <w:szCs w:val="20"/>
                      <w:lang w:val="en-GB"/>
                    </w:rPr>
                    <w:t xml:space="preserve">esečno </w:t>
                  </w:r>
                </w:p>
              </w:tc>
              <w:tc>
                <w:tcPr>
                  <w:tcW w:w="593" w:type="pct"/>
                  <w:tcBorders>
                    <w:left w:val="single" w:sz="4" w:space="0" w:color="auto"/>
                    <w:bottom w:val="single" w:sz="4" w:space="0" w:color="auto"/>
                    <w:right w:val="single" w:sz="4" w:space="0" w:color="auto"/>
                  </w:tcBorders>
                  <w:shd w:val="clear" w:color="auto" w:fill="auto"/>
                </w:tcPr>
                <w:p w14:paraId="06016579" w14:textId="77777777" w:rsidR="0058338A" w:rsidRPr="00531B03" w:rsidRDefault="0058338A" w:rsidP="00D21251">
                  <w:pPr>
                    <w:keepNext/>
                    <w:keepLines/>
                    <w:widowControl w:val="0"/>
                    <w:tabs>
                      <w:tab w:val="left" w:pos="567"/>
                    </w:tabs>
                    <w:spacing w:line="260" w:lineRule="exact"/>
                    <w:rPr>
                      <w:color w:val="000000"/>
                      <w:sz w:val="20"/>
                      <w:szCs w:val="20"/>
                      <w:lang w:val="en-GB"/>
                    </w:rPr>
                  </w:pPr>
                  <w:r w:rsidRPr="00531B03">
                    <w:rPr>
                      <w:color w:val="000000"/>
                      <w:sz w:val="20"/>
                      <w:szCs w:val="20"/>
                      <w:lang w:val="en-GB"/>
                    </w:rPr>
                    <w:t>i</w:t>
                  </w:r>
                </w:p>
              </w:tc>
              <w:tc>
                <w:tcPr>
                  <w:tcW w:w="1654" w:type="pct"/>
                  <w:tcBorders>
                    <w:left w:val="single" w:sz="4" w:space="0" w:color="auto"/>
                    <w:bottom w:val="single" w:sz="4" w:space="0" w:color="auto"/>
                    <w:right w:val="single" w:sz="4" w:space="0" w:color="auto"/>
                  </w:tcBorders>
                  <w:shd w:val="clear" w:color="auto" w:fill="auto"/>
                </w:tcPr>
                <w:p w14:paraId="7E9E96FD" w14:textId="77777777" w:rsidR="0058338A" w:rsidRPr="00531B03" w:rsidRDefault="0058338A" w:rsidP="00D21251">
                  <w:pPr>
                    <w:keepNext/>
                    <w:keepLines/>
                    <w:widowControl w:val="0"/>
                    <w:tabs>
                      <w:tab w:val="left" w:pos="567"/>
                    </w:tabs>
                    <w:spacing w:line="260" w:lineRule="exact"/>
                    <w:rPr>
                      <w:color w:val="000000"/>
                      <w:sz w:val="20"/>
                      <w:szCs w:val="20"/>
                      <w:lang w:val="en-GB"/>
                    </w:rPr>
                  </w:pPr>
                  <w:r w:rsidRPr="00531B03">
                    <w:rPr>
                      <w:color w:val="000000"/>
                      <w:sz w:val="20"/>
                      <w:szCs w:val="20"/>
                      <w:lang w:val="en-GB"/>
                    </w:rPr>
                    <w:t>M</w:t>
                  </w:r>
                  <w:r w:rsidR="00B00CF2" w:rsidRPr="00531B03">
                    <w:rPr>
                      <w:color w:val="000000"/>
                      <w:sz w:val="20"/>
                      <w:szCs w:val="20"/>
                      <w:lang w:val="en-GB"/>
                    </w:rPr>
                    <w:t>j</w:t>
                  </w:r>
                  <w:r w:rsidRPr="00531B03">
                    <w:rPr>
                      <w:color w:val="000000"/>
                      <w:sz w:val="20"/>
                      <w:szCs w:val="20"/>
                      <w:lang w:val="en-GB"/>
                    </w:rPr>
                    <w:t xml:space="preserve">esečno </w:t>
                  </w:r>
                </w:p>
              </w:tc>
            </w:tr>
            <w:tr w:rsidR="0058338A" w:rsidRPr="004459D9" w14:paraId="5C570EE8" w14:textId="77777777" w:rsidTr="00D2125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42676EF" w14:textId="77777777" w:rsidR="0058338A" w:rsidRPr="00531B03" w:rsidRDefault="0058338A" w:rsidP="00D21251">
                  <w:pPr>
                    <w:keepNext/>
                    <w:keepLines/>
                    <w:widowControl w:val="0"/>
                    <w:tabs>
                      <w:tab w:val="left" w:pos="567"/>
                    </w:tabs>
                    <w:spacing w:line="260" w:lineRule="exact"/>
                    <w:rPr>
                      <w:b/>
                      <w:color w:val="000000"/>
                      <w:sz w:val="20"/>
                      <w:szCs w:val="20"/>
                      <w:lang w:val="en-GB"/>
                    </w:rPr>
                  </w:pPr>
                  <w:r w:rsidRPr="00531B03">
                    <w:rPr>
                      <w:b/>
                      <w:color w:val="000000"/>
                      <w:sz w:val="20"/>
                      <w:szCs w:val="20"/>
                      <w:lang w:val="en-GB"/>
                    </w:rPr>
                    <w:t xml:space="preserve">Smanjenje dnevne doze za 7 mg/kg/dan </w:t>
                  </w:r>
                  <w:r w:rsidRPr="00531B03">
                    <w:rPr>
                      <w:color w:val="000000"/>
                      <w:sz w:val="20"/>
                      <w:szCs w:val="20"/>
                      <w:lang w:val="en-GB"/>
                    </w:rPr>
                    <w:t xml:space="preserve">(formulacija film </w:t>
                  </w:r>
                  <w:r w:rsidRPr="00531B03">
                    <w:rPr>
                      <w:sz w:val="20"/>
                      <w:szCs w:val="20"/>
                      <w:lang w:val="sr-Latn-CS"/>
                    </w:rPr>
                    <w:t>tableta)</w:t>
                  </w:r>
                  <w:r w:rsidRPr="00531B03">
                    <w:rPr>
                      <w:color w:val="000000"/>
                      <w:sz w:val="20"/>
                      <w:szCs w:val="20"/>
                      <w:lang w:val="en-GB"/>
                    </w:rPr>
                    <w:t>,</w:t>
                  </w:r>
                </w:p>
                <w:p w14:paraId="02ADB074" w14:textId="77777777" w:rsidR="0058338A" w:rsidRPr="00531B03" w:rsidRDefault="0058338A" w:rsidP="00D21251">
                  <w:pPr>
                    <w:keepNext/>
                    <w:keepLines/>
                    <w:widowControl w:val="0"/>
                    <w:tabs>
                      <w:tab w:val="left" w:pos="567"/>
                    </w:tabs>
                    <w:spacing w:line="260" w:lineRule="exact"/>
                    <w:rPr>
                      <w:i/>
                      <w:color w:val="000000"/>
                      <w:sz w:val="20"/>
                      <w:szCs w:val="20"/>
                      <w:lang w:val="it-IT"/>
                    </w:rPr>
                  </w:pPr>
                  <w:r w:rsidRPr="00531B03">
                    <w:rPr>
                      <w:i/>
                      <w:color w:val="000000"/>
                      <w:sz w:val="20"/>
                      <w:szCs w:val="20"/>
                      <w:lang w:val="it-IT"/>
                    </w:rPr>
                    <w:t xml:space="preserve">ako su navedeni bubrežni parametri </w:t>
                  </w:r>
                  <w:r w:rsidR="00F90136" w:rsidRPr="00531B03">
                    <w:rPr>
                      <w:i/>
                      <w:color w:val="000000"/>
                      <w:sz w:val="20"/>
                      <w:szCs w:val="20"/>
                      <w:lang w:val="it-IT"/>
                    </w:rPr>
                    <w:t>zabilježen</w:t>
                  </w:r>
                  <w:r w:rsidRPr="00531B03">
                    <w:rPr>
                      <w:i/>
                      <w:color w:val="000000"/>
                      <w:sz w:val="20"/>
                      <w:szCs w:val="20"/>
                      <w:lang w:val="it-IT"/>
                    </w:rPr>
                    <w:t xml:space="preserve">i tokom </w:t>
                  </w:r>
                  <w:r w:rsidR="006C19D8" w:rsidRPr="00531B03">
                    <w:rPr>
                      <w:b/>
                      <w:i/>
                      <w:color w:val="000000"/>
                      <w:sz w:val="20"/>
                      <w:szCs w:val="20"/>
                      <w:lang w:val="it-IT"/>
                    </w:rPr>
                    <w:t xml:space="preserve">dvije </w:t>
                  </w:r>
                  <w:r w:rsidRPr="00531B03">
                    <w:rPr>
                      <w:i/>
                      <w:color w:val="000000"/>
                      <w:sz w:val="20"/>
                      <w:szCs w:val="20"/>
                      <w:lang w:val="it-IT"/>
                    </w:rPr>
                    <w:t>uzastopne pos</w:t>
                  </w:r>
                  <w:r w:rsidR="003864AD" w:rsidRPr="00531B03">
                    <w:rPr>
                      <w:i/>
                      <w:color w:val="000000"/>
                      <w:sz w:val="20"/>
                      <w:szCs w:val="20"/>
                      <w:lang w:val="it-IT"/>
                    </w:rPr>
                    <w:t>j</w:t>
                  </w:r>
                  <w:r w:rsidRPr="00531B03">
                    <w:rPr>
                      <w:i/>
                      <w:color w:val="000000"/>
                      <w:sz w:val="20"/>
                      <w:szCs w:val="20"/>
                      <w:lang w:val="it-IT"/>
                    </w:rPr>
                    <w:t xml:space="preserve">ete i ne mogu se povezati sa drugim uzrocima </w:t>
                  </w:r>
                </w:p>
              </w:tc>
            </w:tr>
            <w:tr w:rsidR="0058338A" w:rsidRPr="004459D9" w14:paraId="377CC6ED" w14:textId="77777777" w:rsidTr="00D21251">
              <w:tc>
                <w:tcPr>
                  <w:tcW w:w="1489" w:type="pct"/>
                  <w:tcBorders>
                    <w:top w:val="single" w:sz="4" w:space="0" w:color="auto"/>
                    <w:left w:val="single" w:sz="4" w:space="0" w:color="auto"/>
                    <w:right w:val="single" w:sz="4" w:space="0" w:color="auto"/>
                  </w:tcBorders>
                  <w:shd w:val="clear" w:color="auto" w:fill="auto"/>
                </w:tcPr>
                <w:p w14:paraId="12E3C00A" w14:textId="77777777" w:rsidR="0058338A" w:rsidRPr="00531B03" w:rsidRDefault="0058338A" w:rsidP="00D21251">
                  <w:pPr>
                    <w:keepNext/>
                    <w:keepLines/>
                    <w:widowControl w:val="0"/>
                    <w:tabs>
                      <w:tab w:val="left" w:pos="567"/>
                    </w:tabs>
                    <w:spacing w:line="260" w:lineRule="exact"/>
                    <w:rPr>
                      <w:color w:val="000000"/>
                      <w:sz w:val="20"/>
                      <w:szCs w:val="20"/>
                      <w:lang w:val="en-GB"/>
                    </w:rPr>
                  </w:pPr>
                  <w:r w:rsidRPr="00531B03">
                    <w:rPr>
                      <w:color w:val="000000"/>
                      <w:sz w:val="20"/>
                      <w:szCs w:val="20"/>
                      <w:lang w:val="it-IT"/>
                    </w:rPr>
                    <w:t xml:space="preserve">Odrasli pacijenti </w:t>
                  </w:r>
                </w:p>
              </w:tc>
              <w:tc>
                <w:tcPr>
                  <w:tcW w:w="1264" w:type="pct"/>
                  <w:tcBorders>
                    <w:top w:val="single" w:sz="4" w:space="0" w:color="auto"/>
                    <w:left w:val="single" w:sz="4" w:space="0" w:color="auto"/>
                    <w:right w:val="single" w:sz="4" w:space="0" w:color="auto"/>
                  </w:tcBorders>
                  <w:shd w:val="clear" w:color="auto" w:fill="auto"/>
                </w:tcPr>
                <w:p w14:paraId="464AFD60" w14:textId="77777777" w:rsidR="0058338A" w:rsidRPr="00531B03" w:rsidRDefault="0058338A" w:rsidP="00D21251">
                  <w:pPr>
                    <w:keepNext/>
                    <w:keepLines/>
                    <w:widowControl w:val="0"/>
                    <w:tabs>
                      <w:tab w:val="left" w:pos="567"/>
                    </w:tabs>
                    <w:spacing w:line="260" w:lineRule="exact"/>
                    <w:rPr>
                      <w:color w:val="000000"/>
                      <w:sz w:val="20"/>
                      <w:szCs w:val="20"/>
                      <w:lang w:val="en-GB"/>
                    </w:rPr>
                  </w:pPr>
                  <w:r w:rsidRPr="00531B03">
                    <w:rPr>
                      <w:color w:val="000000"/>
                      <w:sz w:val="20"/>
                      <w:szCs w:val="20"/>
                      <w:lang w:val="en-GB"/>
                    </w:rPr>
                    <w:t xml:space="preserve">&gt;33% iznad preterapijskog </w:t>
                  </w:r>
                  <w:r w:rsidR="0065396C" w:rsidRPr="00531B03">
                    <w:rPr>
                      <w:color w:val="000000"/>
                      <w:sz w:val="20"/>
                      <w:szCs w:val="20"/>
                      <w:lang w:val="en-GB"/>
                    </w:rPr>
                    <w:t>prosje</w:t>
                  </w:r>
                  <w:r w:rsidRPr="00531B03">
                    <w:rPr>
                      <w:color w:val="000000"/>
                      <w:sz w:val="20"/>
                      <w:szCs w:val="20"/>
                      <w:lang w:val="en-GB"/>
                    </w:rPr>
                    <w:t xml:space="preserve">ka </w:t>
                  </w:r>
                </w:p>
              </w:tc>
              <w:tc>
                <w:tcPr>
                  <w:tcW w:w="593" w:type="pct"/>
                  <w:tcBorders>
                    <w:top w:val="single" w:sz="4" w:space="0" w:color="auto"/>
                    <w:left w:val="single" w:sz="4" w:space="0" w:color="auto"/>
                    <w:right w:val="single" w:sz="4" w:space="0" w:color="auto"/>
                  </w:tcBorders>
                  <w:shd w:val="clear" w:color="auto" w:fill="auto"/>
                </w:tcPr>
                <w:p w14:paraId="45E71920" w14:textId="77777777" w:rsidR="0058338A" w:rsidRPr="00531B03" w:rsidRDefault="0058338A" w:rsidP="00D21251">
                  <w:pPr>
                    <w:keepNext/>
                    <w:keepLines/>
                    <w:widowControl w:val="0"/>
                    <w:tabs>
                      <w:tab w:val="left" w:pos="567"/>
                    </w:tabs>
                    <w:spacing w:line="260" w:lineRule="exact"/>
                    <w:rPr>
                      <w:color w:val="000000"/>
                      <w:sz w:val="20"/>
                      <w:szCs w:val="20"/>
                      <w:lang w:val="en-GB"/>
                    </w:rPr>
                  </w:pPr>
                  <w:r w:rsidRPr="00531B03">
                    <w:rPr>
                      <w:color w:val="000000"/>
                      <w:sz w:val="20"/>
                      <w:szCs w:val="20"/>
                      <w:lang w:val="en-GB"/>
                    </w:rPr>
                    <w:t>i</w:t>
                  </w:r>
                </w:p>
              </w:tc>
              <w:tc>
                <w:tcPr>
                  <w:tcW w:w="1654" w:type="pct"/>
                  <w:tcBorders>
                    <w:top w:val="single" w:sz="4" w:space="0" w:color="auto"/>
                    <w:left w:val="single" w:sz="4" w:space="0" w:color="auto"/>
                    <w:right w:val="single" w:sz="4" w:space="0" w:color="auto"/>
                  </w:tcBorders>
                  <w:shd w:val="clear" w:color="auto" w:fill="auto"/>
                </w:tcPr>
                <w:p w14:paraId="4DBBC4E1" w14:textId="77777777" w:rsidR="0058338A" w:rsidRPr="00531B03" w:rsidRDefault="0058338A" w:rsidP="006659CC">
                  <w:pPr>
                    <w:keepNext/>
                    <w:keepLines/>
                    <w:widowControl w:val="0"/>
                    <w:tabs>
                      <w:tab w:val="left" w:pos="567"/>
                    </w:tabs>
                    <w:spacing w:line="260" w:lineRule="exact"/>
                    <w:rPr>
                      <w:color w:val="000000"/>
                      <w:sz w:val="20"/>
                      <w:szCs w:val="20"/>
                      <w:lang w:val="en-GB"/>
                    </w:rPr>
                  </w:pPr>
                  <w:r w:rsidRPr="00531B03">
                    <w:rPr>
                      <w:color w:val="000000"/>
                      <w:sz w:val="20"/>
                      <w:szCs w:val="20"/>
                      <w:lang w:val="en-GB"/>
                    </w:rPr>
                    <w:t>Opadanje &lt;DGN* (&lt;90 </w:t>
                  </w:r>
                  <w:r w:rsidR="006659CC" w:rsidRPr="00531B03">
                    <w:rPr>
                      <w:color w:val="000000"/>
                      <w:sz w:val="20"/>
                      <w:szCs w:val="20"/>
                      <w:lang w:val="en-GB"/>
                    </w:rPr>
                    <w:t>ml</w:t>
                  </w:r>
                  <w:r w:rsidRPr="00531B03">
                    <w:rPr>
                      <w:color w:val="000000"/>
                      <w:sz w:val="20"/>
                      <w:szCs w:val="20"/>
                      <w:lang w:val="en-GB"/>
                    </w:rPr>
                    <w:t>/min)</w:t>
                  </w:r>
                </w:p>
              </w:tc>
            </w:tr>
            <w:tr w:rsidR="0058338A" w:rsidRPr="004459D9" w14:paraId="52C04356" w14:textId="77777777" w:rsidTr="00D21251">
              <w:tc>
                <w:tcPr>
                  <w:tcW w:w="1489" w:type="pct"/>
                  <w:tcBorders>
                    <w:left w:val="single" w:sz="4" w:space="0" w:color="auto"/>
                    <w:bottom w:val="single" w:sz="4" w:space="0" w:color="auto"/>
                    <w:right w:val="single" w:sz="4" w:space="0" w:color="auto"/>
                  </w:tcBorders>
                  <w:shd w:val="clear" w:color="auto" w:fill="auto"/>
                </w:tcPr>
                <w:p w14:paraId="48E84E1C" w14:textId="77777777" w:rsidR="0058338A" w:rsidRPr="00531B03" w:rsidRDefault="0058338A" w:rsidP="00D21251">
                  <w:pPr>
                    <w:keepNext/>
                    <w:keepLines/>
                    <w:widowControl w:val="0"/>
                    <w:tabs>
                      <w:tab w:val="left" w:pos="567"/>
                    </w:tabs>
                    <w:spacing w:line="260" w:lineRule="exact"/>
                    <w:rPr>
                      <w:color w:val="000000"/>
                      <w:sz w:val="20"/>
                      <w:szCs w:val="20"/>
                      <w:lang w:val="en-GB"/>
                    </w:rPr>
                  </w:pPr>
                  <w:r w:rsidRPr="00531B03">
                    <w:rPr>
                      <w:color w:val="000000"/>
                      <w:sz w:val="20"/>
                      <w:szCs w:val="20"/>
                      <w:lang w:val="en-GB"/>
                    </w:rPr>
                    <w:t xml:space="preserve">Pedijatrijski pacijenti </w:t>
                  </w:r>
                </w:p>
              </w:tc>
              <w:tc>
                <w:tcPr>
                  <w:tcW w:w="1264" w:type="pct"/>
                  <w:tcBorders>
                    <w:left w:val="single" w:sz="4" w:space="0" w:color="auto"/>
                    <w:bottom w:val="single" w:sz="4" w:space="0" w:color="auto"/>
                    <w:right w:val="single" w:sz="4" w:space="0" w:color="auto"/>
                  </w:tcBorders>
                  <w:shd w:val="clear" w:color="auto" w:fill="auto"/>
                </w:tcPr>
                <w:p w14:paraId="1309641D" w14:textId="77777777" w:rsidR="0058338A" w:rsidRPr="00531B03" w:rsidRDefault="0058338A" w:rsidP="00D21251">
                  <w:pPr>
                    <w:keepNext/>
                    <w:keepLines/>
                    <w:widowControl w:val="0"/>
                    <w:tabs>
                      <w:tab w:val="left" w:pos="567"/>
                    </w:tabs>
                    <w:spacing w:line="260" w:lineRule="exact"/>
                    <w:rPr>
                      <w:color w:val="000000"/>
                      <w:sz w:val="20"/>
                      <w:szCs w:val="20"/>
                      <w:lang w:val="en-GB"/>
                    </w:rPr>
                  </w:pPr>
                  <w:r w:rsidRPr="00531B03">
                    <w:rPr>
                      <w:color w:val="000000"/>
                      <w:sz w:val="20"/>
                      <w:szCs w:val="20"/>
                      <w:lang w:val="en-GB"/>
                    </w:rPr>
                    <w:t>&gt;</w:t>
                  </w:r>
                  <w:r w:rsidR="0071118F" w:rsidRPr="00531B03">
                    <w:rPr>
                      <w:color w:val="000000"/>
                      <w:sz w:val="20"/>
                      <w:szCs w:val="20"/>
                      <w:lang w:val="en-GB"/>
                    </w:rPr>
                    <w:t>vrijednost</w:t>
                  </w:r>
                  <w:r w:rsidRPr="00531B03">
                    <w:rPr>
                      <w:color w:val="000000"/>
                      <w:sz w:val="20"/>
                      <w:szCs w:val="20"/>
                      <w:lang w:val="en-GB"/>
                    </w:rPr>
                    <w:t>i GGN** koje odgovaraju uzrastu</w:t>
                  </w:r>
                </w:p>
              </w:tc>
              <w:tc>
                <w:tcPr>
                  <w:tcW w:w="593" w:type="pct"/>
                  <w:tcBorders>
                    <w:left w:val="single" w:sz="4" w:space="0" w:color="auto"/>
                    <w:bottom w:val="single" w:sz="4" w:space="0" w:color="auto"/>
                    <w:right w:val="single" w:sz="4" w:space="0" w:color="auto"/>
                  </w:tcBorders>
                  <w:shd w:val="clear" w:color="auto" w:fill="auto"/>
                </w:tcPr>
                <w:p w14:paraId="6A525B23" w14:textId="77777777" w:rsidR="0058338A" w:rsidRPr="00531B03" w:rsidRDefault="0058338A" w:rsidP="00D21251">
                  <w:pPr>
                    <w:keepNext/>
                    <w:keepLines/>
                    <w:widowControl w:val="0"/>
                    <w:tabs>
                      <w:tab w:val="left" w:pos="567"/>
                    </w:tabs>
                    <w:spacing w:line="260" w:lineRule="exact"/>
                    <w:rPr>
                      <w:color w:val="000000"/>
                      <w:sz w:val="20"/>
                      <w:szCs w:val="20"/>
                      <w:lang w:val="en-GB"/>
                    </w:rPr>
                  </w:pPr>
                  <w:r w:rsidRPr="00531B03">
                    <w:rPr>
                      <w:color w:val="000000"/>
                      <w:sz w:val="20"/>
                      <w:szCs w:val="20"/>
                      <w:lang w:val="en-GB"/>
                    </w:rPr>
                    <w:t>i/ili</w:t>
                  </w:r>
                </w:p>
              </w:tc>
              <w:tc>
                <w:tcPr>
                  <w:tcW w:w="1654" w:type="pct"/>
                  <w:tcBorders>
                    <w:left w:val="single" w:sz="4" w:space="0" w:color="auto"/>
                    <w:bottom w:val="single" w:sz="4" w:space="0" w:color="auto"/>
                    <w:right w:val="single" w:sz="4" w:space="0" w:color="auto"/>
                  </w:tcBorders>
                  <w:shd w:val="clear" w:color="auto" w:fill="auto"/>
                </w:tcPr>
                <w:p w14:paraId="747F4D2A" w14:textId="77777777" w:rsidR="0058338A" w:rsidRPr="00531B03" w:rsidRDefault="0058338A" w:rsidP="006659CC">
                  <w:pPr>
                    <w:keepNext/>
                    <w:keepLines/>
                    <w:widowControl w:val="0"/>
                    <w:tabs>
                      <w:tab w:val="left" w:pos="567"/>
                    </w:tabs>
                    <w:spacing w:line="260" w:lineRule="exact"/>
                    <w:rPr>
                      <w:color w:val="000000"/>
                      <w:sz w:val="20"/>
                      <w:szCs w:val="20"/>
                      <w:lang w:val="en-GB"/>
                    </w:rPr>
                  </w:pPr>
                  <w:r w:rsidRPr="00531B03">
                    <w:rPr>
                      <w:color w:val="000000"/>
                      <w:sz w:val="20"/>
                      <w:szCs w:val="20"/>
                      <w:lang w:val="en-GB"/>
                    </w:rPr>
                    <w:t>Opadanje &lt;DGN* (&lt;90 </w:t>
                  </w:r>
                  <w:r w:rsidR="006659CC" w:rsidRPr="00531B03">
                    <w:rPr>
                      <w:color w:val="000000"/>
                      <w:sz w:val="20"/>
                      <w:szCs w:val="20"/>
                      <w:lang w:val="en-GB"/>
                    </w:rPr>
                    <w:t>ml</w:t>
                  </w:r>
                  <w:r w:rsidRPr="00531B03">
                    <w:rPr>
                      <w:color w:val="000000"/>
                      <w:sz w:val="20"/>
                      <w:szCs w:val="20"/>
                      <w:lang w:val="en-GB"/>
                    </w:rPr>
                    <w:t>/min)</w:t>
                  </w:r>
                </w:p>
              </w:tc>
            </w:tr>
            <w:tr w:rsidR="0058338A" w:rsidRPr="004459D9" w14:paraId="2D3F372A" w14:textId="77777777" w:rsidTr="00D2125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34E4167B" w14:textId="77777777" w:rsidR="0058338A" w:rsidRPr="00531B03" w:rsidRDefault="0058338A" w:rsidP="00D21251">
                  <w:pPr>
                    <w:keepNext/>
                    <w:keepLines/>
                    <w:widowControl w:val="0"/>
                    <w:tabs>
                      <w:tab w:val="left" w:pos="567"/>
                    </w:tabs>
                    <w:spacing w:line="260" w:lineRule="exact"/>
                    <w:rPr>
                      <w:color w:val="000000"/>
                      <w:sz w:val="20"/>
                      <w:szCs w:val="20"/>
                      <w:lang w:val="en-GB"/>
                    </w:rPr>
                  </w:pPr>
                  <w:r w:rsidRPr="00531B03">
                    <w:rPr>
                      <w:b/>
                      <w:color w:val="000000"/>
                      <w:sz w:val="20"/>
                      <w:szCs w:val="20"/>
                      <w:lang w:val="en-GB"/>
                    </w:rPr>
                    <w:t xml:space="preserve">Nakon smanjivanja doze, obustava terapije, ako </w:t>
                  </w:r>
                </w:p>
              </w:tc>
            </w:tr>
            <w:tr w:rsidR="0058338A" w:rsidRPr="004459D9" w14:paraId="33EB1EC7" w14:textId="77777777" w:rsidTr="00D21251">
              <w:tc>
                <w:tcPr>
                  <w:tcW w:w="1489" w:type="pct"/>
                  <w:tcBorders>
                    <w:top w:val="single" w:sz="4" w:space="0" w:color="auto"/>
                    <w:left w:val="single" w:sz="4" w:space="0" w:color="auto"/>
                    <w:bottom w:val="single" w:sz="4" w:space="0" w:color="auto"/>
                    <w:right w:val="single" w:sz="4" w:space="0" w:color="auto"/>
                  </w:tcBorders>
                  <w:shd w:val="clear" w:color="auto" w:fill="auto"/>
                </w:tcPr>
                <w:p w14:paraId="6D340EDC" w14:textId="77777777" w:rsidR="0058338A" w:rsidRPr="00531B03" w:rsidRDefault="0058338A" w:rsidP="00D21251">
                  <w:pPr>
                    <w:keepNext/>
                    <w:keepLines/>
                    <w:widowControl w:val="0"/>
                    <w:tabs>
                      <w:tab w:val="left" w:pos="567"/>
                    </w:tabs>
                    <w:spacing w:line="260" w:lineRule="exact"/>
                    <w:rPr>
                      <w:color w:val="000000"/>
                      <w:sz w:val="20"/>
                      <w:szCs w:val="20"/>
                      <w:lang w:val="en-GB"/>
                    </w:rPr>
                  </w:pPr>
                  <w:r w:rsidRPr="00531B03">
                    <w:rPr>
                      <w:color w:val="000000"/>
                      <w:sz w:val="20"/>
                      <w:szCs w:val="20"/>
                      <w:lang w:val="en-GB"/>
                    </w:rPr>
                    <w:t>Odrasli i d</w:t>
                  </w:r>
                  <w:r w:rsidR="000F5050" w:rsidRPr="00531B03">
                    <w:rPr>
                      <w:color w:val="000000"/>
                      <w:sz w:val="20"/>
                      <w:szCs w:val="20"/>
                      <w:lang w:val="en-GB"/>
                    </w:rPr>
                    <w:t>j</w:t>
                  </w:r>
                  <w:r w:rsidRPr="00531B03">
                    <w:rPr>
                      <w:color w:val="000000"/>
                      <w:sz w:val="20"/>
                      <w:szCs w:val="20"/>
                      <w:lang w:val="en-GB"/>
                    </w:rPr>
                    <w:t>eca</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012B0E81" w14:textId="77777777" w:rsidR="0058338A" w:rsidRPr="00531B03" w:rsidRDefault="0058338A" w:rsidP="00D21251">
                  <w:pPr>
                    <w:keepNext/>
                    <w:keepLines/>
                    <w:widowControl w:val="0"/>
                    <w:tabs>
                      <w:tab w:val="left" w:pos="567"/>
                    </w:tabs>
                    <w:spacing w:line="260" w:lineRule="exact"/>
                    <w:rPr>
                      <w:color w:val="000000"/>
                      <w:sz w:val="20"/>
                      <w:szCs w:val="20"/>
                      <w:lang w:val="en-GB"/>
                    </w:rPr>
                  </w:pPr>
                  <w:r w:rsidRPr="00531B03">
                    <w:rPr>
                      <w:color w:val="000000"/>
                      <w:sz w:val="20"/>
                      <w:szCs w:val="20"/>
                      <w:lang w:val="en-GB"/>
                    </w:rPr>
                    <w:t xml:space="preserve">Ostaje &gt;33% iznad preterapijskog </w:t>
                  </w:r>
                  <w:r w:rsidR="0065396C" w:rsidRPr="00531B03">
                    <w:rPr>
                      <w:color w:val="000000"/>
                      <w:sz w:val="20"/>
                      <w:szCs w:val="20"/>
                      <w:lang w:val="en-GB"/>
                    </w:rPr>
                    <w:t>prosje</w:t>
                  </w:r>
                  <w:r w:rsidRPr="00531B03">
                    <w:rPr>
                      <w:color w:val="000000"/>
                      <w:sz w:val="20"/>
                      <w:szCs w:val="20"/>
                      <w:lang w:val="en-GB"/>
                    </w:rPr>
                    <w:t xml:space="preserve">ka </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6BD812A6" w14:textId="77777777" w:rsidR="0058338A" w:rsidRPr="00531B03" w:rsidRDefault="0058338A" w:rsidP="00D21251">
                  <w:pPr>
                    <w:keepNext/>
                    <w:keepLines/>
                    <w:widowControl w:val="0"/>
                    <w:tabs>
                      <w:tab w:val="left" w:pos="567"/>
                    </w:tabs>
                    <w:spacing w:line="260" w:lineRule="exact"/>
                    <w:rPr>
                      <w:color w:val="000000"/>
                      <w:sz w:val="20"/>
                      <w:szCs w:val="20"/>
                      <w:lang w:val="en-GB"/>
                    </w:rPr>
                  </w:pPr>
                  <w:r w:rsidRPr="00531B03">
                    <w:rPr>
                      <w:color w:val="000000"/>
                      <w:sz w:val="20"/>
                      <w:szCs w:val="20"/>
                      <w:lang w:val="en-GB"/>
                    </w:rPr>
                    <w:t>i/ili</w:t>
                  </w:r>
                </w:p>
              </w:tc>
              <w:tc>
                <w:tcPr>
                  <w:tcW w:w="1654" w:type="pct"/>
                  <w:tcBorders>
                    <w:left w:val="single" w:sz="4" w:space="0" w:color="auto"/>
                    <w:right w:val="single" w:sz="4" w:space="0" w:color="auto"/>
                  </w:tcBorders>
                  <w:shd w:val="clear" w:color="auto" w:fill="auto"/>
                </w:tcPr>
                <w:p w14:paraId="5B505574" w14:textId="77777777" w:rsidR="0058338A" w:rsidRPr="00531B03" w:rsidRDefault="0058338A" w:rsidP="006659CC">
                  <w:pPr>
                    <w:keepNext/>
                    <w:keepLines/>
                    <w:widowControl w:val="0"/>
                    <w:tabs>
                      <w:tab w:val="left" w:pos="567"/>
                    </w:tabs>
                    <w:spacing w:line="260" w:lineRule="exact"/>
                    <w:rPr>
                      <w:color w:val="000000"/>
                      <w:sz w:val="20"/>
                      <w:szCs w:val="20"/>
                      <w:lang w:val="en-GB"/>
                    </w:rPr>
                  </w:pPr>
                  <w:r w:rsidRPr="00531B03">
                    <w:rPr>
                      <w:color w:val="000000"/>
                      <w:sz w:val="20"/>
                      <w:szCs w:val="20"/>
                      <w:lang w:val="en-GB"/>
                    </w:rPr>
                    <w:t>Opadanje &lt;DGN* (&lt;90 </w:t>
                  </w:r>
                  <w:r w:rsidR="006659CC" w:rsidRPr="00531B03">
                    <w:rPr>
                      <w:color w:val="000000"/>
                      <w:sz w:val="20"/>
                      <w:szCs w:val="20"/>
                      <w:lang w:val="en-GB"/>
                    </w:rPr>
                    <w:t>ml</w:t>
                  </w:r>
                  <w:r w:rsidRPr="00531B03">
                    <w:rPr>
                      <w:color w:val="000000"/>
                      <w:sz w:val="20"/>
                      <w:szCs w:val="20"/>
                      <w:lang w:val="en-GB"/>
                    </w:rPr>
                    <w:t>/min)</w:t>
                  </w:r>
                </w:p>
              </w:tc>
            </w:tr>
            <w:tr w:rsidR="0058338A" w:rsidRPr="004459D9" w14:paraId="7E71695E" w14:textId="77777777" w:rsidTr="00D2125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E0897C0" w14:textId="77777777" w:rsidR="0058338A" w:rsidRPr="00531B03" w:rsidRDefault="0058338A" w:rsidP="00D21251">
                  <w:pPr>
                    <w:pStyle w:val="Header"/>
                    <w:tabs>
                      <w:tab w:val="left" w:pos="284"/>
                    </w:tabs>
                    <w:rPr>
                      <w:sz w:val="20"/>
                      <w:szCs w:val="20"/>
                      <w:lang w:val="it-IT"/>
                    </w:rPr>
                  </w:pPr>
                  <w:r w:rsidRPr="00531B03">
                    <w:rPr>
                      <w:sz w:val="20"/>
                      <w:szCs w:val="20"/>
                      <w:lang w:val="it-IT"/>
                    </w:rPr>
                    <w:t>*   DGN – donja granica normalnog opsega</w:t>
                  </w:r>
                </w:p>
                <w:p w14:paraId="0AB28A54" w14:textId="77777777" w:rsidR="0058338A" w:rsidRPr="00531B03" w:rsidRDefault="0058338A" w:rsidP="00D21251">
                  <w:pPr>
                    <w:pStyle w:val="Header"/>
                    <w:tabs>
                      <w:tab w:val="left" w:pos="284"/>
                    </w:tabs>
                    <w:rPr>
                      <w:sz w:val="20"/>
                      <w:szCs w:val="20"/>
                      <w:lang w:val="it-IT"/>
                    </w:rPr>
                  </w:pPr>
                  <w:r w:rsidRPr="00531B03">
                    <w:rPr>
                      <w:sz w:val="20"/>
                      <w:szCs w:val="20"/>
                      <w:lang w:val="it-IT"/>
                    </w:rPr>
                    <w:t>**</w:t>
                  </w:r>
                  <w:r w:rsidRPr="00531B03">
                    <w:rPr>
                      <w:color w:val="000000"/>
                      <w:sz w:val="20"/>
                      <w:szCs w:val="20"/>
                      <w:lang w:val="it-IT"/>
                    </w:rPr>
                    <w:t xml:space="preserve"> GGN – gornja granica normalnog opsega</w:t>
                  </w:r>
                </w:p>
              </w:tc>
            </w:tr>
          </w:tbl>
          <w:p w14:paraId="5FE42578" w14:textId="77777777" w:rsidR="0058338A" w:rsidRPr="00531B03" w:rsidRDefault="0058338A" w:rsidP="00D21251">
            <w:pPr>
              <w:rPr>
                <w:sz w:val="20"/>
                <w:szCs w:val="20"/>
              </w:rPr>
            </w:pPr>
          </w:p>
          <w:p w14:paraId="4E7E6334" w14:textId="77777777" w:rsidR="0058338A" w:rsidRPr="004459D9" w:rsidRDefault="0058338A" w:rsidP="00531B03">
            <w:pPr>
              <w:jc w:val="both"/>
              <w:rPr>
                <w:sz w:val="22"/>
                <w:szCs w:val="22"/>
              </w:rPr>
            </w:pPr>
            <w:r w:rsidRPr="004459D9">
              <w:rPr>
                <w:sz w:val="22"/>
                <w:szCs w:val="22"/>
              </w:rPr>
              <w:t>Terapija se može ponovo započeti u zavisnosti od individualnih kliničkih okolnosti.</w:t>
            </w:r>
          </w:p>
          <w:p w14:paraId="61B0B055" w14:textId="77777777" w:rsidR="0058338A" w:rsidRPr="004459D9" w:rsidRDefault="0058338A" w:rsidP="00531B03">
            <w:pPr>
              <w:jc w:val="both"/>
              <w:rPr>
                <w:sz w:val="22"/>
                <w:szCs w:val="22"/>
              </w:rPr>
            </w:pPr>
          </w:p>
          <w:p w14:paraId="5269A30A" w14:textId="77777777" w:rsidR="0058338A" w:rsidRPr="004459D9" w:rsidRDefault="0058338A" w:rsidP="00531B03">
            <w:pPr>
              <w:jc w:val="both"/>
              <w:rPr>
                <w:sz w:val="22"/>
                <w:szCs w:val="22"/>
              </w:rPr>
            </w:pPr>
            <w:r w:rsidRPr="004459D9">
              <w:rPr>
                <w:sz w:val="22"/>
                <w:szCs w:val="22"/>
              </w:rPr>
              <w:t>Smanjenje doze ili prekid terapije se takođe može razmotriti ako se pojave abnormalnosti u nivoima markera bubrežne tubularne funkcije i/ili ako je klinički indikovano:</w:t>
            </w:r>
          </w:p>
          <w:p w14:paraId="39A0A1A2" w14:textId="77777777" w:rsidR="0058338A" w:rsidRPr="004459D9" w:rsidRDefault="0058338A" w:rsidP="00531B03">
            <w:pPr>
              <w:jc w:val="both"/>
              <w:rPr>
                <w:sz w:val="22"/>
                <w:szCs w:val="22"/>
              </w:rPr>
            </w:pPr>
            <w:r w:rsidRPr="004459D9">
              <w:rPr>
                <w:sz w:val="22"/>
                <w:szCs w:val="22"/>
              </w:rPr>
              <w:t>•</w:t>
            </w:r>
            <w:r w:rsidRPr="004459D9">
              <w:rPr>
                <w:sz w:val="22"/>
                <w:szCs w:val="22"/>
              </w:rPr>
              <w:tab/>
              <w:t>proteinurija (ispitivanje je potrebno sprovesti pr</w:t>
            </w:r>
            <w:r w:rsidR="006C19D8" w:rsidRPr="004459D9">
              <w:rPr>
                <w:sz w:val="22"/>
                <w:szCs w:val="22"/>
              </w:rPr>
              <w:t>ij</w:t>
            </w:r>
            <w:r w:rsidRPr="004459D9">
              <w:rPr>
                <w:sz w:val="22"/>
                <w:szCs w:val="22"/>
              </w:rPr>
              <w:t xml:space="preserve">e terapije i </w:t>
            </w:r>
            <w:r w:rsidR="00B00CF2" w:rsidRPr="004459D9">
              <w:rPr>
                <w:sz w:val="22"/>
                <w:szCs w:val="22"/>
              </w:rPr>
              <w:t>mjeseč</w:t>
            </w:r>
            <w:r w:rsidRPr="004459D9">
              <w:rPr>
                <w:sz w:val="22"/>
                <w:szCs w:val="22"/>
              </w:rPr>
              <w:t>no nakon toga)</w:t>
            </w:r>
            <w:r w:rsidR="006659CC" w:rsidRPr="004459D9">
              <w:rPr>
                <w:sz w:val="22"/>
                <w:szCs w:val="22"/>
              </w:rPr>
              <w:t>,</w:t>
            </w:r>
          </w:p>
          <w:p w14:paraId="62658603" w14:textId="77777777" w:rsidR="0058338A" w:rsidRPr="004459D9" w:rsidRDefault="0058338A" w:rsidP="00531B03">
            <w:pPr>
              <w:jc w:val="both"/>
              <w:rPr>
                <w:sz w:val="22"/>
                <w:szCs w:val="22"/>
              </w:rPr>
            </w:pPr>
            <w:r w:rsidRPr="004459D9">
              <w:rPr>
                <w:sz w:val="22"/>
                <w:szCs w:val="22"/>
              </w:rPr>
              <w:t>•</w:t>
            </w:r>
            <w:r w:rsidRPr="004459D9">
              <w:rPr>
                <w:sz w:val="22"/>
                <w:szCs w:val="22"/>
              </w:rPr>
              <w:tab/>
            </w:r>
            <w:proofErr w:type="gramStart"/>
            <w:r w:rsidRPr="004459D9">
              <w:rPr>
                <w:sz w:val="22"/>
                <w:szCs w:val="22"/>
              </w:rPr>
              <w:t>glikozurija</w:t>
            </w:r>
            <w:proofErr w:type="gramEnd"/>
            <w:r w:rsidRPr="004459D9">
              <w:rPr>
                <w:sz w:val="22"/>
                <w:szCs w:val="22"/>
              </w:rPr>
              <w:t xml:space="preserve"> kod osoba koje nemaju dijabetes i nisk</w:t>
            </w:r>
            <w:r w:rsidR="0047665D" w:rsidRPr="004459D9">
              <w:rPr>
                <w:sz w:val="22"/>
                <w:szCs w:val="22"/>
              </w:rPr>
              <w:t>e</w:t>
            </w:r>
            <w:r w:rsidRPr="004459D9">
              <w:rPr>
                <w:sz w:val="22"/>
                <w:szCs w:val="22"/>
              </w:rPr>
              <w:t xml:space="preserve"> koncentracij</w:t>
            </w:r>
            <w:r w:rsidR="0047665D" w:rsidRPr="004459D9">
              <w:rPr>
                <w:sz w:val="22"/>
                <w:szCs w:val="22"/>
              </w:rPr>
              <w:t>e</w:t>
            </w:r>
            <w:r w:rsidRPr="004459D9">
              <w:rPr>
                <w:sz w:val="22"/>
                <w:szCs w:val="22"/>
              </w:rPr>
              <w:t xml:space="preserve"> serumskog kalijuma, fosfata, magnezijuma ili urata, fosfaturija, aminoacidurija (pratiti po potrebi).</w:t>
            </w:r>
          </w:p>
          <w:p w14:paraId="6BD309D6" w14:textId="77777777" w:rsidR="0058338A" w:rsidRPr="004459D9" w:rsidRDefault="0058338A" w:rsidP="00531B03">
            <w:pPr>
              <w:jc w:val="both"/>
              <w:rPr>
                <w:sz w:val="22"/>
                <w:szCs w:val="22"/>
              </w:rPr>
            </w:pPr>
            <w:r w:rsidRPr="004459D9">
              <w:rPr>
                <w:sz w:val="22"/>
                <w:szCs w:val="22"/>
              </w:rPr>
              <w:t>Bubrežna tubulopatija je uglavnom prijavljivana kod d</w:t>
            </w:r>
            <w:r w:rsidR="00022A1D" w:rsidRPr="004459D9">
              <w:rPr>
                <w:sz w:val="22"/>
                <w:szCs w:val="22"/>
              </w:rPr>
              <w:t>j</w:t>
            </w:r>
            <w:r w:rsidRPr="004459D9">
              <w:rPr>
                <w:sz w:val="22"/>
                <w:szCs w:val="22"/>
              </w:rPr>
              <w:t>ece i adolescenata obol</w:t>
            </w:r>
            <w:r w:rsidR="00022A1D" w:rsidRPr="004459D9">
              <w:rPr>
                <w:sz w:val="22"/>
                <w:szCs w:val="22"/>
              </w:rPr>
              <w:t>j</w:t>
            </w:r>
            <w:r w:rsidRPr="004459D9">
              <w:rPr>
                <w:sz w:val="22"/>
                <w:szCs w:val="22"/>
              </w:rPr>
              <w:t>elih od beta</w:t>
            </w:r>
            <w:r w:rsidR="006659CC" w:rsidRPr="004459D9">
              <w:rPr>
                <w:sz w:val="22"/>
                <w:szCs w:val="22"/>
              </w:rPr>
              <w:t>-</w:t>
            </w:r>
            <w:r w:rsidRPr="004459D9">
              <w:rPr>
                <w:sz w:val="22"/>
                <w:szCs w:val="22"/>
              </w:rPr>
              <w:t xml:space="preserve">talasemije koji su na terapiji </w:t>
            </w:r>
            <w:r w:rsidR="00344FF6" w:rsidRPr="004459D9">
              <w:rPr>
                <w:sz w:val="22"/>
                <w:szCs w:val="22"/>
              </w:rPr>
              <w:t>lijek</w:t>
            </w:r>
            <w:r w:rsidRPr="004459D9">
              <w:rPr>
                <w:sz w:val="22"/>
                <w:szCs w:val="22"/>
              </w:rPr>
              <w:t>om Exjade.</w:t>
            </w:r>
          </w:p>
          <w:p w14:paraId="1A2D5466" w14:textId="77777777" w:rsidR="0058338A" w:rsidRPr="004459D9" w:rsidRDefault="0058338A" w:rsidP="00531B03">
            <w:pPr>
              <w:jc w:val="both"/>
              <w:rPr>
                <w:sz w:val="22"/>
                <w:szCs w:val="22"/>
              </w:rPr>
            </w:pPr>
          </w:p>
          <w:p w14:paraId="580B980F" w14:textId="77777777" w:rsidR="0058338A" w:rsidRPr="004459D9" w:rsidRDefault="0058338A" w:rsidP="00531B03">
            <w:pPr>
              <w:jc w:val="both"/>
              <w:rPr>
                <w:sz w:val="22"/>
                <w:szCs w:val="22"/>
              </w:rPr>
            </w:pPr>
            <w:r w:rsidRPr="004459D9">
              <w:rPr>
                <w:sz w:val="22"/>
                <w:szCs w:val="22"/>
              </w:rPr>
              <w:t>Pacijente bi trebalo uputiti kod nefrologa i razmotriti dodatna specijalistička ispitivanja (poput biopsije bubrega), ukoliko se uprkos smanjenju doze ili prekidu terapije pojavi sl</w:t>
            </w:r>
            <w:r w:rsidR="00A95529" w:rsidRPr="004459D9">
              <w:rPr>
                <w:sz w:val="22"/>
                <w:szCs w:val="22"/>
              </w:rPr>
              <w:t>j</w:t>
            </w:r>
            <w:r w:rsidRPr="004459D9">
              <w:rPr>
                <w:sz w:val="22"/>
                <w:szCs w:val="22"/>
              </w:rPr>
              <w:t>edeće:</w:t>
            </w:r>
          </w:p>
          <w:p w14:paraId="4FD54A78" w14:textId="77777777" w:rsidR="0058338A" w:rsidRPr="004459D9" w:rsidRDefault="0058338A" w:rsidP="00531B03">
            <w:pPr>
              <w:jc w:val="both"/>
              <w:rPr>
                <w:sz w:val="22"/>
                <w:szCs w:val="22"/>
              </w:rPr>
            </w:pPr>
            <w:r w:rsidRPr="004459D9">
              <w:rPr>
                <w:sz w:val="22"/>
                <w:szCs w:val="22"/>
              </w:rPr>
              <w:t>•</w:t>
            </w:r>
            <w:r w:rsidRPr="004459D9">
              <w:rPr>
                <w:sz w:val="22"/>
                <w:szCs w:val="22"/>
              </w:rPr>
              <w:tab/>
              <w:t>serumski kreatinin ostaje značajno povišen</w:t>
            </w:r>
            <w:r w:rsidR="006659CC" w:rsidRPr="004459D9">
              <w:rPr>
                <w:sz w:val="22"/>
                <w:szCs w:val="22"/>
              </w:rPr>
              <w:t>,</w:t>
            </w:r>
            <w:r w:rsidRPr="004459D9">
              <w:rPr>
                <w:sz w:val="22"/>
                <w:szCs w:val="22"/>
              </w:rPr>
              <w:t xml:space="preserve"> i</w:t>
            </w:r>
          </w:p>
          <w:p w14:paraId="4496C153" w14:textId="77777777" w:rsidR="0058338A" w:rsidRPr="004459D9" w:rsidRDefault="0058338A" w:rsidP="00531B03">
            <w:pPr>
              <w:jc w:val="both"/>
              <w:rPr>
                <w:sz w:val="22"/>
                <w:szCs w:val="22"/>
              </w:rPr>
            </w:pPr>
            <w:r w:rsidRPr="004459D9">
              <w:rPr>
                <w:sz w:val="22"/>
                <w:szCs w:val="22"/>
              </w:rPr>
              <w:t>•</w:t>
            </w:r>
            <w:r w:rsidRPr="004459D9">
              <w:rPr>
                <w:sz w:val="22"/>
                <w:szCs w:val="22"/>
              </w:rPr>
              <w:tab/>
            </w:r>
            <w:proofErr w:type="gramStart"/>
            <w:r w:rsidRPr="004459D9">
              <w:rPr>
                <w:sz w:val="22"/>
                <w:szCs w:val="22"/>
              </w:rPr>
              <w:t>trajan</w:t>
            </w:r>
            <w:proofErr w:type="gramEnd"/>
            <w:r w:rsidRPr="004459D9">
              <w:rPr>
                <w:sz w:val="22"/>
                <w:szCs w:val="22"/>
              </w:rPr>
              <w:t xml:space="preserve"> poremećaj drugog markera bubrežne funkcije (npr. proteinurija, Fankonijev sindrom).</w:t>
            </w:r>
          </w:p>
          <w:p w14:paraId="062A7DFB" w14:textId="77777777" w:rsidR="00A01E2A" w:rsidRDefault="00A01E2A" w:rsidP="00531B03">
            <w:pPr>
              <w:jc w:val="both"/>
              <w:rPr>
                <w:sz w:val="22"/>
                <w:szCs w:val="22"/>
                <w:u w:val="single"/>
              </w:rPr>
            </w:pPr>
          </w:p>
          <w:p w14:paraId="66835DEC" w14:textId="1987B4A9" w:rsidR="0058338A" w:rsidRPr="004459D9" w:rsidRDefault="0058338A" w:rsidP="00531B03">
            <w:pPr>
              <w:jc w:val="both"/>
              <w:rPr>
                <w:sz w:val="22"/>
                <w:szCs w:val="22"/>
                <w:u w:val="single"/>
              </w:rPr>
            </w:pPr>
            <w:r w:rsidRPr="004459D9">
              <w:rPr>
                <w:sz w:val="22"/>
                <w:szCs w:val="22"/>
                <w:u w:val="single"/>
              </w:rPr>
              <w:t>Funkcija jetre</w:t>
            </w:r>
          </w:p>
          <w:p w14:paraId="58B71F98" w14:textId="77777777" w:rsidR="0058338A" w:rsidRPr="004459D9" w:rsidRDefault="0058338A" w:rsidP="00531B03">
            <w:pPr>
              <w:jc w:val="both"/>
              <w:rPr>
                <w:sz w:val="22"/>
                <w:szCs w:val="22"/>
              </w:rPr>
            </w:pPr>
          </w:p>
          <w:p w14:paraId="0443E38A" w14:textId="77777777" w:rsidR="0058338A" w:rsidRPr="004459D9" w:rsidRDefault="0058338A" w:rsidP="00531B03">
            <w:pPr>
              <w:jc w:val="both"/>
              <w:rPr>
                <w:sz w:val="22"/>
                <w:szCs w:val="22"/>
              </w:rPr>
            </w:pPr>
            <w:r w:rsidRPr="004459D9">
              <w:rPr>
                <w:sz w:val="22"/>
                <w:szCs w:val="22"/>
              </w:rPr>
              <w:lastRenderedPageBreak/>
              <w:t>Zab</w:t>
            </w:r>
            <w:r w:rsidR="00F90136" w:rsidRPr="004459D9">
              <w:rPr>
                <w:sz w:val="22"/>
                <w:szCs w:val="22"/>
              </w:rPr>
              <w:t>i</w:t>
            </w:r>
            <w:r w:rsidRPr="004459D9">
              <w:rPr>
                <w:sz w:val="22"/>
                <w:szCs w:val="22"/>
              </w:rPr>
              <w:t>l</w:t>
            </w:r>
            <w:r w:rsidR="00F90136" w:rsidRPr="004459D9">
              <w:rPr>
                <w:sz w:val="22"/>
                <w:szCs w:val="22"/>
              </w:rPr>
              <w:t>j</w:t>
            </w:r>
            <w:r w:rsidRPr="004459D9">
              <w:rPr>
                <w:sz w:val="22"/>
                <w:szCs w:val="22"/>
              </w:rPr>
              <w:t xml:space="preserve">eženo je povećanje </w:t>
            </w:r>
            <w:r w:rsidR="0071118F" w:rsidRPr="004459D9">
              <w:rPr>
                <w:sz w:val="22"/>
                <w:szCs w:val="22"/>
              </w:rPr>
              <w:t>vrijednost</w:t>
            </w:r>
            <w:r w:rsidRPr="004459D9">
              <w:rPr>
                <w:sz w:val="22"/>
                <w:szCs w:val="22"/>
              </w:rPr>
              <w:t xml:space="preserve">i dobijenih u funkcionalnim testovima jetre kod pacijenata na terapiji deferasiroksom. Nakon stavljanja </w:t>
            </w:r>
            <w:r w:rsidR="00344FF6" w:rsidRPr="004459D9">
              <w:rPr>
                <w:sz w:val="22"/>
                <w:szCs w:val="22"/>
              </w:rPr>
              <w:t>lijek</w:t>
            </w:r>
            <w:r w:rsidRPr="004459D9">
              <w:rPr>
                <w:sz w:val="22"/>
                <w:szCs w:val="22"/>
              </w:rPr>
              <w:t>a u promet</w:t>
            </w:r>
            <w:r w:rsidR="006659CC" w:rsidRPr="004459D9">
              <w:rPr>
                <w:sz w:val="22"/>
                <w:szCs w:val="22"/>
              </w:rPr>
              <w:t>,</w:t>
            </w:r>
            <w:r w:rsidRPr="004459D9">
              <w:rPr>
                <w:sz w:val="22"/>
                <w:szCs w:val="22"/>
              </w:rPr>
              <w:t xml:space="preserve"> prijavljeni su slučajevi insuficijencije jetre, od kojih su neki bili sa smrtnim ishodom. Kod pacijenata l</w:t>
            </w:r>
            <w:r w:rsidR="00022A1D" w:rsidRPr="004459D9">
              <w:rPr>
                <w:sz w:val="22"/>
                <w:szCs w:val="22"/>
              </w:rPr>
              <w:t>ij</w:t>
            </w:r>
            <w:r w:rsidRPr="004459D9">
              <w:rPr>
                <w:sz w:val="22"/>
                <w:szCs w:val="22"/>
              </w:rPr>
              <w:t>ečenih deferasiroksom, naročito kod d</w:t>
            </w:r>
            <w:r w:rsidR="00022A1D" w:rsidRPr="004459D9">
              <w:rPr>
                <w:sz w:val="22"/>
                <w:szCs w:val="22"/>
              </w:rPr>
              <w:t>j</w:t>
            </w:r>
            <w:r w:rsidRPr="004459D9">
              <w:rPr>
                <w:sz w:val="22"/>
                <w:szCs w:val="22"/>
              </w:rPr>
              <w:t xml:space="preserve">ece, može doći do teških oblika povezanih sa </w:t>
            </w:r>
            <w:r w:rsidR="00F90136" w:rsidRPr="004459D9">
              <w:rPr>
                <w:sz w:val="22"/>
                <w:szCs w:val="22"/>
              </w:rPr>
              <w:t>promjen</w:t>
            </w:r>
            <w:r w:rsidRPr="004459D9">
              <w:rPr>
                <w:sz w:val="22"/>
                <w:szCs w:val="22"/>
              </w:rPr>
              <w:t>ama sv</w:t>
            </w:r>
            <w:r w:rsidR="00022A1D" w:rsidRPr="004459D9">
              <w:rPr>
                <w:sz w:val="22"/>
                <w:szCs w:val="22"/>
              </w:rPr>
              <w:t>ij</w:t>
            </w:r>
            <w:r w:rsidRPr="004459D9">
              <w:rPr>
                <w:sz w:val="22"/>
                <w:szCs w:val="22"/>
              </w:rPr>
              <w:t>esti u okviru hiperamonemične encefalopatije. Preporučuje se razmatranje hiperamonemične encefalopatije i m</w:t>
            </w:r>
            <w:r w:rsidR="007916C3" w:rsidRPr="004459D9">
              <w:rPr>
                <w:sz w:val="22"/>
                <w:szCs w:val="22"/>
              </w:rPr>
              <w:t>j</w:t>
            </w:r>
            <w:r w:rsidRPr="004459D9">
              <w:rPr>
                <w:sz w:val="22"/>
                <w:szCs w:val="22"/>
              </w:rPr>
              <w:t xml:space="preserve">erenje nivoa amonijaka kod pacijenata kod kojih dođe do neobjašnjivih </w:t>
            </w:r>
            <w:r w:rsidR="00F90136" w:rsidRPr="004459D9">
              <w:rPr>
                <w:sz w:val="22"/>
                <w:szCs w:val="22"/>
              </w:rPr>
              <w:t>promjen</w:t>
            </w:r>
            <w:r w:rsidRPr="004459D9">
              <w:rPr>
                <w:sz w:val="22"/>
                <w:szCs w:val="22"/>
              </w:rPr>
              <w:t xml:space="preserve">a mentalnog stanja tokom terapije </w:t>
            </w:r>
            <w:r w:rsidR="00344FF6" w:rsidRPr="004459D9">
              <w:rPr>
                <w:sz w:val="22"/>
                <w:szCs w:val="22"/>
              </w:rPr>
              <w:t>lijek</w:t>
            </w:r>
            <w:r w:rsidRPr="004459D9">
              <w:rPr>
                <w:sz w:val="22"/>
                <w:szCs w:val="22"/>
              </w:rPr>
              <w:t>om Exjade. Potrebno je paziti na održavanje odgovarajuće hidratacije kod pacijenata kod kojih dođe do deplecije volumena (npr. usl</w:t>
            </w:r>
            <w:r w:rsidR="00FC6D3C" w:rsidRPr="004459D9">
              <w:rPr>
                <w:sz w:val="22"/>
                <w:szCs w:val="22"/>
              </w:rPr>
              <w:t>j</w:t>
            </w:r>
            <w:r w:rsidRPr="004459D9">
              <w:rPr>
                <w:sz w:val="22"/>
                <w:szCs w:val="22"/>
              </w:rPr>
              <w:t>ed dijareje ili povraćanja), naročito kod d</w:t>
            </w:r>
            <w:r w:rsidR="00022A1D" w:rsidRPr="004459D9">
              <w:rPr>
                <w:sz w:val="22"/>
                <w:szCs w:val="22"/>
              </w:rPr>
              <w:t>j</w:t>
            </w:r>
            <w:r w:rsidRPr="004459D9">
              <w:rPr>
                <w:sz w:val="22"/>
                <w:szCs w:val="22"/>
              </w:rPr>
              <w:t>ece s akutnom bolešću. Najviše izv</w:t>
            </w:r>
            <w:r w:rsidR="00FC6D3C" w:rsidRPr="004459D9">
              <w:rPr>
                <w:sz w:val="22"/>
                <w:szCs w:val="22"/>
              </w:rPr>
              <w:t>j</w:t>
            </w:r>
            <w:r w:rsidRPr="004459D9">
              <w:rPr>
                <w:sz w:val="22"/>
                <w:szCs w:val="22"/>
              </w:rPr>
              <w:t xml:space="preserve">eštaja o insufucijenciji jetre se odnosilo na pacijente sa značajnim </w:t>
            </w:r>
            <w:r w:rsidR="000252E8" w:rsidRPr="004459D9">
              <w:rPr>
                <w:sz w:val="22"/>
                <w:szCs w:val="22"/>
              </w:rPr>
              <w:t>komorbiditetima</w:t>
            </w:r>
            <w:r w:rsidR="00F14EE9" w:rsidRPr="004459D9">
              <w:rPr>
                <w:sz w:val="22"/>
                <w:szCs w:val="22"/>
              </w:rPr>
              <w:t>,</w:t>
            </w:r>
            <w:r w:rsidR="000252E8" w:rsidRPr="004459D9">
              <w:rPr>
                <w:sz w:val="22"/>
                <w:szCs w:val="22"/>
              </w:rPr>
              <w:t xml:space="preserve"> </w:t>
            </w:r>
            <w:r w:rsidRPr="004459D9">
              <w:rPr>
                <w:sz w:val="22"/>
                <w:szCs w:val="22"/>
              </w:rPr>
              <w:t xml:space="preserve">uključujući prethodno </w:t>
            </w:r>
            <w:r w:rsidR="000252E8" w:rsidRPr="004459D9">
              <w:rPr>
                <w:sz w:val="22"/>
                <w:szCs w:val="22"/>
              </w:rPr>
              <w:t>postojeća hronična oboljenja jetre (uključujući cirozu jetre i hepatitis C) i višestruko otkazivanje organa</w:t>
            </w:r>
            <w:r w:rsidRPr="004459D9">
              <w:rPr>
                <w:sz w:val="22"/>
                <w:szCs w:val="22"/>
              </w:rPr>
              <w:t>. Ipak, ne može se isključiti uloga deferasiroksa kao doprinosećeg ili pogoršavajućeg faktora (</w:t>
            </w:r>
            <w:r w:rsidR="009E320F" w:rsidRPr="004459D9">
              <w:rPr>
                <w:sz w:val="22"/>
                <w:szCs w:val="22"/>
              </w:rPr>
              <w:t xml:space="preserve">vidjeti </w:t>
            </w:r>
            <w:r w:rsidR="00FC6D3C" w:rsidRPr="004459D9">
              <w:rPr>
                <w:sz w:val="22"/>
                <w:szCs w:val="22"/>
              </w:rPr>
              <w:t xml:space="preserve">dio </w:t>
            </w:r>
            <w:r w:rsidRPr="004459D9">
              <w:rPr>
                <w:sz w:val="22"/>
                <w:szCs w:val="22"/>
              </w:rPr>
              <w:t xml:space="preserve">4.8). </w:t>
            </w:r>
          </w:p>
          <w:p w14:paraId="3B7CC607" w14:textId="77777777" w:rsidR="0058338A" w:rsidRPr="004459D9" w:rsidRDefault="0058338A" w:rsidP="00531B03">
            <w:pPr>
              <w:jc w:val="both"/>
              <w:rPr>
                <w:sz w:val="22"/>
                <w:szCs w:val="22"/>
              </w:rPr>
            </w:pPr>
          </w:p>
          <w:p w14:paraId="3CC5CA6B" w14:textId="77777777" w:rsidR="0058338A" w:rsidRPr="004459D9" w:rsidRDefault="0058338A" w:rsidP="00531B03">
            <w:pPr>
              <w:jc w:val="both"/>
              <w:rPr>
                <w:sz w:val="22"/>
                <w:szCs w:val="22"/>
              </w:rPr>
            </w:pPr>
            <w:r w:rsidRPr="004459D9">
              <w:rPr>
                <w:sz w:val="22"/>
                <w:szCs w:val="22"/>
              </w:rPr>
              <w:t>Preporučljivo je da se serumske transaminaze, bilirubin i alkalna fosfataza prov</w:t>
            </w:r>
            <w:r w:rsidR="00022A1D" w:rsidRPr="004459D9">
              <w:rPr>
                <w:sz w:val="22"/>
                <w:szCs w:val="22"/>
              </w:rPr>
              <w:t>j</w:t>
            </w:r>
            <w:r w:rsidRPr="004459D9">
              <w:rPr>
                <w:sz w:val="22"/>
                <w:szCs w:val="22"/>
              </w:rPr>
              <w:t>ere pr</w:t>
            </w:r>
            <w:r w:rsidR="006C19D8" w:rsidRPr="004459D9">
              <w:rPr>
                <w:sz w:val="22"/>
                <w:szCs w:val="22"/>
              </w:rPr>
              <w:t>ij</w:t>
            </w:r>
            <w:r w:rsidRPr="004459D9">
              <w:rPr>
                <w:sz w:val="22"/>
                <w:szCs w:val="22"/>
              </w:rPr>
              <w:t xml:space="preserve">e uvođenja terapije, na svake </w:t>
            </w:r>
            <w:r w:rsidR="006C19D8" w:rsidRPr="004459D9">
              <w:rPr>
                <w:sz w:val="22"/>
                <w:szCs w:val="22"/>
              </w:rPr>
              <w:t xml:space="preserve">dvije </w:t>
            </w:r>
            <w:r w:rsidRPr="004459D9">
              <w:rPr>
                <w:sz w:val="22"/>
                <w:szCs w:val="22"/>
              </w:rPr>
              <w:t>ned</w:t>
            </w:r>
            <w:r w:rsidR="006C19D8" w:rsidRPr="004459D9">
              <w:rPr>
                <w:sz w:val="22"/>
                <w:szCs w:val="22"/>
              </w:rPr>
              <w:t>j</w:t>
            </w:r>
            <w:r w:rsidRPr="004459D9">
              <w:rPr>
                <w:sz w:val="22"/>
                <w:szCs w:val="22"/>
              </w:rPr>
              <w:t xml:space="preserve">elje tokom prvog </w:t>
            </w:r>
            <w:r w:rsidR="0071118F" w:rsidRPr="004459D9">
              <w:rPr>
                <w:sz w:val="22"/>
                <w:szCs w:val="22"/>
              </w:rPr>
              <w:t>mjesec</w:t>
            </w:r>
            <w:r w:rsidRPr="004459D9">
              <w:rPr>
                <w:sz w:val="22"/>
                <w:szCs w:val="22"/>
              </w:rPr>
              <w:t xml:space="preserve">a i nadalje jednom </w:t>
            </w:r>
            <w:r w:rsidR="00B00CF2" w:rsidRPr="004459D9">
              <w:rPr>
                <w:sz w:val="22"/>
                <w:szCs w:val="22"/>
              </w:rPr>
              <w:t>mjeseč</w:t>
            </w:r>
            <w:r w:rsidRPr="004459D9">
              <w:rPr>
                <w:sz w:val="22"/>
                <w:szCs w:val="22"/>
              </w:rPr>
              <w:t xml:space="preserve">no. Terapija </w:t>
            </w:r>
            <w:r w:rsidR="00344FF6" w:rsidRPr="004459D9">
              <w:rPr>
                <w:sz w:val="22"/>
                <w:szCs w:val="22"/>
              </w:rPr>
              <w:t>lijek</w:t>
            </w:r>
            <w:r w:rsidRPr="004459D9">
              <w:rPr>
                <w:sz w:val="22"/>
                <w:szCs w:val="22"/>
              </w:rPr>
              <w:t xml:space="preserve">om Exjade se mora obustaviti ukoliko postoji uporan i progresivan rast </w:t>
            </w:r>
            <w:r w:rsidR="0071118F" w:rsidRPr="004459D9">
              <w:rPr>
                <w:sz w:val="22"/>
                <w:szCs w:val="22"/>
              </w:rPr>
              <w:t>vrijednost</w:t>
            </w:r>
            <w:r w:rsidRPr="004459D9">
              <w:rPr>
                <w:sz w:val="22"/>
                <w:szCs w:val="22"/>
              </w:rPr>
              <w:t xml:space="preserve">i serumskih transaminaza koji se ne može pripisati drugim uzrocima. Kada se definitivno utvrdi uzrok poremećaja </w:t>
            </w:r>
            <w:r w:rsidR="0071118F" w:rsidRPr="004459D9">
              <w:rPr>
                <w:sz w:val="22"/>
                <w:szCs w:val="22"/>
              </w:rPr>
              <w:t>vrijednost</w:t>
            </w:r>
            <w:r w:rsidRPr="004459D9">
              <w:rPr>
                <w:sz w:val="22"/>
                <w:szCs w:val="22"/>
              </w:rPr>
              <w:t xml:space="preserve">i testova funkcije jetre ili kada se iste vrate na normalni nivo, uz oprez se može razmotriti ponovno započinjanje terapije nižim dozama </w:t>
            </w:r>
            <w:r w:rsidR="00344FF6" w:rsidRPr="004459D9">
              <w:rPr>
                <w:sz w:val="22"/>
                <w:szCs w:val="22"/>
              </w:rPr>
              <w:t>lijek</w:t>
            </w:r>
            <w:r w:rsidRPr="004459D9">
              <w:rPr>
                <w:sz w:val="22"/>
                <w:szCs w:val="22"/>
              </w:rPr>
              <w:t>a koje se mogu postepeno povećavati.</w:t>
            </w:r>
          </w:p>
          <w:p w14:paraId="0AF3367A" w14:textId="77777777" w:rsidR="0058338A" w:rsidRPr="004459D9" w:rsidRDefault="0058338A" w:rsidP="00531B03">
            <w:pPr>
              <w:jc w:val="both"/>
              <w:rPr>
                <w:sz w:val="22"/>
                <w:szCs w:val="22"/>
              </w:rPr>
            </w:pPr>
          </w:p>
          <w:p w14:paraId="2F7DA45D" w14:textId="77777777" w:rsidR="0058338A" w:rsidRPr="004459D9" w:rsidRDefault="00344FF6" w:rsidP="00531B03">
            <w:pPr>
              <w:jc w:val="both"/>
              <w:rPr>
                <w:sz w:val="22"/>
                <w:szCs w:val="22"/>
              </w:rPr>
            </w:pPr>
            <w:r w:rsidRPr="004459D9">
              <w:rPr>
                <w:sz w:val="22"/>
                <w:szCs w:val="22"/>
              </w:rPr>
              <w:t>Lijek</w:t>
            </w:r>
            <w:r w:rsidR="0058338A" w:rsidRPr="004459D9">
              <w:rPr>
                <w:sz w:val="22"/>
                <w:szCs w:val="22"/>
              </w:rPr>
              <w:t xml:space="preserve"> Exjade se ne preporučuje kod pacijenata sa teškim oštećenjem funkcije jetre (</w:t>
            </w:r>
            <w:r w:rsidR="0058338A" w:rsidRPr="00531B03">
              <w:rPr>
                <w:i/>
                <w:sz w:val="22"/>
                <w:szCs w:val="22"/>
              </w:rPr>
              <w:t>Child-Pugh</w:t>
            </w:r>
            <w:r w:rsidR="0058338A" w:rsidRPr="004459D9">
              <w:rPr>
                <w:sz w:val="22"/>
                <w:szCs w:val="22"/>
              </w:rPr>
              <w:t xml:space="preserve"> klasa C) (</w:t>
            </w:r>
            <w:r w:rsidR="009E320F" w:rsidRPr="004459D9">
              <w:rPr>
                <w:sz w:val="22"/>
                <w:szCs w:val="22"/>
              </w:rPr>
              <w:t xml:space="preserve">vidjeti </w:t>
            </w:r>
            <w:r w:rsidR="00FF372D" w:rsidRPr="004459D9">
              <w:rPr>
                <w:sz w:val="22"/>
                <w:szCs w:val="22"/>
              </w:rPr>
              <w:t xml:space="preserve">dio </w:t>
            </w:r>
            <w:r w:rsidR="0058338A" w:rsidRPr="004459D9">
              <w:rPr>
                <w:sz w:val="22"/>
                <w:szCs w:val="22"/>
              </w:rPr>
              <w:t>5.2).</w:t>
            </w:r>
          </w:p>
          <w:p w14:paraId="0217468D" w14:textId="77777777" w:rsidR="0058338A" w:rsidRPr="004459D9" w:rsidRDefault="0058338A" w:rsidP="00531B03">
            <w:pPr>
              <w:jc w:val="both"/>
              <w:rPr>
                <w:sz w:val="22"/>
                <w:szCs w:val="22"/>
              </w:rPr>
            </w:pPr>
          </w:p>
          <w:p w14:paraId="51FA3CA1" w14:textId="77777777" w:rsidR="0058338A" w:rsidRPr="004459D9" w:rsidRDefault="0058338A" w:rsidP="00531B03">
            <w:pPr>
              <w:jc w:val="both"/>
              <w:rPr>
                <w:sz w:val="22"/>
                <w:szCs w:val="22"/>
                <w:lang w:val="sr-Latn-CS"/>
              </w:rPr>
            </w:pPr>
            <w:r w:rsidRPr="004459D9">
              <w:rPr>
                <w:sz w:val="22"/>
                <w:szCs w:val="22"/>
                <w:u w:val="single"/>
                <w:lang w:val="sr-Latn-CS"/>
              </w:rPr>
              <w:t xml:space="preserve">Tabela 4 </w:t>
            </w:r>
            <w:r w:rsidRPr="004459D9">
              <w:rPr>
                <w:sz w:val="22"/>
                <w:szCs w:val="22"/>
                <w:lang w:val="sr-Latn-CS"/>
              </w:rPr>
              <w:t xml:space="preserve">        Sažetak preporuka za praćenje bezb</w:t>
            </w:r>
            <w:r w:rsidR="000F5050" w:rsidRPr="004459D9">
              <w:rPr>
                <w:sz w:val="22"/>
                <w:szCs w:val="22"/>
                <w:lang w:val="sr-Latn-CS"/>
              </w:rPr>
              <w:t>j</w:t>
            </w:r>
            <w:r w:rsidRPr="004459D9">
              <w:rPr>
                <w:sz w:val="22"/>
                <w:szCs w:val="22"/>
                <w:lang w:val="sr-Latn-CS"/>
              </w:rPr>
              <w:t xml:space="preserve">ednosti </w:t>
            </w:r>
            <w:r w:rsidR="00344FF6" w:rsidRPr="004459D9">
              <w:rPr>
                <w:sz w:val="22"/>
                <w:szCs w:val="22"/>
                <w:lang w:val="sr-Latn-CS"/>
              </w:rPr>
              <w:t>lijek</w:t>
            </w:r>
            <w:r w:rsidRPr="004459D9">
              <w:rPr>
                <w:sz w:val="22"/>
                <w:szCs w:val="22"/>
                <w:lang w:val="sr-Latn-CS"/>
              </w:rPr>
              <w:t>a:</w:t>
            </w:r>
          </w:p>
          <w:p w14:paraId="07F4C92E" w14:textId="77777777" w:rsidR="004459D9" w:rsidRPr="00531B03" w:rsidRDefault="004459D9" w:rsidP="00D21251">
            <w:pPr>
              <w:rPr>
                <w:sz w:val="20"/>
                <w:szCs w:val="20"/>
                <w:lang w:val="sr-Latn-CS"/>
              </w:rPr>
            </w:pPr>
          </w:p>
          <w:tbl>
            <w:tblPr>
              <w:tblStyle w:val="TableGrid"/>
              <w:tblW w:w="0" w:type="auto"/>
              <w:tblLook w:val="04A0" w:firstRow="1" w:lastRow="0" w:firstColumn="1" w:lastColumn="0" w:noHBand="0" w:noVBand="1"/>
            </w:tblPr>
            <w:tblGrid>
              <w:gridCol w:w="4177"/>
              <w:gridCol w:w="4672"/>
            </w:tblGrid>
            <w:tr w:rsidR="0058338A" w:rsidRPr="004459D9" w14:paraId="5BE79F61" w14:textId="77777777" w:rsidTr="00D21251">
              <w:tc>
                <w:tcPr>
                  <w:tcW w:w="4422" w:type="dxa"/>
                </w:tcPr>
                <w:p w14:paraId="54D6A846" w14:textId="77777777" w:rsidR="0058338A" w:rsidRPr="00531B03" w:rsidRDefault="0058338A" w:rsidP="00D21251">
                  <w:pPr>
                    <w:rPr>
                      <w:b/>
                      <w:sz w:val="20"/>
                      <w:szCs w:val="20"/>
                    </w:rPr>
                  </w:pPr>
                  <w:r w:rsidRPr="00531B03">
                    <w:rPr>
                      <w:b/>
                      <w:sz w:val="20"/>
                      <w:szCs w:val="20"/>
                    </w:rPr>
                    <w:t>Test</w:t>
                  </w:r>
                </w:p>
              </w:tc>
              <w:tc>
                <w:tcPr>
                  <w:tcW w:w="4981" w:type="dxa"/>
                </w:tcPr>
                <w:p w14:paraId="4A0278F8" w14:textId="77777777" w:rsidR="0058338A" w:rsidRPr="00531B03" w:rsidRDefault="0058338A" w:rsidP="00D21251">
                  <w:pPr>
                    <w:rPr>
                      <w:b/>
                      <w:sz w:val="20"/>
                      <w:szCs w:val="20"/>
                    </w:rPr>
                  </w:pPr>
                  <w:r w:rsidRPr="00531B03">
                    <w:rPr>
                      <w:b/>
                      <w:sz w:val="20"/>
                      <w:szCs w:val="20"/>
                    </w:rPr>
                    <w:t>Učestalost</w:t>
                  </w:r>
                </w:p>
              </w:tc>
            </w:tr>
            <w:tr w:rsidR="0058338A" w:rsidRPr="004459D9" w14:paraId="371CDAF7" w14:textId="77777777" w:rsidTr="00D21251">
              <w:tc>
                <w:tcPr>
                  <w:tcW w:w="4422" w:type="dxa"/>
                </w:tcPr>
                <w:p w14:paraId="5FDA2B8C" w14:textId="77777777" w:rsidR="0058338A" w:rsidRPr="00531B03" w:rsidRDefault="0058338A" w:rsidP="00D21251">
                  <w:pPr>
                    <w:rPr>
                      <w:sz w:val="20"/>
                      <w:szCs w:val="20"/>
                    </w:rPr>
                  </w:pPr>
                  <w:r w:rsidRPr="00531B03">
                    <w:rPr>
                      <w:sz w:val="20"/>
                      <w:szCs w:val="20"/>
                    </w:rPr>
                    <w:t>Serumski kreatinin</w:t>
                  </w:r>
                </w:p>
              </w:tc>
              <w:tc>
                <w:tcPr>
                  <w:tcW w:w="4981" w:type="dxa"/>
                </w:tcPr>
                <w:p w14:paraId="4FC5757F" w14:textId="77777777" w:rsidR="0058338A" w:rsidRPr="00531B03" w:rsidRDefault="0058338A" w:rsidP="00474536">
                  <w:pPr>
                    <w:rPr>
                      <w:sz w:val="20"/>
                      <w:szCs w:val="20"/>
                    </w:rPr>
                  </w:pPr>
                  <w:r w:rsidRPr="00531B03">
                    <w:rPr>
                      <w:sz w:val="20"/>
                      <w:szCs w:val="20"/>
                    </w:rPr>
                    <w:t>Dva puta pr</w:t>
                  </w:r>
                  <w:r w:rsidR="006C19D8" w:rsidRPr="00531B03">
                    <w:rPr>
                      <w:sz w:val="20"/>
                      <w:szCs w:val="20"/>
                    </w:rPr>
                    <w:t>ij</w:t>
                  </w:r>
                  <w:r w:rsidRPr="00531B03">
                    <w:rPr>
                      <w:sz w:val="20"/>
                      <w:szCs w:val="20"/>
                    </w:rPr>
                    <w:t>e terapije.</w:t>
                  </w:r>
                </w:p>
                <w:p w14:paraId="65396898" w14:textId="77777777" w:rsidR="0058338A" w:rsidRPr="00531B03" w:rsidRDefault="0058338A" w:rsidP="004459D9">
                  <w:pPr>
                    <w:rPr>
                      <w:sz w:val="20"/>
                      <w:szCs w:val="20"/>
                    </w:rPr>
                  </w:pPr>
                  <w:r w:rsidRPr="00531B03">
                    <w:rPr>
                      <w:sz w:val="20"/>
                      <w:szCs w:val="20"/>
                    </w:rPr>
                    <w:t>Ned</w:t>
                  </w:r>
                  <w:r w:rsidR="00B00CF2" w:rsidRPr="00531B03">
                    <w:rPr>
                      <w:sz w:val="20"/>
                      <w:szCs w:val="20"/>
                    </w:rPr>
                    <w:t>j</w:t>
                  </w:r>
                  <w:r w:rsidRPr="00531B03">
                    <w:rPr>
                      <w:sz w:val="20"/>
                      <w:szCs w:val="20"/>
                    </w:rPr>
                    <w:t xml:space="preserve">eljno tokom prvog </w:t>
                  </w:r>
                  <w:r w:rsidR="0071118F" w:rsidRPr="00531B03">
                    <w:rPr>
                      <w:sz w:val="20"/>
                      <w:szCs w:val="20"/>
                    </w:rPr>
                    <w:t>mjesec</w:t>
                  </w:r>
                  <w:r w:rsidRPr="00531B03">
                    <w:rPr>
                      <w:sz w:val="20"/>
                      <w:szCs w:val="20"/>
                    </w:rPr>
                    <w:t xml:space="preserve">a terapije ili nakon korigovanja doze (uključujući i </w:t>
                  </w:r>
                  <w:r w:rsidR="003864AD" w:rsidRPr="00531B03">
                    <w:rPr>
                      <w:sz w:val="20"/>
                      <w:szCs w:val="20"/>
                    </w:rPr>
                    <w:t>zamjen</w:t>
                  </w:r>
                  <w:r w:rsidRPr="00531B03">
                    <w:rPr>
                      <w:sz w:val="20"/>
                      <w:szCs w:val="20"/>
                    </w:rPr>
                    <w:t>u formulacije).</w:t>
                  </w:r>
                </w:p>
                <w:p w14:paraId="666E78CA" w14:textId="77777777" w:rsidR="0058338A" w:rsidRPr="00531B03" w:rsidRDefault="0058338A" w:rsidP="004459D9">
                  <w:pPr>
                    <w:rPr>
                      <w:sz w:val="20"/>
                      <w:szCs w:val="20"/>
                    </w:rPr>
                  </w:pPr>
                  <w:r w:rsidRPr="00531B03">
                    <w:rPr>
                      <w:sz w:val="20"/>
                      <w:szCs w:val="20"/>
                    </w:rPr>
                    <w:t xml:space="preserve">Nakon toga </w:t>
                  </w:r>
                  <w:r w:rsidR="00B00CF2" w:rsidRPr="00531B03">
                    <w:rPr>
                      <w:sz w:val="20"/>
                      <w:szCs w:val="20"/>
                    </w:rPr>
                    <w:t>mjeseč</w:t>
                  </w:r>
                  <w:r w:rsidRPr="00531B03">
                    <w:rPr>
                      <w:sz w:val="20"/>
                      <w:szCs w:val="20"/>
                    </w:rPr>
                    <w:t>no.</w:t>
                  </w:r>
                </w:p>
              </w:tc>
            </w:tr>
            <w:tr w:rsidR="0058338A" w:rsidRPr="004459D9" w14:paraId="61C81B25" w14:textId="77777777" w:rsidTr="00D21251">
              <w:tc>
                <w:tcPr>
                  <w:tcW w:w="4422" w:type="dxa"/>
                </w:tcPr>
                <w:p w14:paraId="6908F9B0" w14:textId="77777777" w:rsidR="0058338A" w:rsidRPr="00531B03" w:rsidRDefault="0058338A" w:rsidP="00D21251">
                  <w:pPr>
                    <w:rPr>
                      <w:sz w:val="20"/>
                      <w:szCs w:val="20"/>
                    </w:rPr>
                  </w:pPr>
                  <w:r w:rsidRPr="00531B03">
                    <w:rPr>
                      <w:sz w:val="20"/>
                      <w:szCs w:val="20"/>
                    </w:rPr>
                    <w:t>Klirens kreatinina i/ili cistatin C u plazmi</w:t>
                  </w:r>
                </w:p>
              </w:tc>
              <w:tc>
                <w:tcPr>
                  <w:tcW w:w="4981" w:type="dxa"/>
                </w:tcPr>
                <w:p w14:paraId="185FCB7A" w14:textId="77777777" w:rsidR="0058338A" w:rsidRPr="00531B03" w:rsidRDefault="006C19D8" w:rsidP="00474536">
                  <w:pPr>
                    <w:rPr>
                      <w:sz w:val="20"/>
                      <w:szCs w:val="20"/>
                    </w:rPr>
                  </w:pPr>
                  <w:r w:rsidRPr="00531B03">
                    <w:rPr>
                      <w:sz w:val="20"/>
                      <w:szCs w:val="20"/>
                    </w:rPr>
                    <w:t>Prije</w:t>
                  </w:r>
                  <w:r w:rsidR="00022A1D" w:rsidRPr="00531B03">
                    <w:rPr>
                      <w:sz w:val="20"/>
                      <w:szCs w:val="20"/>
                    </w:rPr>
                    <w:t xml:space="preserve"> </w:t>
                  </w:r>
                  <w:r w:rsidR="0058338A" w:rsidRPr="00531B03">
                    <w:rPr>
                      <w:sz w:val="20"/>
                      <w:szCs w:val="20"/>
                    </w:rPr>
                    <w:t>terapije.</w:t>
                  </w:r>
                </w:p>
                <w:p w14:paraId="2E0DC86F" w14:textId="77777777" w:rsidR="0058338A" w:rsidRPr="00531B03" w:rsidRDefault="0058338A" w:rsidP="004459D9">
                  <w:pPr>
                    <w:rPr>
                      <w:sz w:val="20"/>
                      <w:szCs w:val="20"/>
                    </w:rPr>
                  </w:pPr>
                  <w:r w:rsidRPr="00531B03">
                    <w:rPr>
                      <w:sz w:val="20"/>
                      <w:szCs w:val="20"/>
                    </w:rPr>
                    <w:t>Ned</w:t>
                  </w:r>
                  <w:r w:rsidR="00B00CF2" w:rsidRPr="00531B03">
                    <w:rPr>
                      <w:sz w:val="20"/>
                      <w:szCs w:val="20"/>
                    </w:rPr>
                    <w:t>j</w:t>
                  </w:r>
                  <w:r w:rsidRPr="00531B03">
                    <w:rPr>
                      <w:sz w:val="20"/>
                      <w:szCs w:val="20"/>
                    </w:rPr>
                    <w:t xml:space="preserve">eljno tokom prvog </w:t>
                  </w:r>
                  <w:r w:rsidR="0071118F" w:rsidRPr="00531B03">
                    <w:rPr>
                      <w:sz w:val="20"/>
                      <w:szCs w:val="20"/>
                    </w:rPr>
                    <w:t>mjesec</w:t>
                  </w:r>
                  <w:r w:rsidRPr="00531B03">
                    <w:rPr>
                      <w:sz w:val="20"/>
                      <w:szCs w:val="20"/>
                    </w:rPr>
                    <w:t xml:space="preserve">a terapije ili nakon korigovanja doze (uključujući i </w:t>
                  </w:r>
                  <w:r w:rsidR="003864AD" w:rsidRPr="00531B03">
                    <w:rPr>
                      <w:sz w:val="20"/>
                      <w:szCs w:val="20"/>
                    </w:rPr>
                    <w:t>zamjen</w:t>
                  </w:r>
                  <w:r w:rsidRPr="00531B03">
                    <w:rPr>
                      <w:sz w:val="20"/>
                      <w:szCs w:val="20"/>
                    </w:rPr>
                    <w:t>u formulacije).</w:t>
                  </w:r>
                </w:p>
                <w:p w14:paraId="61CF1E3E" w14:textId="77777777" w:rsidR="0058338A" w:rsidRPr="00531B03" w:rsidRDefault="0058338A" w:rsidP="004459D9">
                  <w:pPr>
                    <w:rPr>
                      <w:sz w:val="20"/>
                      <w:szCs w:val="20"/>
                    </w:rPr>
                  </w:pPr>
                  <w:r w:rsidRPr="00531B03">
                    <w:rPr>
                      <w:sz w:val="20"/>
                      <w:szCs w:val="20"/>
                    </w:rPr>
                    <w:t xml:space="preserve">Nakon toga </w:t>
                  </w:r>
                  <w:r w:rsidR="00B00CF2" w:rsidRPr="00531B03">
                    <w:rPr>
                      <w:sz w:val="20"/>
                      <w:szCs w:val="20"/>
                    </w:rPr>
                    <w:t>mjeseč</w:t>
                  </w:r>
                  <w:r w:rsidRPr="00531B03">
                    <w:rPr>
                      <w:sz w:val="20"/>
                      <w:szCs w:val="20"/>
                    </w:rPr>
                    <w:t>no.</w:t>
                  </w:r>
                </w:p>
              </w:tc>
            </w:tr>
            <w:tr w:rsidR="0058338A" w:rsidRPr="004459D9" w14:paraId="6FACA247" w14:textId="77777777" w:rsidTr="00D21251">
              <w:tc>
                <w:tcPr>
                  <w:tcW w:w="4422" w:type="dxa"/>
                </w:tcPr>
                <w:p w14:paraId="54C6467D" w14:textId="77777777" w:rsidR="0058338A" w:rsidRPr="00531B03" w:rsidRDefault="0058338A" w:rsidP="00D21251">
                  <w:pPr>
                    <w:rPr>
                      <w:sz w:val="20"/>
                      <w:szCs w:val="20"/>
                    </w:rPr>
                  </w:pPr>
                  <w:r w:rsidRPr="00531B03">
                    <w:rPr>
                      <w:sz w:val="20"/>
                      <w:szCs w:val="20"/>
                    </w:rPr>
                    <w:t>Proteinurija</w:t>
                  </w:r>
                </w:p>
              </w:tc>
              <w:tc>
                <w:tcPr>
                  <w:tcW w:w="4981" w:type="dxa"/>
                </w:tcPr>
                <w:p w14:paraId="558B0067" w14:textId="77777777" w:rsidR="0058338A" w:rsidRPr="00531B03" w:rsidRDefault="006C19D8" w:rsidP="00D21251">
                  <w:pPr>
                    <w:rPr>
                      <w:sz w:val="20"/>
                      <w:szCs w:val="20"/>
                    </w:rPr>
                  </w:pPr>
                  <w:r w:rsidRPr="00531B03">
                    <w:rPr>
                      <w:sz w:val="20"/>
                      <w:szCs w:val="20"/>
                    </w:rPr>
                    <w:t>Prije</w:t>
                  </w:r>
                  <w:r w:rsidR="00022A1D" w:rsidRPr="00531B03">
                    <w:rPr>
                      <w:sz w:val="20"/>
                      <w:szCs w:val="20"/>
                    </w:rPr>
                    <w:t xml:space="preserve"> </w:t>
                  </w:r>
                  <w:r w:rsidR="0058338A" w:rsidRPr="00531B03">
                    <w:rPr>
                      <w:sz w:val="20"/>
                      <w:szCs w:val="20"/>
                    </w:rPr>
                    <w:t>terapije.</w:t>
                  </w:r>
                </w:p>
                <w:p w14:paraId="509B44D6" w14:textId="77777777" w:rsidR="0058338A" w:rsidRPr="00531B03" w:rsidRDefault="0058338A" w:rsidP="00D21251">
                  <w:pPr>
                    <w:rPr>
                      <w:sz w:val="20"/>
                      <w:szCs w:val="20"/>
                    </w:rPr>
                  </w:pPr>
                  <w:r w:rsidRPr="00531B03">
                    <w:rPr>
                      <w:sz w:val="20"/>
                      <w:szCs w:val="20"/>
                    </w:rPr>
                    <w:t xml:space="preserve">Nakon toga </w:t>
                  </w:r>
                  <w:r w:rsidR="00B00CF2" w:rsidRPr="00531B03">
                    <w:rPr>
                      <w:sz w:val="20"/>
                      <w:szCs w:val="20"/>
                    </w:rPr>
                    <w:t>mjeseč</w:t>
                  </w:r>
                  <w:r w:rsidRPr="00531B03">
                    <w:rPr>
                      <w:sz w:val="20"/>
                      <w:szCs w:val="20"/>
                    </w:rPr>
                    <w:t>no.</w:t>
                  </w:r>
                </w:p>
              </w:tc>
            </w:tr>
            <w:tr w:rsidR="0058338A" w:rsidRPr="004459D9" w14:paraId="5BC8C88D" w14:textId="77777777" w:rsidTr="00D21251">
              <w:tc>
                <w:tcPr>
                  <w:tcW w:w="4422" w:type="dxa"/>
                </w:tcPr>
                <w:p w14:paraId="4CDA6425" w14:textId="77777777" w:rsidR="0058338A" w:rsidRPr="00531B03" w:rsidRDefault="0058338A" w:rsidP="00531B03">
                  <w:pPr>
                    <w:jc w:val="both"/>
                    <w:rPr>
                      <w:sz w:val="20"/>
                      <w:szCs w:val="20"/>
                    </w:rPr>
                  </w:pPr>
                  <w:r w:rsidRPr="00531B03">
                    <w:rPr>
                      <w:sz w:val="20"/>
                      <w:szCs w:val="20"/>
                    </w:rPr>
                    <w:t>Ostali markeri tubularne funkcije bubrega (poput glikozurije kod pacijenata koji nisu dijabetičari i niske koncentracije serumskog kalijuma, fosfata, magnezijuma ili urata, fosfaturije, aminoacidurije)</w:t>
                  </w:r>
                </w:p>
              </w:tc>
              <w:tc>
                <w:tcPr>
                  <w:tcW w:w="4981" w:type="dxa"/>
                </w:tcPr>
                <w:p w14:paraId="7140BE13" w14:textId="77777777" w:rsidR="0058338A" w:rsidRPr="00531B03" w:rsidRDefault="0058338A" w:rsidP="00D21251">
                  <w:pPr>
                    <w:rPr>
                      <w:sz w:val="20"/>
                      <w:szCs w:val="20"/>
                    </w:rPr>
                  </w:pPr>
                  <w:r w:rsidRPr="00531B03">
                    <w:rPr>
                      <w:sz w:val="20"/>
                      <w:szCs w:val="20"/>
                    </w:rPr>
                    <w:t>Po potrebi.</w:t>
                  </w:r>
                </w:p>
              </w:tc>
            </w:tr>
            <w:tr w:rsidR="0058338A" w:rsidRPr="004459D9" w14:paraId="468958E6" w14:textId="77777777" w:rsidTr="00D21251">
              <w:tc>
                <w:tcPr>
                  <w:tcW w:w="4422" w:type="dxa"/>
                </w:tcPr>
                <w:p w14:paraId="40C2A78F" w14:textId="77777777" w:rsidR="0058338A" w:rsidRPr="00531B03" w:rsidRDefault="0058338A" w:rsidP="00D21251">
                  <w:pPr>
                    <w:rPr>
                      <w:sz w:val="20"/>
                      <w:szCs w:val="20"/>
                    </w:rPr>
                  </w:pPr>
                  <w:r w:rsidRPr="00531B03">
                    <w:rPr>
                      <w:sz w:val="20"/>
                      <w:szCs w:val="20"/>
                    </w:rPr>
                    <w:t>Serumske transaminaze, bilirubin, alkalna fosfataza</w:t>
                  </w:r>
                </w:p>
              </w:tc>
              <w:tc>
                <w:tcPr>
                  <w:tcW w:w="4981" w:type="dxa"/>
                </w:tcPr>
                <w:p w14:paraId="06A2E6BB" w14:textId="77777777" w:rsidR="0058338A" w:rsidRPr="00531B03" w:rsidRDefault="006C19D8" w:rsidP="00D21251">
                  <w:pPr>
                    <w:rPr>
                      <w:sz w:val="20"/>
                      <w:szCs w:val="20"/>
                    </w:rPr>
                  </w:pPr>
                  <w:r w:rsidRPr="00531B03">
                    <w:rPr>
                      <w:sz w:val="20"/>
                      <w:szCs w:val="20"/>
                    </w:rPr>
                    <w:t>Prije</w:t>
                  </w:r>
                  <w:r w:rsidR="00022A1D" w:rsidRPr="00531B03">
                    <w:rPr>
                      <w:sz w:val="20"/>
                      <w:szCs w:val="20"/>
                    </w:rPr>
                    <w:t xml:space="preserve"> </w:t>
                  </w:r>
                  <w:r w:rsidR="0058338A" w:rsidRPr="00531B03">
                    <w:rPr>
                      <w:sz w:val="20"/>
                      <w:szCs w:val="20"/>
                    </w:rPr>
                    <w:t>terapije.</w:t>
                  </w:r>
                </w:p>
                <w:p w14:paraId="327A35E1" w14:textId="77777777" w:rsidR="0058338A" w:rsidRPr="00531B03" w:rsidRDefault="0058338A" w:rsidP="00D21251">
                  <w:pPr>
                    <w:rPr>
                      <w:sz w:val="20"/>
                      <w:szCs w:val="20"/>
                    </w:rPr>
                  </w:pPr>
                  <w:r w:rsidRPr="00531B03">
                    <w:rPr>
                      <w:sz w:val="20"/>
                      <w:szCs w:val="20"/>
                    </w:rPr>
                    <w:t>Svake 2 ned</w:t>
                  </w:r>
                  <w:r w:rsidR="00B00CF2" w:rsidRPr="00531B03">
                    <w:rPr>
                      <w:sz w:val="20"/>
                      <w:szCs w:val="20"/>
                    </w:rPr>
                    <w:t>j</w:t>
                  </w:r>
                  <w:r w:rsidRPr="00531B03">
                    <w:rPr>
                      <w:sz w:val="20"/>
                      <w:szCs w:val="20"/>
                    </w:rPr>
                    <w:t xml:space="preserve">elje tokom prvog </w:t>
                  </w:r>
                  <w:r w:rsidR="0071118F" w:rsidRPr="00531B03">
                    <w:rPr>
                      <w:sz w:val="20"/>
                      <w:szCs w:val="20"/>
                    </w:rPr>
                    <w:t>mjesec</w:t>
                  </w:r>
                  <w:r w:rsidRPr="00531B03">
                    <w:rPr>
                      <w:sz w:val="20"/>
                      <w:szCs w:val="20"/>
                    </w:rPr>
                    <w:t>a terapije.</w:t>
                  </w:r>
                </w:p>
                <w:p w14:paraId="1571B715" w14:textId="77777777" w:rsidR="0058338A" w:rsidRPr="00531B03" w:rsidRDefault="0058338A" w:rsidP="00D21251">
                  <w:pPr>
                    <w:rPr>
                      <w:sz w:val="20"/>
                      <w:szCs w:val="20"/>
                    </w:rPr>
                  </w:pPr>
                  <w:r w:rsidRPr="00531B03">
                    <w:rPr>
                      <w:sz w:val="20"/>
                      <w:szCs w:val="20"/>
                    </w:rPr>
                    <w:t xml:space="preserve">Nakon toga </w:t>
                  </w:r>
                  <w:r w:rsidR="00B00CF2" w:rsidRPr="00531B03">
                    <w:rPr>
                      <w:sz w:val="20"/>
                      <w:szCs w:val="20"/>
                    </w:rPr>
                    <w:t>mjeseč</w:t>
                  </w:r>
                  <w:r w:rsidRPr="00531B03">
                    <w:rPr>
                      <w:sz w:val="20"/>
                      <w:szCs w:val="20"/>
                    </w:rPr>
                    <w:t>no.</w:t>
                  </w:r>
                </w:p>
              </w:tc>
            </w:tr>
            <w:tr w:rsidR="0058338A" w:rsidRPr="004459D9" w14:paraId="385EAD5B" w14:textId="77777777" w:rsidTr="00D21251">
              <w:tc>
                <w:tcPr>
                  <w:tcW w:w="4422" w:type="dxa"/>
                </w:tcPr>
                <w:p w14:paraId="1E245935" w14:textId="77777777" w:rsidR="0058338A" w:rsidRPr="00531B03" w:rsidRDefault="0058338A" w:rsidP="00D21251">
                  <w:pPr>
                    <w:rPr>
                      <w:sz w:val="20"/>
                      <w:szCs w:val="20"/>
                    </w:rPr>
                  </w:pPr>
                  <w:r w:rsidRPr="00531B03">
                    <w:rPr>
                      <w:sz w:val="20"/>
                      <w:szCs w:val="20"/>
                    </w:rPr>
                    <w:t>Ispitivanje sluha i vida</w:t>
                  </w:r>
                </w:p>
              </w:tc>
              <w:tc>
                <w:tcPr>
                  <w:tcW w:w="4981" w:type="dxa"/>
                </w:tcPr>
                <w:p w14:paraId="737EFE13" w14:textId="77777777" w:rsidR="0058338A" w:rsidRPr="00531B03" w:rsidRDefault="006C19D8" w:rsidP="00D21251">
                  <w:pPr>
                    <w:rPr>
                      <w:sz w:val="20"/>
                      <w:szCs w:val="20"/>
                    </w:rPr>
                  </w:pPr>
                  <w:r w:rsidRPr="00531B03">
                    <w:rPr>
                      <w:sz w:val="20"/>
                      <w:szCs w:val="20"/>
                    </w:rPr>
                    <w:t>Prije</w:t>
                  </w:r>
                  <w:r w:rsidR="00022A1D" w:rsidRPr="00531B03">
                    <w:rPr>
                      <w:sz w:val="20"/>
                      <w:szCs w:val="20"/>
                    </w:rPr>
                    <w:t xml:space="preserve"> </w:t>
                  </w:r>
                  <w:r w:rsidR="0058338A" w:rsidRPr="00531B03">
                    <w:rPr>
                      <w:sz w:val="20"/>
                      <w:szCs w:val="20"/>
                    </w:rPr>
                    <w:t>terapije.</w:t>
                  </w:r>
                </w:p>
                <w:p w14:paraId="69E6051A" w14:textId="77777777" w:rsidR="0058338A" w:rsidRPr="00531B03" w:rsidRDefault="0058338A" w:rsidP="00D21251">
                  <w:pPr>
                    <w:rPr>
                      <w:sz w:val="20"/>
                      <w:szCs w:val="20"/>
                    </w:rPr>
                  </w:pPr>
                  <w:r w:rsidRPr="00531B03">
                    <w:rPr>
                      <w:sz w:val="20"/>
                      <w:szCs w:val="20"/>
                    </w:rPr>
                    <w:t>Nakon toga godišnje.</w:t>
                  </w:r>
                </w:p>
              </w:tc>
            </w:tr>
            <w:tr w:rsidR="0058338A" w:rsidRPr="004459D9" w14:paraId="42FBE477" w14:textId="77777777" w:rsidTr="00D21251">
              <w:tc>
                <w:tcPr>
                  <w:tcW w:w="4422" w:type="dxa"/>
                </w:tcPr>
                <w:p w14:paraId="232D6004" w14:textId="77777777" w:rsidR="0058338A" w:rsidRPr="00531B03" w:rsidRDefault="0058338A" w:rsidP="00D21251">
                  <w:pPr>
                    <w:rPr>
                      <w:sz w:val="20"/>
                      <w:szCs w:val="20"/>
                    </w:rPr>
                  </w:pPr>
                  <w:r w:rsidRPr="00531B03">
                    <w:rPr>
                      <w:sz w:val="20"/>
                      <w:szCs w:val="20"/>
                    </w:rPr>
                    <w:t>T</w:t>
                  </w:r>
                  <w:r w:rsidR="007916C3" w:rsidRPr="00531B03">
                    <w:rPr>
                      <w:sz w:val="20"/>
                      <w:szCs w:val="20"/>
                    </w:rPr>
                    <w:t>j</w:t>
                  </w:r>
                  <w:r w:rsidRPr="00531B03">
                    <w:rPr>
                      <w:sz w:val="20"/>
                      <w:szCs w:val="20"/>
                    </w:rPr>
                    <w:t>elesna masa, visina i polni razvoj</w:t>
                  </w:r>
                </w:p>
              </w:tc>
              <w:tc>
                <w:tcPr>
                  <w:tcW w:w="4981" w:type="dxa"/>
                </w:tcPr>
                <w:p w14:paraId="1EC938C5" w14:textId="77777777" w:rsidR="0058338A" w:rsidRPr="00531B03" w:rsidRDefault="006C19D8" w:rsidP="00D21251">
                  <w:pPr>
                    <w:rPr>
                      <w:sz w:val="20"/>
                      <w:szCs w:val="20"/>
                    </w:rPr>
                  </w:pPr>
                  <w:r w:rsidRPr="00531B03">
                    <w:rPr>
                      <w:sz w:val="20"/>
                      <w:szCs w:val="20"/>
                    </w:rPr>
                    <w:t>Prije</w:t>
                  </w:r>
                  <w:r w:rsidR="00022A1D" w:rsidRPr="00531B03">
                    <w:rPr>
                      <w:sz w:val="20"/>
                      <w:szCs w:val="20"/>
                    </w:rPr>
                    <w:t xml:space="preserve"> </w:t>
                  </w:r>
                  <w:r w:rsidR="0058338A" w:rsidRPr="00531B03">
                    <w:rPr>
                      <w:sz w:val="20"/>
                      <w:szCs w:val="20"/>
                    </w:rPr>
                    <w:t>terapije.</w:t>
                  </w:r>
                </w:p>
                <w:p w14:paraId="2893A3B3" w14:textId="77777777" w:rsidR="0058338A" w:rsidRPr="00531B03" w:rsidRDefault="0058338A" w:rsidP="00D21251">
                  <w:pPr>
                    <w:rPr>
                      <w:sz w:val="20"/>
                      <w:szCs w:val="20"/>
                    </w:rPr>
                  </w:pPr>
                  <w:r w:rsidRPr="00531B03">
                    <w:rPr>
                      <w:sz w:val="20"/>
                      <w:szCs w:val="20"/>
                    </w:rPr>
                    <w:t>Godišnje kod pedijatrijskih pacijenata.</w:t>
                  </w:r>
                </w:p>
              </w:tc>
            </w:tr>
          </w:tbl>
          <w:p w14:paraId="54788C49" w14:textId="77777777" w:rsidR="0058338A" w:rsidRPr="00531B03" w:rsidRDefault="0058338A" w:rsidP="00D21251">
            <w:pPr>
              <w:rPr>
                <w:sz w:val="20"/>
                <w:szCs w:val="20"/>
              </w:rPr>
            </w:pPr>
          </w:p>
        </w:tc>
      </w:tr>
    </w:tbl>
    <w:p w14:paraId="417AA08F" w14:textId="77777777" w:rsidR="0058338A" w:rsidRPr="00786071" w:rsidRDefault="0058338A" w:rsidP="00480FB1">
      <w:pPr>
        <w:tabs>
          <w:tab w:val="left" w:pos="540"/>
          <w:tab w:val="left" w:pos="569"/>
        </w:tabs>
        <w:rPr>
          <w:bCs/>
          <w:sz w:val="22"/>
          <w:szCs w:val="22"/>
        </w:rPr>
      </w:pPr>
    </w:p>
    <w:p w14:paraId="186E63E5" w14:textId="77777777" w:rsidR="0058338A" w:rsidRPr="00D21251" w:rsidRDefault="0058338A" w:rsidP="00531B03">
      <w:pPr>
        <w:jc w:val="both"/>
        <w:rPr>
          <w:sz w:val="22"/>
          <w:szCs w:val="22"/>
          <w:lang w:val="sr-Latn-CS"/>
        </w:rPr>
      </w:pPr>
      <w:r w:rsidRPr="00D21251">
        <w:rPr>
          <w:sz w:val="22"/>
          <w:szCs w:val="22"/>
          <w:lang w:val="sr-Latn-CS"/>
        </w:rPr>
        <w:t xml:space="preserve">Kod pacijenata sa kratkim očekivanim vremenom preživljavanja (npr. visokorizični mijelodisplastični sindrom), naročito kada komorbiditeti mogu da povećaju rizik od neželjenih događaja, korist od </w:t>
      </w:r>
      <w:r w:rsidR="00344FF6">
        <w:rPr>
          <w:sz w:val="22"/>
          <w:szCs w:val="22"/>
          <w:lang w:val="sr-Latn-CS"/>
        </w:rPr>
        <w:t>lijek</w:t>
      </w:r>
      <w:r w:rsidRPr="00D21251">
        <w:rPr>
          <w:sz w:val="22"/>
          <w:szCs w:val="22"/>
          <w:lang w:val="sr-Latn-CS"/>
        </w:rPr>
        <w:t>a Exjade može biti ograničena i inferiorna u odnosu na rizik</w:t>
      </w:r>
      <w:r w:rsidR="00F14EE9">
        <w:rPr>
          <w:sz w:val="22"/>
          <w:szCs w:val="22"/>
          <w:lang w:val="sr-Latn-CS"/>
        </w:rPr>
        <w:t>e</w:t>
      </w:r>
      <w:r w:rsidRPr="00D21251">
        <w:rPr>
          <w:sz w:val="22"/>
          <w:szCs w:val="22"/>
          <w:lang w:val="sr-Latn-CS"/>
        </w:rPr>
        <w:t xml:space="preserve">. Kao </w:t>
      </w:r>
      <w:r w:rsidR="000F5050">
        <w:rPr>
          <w:sz w:val="22"/>
          <w:szCs w:val="22"/>
          <w:lang w:val="sr-Latn-CS"/>
        </w:rPr>
        <w:t>posljed</w:t>
      </w:r>
      <w:r w:rsidRPr="00D21251">
        <w:rPr>
          <w:sz w:val="22"/>
          <w:szCs w:val="22"/>
          <w:lang w:val="sr-Latn-CS"/>
        </w:rPr>
        <w:t xml:space="preserve">ica toga, ne preporučuje se terapija </w:t>
      </w:r>
      <w:r w:rsidR="00344FF6">
        <w:rPr>
          <w:sz w:val="22"/>
          <w:szCs w:val="22"/>
          <w:lang w:val="sr-Latn-CS"/>
        </w:rPr>
        <w:t>lijek</w:t>
      </w:r>
      <w:r w:rsidRPr="00D21251">
        <w:rPr>
          <w:sz w:val="22"/>
          <w:szCs w:val="22"/>
          <w:lang w:val="sr-Latn-CS"/>
        </w:rPr>
        <w:t>om Exjade kod ovih pacijenata.</w:t>
      </w:r>
    </w:p>
    <w:p w14:paraId="5DFB08C7" w14:textId="77777777" w:rsidR="0058338A" w:rsidRPr="00D21251" w:rsidRDefault="0058338A" w:rsidP="00531B03">
      <w:pPr>
        <w:jc w:val="both"/>
        <w:rPr>
          <w:sz w:val="22"/>
          <w:szCs w:val="22"/>
          <w:lang w:val="sr-Latn-CS"/>
        </w:rPr>
      </w:pPr>
    </w:p>
    <w:p w14:paraId="028CAA2A" w14:textId="77777777" w:rsidR="0058338A" w:rsidRDefault="0058338A" w:rsidP="00531B03">
      <w:pPr>
        <w:jc w:val="both"/>
        <w:rPr>
          <w:sz w:val="22"/>
          <w:szCs w:val="22"/>
          <w:lang w:val="sr-Latn-CS"/>
        </w:rPr>
      </w:pPr>
      <w:r w:rsidRPr="00D21251">
        <w:rPr>
          <w:sz w:val="22"/>
          <w:szCs w:val="22"/>
          <w:lang w:val="sr-Latn-CS"/>
        </w:rPr>
        <w:t>Neophodan je oprez prilikom prim</w:t>
      </w:r>
      <w:r w:rsidR="00344FF6">
        <w:rPr>
          <w:sz w:val="22"/>
          <w:szCs w:val="22"/>
          <w:lang w:val="sr-Latn-CS"/>
        </w:rPr>
        <w:t>j</w:t>
      </w:r>
      <w:r w:rsidRPr="00D21251">
        <w:rPr>
          <w:sz w:val="22"/>
          <w:szCs w:val="22"/>
          <w:lang w:val="sr-Latn-CS"/>
        </w:rPr>
        <w:t xml:space="preserve">ene </w:t>
      </w:r>
      <w:r w:rsidR="00344FF6">
        <w:rPr>
          <w:sz w:val="22"/>
          <w:szCs w:val="22"/>
          <w:lang w:val="sr-Latn-CS"/>
        </w:rPr>
        <w:t>lijek</w:t>
      </w:r>
      <w:r w:rsidRPr="00D21251">
        <w:rPr>
          <w:sz w:val="22"/>
          <w:szCs w:val="22"/>
          <w:lang w:val="sr-Latn-CS"/>
        </w:rPr>
        <w:t>a kod starijih pacijenata</w:t>
      </w:r>
      <w:r w:rsidR="00F14EE9">
        <w:rPr>
          <w:sz w:val="22"/>
          <w:szCs w:val="22"/>
          <w:lang w:val="sr-Latn-CS"/>
        </w:rPr>
        <w:t>,</w:t>
      </w:r>
      <w:r w:rsidRPr="00D21251">
        <w:rPr>
          <w:sz w:val="22"/>
          <w:szCs w:val="22"/>
          <w:lang w:val="sr-Latn-CS"/>
        </w:rPr>
        <w:t xml:space="preserve"> zbog češće pojave neželjenih reakcija (posebno dijareje).</w:t>
      </w:r>
    </w:p>
    <w:p w14:paraId="09018FD4" w14:textId="77777777" w:rsidR="00A01E2A" w:rsidRPr="00D21251" w:rsidRDefault="00A01E2A" w:rsidP="00531B03">
      <w:pPr>
        <w:jc w:val="both"/>
        <w:rPr>
          <w:sz w:val="22"/>
          <w:szCs w:val="22"/>
          <w:lang w:val="sr-Latn-CS"/>
        </w:rPr>
      </w:pPr>
    </w:p>
    <w:p w14:paraId="6968C800" w14:textId="32E0D34C" w:rsidR="0058338A" w:rsidRPr="00D21251" w:rsidRDefault="0058338A" w:rsidP="00531B03">
      <w:pPr>
        <w:jc w:val="both"/>
        <w:rPr>
          <w:sz w:val="22"/>
          <w:szCs w:val="22"/>
          <w:lang w:val="sr-Latn-CS"/>
        </w:rPr>
      </w:pPr>
      <w:r w:rsidRPr="00D21251">
        <w:rPr>
          <w:sz w:val="22"/>
          <w:szCs w:val="22"/>
          <w:lang w:val="sr-Latn-CS"/>
        </w:rPr>
        <w:t>Podaci o upotrebi kod d</w:t>
      </w:r>
      <w:r w:rsidR="00022A1D">
        <w:rPr>
          <w:sz w:val="22"/>
          <w:szCs w:val="22"/>
          <w:lang w:val="sr-Latn-CS"/>
        </w:rPr>
        <w:t>j</w:t>
      </w:r>
      <w:r w:rsidRPr="00D21251">
        <w:rPr>
          <w:sz w:val="22"/>
          <w:szCs w:val="22"/>
          <w:lang w:val="sr-Latn-CS"/>
        </w:rPr>
        <w:t>ece sa talasemijom koja ne zavisi od transfuzije krvi su veoma ograničeni (</w:t>
      </w:r>
      <w:r w:rsidR="009E320F">
        <w:rPr>
          <w:sz w:val="22"/>
          <w:szCs w:val="22"/>
          <w:lang w:val="sr-Latn-CS"/>
        </w:rPr>
        <w:t xml:space="preserve">vidjeti </w:t>
      </w:r>
      <w:r w:rsidR="009A6F0A">
        <w:rPr>
          <w:sz w:val="22"/>
          <w:szCs w:val="22"/>
          <w:lang w:val="sr-Latn-CS"/>
        </w:rPr>
        <w:t>dio</w:t>
      </w:r>
      <w:r w:rsidR="009A6F0A" w:rsidRPr="00D21251">
        <w:rPr>
          <w:sz w:val="22"/>
          <w:szCs w:val="22"/>
          <w:lang w:val="sr-Latn-CS"/>
        </w:rPr>
        <w:t xml:space="preserve"> </w:t>
      </w:r>
      <w:r w:rsidRPr="00D21251">
        <w:rPr>
          <w:sz w:val="22"/>
          <w:szCs w:val="22"/>
          <w:lang w:val="sr-Latn-CS"/>
        </w:rPr>
        <w:t xml:space="preserve">5.1). Zato je potrebno pažljivo pratiti terapiju </w:t>
      </w:r>
      <w:r w:rsidR="00344FF6">
        <w:rPr>
          <w:sz w:val="22"/>
          <w:szCs w:val="22"/>
          <w:lang w:val="sr-Latn-CS"/>
        </w:rPr>
        <w:t>lijek</w:t>
      </w:r>
      <w:r w:rsidRPr="00D21251">
        <w:rPr>
          <w:sz w:val="22"/>
          <w:szCs w:val="22"/>
          <w:lang w:val="sr-Latn-CS"/>
        </w:rPr>
        <w:t>om Exjade u pedijatrijskoj populaciji</w:t>
      </w:r>
      <w:r w:rsidR="00F14EE9">
        <w:rPr>
          <w:sz w:val="22"/>
          <w:szCs w:val="22"/>
          <w:lang w:val="sr-Latn-CS"/>
        </w:rPr>
        <w:t>,</w:t>
      </w:r>
      <w:r w:rsidRPr="00D21251">
        <w:rPr>
          <w:sz w:val="22"/>
          <w:szCs w:val="22"/>
          <w:lang w:val="sr-Latn-CS"/>
        </w:rPr>
        <w:t xml:space="preserve"> </w:t>
      </w:r>
      <w:r w:rsidRPr="00D21251">
        <w:rPr>
          <w:sz w:val="22"/>
          <w:szCs w:val="22"/>
          <w:lang w:val="sr-Latn-CS"/>
        </w:rPr>
        <w:lastRenderedPageBreak/>
        <w:t>kako bi se otkrile neželjene reakcije i pratilo preopterećenje gvožđem. Osim toga, pr</w:t>
      </w:r>
      <w:r w:rsidR="006C19D8">
        <w:rPr>
          <w:sz w:val="22"/>
          <w:szCs w:val="22"/>
          <w:lang w:val="sr-Latn-CS"/>
        </w:rPr>
        <w:t>ij</w:t>
      </w:r>
      <w:r w:rsidRPr="00D21251">
        <w:rPr>
          <w:sz w:val="22"/>
          <w:szCs w:val="22"/>
          <w:lang w:val="sr-Latn-CS"/>
        </w:rPr>
        <w:t>e prim</w:t>
      </w:r>
      <w:r w:rsidR="00344FF6">
        <w:rPr>
          <w:sz w:val="22"/>
          <w:szCs w:val="22"/>
          <w:lang w:val="sr-Latn-CS"/>
        </w:rPr>
        <w:t>j</w:t>
      </w:r>
      <w:r w:rsidRPr="00D21251">
        <w:rPr>
          <w:sz w:val="22"/>
          <w:szCs w:val="22"/>
          <w:lang w:val="sr-Latn-CS"/>
        </w:rPr>
        <w:t xml:space="preserve">ene </w:t>
      </w:r>
      <w:r w:rsidR="00344FF6">
        <w:rPr>
          <w:sz w:val="22"/>
          <w:szCs w:val="22"/>
          <w:lang w:val="sr-Latn-CS"/>
        </w:rPr>
        <w:t>lijek</w:t>
      </w:r>
      <w:r w:rsidRPr="00D21251">
        <w:rPr>
          <w:sz w:val="22"/>
          <w:szCs w:val="22"/>
          <w:lang w:val="sr-Latn-CS"/>
        </w:rPr>
        <w:t>a Exjade u terapiji d</w:t>
      </w:r>
      <w:r w:rsidR="00022A1D">
        <w:rPr>
          <w:sz w:val="22"/>
          <w:szCs w:val="22"/>
          <w:lang w:val="sr-Latn-CS"/>
        </w:rPr>
        <w:t>j</w:t>
      </w:r>
      <w:r w:rsidRPr="00D21251">
        <w:rPr>
          <w:sz w:val="22"/>
          <w:szCs w:val="22"/>
          <w:lang w:val="sr-Latn-CS"/>
        </w:rPr>
        <w:t>ece sa talasemijom koja ne zavisi od transfuzije krvi</w:t>
      </w:r>
      <w:r w:rsidR="00022A1D">
        <w:rPr>
          <w:sz w:val="22"/>
          <w:szCs w:val="22"/>
          <w:lang w:val="sr-Latn-CS"/>
        </w:rPr>
        <w:t>,</w:t>
      </w:r>
      <w:r w:rsidRPr="00D21251">
        <w:rPr>
          <w:sz w:val="22"/>
          <w:szCs w:val="22"/>
          <w:lang w:val="sr-Latn-CS"/>
        </w:rPr>
        <w:t xml:space="preserve"> kod kojih je došlo do teškog preopterećenja gvožđem, </w:t>
      </w:r>
      <w:r w:rsidR="00344FF6">
        <w:rPr>
          <w:sz w:val="22"/>
          <w:szCs w:val="22"/>
          <w:lang w:val="sr-Latn-CS"/>
        </w:rPr>
        <w:t>ljekar</w:t>
      </w:r>
      <w:r w:rsidRPr="00D21251">
        <w:rPr>
          <w:sz w:val="22"/>
          <w:szCs w:val="22"/>
          <w:lang w:val="sr-Latn-CS"/>
        </w:rPr>
        <w:t xml:space="preserve"> mora biti upoznat sa tim da trenutno ni</w:t>
      </w:r>
      <w:r w:rsidR="00567A98">
        <w:rPr>
          <w:sz w:val="22"/>
          <w:szCs w:val="22"/>
          <w:lang w:val="sr-Latn-CS"/>
        </w:rPr>
        <w:t>je</w:t>
      </w:r>
      <w:r w:rsidRPr="00D21251">
        <w:rPr>
          <w:sz w:val="22"/>
          <w:szCs w:val="22"/>
          <w:lang w:val="sr-Latn-CS"/>
        </w:rPr>
        <w:t xml:space="preserve">su poznate </w:t>
      </w:r>
      <w:r w:rsidR="000F5050">
        <w:rPr>
          <w:sz w:val="22"/>
          <w:szCs w:val="22"/>
          <w:lang w:val="sr-Latn-CS"/>
        </w:rPr>
        <w:t>posljed</w:t>
      </w:r>
      <w:r w:rsidRPr="00D21251">
        <w:rPr>
          <w:sz w:val="22"/>
          <w:szCs w:val="22"/>
          <w:lang w:val="sr-Latn-CS"/>
        </w:rPr>
        <w:t xml:space="preserve">ice dugotrajne izloženosti kod ovih pacijenata. </w:t>
      </w:r>
    </w:p>
    <w:p w14:paraId="73CD916C" w14:textId="77777777" w:rsidR="0058338A" w:rsidRPr="001B39EC" w:rsidRDefault="0058338A" w:rsidP="00531B03">
      <w:pPr>
        <w:jc w:val="both"/>
        <w:rPr>
          <w:szCs w:val="22"/>
          <w:lang w:val="sr-Latn-CS"/>
        </w:rPr>
      </w:pPr>
    </w:p>
    <w:p w14:paraId="3050E2E2" w14:textId="77777777" w:rsidR="0058338A" w:rsidRPr="00D21251" w:rsidRDefault="0058338A" w:rsidP="00531B03">
      <w:pPr>
        <w:jc w:val="both"/>
        <w:rPr>
          <w:sz w:val="22"/>
          <w:szCs w:val="22"/>
          <w:u w:val="single"/>
          <w:lang w:val="sr-Latn-CS"/>
        </w:rPr>
      </w:pPr>
      <w:r w:rsidRPr="00D21251">
        <w:rPr>
          <w:sz w:val="22"/>
          <w:szCs w:val="22"/>
          <w:u w:val="single"/>
          <w:lang w:val="sr-Latn-CS"/>
        </w:rPr>
        <w:t>Gastrointestinalni poremećaji</w:t>
      </w:r>
    </w:p>
    <w:p w14:paraId="2A1CBB50" w14:textId="77777777" w:rsidR="0058338A" w:rsidRPr="00D21251" w:rsidRDefault="0058338A" w:rsidP="00531B03">
      <w:pPr>
        <w:jc w:val="both"/>
        <w:rPr>
          <w:sz w:val="22"/>
          <w:szCs w:val="22"/>
          <w:lang w:val="sr-Latn-CS"/>
        </w:rPr>
      </w:pPr>
      <w:r w:rsidRPr="00D21251">
        <w:rPr>
          <w:sz w:val="22"/>
          <w:szCs w:val="22"/>
          <w:lang w:val="sr-Latn-CS"/>
        </w:rPr>
        <w:t>Kod pacijenata koji su primali deferasiroks, uključujući d</w:t>
      </w:r>
      <w:r w:rsidR="00022A1D">
        <w:rPr>
          <w:sz w:val="22"/>
          <w:szCs w:val="22"/>
          <w:lang w:val="sr-Latn-CS"/>
        </w:rPr>
        <w:t>j</w:t>
      </w:r>
      <w:r w:rsidRPr="00D21251">
        <w:rPr>
          <w:sz w:val="22"/>
          <w:szCs w:val="22"/>
          <w:lang w:val="sr-Latn-CS"/>
        </w:rPr>
        <w:t>ecu i adolescente, prijavljene su ulceracije i hemoragije u gornjem d</w:t>
      </w:r>
      <w:r w:rsidR="000F5050">
        <w:rPr>
          <w:sz w:val="22"/>
          <w:szCs w:val="22"/>
          <w:lang w:val="sr-Latn-CS"/>
        </w:rPr>
        <w:t>ij</w:t>
      </w:r>
      <w:r w:rsidRPr="00D21251">
        <w:rPr>
          <w:sz w:val="22"/>
          <w:szCs w:val="22"/>
          <w:lang w:val="sr-Latn-CS"/>
        </w:rPr>
        <w:t xml:space="preserve">elu gastrointestinalnog trakta. Kod nekih pacijenata </w:t>
      </w:r>
      <w:r w:rsidR="00F90136">
        <w:rPr>
          <w:sz w:val="22"/>
          <w:szCs w:val="22"/>
          <w:lang w:val="sr-Latn-CS"/>
        </w:rPr>
        <w:t>zabilježen</w:t>
      </w:r>
      <w:r w:rsidRPr="00D21251">
        <w:rPr>
          <w:sz w:val="22"/>
          <w:szCs w:val="22"/>
          <w:lang w:val="sr-Latn-CS"/>
        </w:rPr>
        <w:t>e su multiple ulceracije (</w:t>
      </w:r>
      <w:r w:rsidR="009E320F">
        <w:rPr>
          <w:sz w:val="22"/>
          <w:szCs w:val="22"/>
          <w:lang w:val="sr-Latn-CS"/>
        </w:rPr>
        <w:t xml:space="preserve">vidjeti </w:t>
      </w:r>
      <w:r w:rsidR="009A6F0A">
        <w:rPr>
          <w:sz w:val="22"/>
          <w:szCs w:val="22"/>
          <w:lang w:val="sr-Latn-CS"/>
        </w:rPr>
        <w:t>dio</w:t>
      </w:r>
      <w:r w:rsidR="009A6F0A" w:rsidRPr="00D21251">
        <w:rPr>
          <w:sz w:val="22"/>
          <w:szCs w:val="22"/>
          <w:lang w:val="sr-Latn-CS"/>
        </w:rPr>
        <w:t xml:space="preserve"> </w:t>
      </w:r>
      <w:r w:rsidRPr="00D21251">
        <w:rPr>
          <w:sz w:val="22"/>
          <w:szCs w:val="22"/>
          <w:lang w:val="sr-Latn-CS"/>
        </w:rPr>
        <w:t xml:space="preserve">4.8). Prijavljeni su slučajevi ulceracija sa perforacijom digestivnog trakta kao komplikacijom. Takođe su prijavljeni slučajevi gastrointestinalnih hemoragija sa smrtnim ishodom, posebno kod starijih pacijenata koji su imali uznapredovalo hematološko maligno oboljenje i/ili nizak broj trombocita. </w:t>
      </w:r>
      <w:r w:rsidR="00344FF6">
        <w:rPr>
          <w:sz w:val="22"/>
          <w:szCs w:val="22"/>
          <w:lang w:val="sr-Latn-CS"/>
        </w:rPr>
        <w:t>Ljekar</w:t>
      </w:r>
      <w:r w:rsidRPr="00D21251">
        <w:rPr>
          <w:sz w:val="22"/>
          <w:szCs w:val="22"/>
          <w:lang w:val="sr-Latn-CS"/>
        </w:rPr>
        <w:t xml:space="preserve">i i pacijenti treba da </w:t>
      </w:r>
      <w:r w:rsidR="00C427FF">
        <w:rPr>
          <w:sz w:val="22"/>
          <w:szCs w:val="22"/>
          <w:lang w:val="sr-Latn-CS"/>
        </w:rPr>
        <w:t>paze</w:t>
      </w:r>
      <w:r w:rsidRPr="00D21251">
        <w:rPr>
          <w:sz w:val="22"/>
          <w:szCs w:val="22"/>
          <w:lang w:val="sr-Latn-CS"/>
        </w:rPr>
        <w:t xml:space="preserve"> </w:t>
      </w:r>
      <w:r w:rsidR="00C427FF">
        <w:rPr>
          <w:sz w:val="22"/>
          <w:szCs w:val="22"/>
          <w:lang w:val="sr-Latn-CS"/>
        </w:rPr>
        <w:t>n</w:t>
      </w:r>
      <w:r w:rsidR="00C427FF" w:rsidRPr="00D21251">
        <w:rPr>
          <w:sz w:val="22"/>
          <w:szCs w:val="22"/>
          <w:lang w:val="sr-Latn-CS"/>
        </w:rPr>
        <w:t xml:space="preserve">a </w:t>
      </w:r>
      <w:r w:rsidRPr="00D21251">
        <w:rPr>
          <w:sz w:val="22"/>
          <w:szCs w:val="22"/>
          <w:lang w:val="sr-Latn-CS"/>
        </w:rPr>
        <w:t xml:space="preserve">znake i simptome </w:t>
      </w:r>
      <w:r w:rsidR="001F13D3">
        <w:rPr>
          <w:sz w:val="22"/>
          <w:szCs w:val="22"/>
          <w:lang w:val="sr-Latn-CS"/>
        </w:rPr>
        <w:t xml:space="preserve">koji ukazuju na </w:t>
      </w:r>
      <w:r w:rsidRPr="00D21251">
        <w:rPr>
          <w:sz w:val="22"/>
          <w:szCs w:val="22"/>
          <w:lang w:val="sr-Latn-CS"/>
        </w:rPr>
        <w:t>gastrointestinaln</w:t>
      </w:r>
      <w:r w:rsidR="001F13D3">
        <w:rPr>
          <w:sz w:val="22"/>
          <w:szCs w:val="22"/>
          <w:lang w:val="sr-Latn-CS"/>
        </w:rPr>
        <w:t>e</w:t>
      </w:r>
      <w:r w:rsidRPr="00D21251">
        <w:rPr>
          <w:sz w:val="22"/>
          <w:szCs w:val="22"/>
          <w:lang w:val="sr-Latn-CS"/>
        </w:rPr>
        <w:t xml:space="preserve"> ulceracij</w:t>
      </w:r>
      <w:r w:rsidR="001F13D3">
        <w:rPr>
          <w:sz w:val="22"/>
          <w:szCs w:val="22"/>
          <w:lang w:val="sr-Latn-CS"/>
        </w:rPr>
        <w:t>e</w:t>
      </w:r>
      <w:r w:rsidRPr="00D21251">
        <w:rPr>
          <w:sz w:val="22"/>
          <w:szCs w:val="22"/>
          <w:lang w:val="sr-Latn-CS"/>
        </w:rPr>
        <w:t xml:space="preserve"> i hemoragij</w:t>
      </w:r>
      <w:r w:rsidR="001F13D3">
        <w:rPr>
          <w:sz w:val="22"/>
          <w:szCs w:val="22"/>
          <w:lang w:val="sr-Latn-CS"/>
        </w:rPr>
        <w:t>u</w:t>
      </w:r>
      <w:r w:rsidRPr="00D21251">
        <w:rPr>
          <w:sz w:val="22"/>
          <w:szCs w:val="22"/>
          <w:lang w:val="sr-Latn-CS"/>
        </w:rPr>
        <w:t xml:space="preserve"> tokom terapije </w:t>
      </w:r>
      <w:r w:rsidR="00344FF6">
        <w:rPr>
          <w:sz w:val="22"/>
          <w:szCs w:val="22"/>
          <w:lang w:val="sr-Latn-CS"/>
        </w:rPr>
        <w:t>lijek</w:t>
      </w:r>
      <w:r w:rsidRPr="00D21251">
        <w:rPr>
          <w:sz w:val="22"/>
          <w:szCs w:val="22"/>
          <w:lang w:val="sr-Latn-CS"/>
        </w:rPr>
        <w:t>om Exjade</w:t>
      </w:r>
      <w:r w:rsidR="000252E8">
        <w:rPr>
          <w:sz w:val="22"/>
          <w:szCs w:val="22"/>
          <w:lang w:val="sr-Latn-CS"/>
        </w:rPr>
        <w:t>.</w:t>
      </w:r>
      <w:r w:rsidRPr="00D21251">
        <w:rPr>
          <w:sz w:val="22"/>
          <w:szCs w:val="22"/>
          <w:lang w:val="sr-Latn-CS"/>
        </w:rPr>
        <w:t xml:space="preserve"> </w:t>
      </w:r>
      <w:r w:rsidR="000252E8" w:rsidRPr="000252E8">
        <w:rPr>
          <w:sz w:val="22"/>
          <w:szCs w:val="22"/>
          <w:lang w:val="sr-Latn-CS"/>
        </w:rPr>
        <w:t>U slučaju gastrointestinalnih ulceracija ili hemoragije, prim</w:t>
      </w:r>
      <w:r w:rsidR="000252E8">
        <w:rPr>
          <w:sz w:val="22"/>
          <w:szCs w:val="22"/>
          <w:lang w:val="sr-Latn-CS"/>
        </w:rPr>
        <w:t>j</w:t>
      </w:r>
      <w:r w:rsidR="000252E8" w:rsidRPr="000252E8">
        <w:rPr>
          <w:sz w:val="22"/>
          <w:szCs w:val="22"/>
          <w:lang w:val="sr-Latn-CS"/>
        </w:rPr>
        <w:t>enu l</w:t>
      </w:r>
      <w:r w:rsidR="000252E8">
        <w:rPr>
          <w:sz w:val="22"/>
          <w:szCs w:val="22"/>
          <w:lang w:val="sr-Latn-CS"/>
        </w:rPr>
        <w:t>ij</w:t>
      </w:r>
      <w:r w:rsidR="000252E8" w:rsidRPr="000252E8">
        <w:rPr>
          <w:sz w:val="22"/>
          <w:szCs w:val="22"/>
          <w:lang w:val="sr-Latn-CS"/>
        </w:rPr>
        <w:t xml:space="preserve">eka Exjade treba odmah prekinuti i </w:t>
      </w:r>
      <w:r w:rsidRPr="00D21251">
        <w:rPr>
          <w:sz w:val="22"/>
          <w:szCs w:val="22"/>
          <w:lang w:val="sr-Latn-CS"/>
        </w:rPr>
        <w:t>započe</w:t>
      </w:r>
      <w:r w:rsidR="000252E8">
        <w:rPr>
          <w:sz w:val="22"/>
          <w:szCs w:val="22"/>
          <w:lang w:val="sr-Latn-CS"/>
        </w:rPr>
        <w:t>ti</w:t>
      </w:r>
      <w:r w:rsidRPr="00D21251">
        <w:rPr>
          <w:sz w:val="22"/>
          <w:szCs w:val="22"/>
          <w:lang w:val="sr-Latn-CS"/>
        </w:rPr>
        <w:t xml:space="preserve"> </w:t>
      </w:r>
      <w:r w:rsidR="000252E8" w:rsidRPr="00D21251">
        <w:rPr>
          <w:sz w:val="22"/>
          <w:szCs w:val="22"/>
          <w:lang w:val="sr-Latn-CS"/>
        </w:rPr>
        <w:t>dodatn</w:t>
      </w:r>
      <w:r w:rsidR="000252E8">
        <w:rPr>
          <w:sz w:val="22"/>
          <w:szCs w:val="22"/>
          <w:lang w:val="sr-Latn-CS"/>
        </w:rPr>
        <w:t>u</w:t>
      </w:r>
      <w:r w:rsidR="000252E8" w:rsidRPr="00D21251">
        <w:rPr>
          <w:sz w:val="22"/>
          <w:szCs w:val="22"/>
          <w:lang w:val="sr-Latn-CS"/>
        </w:rPr>
        <w:t xml:space="preserve"> </w:t>
      </w:r>
      <w:r w:rsidR="000252E8">
        <w:rPr>
          <w:sz w:val="22"/>
          <w:szCs w:val="22"/>
          <w:lang w:val="sr-Latn-CS"/>
        </w:rPr>
        <w:t>procjenu</w:t>
      </w:r>
      <w:r w:rsidR="000252E8" w:rsidRPr="00D21251">
        <w:rPr>
          <w:sz w:val="22"/>
          <w:szCs w:val="22"/>
          <w:lang w:val="sr-Latn-CS"/>
        </w:rPr>
        <w:t xml:space="preserve"> </w:t>
      </w:r>
      <w:r w:rsidRPr="00D21251">
        <w:rPr>
          <w:sz w:val="22"/>
          <w:szCs w:val="22"/>
          <w:lang w:val="sr-Latn-CS"/>
        </w:rPr>
        <w:t xml:space="preserve">i </w:t>
      </w:r>
      <w:r w:rsidR="000252E8" w:rsidRPr="00D21251">
        <w:rPr>
          <w:sz w:val="22"/>
          <w:szCs w:val="22"/>
          <w:lang w:val="sr-Latn-CS"/>
        </w:rPr>
        <w:t>terapij</w:t>
      </w:r>
      <w:r w:rsidR="000252E8">
        <w:rPr>
          <w:sz w:val="22"/>
          <w:szCs w:val="22"/>
          <w:lang w:val="sr-Latn-CS"/>
        </w:rPr>
        <w:t>u</w:t>
      </w:r>
      <w:r w:rsidRPr="00D21251">
        <w:rPr>
          <w:sz w:val="22"/>
          <w:szCs w:val="22"/>
          <w:lang w:val="sr-Latn-CS"/>
        </w:rPr>
        <w:t xml:space="preserve">. Treba biti oprezan kod pacijenata koji uzimaju </w:t>
      </w:r>
      <w:r w:rsidR="00344FF6">
        <w:rPr>
          <w:sz w:val="22"/>
          <w:szCs w:val="22"/>
          <w:lang w:val="sr-Latn-CS"/>
        </w:rPr>
        <w:t>lijek</w:t>
      </w:r>
      <w:r w:rsidRPr="00D21251">
        <w:rPr>
          <w:sz w:val="22"/>
          <w:szCs w:val="22"/>
          <w:lang w:val="sr-Latn-CS"/>
        </w:rPr>
        <w:t xml:space="preserve"> Exjade u kombinaciji sa </w:t>
      </w:r>
      <w:r w:rsidR="00344FF6">
        <w:rPr>
          <w:sz w:val="22"/>
          <w:szCs w:val="22"/>
          <w:lang w:val="sr-Latn-CS"/>
        </w:rPr>
        <w:t>ljekovima</w:t>
      </w:r>
      <w:r w:rsidRPr="00D21251">
        <w:rPr>
          <w:sz w:val="22"/>
          <w:szCs w:val="22"/>
          <w:lang w:val="sr-Latn-CS"/>
        </w:rPr>
        <w:t xml:space="preserve"> koji imaju ulcerogeni potencijal, kao što su NSAIL, kortikosteroidi ili oralni bi</w:t>
      </w:r>
      <w:r w:rsidR="00495593">
        <w:rPr>
          <w:sz w:val="22"/>
          <w:szCs w:val="22"/>
          <w:lang w:val="sr-Latn-CS"/>
        </w:rPr>
        <w:t>s</w:t>
      </w:r>
      <w:r w:rsidRPr="00D21251">
        <w:rPr>
          <w:sz w:val="22"/>
          <w:szCs w:val="22"/>
          <w:lang w:val="sr-Latn-CS"/>
        </w:rPr>
        <w:t>fosfonati, kod pacijenata koji primaju antikoagulantnu terapiju i kod pacijenata sa brojem trombocita ispod 50000/mm</w:t>
      </w:r>
      <w:r w:rsidRPr="00D21251">
        <w:rPr>
          <w:sz w:val="22"/>
          <w:szCs w:val="22"/>
          <w:vertAlign w:val="superscript"/>
          <w:lang w:val="sr-Latn-CS"/>
        </w:rPr>
        <w:t>3</w:t>
      </w:r>
      <w:r w:rsidRPr="00D21251">
        <w:rPr>
          <w:sz w:val="22"/>
          <w:szCs w:val="22"/>
          <w:lang w:val="sr-Latn-CS"/>
        </w:rPr>
        <w:t xml:space="preserve"> (50 x 10</w:t>
      </w:r>
      <w:r w:rsidRPr="00D21251">
        <w:rPr>
          <w:sz w:val="22"/>
          <w:szCs w:val="22"/>
          <w:vertAlign w:val="superscript"/>
          <w:lang w:val="sr-Latn-CS"/>
        </w:rPr>
        <w:t>9</w:t>
      </w:r>
      <w:r w:rsidRPr="00D21251">
        <w:rPr>
          <w:sz w:val="22"/>
          <w:szCs w:val="22"/>
          <w:lang w:val="sr-Latn-CS"/>
        </w:rPr>
        <w:t>/</w:t>
      </w:r>
      <w:r w:rsidR="00C427FF">
        <w:rPr>
          <w:sz w:val="22"/>
          <w:szCs w:val="22"/>
          <w:lang w:val="sr-Latn-CS"/>
        </w:rPr>
        <w:t>l</w:t>
      </w:r>
      <w:r w:rsidRPr="00D21251">
        <w:rPr>
          <w:sz w:val="22"/>
          <w:szCs w:val="22"/>
          <w:lang w:val="sr-Latn-CS"/>
        </w:rPr>
        <w:t>) (</w:t>
      </w:r>
      <w:r w:rsidR="009E320F">
        <w:rPr>
          <w:sz w:val="22"/>
          <w:szCs w:val="22"/>
          <w:lang w:val="sr-Latn-CS"/>
        </w:rPr>
        <w:t xml:space="preserve">vidjeti </w:t>
      </w:r>
      <w:r w:rsidR="001F13D3">
        <w:rPr>
          <w:sz w:val="22"/>
          <w:szCs w:val="22"/>
          <w:lang w:val="sr-Latn-CS"/>
        </w:rPr>
        <w:t>dio</w:t>
      </w:r>
      <w:r w:rsidR="001F13D3" w:rsidRPr="00D21251">
        <w:rPr>
          <w:sz w:val="22"/>
          <w:szCs w:val="22"/>
          <w:lang w:val="sr-Latn-CS"/>
        </w:rPr>
        <w:t xml:space="preserve"> </w:t>
      </w:r>
      <w:r w:rsidRPr="00D21251">
        <w:rPr>
          <w:sz w:val="22"/>
          <w:szCs w:val="22"/>
          <w:lang w:val="sr-Latn-CS"/>
        </w:rPr>
        <w:t>4.5).</w:t>
      </w:r>
    </w:p>
    <w:p w14:paraId="2B4AC348" w14:textId="77777777" w:rsidR="0058338A" w:rsidRPr="00D21251" w:rsidRDefault="0058338A" w:rsidP="00531B03">
      <w:pPr>
        <w:jc w:val="both"/>
        <w:rPr>
          <w:sz w:val="22"/>
          <w:szCs w:val="22"/>
          <w:lang w:val="sr-Latn-CS"/>
        </w:rPr>
      </w:pPr>
    </w:p>
    <w:p w14:paraId="6E32651D" w14:textId="77777777" w:rsidR="0058338A" w:rsidRPr="00D21251" w:rsidRDefault="0058338A" w:rsidP="00531B03">
      <w:pPr>
        <w:jc w:val="both"/>
        <w:rPr>
          <w:sz w:val="22"/>
          <w:szCs w:val="22"/>
          <w:u w:val="single"/>
          <w:lang w:val="sr-Latn-CS"/>
        </w:rPr>
      </w:pPr>
      <w:r w:rsidRPr="00D21251">
        <w:rPr>
          <w:sz w:val="22"/>
          <w:szCs w:val="22"/>
          <w:u w:val="single"/>
          <w:lang w:val="sr-Latn-CS"/>
        </w:rPr>
        <w:t>Poremećaji kože</w:t>
      </w:r>
    </w:p>
    <w:p w14:paraId="1E5E0013" w14:textId="77777777" w:rsidR="0058338A" w:rsidRPr="00D21251" w:rsidRDefault="0058338A" w:rsidP="00531B03">
      <w:pPr>
        <w:jc w:val="both"/>
        <w:rPr>
          <w:sz w:val="22"/>
          <w:szCs w:val="22"/>
          <w:lang w:val="sr-Latn-CS"/>
        </w:rPr>
      </w:pPr>
      <w:r w:rsidRPr="00D21251">
        <w:rPr>
          <w:sz w:val="22"/>
          <w:szCs w:val="22"/>
          <w:lang w:val="sr-Latn-CS"/>
        </w:rPr>
        <w:t xml:space="preserve">U toku terapije </w:t>
      </w:r>
      <w:r w:rsidR="00344FF6">
        <w:rPr>
          <w:sz w:val="22"/>
          <w:szCs w:val="22"/>
          <w:lang w:val="sr-Latn-CS"/>
        </w:rPr>
        <w:t>lijek</w:t>
      </w:r>
      <w:r w:rsidRPr="00D21251">
        <w:rPr>
          <w:sz w:val="22"/>
          <w:szCs w:val="22"/>
          <w:lang w:val="sr-Latn-CS"/>
        </w:rPr>
        <w:t xml:space="preserve">om Exjade </w:t>
      </w:r>
      <w:r w:rsidR="00C427FF">
        <w:rPr>
          <w:sz w:val="22"/>
          <w:szCs w:val="22"/>
          <w:lang w:val="sr-Latn-CS"/>
        </w:rPr>
        <w:t xml:space="preserve">se </w:t>
      </w:r>
      <w:r w:rsidRPr="00D21251">
        <w:rPr>
          <w:sz w:val="22"/>
          <w:szCs w:val="22"/>
          <w:lang w:val="sr-Latn-CS"/>
        </w:rPr>
        <w:t>može javiti osip po koži. Osip se u većini slučajeva spontano povlači. Ukoliko je neophodno da se terapija obustavi, terapija se može ponovo uvesti kada se osip povuče</w:t>
      </w:r>
      <w:r w:rsidR="001F13D3">
        <w:rPr>
          <w:sz w:val="22"/>
          <w:szCs w:val="22"/>
          <w:lang w:val="sr-Latn-CS"/>
        </w:rPr>
        <w:t>,</w:t>
      </w:r>
      <w:r w:rsidRPr="00D21251">
        <w:rPr>
          <w:sz w:val="22"/>
          <w:szCs w:val="22"/>
          <w:lang w:val="sr-Latn-CS"/>
        </w:rPr>
        <w:t xml:space="preserve"> ali sa nižim dozama koje bi se postepeno povećavale. U teškim slučajevima</w:t>
      </w:r>
      <w:r w:rsidR="00C427FF">
        <w:rPr>
          <w:sz w:val="22"/>
          <w:szCs w:val="22"/>
          <w:lang w:val="sr-Latn-CS"/>
        </w:rPr>
        <w:t>,</w:t>
      </w:r>
      <w:r w:rsidRPr="00D21251">
        <w:rPr>
          <w:sz w:val="22"/>
          <w:szCs w:val="22"/>
          <w:lang w:val="sr-Latn-CS"/>
        </w:rPr>
        <w:t xml:space="preserve"> </w:t>
      </w:r>
      <w:r w:rsidR="00344FF6">
        <w:rPr>
          <w:sz w:val="22"/>
          <w:szCs w:val="22"/>
          <w:lang w:val="sr-Latn-CS"/>
        </w:rPr>
        <w:t>lijek</w:t>
      </w:r>
      <w:r w:rsidRPr="00D21251">
        <w:rPr>
          <w:sz w:val="22"/>
          <w:szCs w:val="22"/>
          <w:lang w:val="sr-Latn-CS"/>
        </w:rPr>
        <w:t xml:space="preserve"> se ponovo može uvesti</w:t>
      </w:r>
      <w:r w:rsidR="00C427FF">
        <w:rPr>
          <w:sz w:val="22"/>
          <w:szCs w:val="22"/>
          <w:lang w:val="sr-Latn-CS"/>
        </w:rPr>
        <w:t>,</w:t>
      </w:r>
      <w:r w:rsidRPr="00D21251">
        <w:rPr>
          <w:sz w:val="22"/>
          <w:szCs w:val="22"/>
          <w:lang w:val="sr-Latn-CS"/>
        </w:rPr>
        <w:t xml:space="preserve"> u kombinaciji sa kratkotrajnom terapijom oralnim kortikosteroidima. Zab</w:t>
      </w:r>
      <w:r w:rsidR="00F90136">
        <w:rPr>
          <w:sz w:val="22"/>
          <w:szCs w:val="22"/>
          <w:lang w:val="sr-Latn-CS"/>
        </w:rPr>
        <w:t>i</w:t>
      </w:r>
      <w:r w:rsidRPr="00D21251">
        <w:rPr>
          <w:sz w:val="22"/>
          <w:szCs w:val="22"/>
          <w:lang w:val="sr-Latn-CS"/>
        </w:rPr>
        <w:t>l</w:t>
      </w:r>
      <w:r w:rsidR="00F90136">
        <w:rPr>
          <w:sz w:val="22"/>
          <w:szCs w:val="22"/>
          <w:lang w:val="sr-Latn-CS"/>
        </w:rPr>
        <w:t>j</w:t>
      </w:r>
      <w:r w:rsidRPr="00D21251">
        <w:rPr>
          <w:sz w:val="22"/>
          <w:szCs w:val="22"/>
          <w:lang w:val="sr-Latn-CS"/>
        </w:rPr>
        <w:t>ežene su teške neželjene reakcije kože</w:t>
      </w:r>
      <w:r w:rsidR="00C427FF">
        <w:rPr>
          <w:sz w:val="22"/>
          <w:szCs w:val="22"/>
          <w:lang w:val="sr-Latn-CS"/>
        </w:rPr>
        <w:t>,</w:t>
      </w:r>
      <w:r w:rsidRPr="00D21251">
        <w:rPr>
          <w:sz w:val="22"/>
          <w:szCs w:val="22"/>
          <w:lang w:val="sr-Latn-CS"/>
        </w:rPr>
        <w:t xml:space="preserve"> uključujući </w:t>
      </w:r>
      <w:r w:rsidRPr="00D21251">
        <w:rPr>
          <w:i/>
          <w:sz w:val="22"/>
          <w:szCs w:val="22"/>
          <w:lang w:val="sr-Latn-CS"/>
        </w:rPr>
        <w:t>Stevens-Johnson</w:t>
      </w:r>
      <w:r w:rsidRPr="00D21251">
        <w:rPr>
          <w:sz w:val="22"/>
          <w:szCs w:val="22"/>
          <w:lang w:val="sr-Latn-CS"/>
        </w:rPr>
        <w:t xml:space="preserve">-ov sindrom (SJS), toksičnu epidermalnu nekrolizu (TEN) i reakcije na </w:t>
      </w:r>
      <w:r w:rsidR="00344FF6">
        <w:rPr>
          <w:sz w:val="22"/>
          <w:szCs w:val="22"/>
          <w:lang w:val="sr-Latn-CS"/>
        </w:rPr>
        <w:t>lijek</w:t>
      </w:r>
      <w:r w:rsidRPr="00D21251">
        <w:rPr>
          <w:sz w:val="22"/>
          <w:szCs w:val="22"/>
          <w:lang w:val="sr-Latn-CS"/>
        </w:rPr>
        <w:t xml:space="preserve"> sa eozinofilijom i sistemskim simptomima (DRESS) koje mogu biti životno ugrožavajuće ili </w:t>
      </w:r>
      <w:r w:rsidR="00495593">
        <w:rPr>
          <w:sz w:val="22"/>
          <w:szCs w:val="22"/>
          <w:lang w:val="sr-Latn-CS"/>
        </w:rPr>
        <w:t>smrtonosne</w:t>
      </w:r>
      <w:r w:rsidRPr="00D21251">
        <w:rPr>
          <w:sz w:val="22"/>
          <w:szCs w:val="22"/>
          <w:lang w:val="sr-Latn-CS"/>
        </w:rPr>
        <w:t>. Ako se sumnja na bilo koju tešku neželjenu reakciju kože, prim</w:t>
      </w:r>
      <w:r w:rsidR="00344FF6">
        <w:rPr>
          <w:sz w:val="22"/>
          <w:szCs w:val="22"/>
          <w:lang w:val="sr-Latn-CS"/>
        </w:rPr>
        <w:t>j</w:t>
      </w:r>
      <w:r w:rsidRPr="00D21251">
        <w:rPr>
          <w:sz w:val="22"/>
          <w:szCs w:val="22"/>
          <w:lang w:val="sr-Latn-CS"/>
        </w:rPr>
        <w:t xml:space="preserve">enu </w:t>
      </w:r>
      <w:r w:rsidR="00344FF6">
        <w:rPr>
          <w:sz w:val="22"/>
          <w:szCs w:val="22"/>
          <w:lang w:val="sr-Latn-CS"/>
        </w:rPr>
        <w:t>lijek</w:t>
      </w:r>
      <w:r w:rsidRPr="00D21251">
        <w:rPr>
          <w:sz w:val="22"/>
          <w:szCs w:val="22"/>
          <w:lang w:val="sr-Latn-CS"/>
        </w:rPr>
        <w:t xml:space="preserve">a Exjade treba odmah prekinuti i </w:t>
      </w:r>
      <w:r w:rsidR="000F5050">
        <w:rPr>
          <w:sz w:val="22"/>
          <w:szCs w:val="22"/>
          <w:lang w:val="sr-Latn-CS"/>
        </w:rPr>
        <w:t>ne smije</w:t>
      </w:r>
      <w:r w:rsidRPr="00D21251">
        <w:rPr>
          <w:sz w:val="22"/>
          <w:szCs w:val="22"/>
          <w:lang w:val="sr-Latn-CS"/>
        </w:rPr>
        <w:t xml:space="preserve"> se ponovno započeti. Kada se </w:t>
      </w:r>
      <w:r w:rsidR="00344FF6">
        <w:rPr>
          <w:sz w:val="22"/>
          <w:szCs w:val="22"/>
          <w:lang w:val="sr-Latn-CS"/>
        </w:rPr>
        <w:t>lijek</w:t>
      </w:r>
      <w:r w:rsidRPr="00D21251">
        <w:rPr>
          <w:sz w:val="22"/>
          <w:szCs w:val="22"/>
          <w:lang w:val="sr-Latn-CS"/>
        </w:rPr>
        <w:t xml:space="preserve"> propisuje, potrebno je</w:t>
      </w:r>
      <w:r w:rsidR="00696E51">
        <w:rPr>
          <w:sz w:val="22"/>
          <w:szCs w:val="22"/>
          <w:lang w:val="sr-Latn-CS"/>
        </w:rPr>
        <w:t xml:space="preserve"> upozoriti</w:t>
      </w:r>
      <w:r w:rsidR="00696E51" w:rsidRPr="00D21251">
        <w:rPr>
          <w:sz w:val="22"/>
          <w:szCs w:val="22"/>
          <w:lang w:val="sr-Latn-CS"/>
        </w:rPr>
        <w:t xml:space="preserve"> </w:t>
      </w:r>
      <w:r w:rsidRPr="00D21251">
        <w:rPr>
          <w:sz w:val="22"/>
          <w:szCs w:val="22"/>
          <w:lang w:val="sr-Latn-CS"/>
        </w:rPr>
        <w:t xml:space="preserve">pacijente </w:t>
      </w:r>
      <w:r w:rsidR="00696E51">
        <w:rPr>
          <w:sz w:val="22"/>
          <w:szCs w:val="22"/>
          <w:lang w:val="sr-Latn-CS"/>
        </w:rPr>
        <w:t>na</w:t>
      </w:r>
      <w:r w:rsidRPr="00D21251">
        <w:rPr>
          <w:sz w:val="22"/>
          <w:szCs w:val="22"/>
          <w:lang w:val="sr-Latn-CS"/>
        </w:rPr>
        <w:t xml:space="preserve"> zna</w:t>
      </w:r>
      <w:r w:rsidR="00696E51">
        <w:rPr>
          <w:sz w:val="22"/>
          <w:szCs w:val="22"/>
          <w:lang w:val="sr-Latn-CS"/>
        </w:rPr>
        <w:t>kove</w:t>
      </w:r>
      <w:r w:rsidRPr="00D21251">
        <w:rPr>
          <w:sz w:val="22"/>
          <w:szCs w:val="22"/>
          <w:lang w:val="sr-Latn-CS"/>
        </w:rPr>
        <w:t xml:space="preserve"> i simptom</w:t>
      </w:r>
      <w:r w:rsidR="00696E51">
        <w:rPr>
          <w:sz w:val="22"/>
          <w:szCs w:val="22"/>
          <w:lang w:val="sr-Latn-CS"/>
        </w:rPr>
        <w:t>e</w:t>
      </w:r>
      <w:r w:rsidRPr="00D21251">
        <w:rPr>
          <w:sz w:val="22"/>
          <w:szCs w:val="22"/>
          <w:lang w:val="sr-Latn-CS"/>
        </w:rPr>
        <w:t xml:space="preserve"> teških neželjenih reakcija kože i pažljivo ih pratiti.</w:t>
      </w:r>
    </w:p>
    <w:p w14:paraId="17359A2B" w14:textId="77777777" w:rsidR="0058338A" w:rsidRPr="00D21251" w:rsidRDefault="0058338A" w:rsidP="00531B03">
      <w:pPr>
        <w:jc w:val="both"/>
        <w:rPr>
          <w:sz w:val="22"/>
          <w:szCs w:val="22"/>
          <w:lang w:val="sr-Latn-CS"/>
        </w:rPr>
      </w:pPr>
    </w:p>
    <w:p w14:paraId="7E681F1C" w14:textId="77777777" w:rsidR="0058338A" w:rsidRPr="00D21251" w:rsidRDefault="0058338A" w:rsidP="00531B03">
      <w:pPr>
        <w:jc w:val="both"/>
        <w:rPr>
          <w:sz w:val="22"/>
          <w:szCs w:val="22"/>
          <w:u w:val="single"/>
          <w:lang w:val="sr-Latn-CS"/>
        </w:rPr>
      </w:pPr>
      <w:r w:rsidRPr="00D21251">
        <w:rPr>
          <w:sz w:val="22"/>
          <w:szCs w:val="22"/>
          <w:u w:val="single"/>
          <w:lang w:val="sr-Latn-CS"/>
        </w:rPr>
        <w:t>Reakcije preos</w:t>
      </w:r>
      <w:r w:rsidR="00022A1D">
        <w:rPr>
          <w:sz w:val="22"/>
          <w:szCs w:val="22"/>
          <w:u w:val="single"/>
          <w:lang w:val="sr-Latn-CS"/>
        </w:rPr>
        <w:t>j</w:t>
      </w:r>
      <w:r w:rsidRPr="00D21251">
        <w:rPr>
          <w:sz w:val="22"/>
          <w:szCs w:val="22"/>
          <w:u w:val="single"/>
          <w:lang w:val="sr-Latn-CS"/>
        </w:rPr>
        <w:t xml:space="preserve">etljivosti </w:t>
      </w:r>
    </w:p>
    <w:p w14:paraId="7B7E7DEA" w14:textId="77777777" w:rsidR="0058338A" w:rsidRPr="00D21251" w:rsidRDefault="0058338A" w:rsidP="00531B03">
      <w:pPr>
        <w:jc w:val="both"/>
        <w:rPr>
          <w:sz w:val="22"/>
          <w:szCs w:val="22"/>
          <w:lang w:val="sr-Latn-CS"/>
        </w:rPr>
      </w:pPr>
      <w:r w:rsidRPr="00D21251">
        <w:rPr>
          <w:sz w:val="22"/>
          <w:szCs w:val="22"/>
          <w:lang w:val="sr-Latn-CS"/>
        </w:rPr>
        <w:t>Prijavljivani su slučajevi ozbiljnih reakcija preos</w:t>
      </w:r>
      <w:r w:rsidR="00022A1D">
        <w:rPr>
          <w:sz w:val="22"/>
          <w:szCs w:val="22"/>
          <w:lang w:val="sr-Latn-CS"/>
        </w:rPr>
        <w:t>j</w:t>
      </w:r>
      <w:r w:rsidRPr="00D21251">
        <w:rPr>
          <w:sz w:val="22"/>
          <w:szCs w:val="22"/>
          <w:lang w:val="sr-Latn-CS"/>
        </w:rPr>
        <w:t>etljivosti (kao što su anafilaksa i angioedem) kod pacijenata koji su l</w:t>
      </w:r>
      <w:r w:rsidR="009A2ACE">
        <w:rPr>
          <w:sz w:val="22"/>
          <w:szCs w:val="22"/>
          <w:lang w:val="sr-Latn-CS"/>
        </w:rPr>
        <w:t>ij</w:t>
      </w:r>
      <w:r w:rsidRPr="00D21251">
        <w:rPr>
          <w:sz w:val="22"/>
          <w:szCs w:val="22"/>
          <w:lang w:val="sr-Latn-CS"/>
        </w:rPr>
        <w:t xml:space="preserve">ečeni deferasiroksom, </w:t>
      </w:r>
      <w:r w:rsidR="0005745C">
        <w:rPr>
          <w:sz w:val="22"/>
          <w:szCs w:val="22"/>
          <w:lang w:val="sr-Latn-CS"/>
        </w:rPr>
        <w:t>pri čemu je</w:t>
      </w:r>
      <w:r w:rsidRPr="00D21251">
        <w:rPr>
          <w:sz w:val="22"/>
          <w:szCs w:val="22"/>
          <w:lang w:val="sr-Latn-CS"/>
        </w:rPr>
        <w:t xml:space="preserve"> u većini slučajeva</w:t>
      </w:r>
      <w:r w:rsidR="0005745C">
        <w:rPr>
          <w:sz w:val="22"/>
          <w:szCs w:val="22"/>
          <w:lang w:val="sr-Latn-CS"/>
        </w:rPr>
        <w:t xml:space="preserve"> do pojave reakcije došlo</w:t>
      </w:r>
      <w:r w:rsidRPr="00D21251">
        <w:rPr>
          <w:sz w:val="22"/>
          <w:szCs w:val="22"/>
          <w:lang w:val="sr-Latn-CS"/>
        </w:rPr>
        <w:t xml:space="preserve"> u toku prvog </w:t>
      </w:r>
      <w:r w:rsidR="0071118F">
        <w:rPr>
          <w:sz w:val="22"/>
          <w:szCs w:val="22"/>
          <w:lang w:val="sr-Latn-CS"/>
        </w:rPr>
        <w:t>mjesec</w:t>
      </w:r>
      <w:r w:rsidRPr="00D21251">
        <w:rPr>
          <w:sz w:val="22"/>
          <w:szCs w:val="22"/>
          <w:lang w:val="sr-Latn-CS"/>
        </w:rPr>
        <w:t>a terapije (</w:t>
      </w:r>
      <w:r w:rsidR="009E320F">
        <w:rPr>
          <w:sz w:val="22"/>
          <w:szCs w:val="22"/>
          <w:lang w:val="sr-Latn-CS"/>
        </w:rPr>
        <w:t xml:space="preserve">vidjeti </w:t>
      </w:r>
      <w:r w:rsidR="0005745C">
        <w:rPr>
          <w:sz w:val="22"/>
          <w:szCs w:val="22"/>
          <w:lang w:val="sr-Latn-CS"/>
        </w:rPr>
        <w:t xml:space="preserve">dio </w:t>
      </w:r>
      <w:r w:rsidRPr="00D21251">
        <w:rPr>
          <w:sz w:val="22"/>
          <w:szCs w:val="22"/>
          <w:lang w:val="sr-Latn-CS"/>
        </w:rPr>
        <w:t xml:space="preserve">4.8). Ako se javi ova reakcija, terapiju </w:t>
      </w:r>
      <w:r w:rsidR="00344FF6">
        <w:rPr>
          <w:sz w:val="22"/>
          <w:szCs w:val="22"/>
          <w:lang w:val="sr-Latn-CS"/>
        </w:rPr>
        <w:t>lijek</w:t>
      </w:r>
      <w:r w:rsidRPr="00D21251">
        <w:rPr>
          <w:sz w:val="22"/>
          <w:szCs w:val="22"/>
          <w:lang w:val="sr-Latn-CS"/>
        </w:rPr>
        <w:t>om Exjade treba prekinuti i sprovesti adekvatnu medicinsku intervenciju. Ne sm</w:t>
      </w:r>
      <w:r w:rsidR="000F5050">
        <w:rPr>
          <w:sz w:val="22"/>
          <w:szCs w:val="22"/>
          <w:lang w:val="sr-Latn-CS"/>
        </w:rPr>
        <w:t>ij</w:t>
      </w:r>
      <w:r w:rsidRPr="00D21251">
        <w:rPr>
          <w:sz w:val="22"/>
          <w:szCs w:val="22"/>
          <w:lang w:val="sr-Latn-CS"/>
        </w:rPr>
        <w:t>e se ponovo započinjati terapija deferasiroksom kod pacijenata koji su imali reakciju preos</w:t>
      </w:r>
      <w:r w:rsidR="00022A1D">
        <w:rPr>
          <w:sz w:val="22"/>
          <w:szCs w:val="22"/>
          <w:lang w:val="sr-Latn-CS"/>
        </w:rPr>
        <w:t>j</w:t>
      </w:r>
      <w:r w:rsidRPr="00D21251">
        <w:rPr>
          <w:sz w:val="22"/>
          <w:szCs w:val="22"/>
          <w:lang w:val="sr-Latn-CS"/>
        </w:rPr>
        <w:t xml:space="preserve">etljivosti na </w:t>
      </w:r>
      <w:r w:rsidR="00344FF6">
        <w:rPr>
          <w:sz w:val="22"/>
          <w:szCs w:val="22"/>
          <w:lang w:val="sr-Latn-CS"/>
        </w:rPr>
        <w:t>lijek</w:t>
      </w:r>
      <w:r w:rsidRPr="00D21251">
        <w:rPr>
          <w:sz w:val="22"/>
          <w:szCs w:val="22"/>
          <w:lang w:val="sr-Latn-CS"/>
        </w:rPr>
        <w:t>, zbog rizika od anafilaktičkog šoka (</w:t>
      </w:r>
      <w:r w:rsidR="009E320F">
        <w:rPr>
          <w:sz w:val="22"/>
          <w:szCs w:val="22"/>
          <w:lang w:val="sr-Latn-CS"/>
        </w:rPr>
        <w:t xml:space="preserve">vidjeti </w:t>
      </w:r>
      <w:r w:rsidR="0005745C">
        <w:rPr>
          <w:sz w:val="22"/>
          <w:szCs w:val="22"/>
          <w:lang w:val="sr-Latn-CS"/>
        </w:rPr>
        <w:t>dio</w:t>
      </w:r>
      <w:r w:rsidR="0005745C" w:rsidRPr="00D21251">
        <w:rPr>
          <w:sz w:val="22"/>
          <w:szCs w:val="22"/>
          <w:lang w:val="sr-Latn-CS"/>
        </w:rPr>
        <w:t xml:space="preserve"> </w:t>
      </w:r>
      <w:r w:rsidRPr="00D21251">
        <w:rPr>
          <w:sz w:val="22"/>
          <w:szCs w:val="22"/>
          <w:lang w:val="sr-Latn-CS"/>
        </w:rPr>
        <w:t>4.3).</w:t>
      </w:r>
    </w:p>
    <w:p w14:paraId="3EB166E1" w14:textId="77777777" w:rsidR="0058338A" w:rsidRPr="00D21251" w:rsidRDefault="0058338A" w:rsidP="00531B03">
      <w:pPr>
        <w:jc w:val="both"/>
        <w:rPr>
          <w:sz w:val="22"/>
          <w:szCs w:val="22"/>
          <w:lang w:val="sr-Latn-CS"/>
        </w:rPr>
      </w:pPr>
    </w:p>
    <w:p w14:paraId="36C49CBB" w14:textId="77777777" w:rsidR="0058338A" w:rsidRPr="00D21251" w:rsidRDefault="0058338A" w:rsidP="00531B03">
      <w:pPr>
        <w:jc w:val="both"/>
        <w:rPr>
          <w:sz w:val="22"/>
          <w:szCs w:val="22"/>
          <w:u w:val="single"/>
          <w:lang w:val="sr-Latn-CS"/>
        </w:rPr>
      </w:pPr>
      <w:r w:rsidRPr="00D21251">
        <w:rPr>
          <w:sz w:val="22"/>
          <w:szCs w:val="22"/>
          <w:u w:val="single"/>
          <w:lang w:val="sr-Latn-CS"/>
        </w:rPr>
        <w:t xml:space="preserve">Poremećaji </w:t>
      </w:r>
      <w:r w:rsidR="00C427FF">
        <w:rPr>
          <w:sz w:val="22"/>
          <w:szCs w:val="22"/>
          <w:u w:val="single"/>
          <w:lang w:val="sr-Latn-CS"/>
        </w:rPr>
        <w:t>vid</w:t>
      </w:r>
      <w:r w:rsidR="00C427FF" w:rsidRPr="00D21251">
        <w:rPr>
          <w:sz w:val="22"/>
          <w:szCs w:val="22"/>
          <w:u w:val="single"/>
          <w:lang w:val="sr-Latn-CS"/>
        </w:rPr>
        <w:t xml:space="preserve">a </w:t>
      </w:r>
      <w:r w:rsidRPr="00D21251">
        <w:rPr>
          <w:sz w:val="22"/>
          <w:szCs w:val="22"/>
          <w:u w:val="single"/>
          <w:lang w:val="sr-Latn-CS"/>
        </w:rPr>
        <w:t xml:space="preserve">i </w:t>
      </w:r>
      <w:r w:rsidR="00C427FF">
        <w:rPr>
          <w:sz w:val="22"/>
          <w:szCs w:val="22"/>
          <w:u w:val="single"/>
          <w:lang w:val="sr-Latn-CS"/>
        </w:rPr>
        <w:t>sl</w:t>
      </w:r>
      <w:r w:rsidRPr="00D21251">
        <w:rPr>
          <w:sz w:val="22"/>
          <w:szCs w:val="22"/>
          <w:u w:val="single"/>
          <w:lang w:val="sr-Latn-CS"/>
        </w:rPr>
        <w:t>uha</w:t>
      </w:r>
    </w:p>
    <w:p w14:paraId="2FBD875A" w14:textId="77777777" w:rsidR="0058338A" w:rsidRPr="00D21251" w:rsidRDefault="0058338A" w:rsidP="00531B03">
      <w:pPr>
        <w:jc w:val="both"/>
        <w:rPr>
          <w:sz w:val="22"/>
          <w:szCs w:val="22"/>
          <w:lang w:val="sr-Latn-CS"/>
        </w:rPr>
      </w:pPr>
      <w:r w:rsidRPr="00D21251">
        <w:rPr>
          <w:sz w:val="22"/>
          <w:szCs w:val="22"/>
          <w:lang w:val="sr-Latn-CS"/>
        </w:rPr>
        <w:t>Prijavljivani su poremećaji sluha (oslabljen sluh) i vida (zamućenje sočiva) (</w:t>
      </w:r>
      <w:r w:rsidR="009E320F">
        <w:rPr>
          <w:sz w:val="22"/>
          <w:szCs w:val="22"/>
          <w:lang w:val="sr-Latn-CS"/>
        </w:rPr>
        <w:t xml:space="preserve">vidjeti </w:t>
      </w:r>
      <w:r w:rsidR="0005745C">
        <w:rPr>
          <w:sz w:val="22"/>
          <w:szCs w:val="22"/>
          <w:lang w:val="sr-Latn-CS"/>
        </w:rPr>
        <w:t>dio</w:t>
      </w:r>
      <w:r w:rsidR="0005745C" w:rsidRPr="00D21251">
        <w:rPr>
          <w:sz w:val="22"/>
          <w:szCs w:val="22"/>
          <w:lang w:val="sr-Latn-CS"/>
        </w:rPr>
        <w:t xml:space="preserve"> </w:t>
      </w:r>
      <w:r w:rsidRPr="00D21251">
        <w:rPr>
          <w:sz w:val="22"/>
          <w:szCs w:val="22"/>
          <w:lang w:val="sr-Latn-CS"/>
        </w:rPr>
        <w:t>4.8). Ispitivanje sluha i vida (uključujući pregled očnog dna (fundoskopiju)) se preporučuje pr</w:t>
      </w:r>
      <w:r w:rsidR="006C19D8">
        <w:rPr>
          <w:sz w:val="22"/>
          <w:szCs w:val="22"/>
          <w:lang w:val="sr-Latn-CS"/>
        </w:rPr>
        <w:t>ij</w:t>
      </w:r>
      <w:r w:rsidRPr="00D21251">
        <w:rPr>
          <w:sz w:val="22"/>
          <w:szCs w:val="22"/>
          <w:lang w:val="sr-Latn-CS"/>
        </w:rPr>
        <w:t xml:space="preserve">e započinjanja terapije i kasnije u redovnim vremenskim intervalima (na 12 </w:t>
      </w:r>
      <w:r w:rsidR="0071118F">
        <w:rPr>
          <w:sz w:val="22"/>
          <w:szCs w:val="22"/>
          <w:lang w:val="sr-Latn-CS"/>
        </w:rPr>
        <w:t>mjesec</w:t>
      </w:r>
      <w:r w:rsidRPr="00D21251">
        <w:rPr>
          <w:sz w:val="22"/>
          <w:szCs w:val="22"/>
          <w:lang w:val="sr-Latn-CS"/>
        </w:rPr>
        <w:t>i). Ako se poremećaji uoče tokom terapije, treba razmotriti obustavljanje terapije ili smanjenje doze.</w:t>
      </w:r>
    </w:p>
    <w:p w14:paraId="14FE643C" w14:textId="77777777" w:rsidR="0058338A" w:rsidRPr="00D21251" w:rsidRDefault="0058338A" w:rsidP="00531B03">
      <w:pPr>
        <w:jc w:val="both"/>
        <w:rPr>
          <w:sz w:val="22"/>
          <w:szCs w:val="22"/>
          <w:lang w:val="sr-Latn-CS"/>
        </w:rPr>
      </w:pPr>
    </w:p>
    <w:p w14:paraId="7E5811C8" w14:textId="77777777" w:rsidR="0058338A" w:rsidRPr="00D21251" w:rsidRDefault="0058338A" w:rsidP="00531B03">
      <w:pPr>
        <w:jc w:val="both"/>
        <w:rPr>
          <w:sz w:val="22"/>
          <w:szCs w:val="22"/>
          <w:u w:val="single"/>
          <w:lang w:val="sr-Latn-CS"/>
        </w:rPr>
      </w:pPr>
      <w:r w:rsidRPr="00D21251">
        <w:rPr>
          <w:sz w:val="22"/>
          <w:szCs w:val="22"/>
          <w:u w:val="single"/>
          <w:lang w:val="sr-Latn-CS"/>
        </w:rPr>
        <w:t xml:space="preserve">Poremećaji krvi </w:t>
      </w:r>
    </w:p>
    <w:p w14:paraId="13AF2A82" w14:textId="77777777" w:rsidR="0058338A" w:rsidRPr="00D21251" w:rsidRDefault="0058338A" w:rsidP="00531B03">
      <w:pPr>
        <w:jc w:val="both"/>
        <w:rPr>
          <w:sz w:val="22"/>
          <w:szCs w:val="22"/>
          <w:lang w:val="sr-Latn-CS"/>
        </w:rPr>
      </w:pPr>
      <w:r w:rsidRPr="00D21251">
        <w:rPr>
          <w:sz w:val="22"/>
          <w:szCs w:val="22"/>
          <w:lang w:val="sr-Latn-CS"/>
        </w:rPr>
        <w:t>Postoje postmarketinški izv</w:t>
      </w:r>
      <w:r w:rsidR="00C427FF">
        <w:rPr>
          <w:sz w:val="22"/>
          <w:szCs w:val="22"/>
          <w:lang w:val="sr-Latn-CS"/>
        </w:rPr>
        <w:t>j</w:t>
      </w:r>
      <w:r w:rsidRPr="00D21251">
        <w:rPr>
          <w:sz w:val="22"/>
          <w:szCs w:val="22"/>
          <w:lang w:val="sr-Latn-CS"/>
        </w:rPr>
        <w:t xml:space="preserve">eštaji o leukopeniji, trombocitopeniji ili pancitopeniji (ili pogoršanja ovih citopenija) i pogoršanoj anemiji kod pacijenata na terapiji deferasiroksom. Većina ovih pacijenata su imali prethodno hematološke poremećaje koji su često bili povezani sa insuficijencijom </w:t>
      </w:r>
      <w:r w:rsidR="00C427FF" w:rsidRPr="00D21251">
        <w:rPr>
          <w:sz w:val="22"/>
          <w:szCs w:val="22"/>
          <w:lang w:val="sr-Latn-CS"/>
        </w:rPr>
        <w:t>ko</w:t>
      </w:r>
      <w:r w:rsidR="00C427FF">
        <w:rPr>
          <w:sz w:val="22"/>
          <w:szCs w:val="22"/>
          <w:lang w:val="sr-Latn-CS"/>
        </w:rPr>
        <w:t>st</w:t>
      </w:r>
      <w:r w:rsidR="00C427FF" w:rsidRPr="00D21251">
        <w:rPr>
          <w:sz w:val="22"/>
          <w:szCs w:val="22"/>
          <w:lang w:val="sr-Latn-CS"/>
        </w:rPr>
        <w:t xml:space="preserve">ne </w:t>
      </w:r>
      <w:r w:rsidRPr="00D21251">
        <w:rPr>
          <w:sz w:val="22"/>
          <w:szCs w:val="22"/>
          <w:lang w:val="sr-Latn-CS"/>
        </w:rPr>
        <w:t>srži. Ipak</w:t>
      </w:r>
      <w:r w:rsidR="00C427FF">
        <w:rPr>
          <w:sz w:val="22"/>
          <w:szCs w:val="22"/>
          <w:lang w:val="sr-Latn-CS"/>
        </w:rPr>
        <w:t>,</w:t>
      </w:r>
      <w:r w:rsidRPr="00D21251">
        <w:rPr>
          <w:sz w:val="22"/>
          <w:szCs w:val="22"/>
          <w:lang w:val="sr-Latn-CS"/>
        </w:rPr>
        <w:t xml:space="preserve"> ne može se isključiti uloga </w:t>
      </w:r>
      <w:r w:rsidR="00344FF6">
        <w:rPr>
          <w:sz w:val="22"/>
          <w:szCs w:val="22"/>
          <w:lang w:val="sr-Latn-CS"/>
        </w:rPr>
        <w:t>lijek</w:t>
      </w:r>
      <w:r w:rsidRPr="00D21251">
        <w:rPr>
          <w:sz w:val="22"/>
          <w:szCs w:val="22"/>
          <w:lang w:val="sr-Latn-CS"/>
        </w:rPr>
        <w:t xml:space="preserve">a Exjade u nastanku ili pogoršanju ovih pojava. Terapiju </w:t>
      </w:r>
      <w:r w:rsidR="00344FF6">
        <w:rPr>
          <w:sz w:val="22"/>
          <w:szCs w:val="22"/>
          <w:lang w:val="sr-Latn-CS"/>
        </w:rPr>
        <w:t>lijek</w:t>
      </w:r>
      <w:r w:rsidRPr="00D21251">
        <w:rPr>
          <w:sz w:val="22"/>
          <w:szCs w:val="22"/>
          <w:lang w:val="sr-Latn-CS"/>
        </w:rPr>
        <w:t xml:space="preserve">om Exjade treba prekinuti kod pacijenata kod kojih se pojavi nerazjašnjena citopenija. </w:t>
      </w:r>
    </w:p>
    <w:p w14:paraId="41FE72A7" w14:textId="77777777" w:rsidR="0058338A" w:rsidRPr="00D21251" w:rsidRDefault="0058338A" w:rsidP="00531B03">
      <w:pPr>
        <w:jc w:val="both"/>
        <w:rPr>
          <w:sz w:val="22"/>
          <w:szCs w:val="22"/>
          <w:lang w:val="sr-Latn-CS"/>
        </w:rPr>
      </w:pPr>
    </w:p>
    <w:p w14:paraId="598137B3" w14:textId="77777777" w:rsidR="0058338A" w:rsidRPr="00D21251" w:rsidRDefault="0058338A" w:rsidP="00531B03">
      <w:pPr>
        <w:jc w:val="both"/>
        <w:rPr>
          <w:sz w:val="22"/>
          <w:szCs w:val="22"/>
          <w:u w:val="single"/>
          <w:lang w:val="sr-Latn-CS"/>
        </w:rPr>
      </w:pPr>
      <w:r w:rsidRPr="00D21251">
        <w:rPr>
          <w:sz w:val="22"/>
          <w:szCs w:val="22"/>
          <w:u w:val="single"/>
          <w:lang w:val="sr-Latn-CS"/>
        </w:rPr>
        <w:t>Ostala upozorenja</w:t>
      </w:r>
    </w:p>
    <w:p w14:paraId="4D42AF5C" w14:textId="77777777" w:rsidR="0058338A" w:rsidRPr="00D21251" w:rsidRDefault="0058338A" w:rsidP="00531B03">
      <w:pPr>
        <w:jc w:val="both"/>
        <w:rPr>
          <w:sz w:val="22"/>
          <w:szCs w:val="22"/>
          <w:lang w:val="sr-Latn-CS"/>
        </w:rPr>
      </w:pPr>
      <w:r w:rsidRPr="00D21251">
        <w:rPr>
          <w:sz w:val="22"/>
          <w:szCs w:val="22"/>
          <w:lang w:val="sr-Latn-CS"/>
        </w:rPr>
        <w:t xml:space="preserve">Preporučuje se praćenje </w:t>
      </w:r>
      <w:r w:rsidR="0071118F">
        <w:rPr>
          <w:sz w:val="22"/>
          <w:szCs w:val="22"/>
          <w:lang w:val="sr-Latn-CS"/>
        </w:rPr>
        <w:t>vrijednost</w:t>
      </w:r>
      <w:r w:rsidRPr="00D21251">
        <w:rPr>
          <w:sz w:val="22"/>
          <w:szCs w:val="22"/>
          <w:lang w:val="sr-Latn-CS"/>
        </w:rPr>
        <w:t xml:space="preserve">i serumskog feritina jednom </w:t>
      </w:r>
      <w:r w:rsidR="00B00CF2">
        <w:rPr>
          <w:sz w:val="22"/>
          <w:szCs w:val="22"/>
          <w:lang w:val="sr-Latn-CS"/>
        </w:rPr>
        <w:t>mjeseč</w:t>
      </w:r>
      <w:r w:rsidRPr="00D21251">
        <w:rPr>
          <w:sz w:val="22"/>
          <w:szCs w:val="22"/>
          <w:lang w:val="sr-Latn-CS"/>
        </w:rPr>
        <w:t>no</w:t>
      </w:r>
      <w:r w:rsidR="00C427FF">
        <w:rPr>
          <w:sz w:val="22"/>
          <w:szCs w:val="22"/>
          <w:lang w:val="sr-Latn-CS"/>
        </w:rPr>
        <w:t>,</w:t>
      </w:r>
      <w:r w:rsidRPr="00D21251">
        <w:rPr>
          <w:sz w:val="22"/>
          <w:szCs w:val="22"/>
          <w:lang w:val="sr-Latn-CS"/>
        </w:rPr>
        <w:t xml:space="preserve"> kako bi se </w:t>
      </w:r>
      <w:r w:rsidR="000F5050">
        <w:rPr>
          <w:sz w:val="22"/>
          <w:szCs w:val="22"/>
          <w:lang w:val="sr-Latn-CS"/>
        </w:rPr>
        <w:t>proc</w:t>
      </w:r>
      <w:r w:rsidR="00F90136">
        <w:rPr>
          <w:sz w:val="22"/>
          <w:szCs w:val="22"/>
          <w:lang w:val="sr-Latn-CS"/>
        </w:rPr>
        <w:t>i</w:t>
      </w:r>
      <w:r w:rsidR="000F5050">
        <w:rPr>
          <w:sz w:val="22"/>
          <w:szCs w:val="22"/>
          <w:lang w:val="sr-Latn-CS"/>
        </w:rPr>
        <w:t>jen</w:t>
      </w:r>
      <w:r w:rsidRPr="00D21251">
        <w:rPr>
          <w:sz w:val="22"/>
          <w:szCs w:val="22"/>
          <w:lang w:val="sr-Latn-CS"/>
        </w:rPr>
        <w:t>io odgovor pacijenta na terapiju i da bi se izb</w:t>
      </w:r>
      <w:r w:rsidR="00022A1D">
        <w:rPr>
          <w:sz w:val="22"/>
          <w:szCs w:val="22"/>
          <w:lang w:val="sr-Latn-CS"/>
        </w:rPr>
        <w:t>j</w:t>
      </w:r>
      <w:r w:rsidRPr="00D21251">
        <w:rPr>
          <w:sz w:val="22"/>
          <w:szCs w:val="22"/>
          <w:lang w:val="sr-Latn-CS"/>
        </w:rPr>
        <w:t>egla prekom</w:t>
      </w:r>
      <w:r w:rsidR="00022A1D">
        <w:rPr>
          <w:sz w:val="22"/>
          <w:szCs w:val="22"/>
          <w:lang w:val="sr-Latn-CS"/>
        </w:rPr>
        <w:t>j</w:t>
      </w:r>
      <w:r w:rsidRPr="00D21251">
        <w:rPr>
          <w:sz w:val="22"/>
          <w:szCs w:val="22"/>
          <w:lang w:val="sr-Latn-CS"/>
        </w:rPr>
        <w:t>erna helacija (</w:t>
      </w:r>
      <w:r w:rsidR="009E320F">
        <w:rPr>
          <w:sz w:val="22"/>
          <w:szCs w:val="22"/>
          <w:lang w:val="sr-Latn-CS"/>
        </w:rPr>
        <w:t xml:space="preserve">vidjeti </w:t>
      </w:r>
      <w:r w:rsidR="00DE160B">
        <w:rPr>
          <w:sz w:val="22"/>
          <w:szCs w:val="22"/>
          <w:lang w:val="sr-Latn-CS"/>
        </w:rPr>
        <w:t>dio</w:t>
      </w:r>
      <w:r w:rsidR="00DE160B" w:rsidRPr="00D21251">
        <w:rPr>
          <w:sz w:val="22"/>
          <w:szCs w:val="22"/>
          <w:lang w:val="sr-Latn-CS"/>
        </w:rPr>
        <w:t xml:space="preserve"> </w:t>
      </w:r>
      <w:r w:rsidRPr="00D21251">
        <w:rPr>
          <w:sz w:val="22"/>
          <w:szCs w:val="22"/>
          <w:lang w:val="sr-Latn-CS"/>
        </w:rPr>
        <w:t xml:space="preserve">4.2). Preporučuje se smanjenje doze ili praćenje funkcije bubrega i jetre i </w:t>
      </w:r>
      <w:r w:rsidR="0071118F">
        <w:rPr>
          <w:sz w:val="22"/>
          <w:szCs w:val="22"/>
          <w:lang w:val="sr-Latn-CS"/>
        </w:rPr>
        <w:t>vrijednost</w:t>
      </w:r>
      <w:r w:rsidRPr="00D21251">
        <w:rPr>
          <w:sz w:val="22"/>
          <w:szCs w:val="22"/>
          <w:lang w:val="sr-Latn-CS"/>
        </w:rPr>
        <w:t xml:space="preserve">i serumskog feritina tokom perioda terapije visokim dozama i kada su </w:t>
      </w:r>
      <w:r w:rsidR="0071118F">
        <w:rPr>
          <w:sz w:val="22"/>
          <w:szCs w:val="22"/>
          <w:lang w:val="sr-Latn-CS"/>
        </w:rPr>
        <w:t>vrijednost</w:t>
      </w:r>
      <w:r w:rsidRPr="00D21251">
        <w:rPr>
          <w:sz w:val="22"/>
          <w:szCs w:val="22"/>
          <w:lang w:val="sr-Latn-CS"/>
        </w:rPr>
        <w:t xml:space="preserve">i serumskog feritina blizu ciljnog opsega. Ukoliko se </w:t>
      </w:r>
      <w:r w:rsidR="0071118F">
        <w:rPr>
          <w:sz w:val="22"/>
          <w:szCs w:val="22"/>
          <w:lang w:val="sr-Latn-CS"/>
        </w:rPr>
        <w:t>vrijednost</w:t>
      </w:r>
      <w:r w:rsidRPr="00D21251">
        <w:rPr>
          <w:sz w:val="22"/>
          <w:szCs w:val="22"/>
          <w:lang w:val="sr-Latn-CS"/>
        </w:rPr>
        <w:t xml:space="preserve"> serumskog feritina konstantno smanjuje ispod 500 </w:t>
      </w:r>
      <w:r w:rsidR="00DE160B" w:rsidRPr="00DE160B">
        <w:rPr>
          <w:sz w:val="22"/>
          <w:szCs w:val="22"/>
          <w:lang w:val="sr-Latn-CS"/>
        </w:rPr>
        <w:t>µg</w:t>
      </w:r>
      <w:r w:rsidRPr="00D21251">
        <w:rPr>
          <w:sz w:val="22"/>
          <w:szCs w:val="22"/>
          <w:lang w:val="sr-Latn-CS"/>
        </w:rPr>
        <w:t>/</w:t>
      </w:r>
      <w:r w:rsidR="00C427FF">
        <w:rPr>
          <w:sz w:val="22"/>
          <w:szCs w:val="22"/>
          <w:lang w:val="sr-Latn-CS"/>
        </w:rPr>
        <w:t>l</w:t>
      </w:r>
      <w:r w:rsidR="00C427FF" w:rsidRPr="00D21251">
        <w:rPr>
          <w:sz w:val="22"/>
          <w:szCs w:val="22"/>
          <w:lang w:val="sr-Latn-CS"/>
        </w:rPr>
        <w:t xml:space="preserve"> </w:t>
      </w:r>
      <w:r w:rsidRPr="00D21251">
        <w:rPr>
          <w:sz w:val="22"/>
          <w:szCs w:val="22"/>
          <w:lang w:val="sr-Latn-CS"/>
        </w:rPr>
        <w:t xml:space="preserve">(kod preopterećenja gvožđem koje je </w:t>
      </w:r>
      <w:r w:rsidR="000F5050">
        <w:rPr>
          <w:sz w:val="22"/>
          <w:szCs w:val="22"/>
          <w:lang w:val="sr-Latn-CS"/>
        </w:rPr>
        <w:t>posljed</w:t>
      </w:r>
      <w:r w:rsidRPr="00D21251">
        <w:rPr>
          <w:sz w:val="22"/>
          <w:szCs w:val="22"/>
          <w:lang w:val="sr-Latn-CS"/>
        </w:rPr>
        <w:t xml:space="preserve">ica transfuzije </w:t>
      </w:r>
      <w:r w:rsidRPr="00D21251">
        <w:rPr>
          <w:sz w:val="22"/>
          <w:szCs w:val="22"/>
          <w:lang w:val="sr-Latn-CS"/>
        </w:rPr>
        <w:lastRenderedPageBreak/>
        <w:t xml:space="preserve">krvi) ili ispod 300 </w:t>
      </w:r>
      <w:r w:rsidR="00DE160B" w:rsidRPr="00DE160B">
        <w:rPr>
          <w:sz w:val="22"/>
          <w:szCs w:val="22"/>
          <w:lang w:val="sr-Latn-CS"/>
        </w:rPr>
        <w:t>µg</w:t>
      </w:r>
      <w:r w:rsidRPr="00D21251">
        <w:rPr>
          <w:sz w:val="22"/>
          <w:szCs w:val="22"/>
          <w:lang w:val="sr-Latn-CS"/>
        </w:rPr>
        <w:t>/</w:t>
      </w:r>
      <w:r w:rsidR="00C427FF">
        <w:rPr>
          <w:sz w:val="22"/>
          <w:szCs w:val="22"/>
          <w:lang w:val="sr-Latn-CS"/>
        </w:rPr>
        <w:t>l</w:t>
      </w:r>
      <w:r w:rsidR="00C427FF" w:rsidRPr="00D21251">
        <w:rPr>
          <w:sz w:val="22"/>
          <w:szCs w:val="22"/>
          <w:lang w:val="sr-Latn-CS"/>
        </w:rPr>
        <w:t xml:space="preserve"> </w:t>
      </w:r>
      <w:r w:rsidRPr="00D21251">
        <w:rPr>
          <w:sz w:val="22"/>
          <w:szCs w:val="22"/>
          <w:lang w:val="sr-Latn-CS"/>
        </w:rPr>
        <w:t xml:space="preserve">(kod talasemijskih sindroma koji ne zavise od transfuzije krvi), potrebno je razmotriti prekid terapije. </w:t>
      </w:r>
    </w:p>
    <w:p w14:paraId="124E3464" w14:textId="77777777" w:rsidR="0058338A" w:rsidRPr="00D21251" w:rsidRDefault="0058338A" w:rsidP="00531B03">
      <w:pPr>
        <w:jc w:val="both"/>
        <w:rPr>
          <w:sz w:val="22"/>
          <w:szCs w:val="22"/>
          <w:lang w:val="sr-Latn-CS"/>
        </w:rPr>
      </w:pPr>
    </w:p>
    <w:p w14:paraId="5D3C9D3E" w14:textId="77777777" w:rsidR="0058338A" w:rsidRPr="00D21251" w:rsidRDefault="0058338A" w:rsidP="00531B03">
      <w:pPr>
        <w:jc w:val="both"/>
        <w:rPr>
          <w:sz w:val="22"/>
          <w:szCs w:val="22"/>
          <w:lang w:val="sr-Latn-CS"/>
        </w:rPr>
      </w:pPr>
      <w:r w:rsidRPr="00D21251">
        <w:rPr>
          <w:sz w:val="22"/>
          <w:szCs w:val="22"/>
          <w:lang w:val="sr-Latn-CS"/>
        </w:rPr>
        <w:t>Rezultate testova serumskog kreatinina, serumskog feritina i serumskih transaminaza treba b</w:t>
      </w:r>
      <w:r w:rsidR="009A2ACE">
        <w:rPr>
          <w:sz w:val="22"/>
          <w:szCs w:val="22"/>
          <w:lang w:val="sr-Latn-CS"/>
        </w:rPr>
        <w:t>i</w:t>
      </w:r>
      <w:r w:rsidRPr="00D21251">
        <w:rPr>
          <w:sz w:val="22"/>
          <w:szCs w:val="22"/>
          <w:lang w:val="sr-Latn-CS"/>
        </w:rPr>
        <w:t>l</w:t>
      </w:r>
      <w:r w:rsidR="009A2ACE">
        <w:rPr>
          <w:sz w:val="22"/>
          <w:szCs w:val="22"/>
          <w:lang w:val="sr-Latn-CS"/>
        </w:rPr>
        <w:t>j</w:t>
      </w:r>
      <w:r w:rsidRPr="00D21251">
        <w:rPr>
          <w:sz w:val="22"/>
          <w:szCs w:val="22"/>
          <w:lang w:val="sr-Latn-CS"/>
        </w:rPr>
        <w:t xml:space="preserve">ežiti i redovno </w:t>
      </w:r>
      <w:r w:rsidR="000F5050">
        <w:rPr>
          <w:sz w:val="22"/>
          <w:szCs w:val="22"/>
          <w:lang w:val="sr-Latn-CS"/>
        </w:rPr>
        <w:t>procjen</w:t>
      </w:r>
      <w:r w:rsidRPr="00D21251">
        <w:rPr>
          <w:sz w:val="22"/>
          <w:szCs w:val="22"/>
          <w:lang w:val="sr-Latn-CS"/>
        </w:rPr>
        <w:t xml:space="preserve">jivati trend ovih </w:t>
      </w:r>
      <w:r w:rsidR="0071118F">
        <w:rPr>
          <w:sz w:val="22"/>
          <w:szCs w:val="22"/>
          <w:lang w:val="sr-Latn-CS"/>
        </w:rPr>
        <w:t>vrijednost</w:t>
      </w:r>
      <w:r w:rsidRPr="00D21251">
        <w:rPr>
          <w:sz w:val="22"/>
          <w:szCs w:val="22"/>
          <w:lang w:val="sr-Latn-CS"/>
        </w:rPr>
        <w:t xml:space="preserve">i. </w:t>
      </w:r>
    </w:p>
    <w:p w14:paraId="79694736" w14:textId="77777777" w:rsidR="0058338A" w:rsidRPr="00D21251" w:rsidRDefault="0058338A" w:rsidP="00531B03">
      <w:pPr>
        <w:jc w:val="both"/>
        <w:rPr>
          <w:sz w:val="22"/>
          <w:szCs w:val="22"/>
          <w:lang w:val="sr-Latn-CS"/>
        </w:rPr>
      </w:pPr>
    </w:p>
    <w:p w14:paraId="56DDCDD7" w14:textId="77777777" w:rsidR="0058338A" w:rsidRPr="00D21251" w:rsidRDefault="0058338A" w:rsidP="00531B03">
      <w:pPr>
        <w:jc w:val="both"/>
        <w:rPr>
          <w:sz w:val="22"/>
          <w:szCs w:val="22"/>
          <w:lang w:val="sr-Latn-CS"/>
        </w:rPr>
      </w:pPr>
      <w:r w:rsidRPr="00D21251">
        <w:rPr>
          <w:sz w:val="22"/>
          <w:szCs w:val="22"/>
          <w:lang w:val="sr-Latn-CS"/>
        </w:rPr>
        <w:t xml:space="preserve">U </w:t>
      </w:r>
      <w:r w:rsidR="006C19D8">
        <w:rPr>
          <w:sz w:val="22"/>
          <w:szCs w:val="22"/>
          <w:lang w:val="sr-Latn-CS"/>
        </w:rPr>
        <w:t xml:space="preserve">dvije </w:t>
      </w:r>
      <w:r w:rsidRPr="00D21251">
        <w:rPr>
          <w:sz w:val="22"/>
          <w:szCs w:val="22"/>
          <w:lang w:val="sr-Latn-CS"/>
        </w:rPr>
        <w:t>kliničke studije, utvrđeno je da deferasiroks prim</w:t>
      </w:r>
      <w:r w:rsidR="00344FF6">
        <w:rPr>
          <w:sz w:val="22"/>
          <w:szCs w:val="22"/>
          <w:lang w:val="sr-Latn-CS"/>
        </w:rPr>
        <w:t>j</w:t>
      </w:r>
      <w:r w:rsidRPr="00D21251">
        <w:rPr>
          <w:sz w:val="22"/>
          <w:szCs w:val="22"/>
          <w:lang w:val="sr-Latn-CS"/>
        </w:rPr>
        <w:t>enjivan tokom 5 godina ne utiče na rast i polni razvoj pedijatrijskih pacijenata (</w:t>
      </w:r>
      <w:r w:rsidR="009E320F">
        <w:rPr>
          <w:sz w:val="22"/>
          <w:szCs w:val="22"/>
          <w:lang w:val="sr-Latn-CS"/>
        </w:rPr>
        <w:t xml:space="preserve">vidjeti </w:t>
      </w:r>
      <w:r w:rsidR="00DE160B">
        <w:rPr>
          <w:sz w:val="22"/>
          <w:szCs w:val="22"/>
          <w:lang w:val="sr-Latn-CS"/>
        </w:rPr>
        <w:t>dio</w:t>
      </w:r>
      <w:r w:rsidR="00DE160B" w:rsidRPr="00D21251">
        <w:rPr>
          <w:sz w:val="22"/>
          <w:szCs w:val="22"/>
          <w:lang w:val="sr-Latn-CS"/>
        </w:rPr>
        <w:t xml:space="preserve"> </w:t>
      </w:r>
      <w:r w:rsidRPr="00D21251">
        <w:rPr>
          <w:sz w:val="22"/>
          <w:szCs w:val="22"/>
          <w:lang w:val="sr-Latn-CS"/>
        </w:rPr>
        <w:t>4.8). Međutim, potrebne su opšte m</w:t>
      </w:r>
      <w:r w:rsidR="009A2ACE">
        <w:rPr>
          <w:sz w:val="22"/>
          <w:szCs w:val="22"/>
          <w:lang w:val="sr-Latn-CS"/>
        </w:rPr>
        <w:t>j</w:t>
      </w:r>
      <w:r w:rsidRPr="00D21251">
        <w:rPr>
          <w:sz w:val="22"/>
          <w:szCs w:val="22"/>
          <w:lang w:val="sr-Latn-CS"/>
        </w:rPr>
        <w:t xml:space="preserve">ere predostrožnosti u vođenju pedijatrijskih pacijenata sa preopterećenjem gvožđem kao </w:t>
      </w:r>
      <w:r w:rsidR="000F5050">
        <w:rPr>
          <w:sz w:val="22"/>
          <w:szCs w:val="22"/>
          <w:lang w:val="sr-Latn-CS"/>
        </w:rPr>
        <w:t>posljed</w:t>
      </w:r>
      <w:r w:rsidRPr="00D21251">
        <w:rPr>
          <w:sz w:val="22"/>
          <w:szCs w:val="22"/>
          <w:lang w:val="sr-Latn-CS"/>
        </w:rPr>
        <w:t>ice transfuzije krvi, u vidu m</w:t>
      </w:r>
      <w:r w:rsidR="007916C3">
        <w:rPr>
          <w:sz w:val="22"/>
          <w:szCs w:val="22"/>
          <w:lang w:val="sr-Latn-CS"/>
        </w:rPr>
        <w:t>j</w:t>
      </w:r>
      <w:r w:rsidRPr="00D21251">
        <w:rPr>
          <w:sz w:val="22"/>
          <w:szCs w:val="22"/>
          <w:lang w:val="sr-Latn-CS"/>
        </w:rPr>
        <w:t xml:space="preserve">erenja </w:t>
      </w:r>
      <w:r w:rsidR="007916C3">
        <w:rPr>
          <w:sz w:val="22"/>
          <w:szCs w:val="22"/>
          <w:lang w:val="sr-Latn-CS"/>
        </w:rPr>
        <w:t>tjelesn</w:t>
      </w:r>
      <w:r w:rsidRPr="00D21251">
        <w:rPr>
          <w:sz w:val="22"/>
          <w:szCs w:val="22"/>
          <w:lang w:val="sr-Latn-CS"/>
        </w:rPr>
        <w:t>e mase, visine i praćenja njihovog polnog razvoja pr</w:t>
      </w:r>
      <w:r w:rsidR="006C19D8">
        <w:rPr>
          <w:sz w:val="22"/>
          <w:szCs w:val="22"/>
          <w:lang w:val="sr-Latn-CS"/>
        </w:rPr>
        <w:t>ij</w:t>
      </w:r>
      <w:r w:rsidRPr="00D21251">
        <w:rPr>
          <w:sz w:val="22"/>
          <w:szCs w:val="22"/>
          <w:lang w:val="sr-Latn-CS"/>
        </w:rPr>
        <w:t xml:space="preserve">e terapije i u redovnim vremenskim intervalima (svakih 12 </w:t>
      </w:r>
      <w:r w:rsidR="0071118F">
        <w:rPr>
          <w:sz w:val="22"/>
          <w:szCs w:val="22"/>
          <w:lang w:val="sr-Latn-CS"/>
        </w:rPr>
        <w:t>mjesec</w:t>
      </w:r>
      <w:r w:rsidRPr="00D21251">
        <w:rPr>
          <w:sz w:val="22"/>
          <w:szCs w:val="22"/>
          <w:lang w:val="sr-Latn-CS"/>
        </w:rPr>
        <w:t>i).</w:t>
      </w:r>
    </w:p>
    <w:p w14:paraId="162E8840" w14:textId="77777777" w:rsidR="0058338A" w:rsidRPr="00D21251" w:rsidRDefault="0058338A" w:rsidP="00531B03">
      <w:pPr>
        <w:jc w:val="both"/>
        <w:rPr>
          <w:sz w:val="22"/>
          <w:szCs w:val="22"/>
          <w:lang w:val="sr-Latn-CS"/>
        </w:rPr>
      </w:pPr>
    </w:p>
    <w:p w14:paraId="122DBC3F" w14:textId="77777777" w:rsidR="0058338A" w:rsidRPr="00D21251" w:rsidRDefault="0058338A" w:rsidP="00531B03">
      <w:pPr>
        <w:jc w:val="both"/>
        <w:rPr>
          <w:sz w:val="22"/>
          <w:szCs w:val="22"/>
          <w:lang w:val="sr-Latn-CS"/>
        </w:rPr>
      </w:pPr>
      <w:r w:rsidRPr="00D21251">
        <w:rPr>
          <w:sz w:val="22"/>
          <w:szCs w:val="22"/>
          <w:lang w:val="sr-Latn-CS"/>
        </w:rPr>
        <w:t xml:space="preserve">Poremećaj funkcije srca je poznata komplikacija teškog preopterećenja gvožđem. Zbog toga se kod pacijenata na dugotrajnoj terapiji </w:t>
      </w:r>
      <w:r w:rsidR="00344FF6">
        <w:rPr>
          <w:sz w:val="22"/>
          <w:szCs w:val="22"/>
          <w:lang w:val="sr-Latn-CS"/>
        </w:rPr>
        <w:t>lijek</w:t>
      </w:r>
      <w:r w:rsidRPr="00D21251">
        <w:rPr>
          <w:sz w:val="22"/>
          <w:szCs w:val="22"/>
          <w:lang w:val="sr-Latn-CS"/>
        </w:rPr>
        <w:t xml:space="preserve">om Exjade mora kontrolisati funkcija srca. </w:t>
      </w:r>
    </w:p>
    <w:p w14:paraId="7F9B6AD0" w14:textId="77777777" w:rsidR="00E15790" w:rsidRPr="00531B03" w:rsidRDefault="00E15790" w:rsidP="00531B03">
      <w:pPr>
        <w:tabs>
          <w:tab w:val="left" w:pos="540"/>
          <w:tab w:val="left" w:pos="569"/>
        </w:tabs>
        <w:jc w:val="both"/>
        <w:rPr>
          <w:bCs/>
          <w:sz w:val="22"/>
          <w:szCs w:val="22"/>
          <w:lang w:val="sr-Latn-CS"/>
        </w:rPr>
      </w:pPr>
    </w:p>
    <w:p w14:paraId="085DBB08" w14:textId="77777777" w:rsidR="00E15790" w:rsidRPr="00531B03" w:rsidRDefault="00E15790" w:rsidP="00531B03">
      <w:pPr>
        <w:tabs>
          <w:tab w:val="left" w:pos="540"/>
          <w:tab w:val="left" w:pos="569"/>
        </w:tabs>
        <w:jc w:val="both"/>
        <w:rPr>
          <w:bCs/>
          <w:sz w:val="22"/>
          <w:szCs w:val="22"/>
          <w:u w:val="single"/>
          <w:lang w:val="sr-Latn-CS"/>
        </w:rPr>
      </w:pPr>
      <w:r w:rsidRPr="00584DC6">
        <w:rPr>
          <w:bCs/>
          <w:sz w:val="22"/>
          <w:szCs w:val="22"/>
          <w:u w:val="single"/>
        </w:rPr>
        <w:t>Pomo</w:t>
      </w:r>
      <w:r w:rsidRPr="00531B03">
        <w:rPr>
          <w:bCs/>
          <w:sz w:val="22"/>
          <w:szCs w:val="22"/>
          <w:u w:val="single"/>
          <w:lang w:val="sr-Latn-CS"/>
        </w:rPr>
        <w:t>ć</w:t>
      </w:r>
      <w:r w:rsidRPr="00584DC6">
        <w:rPr>
          <w:bCs/>
          <w:sz w:val="22"/>
          <w:szCs w:val="22"/>
          <w:u w:val="single"/>
        </w:rPr>
        <w:t>ne</w:t>
      </w:r>
      <w:r w:rsidRPr="00531B03">
        <w:rPr>
          <w:bCs/>
          <w:sz w:val="22"/>
          <w:szCs w:val="22"/>
          <w:u w:val="single"/>
          <w:lang w:val="sr-Latn-CS"/>
        </w:rPr>
        <w:t xml:space="preserve"> </w:t>
      </w:r>
      <w:r w:rsidRPr="00584DC6">
        <w:rPr>
          <w:bCs/>
          <w:sz w:val="22"/>
          <w:szCs w:val="22"/>
          <w:u w:val="single"/>
        </w:rPr>
        <w:t>supstance</w:t>
      </w:r>
    </w:p>
    <w:p w14:paraId="0EDCD2FD" w14:textId="77777777" w:rsidR="00E15790" w:rsidRPr="00531B03" w:rsidRDefault="00E15790" w:rsidP="00531B03">
      <w:pPr>
        <w:tabs>
          <w:tab w:val="left" w:pos="540"/>
          <w:tab w:val="left" w:pos="569"/>
        </w:tabs>
        <w:jc w:val="both"/>
        <w:rPr>
          <w:bCs/>
          <w:sz w:val="22"/>
          <w:szCs w:val="22"/>
          <w:lang w:val="sr-Latn-CS"/>
        </w:rPr>
      </w:pPr>
    </w:p>
    <w:p w14:paraId="4896E669" w14:textId="77777777" w:rsidR="00057E35" w:rsidRPr="00531B03" w:rsidRDefault="00E15790" w:rsidP="00531B03">
      <w:pPr>
        <w:tabs>
          <w:tab w:val="left" w:pos="540"/>
          <w:tab w:val="left" w:pos="569"/>
        </w:tabs>
        <w:jc w:val="both"/>
        <w:rPr>
          <w:bCs/>
          <w:sz w:val="22"/>
          <w:szCs w:val="22"/>
          <w:lang w:val="sr-Latn-CS"/>
        </w:rPr>
      </w:pPr>
      <w:r w:rsidRPr="00E15790">
        <w:rPr>
          <w:bCs/>
          <w:sz w:val="22"/>
          <w:szCs w:val="22"/>
        </w:rPr>
        <w:t>L</w:t>
      </w:r>
      <w:r w:rsidR="00671C77">
        <w:rPr>
          <w:bCs/>
          <w:sz w:val="22"/>
          <w:szCs w:val="22"/>
        </w:rPr>
        <w:t>ij</w:t>
      </w:r>
      <w:r w:rsidRPr="00E15790">
        <w:rPr>
          <w:bCs/>
          <w:sz w:val="22"/>
          <w:szCs w:val="22"/>
        </w:rPr>
        <w:t>ek</w:t>
      </w:r>
      <w:r w:rsidRPr="00531B03">
        <w:rPr>
          <w:bCs/>
          <w:sz w:val="22"/>
          <w:szCs w:val="22"/>
          <w:lang w:val="sr-Latn-CS"/>
        </w:rPr>
        <w:t xml:space="preserve"> </w:t>
      </w:r>
      <w:r w:rsidRPr="00E15790">
        <w:rPr>
          <w:bCs/>
          <w:sz w:val="22"/>
          <w:szCs w:val="22"/>
        </w:rPr>
        <w:t>sadr</w:t>
      </w:r>
      <w:r w:rsidRPr="00531B03">
        <w:rPr>
          <w:bCs/>
          <w:sz w:val="22"/>
          <w:szCs w:val="22"/>
          <w:lang w:val="sr-Latn-CS"/>
        </w:rPr>
        <w:t>ž</w:t>
      </w:r>
      <w:r w:rsidRPr="00E15790">
        <w:rPr>
          <w:bCs/>
          <w:sz w:val="22"/>
          <w:szCs w:val="22"/>
        </w:rPr>
        <w:t>i</w:t>
      </w:r>
      <w:r w:rsidRPr="00531B03">
        <w:rPr>
          <w:bCs/>
          <w:sz w:val="22"/>
          <w:szCs w:val="22"/>
          <w:lang w:val="sr-Latn-CS"/>
        </w:rPr>
        <w:t xml:space="preserve"> </w:t>
      </w:r>
      <w:r w:rsidRPr="00E15790">
        <w:rPr>
          <w:bCs/>
          <w:sz w:val="22"/>
          <w:szCs w:val="22"/>
        </w:rPr>
        <w:t>manje</w:t>
      </w:r>
      <w:r w:rsidRPr="00531B03">
        <w:rPr>
          <w:bCs/>
          <w:sz w:val="22"/>
          <w:szCs w:val="22"/>
          <w:lang w:val="sr-Latn-CS"/>
        </w:rPr>
        <w:t xml:space="preserve"> </w:t>
      </w:r>
      <w:proofErr w:type="gramStart"/>
      <w:r w:rsidRPr="00E15790">
        <w:rPr>
          <w:bCs/>
          <w:sz w:val="22"/>
          <w:szCs w:val="22"/>
        </w:rPr>
        <w:t>od</w:t>
      </w:r>
      <w:proofErr w:type="gramEnd"/>
      <w:r w:rsidRPr="00531B03">
        <w:rPr>
          <w:bCs/>
          <w:sz w:val="22"/>
          <w:szCs w:val="22"/>
          <w:lang w:val="sr-Latn-CS"/>
        </w:rPr>
        <w:t xml:space="preserve"> 1 </w:t>
      </w:r>
      <w:r w:rsidRPr="00E15790">
        <w:rPr>
          <w:bCs/>
          <w:sz w:val="22"/>
          <w:szCs w:val="22"/>
        </w:rPr>
        <w:t>mmol</w:t>
      </w:r>
      <w:r w:rsidRPr="00531B03">
        <w:rPr>
          <w:bCs/>
          <w:sz w:val="22"/>
          <w:szCs w:val="22"/>
          <w:lang w:val="sr-Latn-CS"/>
        </w:rPr>
        <w:t xml:space="preserve"> (23 </w:t>
      </w:r>
      <w:r w:rsidRPr="00E15790">
        <w:rPr>
          <w:bCs/>
          <w:sz w:val="22"/>
          <w:szCs w:val="22"/>
        </w:rPr>
        <w:t>mg</w:t>
      </w:r>
      <w:r w:rsidRPr="00531B03">
        <w:rPr>
          <w:bCs/>
          <w:sz w:val="22"/>
          <w:szCs w:val="22"/>
          <w:lang w:val="sr-Latn-CS"/>
        </w:rPr>
        <w:t xml:space="preserve">) </w:t>
      </w:r>
      <w:r w:rsidRPr="00E15790">
        <w:rPr>
          <w:bCs/>
          <w:sz w:val="22"/>
          <w:szCs w:val="22"/>
        </w:rPr>
        <w:t>natrijuma</w:t>
      </w:r>
      <w:r w:rsidRPr="00531B03">
        <w:rPr>
          <w:bCs/>
          <w:sz w:val="22"/>
          <w:szCs w:val="22"/>
          <w:lang w:val="sr-Latn-CS"/>
        </w:rPr>
        <w:t xml:space="preserve"> </w:t>
      </w:r>
      <w:r w:rsidRPr="00E15790">
        <w:rPr>
          <w:bCs/>
          <w:sz w:val="22"/>
          <w:szCs w:val="22"/>
        </w:rPr>
        <w:t>po</w:t>
      </w:r>
      <w:r w:rsidRPr="00531B03">
        <w:rPr>
          <w:bCs/>
          <w:sz w:val="22"/>
          <w:szCs w:val="22"/>
          <w:lang w:val="sr-Latn-CS"/>
        </w:rPr>
        <w:t xml:space="preserve"> </w:t>
      </w:r>
      <w:r w:rsidRPr="00E15790">
        <w:rPr>
          <w:bCs/>
          <w:sz w:val="22"/>
          <w:szCs w:val="22"/>
        </w:rPr>
        <w:t>film</w:t>
      </w:r>
      <w:r w:rsidRPr="00531B03">
        <w:rPr>
          <w:bCs/>
          <w:sz w:val="22"/>
          <w:szCs w:val="22"/>
          <w:lang w:val="sr-Latn-CS"/>
        </w:rPr>
        <w:t xml:space="preserve"> </w:t>
      </w:r>
      <w:r w:rsidRPr="00E15790">
        <w:rPr>
          <w:bCs/>
          <w:sz w:val="22"/>
          <w:szCs w:val="22"/>
        </w:rPr>
        <w:t>tableti</w:t>
      </w:r>
      <w:r w:rsidRPr="00531B03">
        <w:rPr>
          <w:bCs/>
          <w:sz w:val="22"/>
          <w:szCs w:val="22"/>
          <w:lang w:val="sr-Latn-CS"/>
        </w:rPr>
        <w:t xml:space="preserve">, </w:t>
      </w:r>
      <w:r w:rsidRPr="00E15790">
        <w:rPr>
          <w:bCs/>
          <w:sz w:val="22"/>
          <w:szCs w:val="22"/>
        </w:rPr>
        <w:t>odnosno</w:t>
      </w:r>
      <w:r w:rsidRPr="00531B03">
        <w:rPr>
          <w:bCs/>
          <w:sz w:val="22"/>
          <w:szCs w:val="22"/>
          <w:lang w:val="sr-Latn-CS"/>
        </w:rPr>
        <w:t xml:space="preserve"> </w:t>
      </w:r>
      <w:r w:rsidRPr="00E15790">
        <w:rPr>
          <w:bCs/>
          <w:sz w:val="22"/>
          <w:szCs w:val="22"/>
        </w:rPr>
        <w:t>su</w:t>
      </w:r>
      <w:r w:rsidRPr="00531B03">
        <w:rPr>
          <w:bCs/>
          <w:sz w:val="22"/>
          <w:szCs w:val="22"/>
          <w:lang w:val="sr-Latn-CS"/>
        </w:rPr>
        <w:t>š</w:t>
      </w:r>
      <w:r w:rsidRPr="00E15790">
        <w:rPr>
          <w:bCs/>
          <w:sz w:val="22"/>
          <w:szCs w:val="22"/>
        </w:rPr>
        <w:t>tinski</w:t>
      </w:r>
      <w:r w:rsidRPr="00531B03">
        <w:rPr>
          <w:bCs/>
          <w:sz w:val="22"/>
          <w:szCs w:val="22"/>
          <w:lang w:val="sr-Latn-CS"/>
        </w:rPr>
        <w:t xml:space="preserve"> </w:t>
      </w:r>
      <w:r w:rsidRPr="00E15790">
        <w:rPr>
          <w:bCs/>
          <w:sz w:val="22"/>
          <w:szCs w:val="22"/>
        </w:rPr>
        <w:t>je</w:t>
      </w:r>
      <w:r w:rsidRPr="00531B03">
        <w:rPr>
          <w:bCs/>
          <w:sz w:val="22"/>
          <w:szCs w:val="22"/>
          <w:lang w:val="sr-Latn-CS"/>
        </w:rPr>
        <w:t xml:space="preserve"> </w:t>
      </w:r>
      <w:r w:rsidRPr="00E15790">
        <w:rPr>
          <w:bCs/>
          <w:sz w:val="22"/>
          <w:szCs w:val="22"/>
        </w:rPr>
        <w:t>bez</w:t>
      </w:r>
      <w:r w:rsidRPr="00531B03">
        <w:rPr>
          <w:bCs/>
          <w:sz w:val="22"/>
          <w:szCs w:val="22"/>
          <w:lang w:val="sr-Latn-CS"/>
        </w:rPr>
        <w:t xml:space="preserve"> </w:t>
      </w:r>
      <w:r w:rsidRPr="00E15790">
        <w:rPr>
          <w:bCs/>
          <w:sz w:val="22"/>
          <w:szCs w:val="22"/>
        </w:rPr>
        <w:t>natrijuma</w:t>
      </w:r>
      <w:r w:rsidRPr="00531B03">
        <w:rPr>
          <w:bCs/>
          <w:sz w:val="22"/>
          <w:szCs w:val="22"/>
          <w:lang w:val="sr-Latn-CS"/>
        </w:rPr>
        <w:t>.</w:t>
      </w:r>
    </w:p>
    <w:p w14:paraId="60123451" w14:textId="77777777" w:rsidR="00E15790" w:rsidRPr="00531B03" w:rsidRDefault="00E15790" w:rsidP="00531B03">
      <w:pPr>
        <w:tabs>
          <w:tab w:val="left" w:pos="540"/>
          <w:tab w:val="left" w:pos="569"/>
        </w:tabs>
        <w:jc w:val="both"/>
        <w:rPr>
          <w:bCs/>
          <w:sz w:val="22"/>
          <w:szCs w:val="22"/>
          <w:lang w:val="sr-Latn-CS"/>
        </w:rPr>
      </w:pPr>
    </w:p>
    <w:p w14:paraId="356DF007" w14:textId="77777777" w:rsidR="00411B4B" w:rsidRPr="00D21251" w:rsidRDefault="00411B4B" w:rsidP="00531B03">
      <w:pPr>
        <w:tabs>
          <w:tab w:val="left" w:pos="540"/>
          <w:tab w:val="left" w:pos="569"/>
        </w:tabs>
        <w:jc w:val="both"/>
        <w:rPr>
          <w:b/>
          <w:bCs/>
          <w:sz w:val="22"/>
          <w:szCs w:val="22"/>
        </w:rPr>
      </w:pPr>
      <w:proofErr w:type="gramStart"/>
      <w:r w:rsidRPr="00D21251">
        <w:rPr>
          <w:b/>
          <w:bCs/>
          <w:sz w:val="22"/>
          <w:szCs w:val="22"/>
        </w:rPr>
        <w:t>4.5.</w:t>
      </w:r>
      <w:r w:rsidR="000D60CC" w:rsidRPr="00D21251">
        <w:rPr>
          <w:b/>
          <w:bCs/>
          <w:sz w:val="22"/>
          <w:szCs w:val="22"/>
        </w:rPr>
        <w:tab/>
      </w:r>
      <w:r w:rsidRPr="00D21251">
        <w:rPr>
          <w:b/>
          <w:bCs/>
          <w:sz w:val="22"/>
          <w:szCs w:val="22"/>
        </w:rPr>
        <w:t>Interakcije sa</w:t>
      </w:r>
      <w:proofErr w:type="gramEnd"/>
      <w:r w:rsidRPr="00D21251">
        <w:rPr>
          <w:b/>
          <w:bCs/>
          <w:sz w:val="22"/>
          <w:szCs w:val="22"/>
        </w:rPr>
        <w:t xml:space="preserve"> drugim ljekovima i druge vrste interakcija</w:t>
      </w:r>
    </w:p>
    <w:p w14:paraId="559E05E6" w14:textId="77777777" w:rsidR="00D21251" w:rsidRDefault="00D21251" w:rsidP="00531B03">
      <w:pPr>
        <w:jc w:val="both"/>
        <w:rPr>
          <w:sz w:val="22"/>
          <w:szCs w:val="22"/>
          <w:lang w:val="sr-Latn-CS"/>
        </w:rPr>
      </w:pPr>
    </w:p>
    <w:p w14:paraId="2A551BBA" w14:textId="77777777" w:rsidR="0058338A" w:rsidRPr="00D21251" w:rsidRDefault="0058338A" w:rsidP="00531B03">
      <w:pPr>
        <w:jc w:val="both"/>
        <w:rPr>
          <w:sz w:val="22"/>
          <w:szCs w:val="22"/>
          <w:lang w:val="sr-Latn-CS"/>
        </w:rPr>
      </w:pPr>
      <w:r w:rsidRPr="00D21251">
        <w:rPr>
          <w:sz w:val="22"/>
          <w:szCs w:val="22"/>
          <w:lang w:val="sr-Latn-CS"/>
        </w:rPr>
        <w:t>Bezb</w:t>
      </w:r>
      <w:r w:rsidR="000F5050">
        <w:rPr>
          <w:sz w:val="22"/>
          <w:szCs w:val="22"/>
          <w:lang w:val="sr-Latn-CS"/>
        </w:rPr>
        <w:t>j</w:t>
      </w:r>
      <w:r w:rsidRPr="00D21251">
        <w:rPr>
          <w:sz w:val="22"/>
          <w:szCs w:val="22"/>
          <w:lang w:val="sr-Latn-CS"/>
        </w:rPr>
        <w:t>ednost prim</w:t>
      </w:r>
      <w:r w:rsidR="00344FF6">
        <w:rPr>
          <w:sz w:val="22"/>
          <w:szCs w:val="22"/>
          <w:lang w:val="sr-Latn-CS"/>
        </w:rPr>
        <w:t>j</w:t>
      </w:r>
      <w:r w:rsidRPr="00D21251">
        <w:rPr>
          <w:sz w:val="22"/>
          <w:szCs w:val="22"/>
          <w:lang w:val="sr-Latn-CS"/>
        </w:rPr>
        <w:t xml:space="preserve">ene deferasiroksa u kombinaciji sa drugim helatorima gvožđa nije ustanovljena. Zbog toga se </w:t>
      </w:r>
      <w:r w:rsidR="000F5050">
        <w:rPr>
          <w:sz w:val="22"/>
          <w:szCs w:val="22"/>
          <w:lang w:val="sr-Latn-CS"/>
        </w:rPr>
        <w:t>ne smije</w:t>
      </w:r>
      <w:r w:rsidRPr="00D21251">
        <w:rPr>
          <w:sz w:val="22"/>
          <w:szCs w:val="22"/>
          <w:lang w:val="sr-Latn-CS"/>
        </w:rPr>
        <w:t xml:space="preserve"> kombinovati sa drugim helatorima gvožđa (</w:t>
      </w:r>
      <w:r w:rsidR="009E320F">
        <w:rPr>
          <w:sz w:val="22"/>
          <w:szCs w:val="22"/>
          <w:lang w:val="sr-Latn-CS"/>
        </w:rPr>
        <w:t xml:space="preserve">vidjeti </w:t>
      </w:r>
      <w:r w:rsidR="00671C77">
        <w:rPr>
          <w:sz w:val="22"/>
          <w:szCs w:val="22"/>
          <w:lang w:val="sr-Latn-CS"/>
        </w:rPr>
        <w:t>dio</w:t>
      </w:r>
      <w:r w:rsidR="00671C77" w:rsidRPr="00D21251">
        <w:rPr>
          <w:sz w:val="22"/>
          <w:szCs w:val="22"/>
          <w:lang w:val="sr-Latn-CS"/>
        </w:rPr>
        <w:t xml:space="preserve"> </w:t>
      </w:r>
      <w:r w:rsidRPr="00D21251">
        <w:rPr>
          <w:sz w:val="22"/>
          <w:szCs w:val="22"/>
          <w:lang w:val="sr-Latn-CS"/>
        </w:rPr>
        <w:t>4.3).</w:t>
      </w:r>
    </w:p>
    <w:p w14:paraId="1E1579E0" w14:textId="77777777" w:rsidR="0058338A" w:rsidRPr="00D21251" w:rsidRDefault="0058338A" w:rsidP="00531B03">
      <w:pPr>
        <w:pStyle w:val="Header"/>
        <w:tabs>
          <w:tab w:val="left" w:pos="284"/>
        </w:tabs>
        <w:jc w:val="both"/>
        <w:rPr>
          <w:sz w:val="22"/>
          <w:szCs w:val="22"/>
          <w:lang w:val="sr-Latn-CS"/>
        </w:rPr>
      </w:pPr>
    </w:p>
    <w:p w14:paraId="38F14EE8" w14:textId="77777777" w:rsidR="0058338A" w:rsidRPr="00D21251" w:rsidRDefault="0058338A" w:rsidP="00531B03">
      <w:pPr>
        <w:jc w:val="both"/>
        <w:rPr>
          <w:sz w:val="22"/>
          <w:szCs w:val="22"/>
          <w:u w:val="single"/>
          <w:lang w:val="sr-Latn-CS"/>
        </w:rPr>
      </w:pPr>
      <w:r w:rsidRPr="00D21251">
        <w:rPr>
          <w:sz w:val="22"/>
          <w:szCs w:val="22"/>
          <w:u w:val="single"/>
          <w:lang w:val="sr-Latn-CS"/>
        </w:rPr>
        <w:t>Interakcija sa hranom</w:t>
      </w:r>
    </w:p>
    <w:p w14:paraId="1C6CED87" w14:textId="77777777" w:rsidR="0058338A" w:rsidRPr="00D21251" w:rsidRDefault="0058338A" w:rsidP="00531B03">
      <w:pPr>
        <w:jc w:val="both"/>
        <w:rPr>
          <w:sz w:val="22"/>
          <w:szCs w:val="22"/>
          <w:lang w:val="sr-Latn-CS"/>
        </w:rPr>
      </w:pPr>
      <w:r w:rsidRPr="00D21251">
        <w:rPr>
          <w:sz w:val="22"/>
          <w:szCs w:val="22"/>
          <w:lang w:val="sr-Latn-CS"/>
        </w:rPr>
        <w:t>C</w:t>
      </w:r>
      <w:r w:rsidRPr="00D21251">
        <w:rPr>
          <w:sz w:val="22"/>
          <w:szCs w:val="22"/>
          <w:vertAlign w:val="subscript"/>
          <w:lang w:val="sr-Latn-CS"/>
        </w:rPr>
        <w:t>max</w:t>
      </w:r>
      <w:r w:rsidRPr="00D21251">
        <w:rPr>
          <w:sz w:val="22"/>
          <w:szCs w:val="22"/>
          <w:lang w:val="sr-Latn-CS"/>
        </w:rPr>
        <w:t xml:space="preserve"> deferasiroks film tableta </w:t>
      </w:r>
      <w:r w:rsidR="00671C77">
        <w:rPr>
          <w:sz w:val="22"/>
          <w:szCs w:val="22"/>
          <w:lang w:val="sr-Latn-CS"/>
        </w:rPr>
        <w:t xml:space="preserve">bila </w:t>
      </w:r>
      <w:r w:rsidRPr="00D21251">
        <w:rPr>
          <w:sz w:val="22"/>
          <w:szCs w:val="22"/>
          <w:lang w:val="sr-Latn-CS"/>
        </w:rPr>
        <w:t xml:space="preserve">je </w:t>
      </w:r>
      <w:r w:rsidR="008A3015">
        <w:rPr>
          <w:sz w:val="22"/>
          <w:szCs w:val="22"/>
          <w:lang w:val="sr-Latn-CS"/>
        </w:rPr>
        <w:t>povećan</w:t>
      </w:r>
      <w:r w:rsidR="00671C77">
        <w:rPr>
          <w:sz w:val="22"/>
          <w:szCs w:val="22"/>
          <w:lang w:val="sr-Latn-CS"/>
        </w:rPr>
        <w:t>a</w:t>
      </w:r>
      <w:r w:rsidRPr="00D21251">
        <w:rPr>
          <w:sz w:val="22"/>
          <w:szCs w:val="22"/>
          <w:lang w:val="sr-Latn-CS"/>
        </w:rPr>
        <w:t xml:space="preserve"> (za 29%) kada </w:t>
      </w:r>
      <w:r w:rsidR="00671C77">
        <w:rPr>
          <w:sz w:val="22"/>
          <w:szCs w:val="22"/>
          <w:lang w:val="sr-Latn-CS"/>
        </w:rPr>
        <w:t xml:space="preserve">su </w:t>
      </w:r>
      <w:r w:rsidRPr="00D21251">
        <w:rPr>
          <w:sz w:val="22"/>
          <w:szCs w:val="22"/>
          <w:lang w:val="sr-Latn-CS"/>
        </w:rPr>
        <w:t>se uzima</w:t>
      </w:r>
      <w:r w:rsidR="00671C77">
        <w:rPr>
          <w:sz w:val="22"/>
          <w:szCs w:val="22"/>
          <w:lang w:val="sr-Latn-CS"/>
        </w:rPr>
        <w:t>le</w:t>
      </w:r>
      <w:r w:rsidRPr="00D21251">
        <w:rPr>
          <w:sz w:val="22"/>
          <w:szCs w:val="22"/>
          <w:lang w:val="sr-Latn-CS"/>
        </w:rPr>
        <w:t xml:space="preserve"> zajedno sa hranom koja ima visok sadržaj masti. </w:t>
      </w:r>
      <w:r w:rsidR="00344FF6">
        <w:rPr>
          <w:sz w:val="22"/>
          <w:szCs w:val="22"/>
          <w:lang w:val="sr-Latn-CS"/>
        </w:rPr>
        <w:t>Lijek</w:t>
      </w:r>
      <w:r w:rsidRPr="00D21251">
        <w:rPr>
          <w:sz w:val="22"/>
          <w:szCs w:val="22"/>
          <w:lang w:val="sr-Latn-CS"/>
        </w:rPr>
        <w:t xml:space="preserve"> Exjade, film tablete može da se uzima ili na prazan stomak ili sa lakim obrokom, po mogućnosti svakog dana u isto vr</w:t>
      </w:r>
      <w:r w:rsidR="009A2ACE">
        <w:rPr>
          <w:sz w:val="22"/>
          <w:szCs w:val="22"/>
          <w:lang w:val="sr-Latn-CS"/>
        </w:rPr>
        <w:t>ij</w:t>
      </w:r>
      <w:r w:rsidRPr="00D21251">
        <w:rPr>
          <w:sz w:val="22"/>
          <w:szCs w:val="22"/>
          <w:lang w:val="sr-Latn-CS"/>
        </w:rPr>
        <w:t>eme (vid</w:t>
      </w:r>
      <w:r w:rsidR="00F90136">
        <w:rPr>
          <w:sz w:val="22"/>
          <w:szCs w:val="22"/>
          <w:lang w:val="sr-Latn-CS"/>
        </w:rPr>
        <w:t>j</w:t>
      </w:r>
      <w:r w:rsidRPr="00D21251">
        <w:rPr>
          <w:sz w:val="22"/>
          <w:szCs w:val="22"/>
          <w:lang w:val="sr-Latn-CS"/>
        </w:rPr>
        <w:t xml:space="preserve">eti </w:t>
      </w:r>
      <w:r w:rsidR="00671C77">
        <w:rPr>
          <w:sz w:val="22"/>
          <w:szCs w:val="22"/>
          <w:lang w:val="sr-Latn-CS"/>
        </w:rPr>
        <w:t>djelove</w:t>
      </w:r>
      <w:r w:rsidR="00671C77" w:rsidRPr="00D21251">
        <w:rPr>
          <w:sz w:val="22"/>
          <w:szCs w:val="22"/>
          <w:lang w:val="sr-Latn-CS"/>
        </w:rPr>
        <w:t xml:space="preserve"> </w:t>
      </w:r>
      <w:r w:rsidRPr="00D21251">
        <w:rPr>
          <w:sz w:val="22"/>
          <w:szCs w:val="22"/>
          <w:lang w:val="sr-Latn-CS"/>
        </w:rPr>
        <w:t>4.2 i 5.2).</w:t>
      </w:r>
    </w:p>
    <w:p w14:paraId="19E12651" w14:textId="77777777" w:rsidR="0058338A" w:rsidRPr="00D21251" w:rsidRDefault="0058338A" w:rsidP="00531B03">
      <w:pPr>
        <w:jc w:val="both"/>
        <w:rPr>
          <w:sz w:val="22"/>
          <w:szCs w:val="22"/>
          <w:lang w:val="sr-Latn-CS"/>
        </w:rPr>
      </w:pPr>
    </w:p>
    <w:p w14:paraId="6D87B5D5" w14:textId="77777777" w:rsidR="0058338A" w:rsidRPr="00D21251" w:rsidRDefault="00344FF6" w:rsidP="00531B03">
      <w:pPr>
        <w:jc w:val="both"/>
        <w:rPr>
          <w:sz w:val="22"/>
          <w:szCs w:val="22"/>
          <w:u w:val="single"/>
          <w:lang w:val="sr-Latn-CS"/>
        </w:rPr>
      </w:pPr>
      <w:r>
        <w:rPr>
          <w:sz w:val="22"/>
          <w:szCs w:val="22"/>
          <w:u w:val="single"/>
          <w:lang w:val="sr-Latn-CS"/>
        </w:rPr>
        <w:t>Ljekovi</w:t>
      </w:r>
      <w:r w:rsidR="0058338A" w:rsidRPr="00D21251">
        <w:rPr>
          <w:sz w:val="22"/>
          <w:szCs w:val="22"/>
          <w:u w:val="single"/>
          <w:lang w:val="sr-Latn-CS"/>
        </w:rPr>
        <w:t xml:space="preserve"> koji mogu da smanje sistemsku izloženost </w:t>
      </w:r>
      <w:r>
        <w:rPr>
          <w:sz w:val="22"/>
          <w:szCs w:val="22"/>
          <w:u w:val="single"/>
          <w:lang w:val="sr-Latn-CS"/>
        </w:rPr>
        <w:t>lijek</w:t>
      </w:r>
      <w:r w:rsidR="0058338A" w:rsidRPr="00D21251">
        <w:rPr>
          <w:sz w:val="22"/>
          <w:szCs w:val="22"/>
          <w:u w:val="single"/>
          <w:lang w:val="sr-Latn-CS"/>
        </w:rPr>
        <w:t>u Exjade</w:t>
      </w:r>
    </w:p>
    <w:p w14:paraId="0A57A65E" w14:textId="77777777" w:rsidR="0058338A" w:rsidRPr="00D21251" w:rsidRDefault="0058338A" w:rsidP="00531B03">
      <w:pPr>
        <w:jc w:val="both"/>
        <w:rPr>
          <w:sz w:val="22"/>
          <w:szCs w:val="22"/>
          <w:lang w:val="sr-Latn-CS"/>
        </w:rPr>
      </w:pPr>
      <w:r w:rsidRPr="00D21251">
        <w:rPr>
          <w:sz w:val="22"/>
          <w:szCs w:val="22"/>
          <w:lang w:val="sr-Latn-CS"/>
        </w:rPr>
        <w:t>Metabolizam deferasiroksa zavisi od UGT enzima. U studiji sprovedenoj kod zdravih dobrovoljaca, istovremena prim</w:t>
      </w:r>
      <w:r w:rsidR="00344FF6">
        <w:rPr>
          <w:sz w:val="22"/>
          <w:szCs w:val="22"/>
          <w:lang w:val="sr-Latn-CS"/>
        </w:rPr>
        <w:t>j</w:t>
      </w:r>
      <w:r w:rsidRPr="00D21251">
        <w:rPr>
          <w:sz w:val="22"/>
          <w:szCs w:val="22"/>
          <w:lang w:val="sr-Latn-CS"/>
        </w:rPr>
        <w:t>ena deferasiroksa (pojedinačna doza od 30 mg/kg u formulaciji disperzibilne tablete) i snažnog UGT induktora, rifampicina (ponavljana doza od 600 mg/dan) dovela je do smanjenja izloženosti deferasiroksu za 44% (90% CI: 37%-51%). Zbog toga, istovremena prim</w:t>
      </w:r>
      <w:r w:rsidR="00344FF6">
        <w:rPr>
          <w:sz w:val="22"/>
          <w:szCs w:val="22"/>
          <w:lang w:val="sr-Latn-CS"/>
        </w:rPr>
        <w:t>j</w:t>
      </w:r>
      <w:r w:rsidRPr="00D21251">
        <w:rPr>
          <w:sz w:val="22"/>
          <w:szCs w:val="22"/>
          <w:lang w:val="sr-Latn-CS"/>
        </w:rPr>
        <w:t xml:space="preserve">ena </w:t>
      </w:r>
      <w:r w:rsidR="00344FF6">
        <w:rPr>
          <w:sz w:val="22"/>
          <w:szCs w:val="22"/>
          <w:lang w:val="sr-Latn-CS"/>
        </w:rPr>
        <w:t>lijek</w:t>
      </w:r>
      <w:r w:rsidRPr="00D21251">
        <w:rPr>
          <w:sz w:val="22"/>
          <w:szCs w:val="22"/>
          <w:lang w:val="sr-Latn-CS"/>
        </w:rPr>
        <w:t xml:space="preserve">a Exjade i snažnog UGT induktora (npr. rifampicin, karbamazepin, fenitoin, fenobarbiton, ritonavir) može dovesti do smanjenja efikasnosti </w:t>
      </w:r>
      <w:r w:rsidR="00344FF6">
        <w:rPr>
          <w:sz w:val="22"/>
          <w:szCs w:val="22"/>
          <w:lang w:val="sr-Latn-CS"/>
        </w:rPr>
        <w:t>lijek</w:t>
      </w:r>
      <w:r w:rsidRPr="00D21251">
        <w:rPr>
          <w:sz w:val="22"/>
          <w:szCs w:val="22"/>
          <w:lang w:val="sr-Latn-CS"/>
        </w:rPr>
        <w:t xml:space="preserve">a Exjade. Treba pratiti </w:t>
      </w:r>
      <w:r w:rsidR="0071118F">
        <w:rPr>
          <w:sz w:val="22"/>
          <w:szCs w:val="22"/>
          <w:lang w:val="sr-Latn-CS"/>
        </w:rPr>
        <w:t>vrijednost</w:t>
      </w:r>
      <w:r w:rsidRPr="00D21251">
        <w:rPr>
          <w:sz w:val="22"/>
          <w:szCs w:val="22"/>
          <w:lang w:val="sr-Latn-CS"/>
        </w:rPr>
        <w:t>i serumskog feritina kod pacijenta za vr</w:t>
      </w:r>
      <w:r w:rsidR="009A2ACE">
        <w:rPr>
          <w:sz w:val="22"/>
          <w:szCs w:val="22"/>
          <w:lang w:val="sr-Latn-CS"/>
        </w:rPr>
        <w:t>ij</w:t>
      </w:r>
      <w:r w:rsidRPr="00D21251">
        <w:rPr>
          <w:sz w:val="22"/>
          <w:szCs w:val="22"/>
          <w:lang w:val="sr-Latn-CS"/>
        </w:rPr>
        <w:t xml:space="preserve">eme i </w:t>
      </w:r>
      <w:r w:rsidR="00CF7D2F">
        <w:rPr>
          <w:sz w:val="22"/>
          <w:szCs w:val="22"/>
          <w:lang w:val="sr-Latn-CS"/>
        </w:rPr>
        <w:t>poslije</w:t>
      </w:r>
      <w:r w:rsidRPr="00D21251">
        <w:rPr>
          <w:sz w:val="22"/>
          <w:szCs w:val="22"/>
          <w:lang w:val="sr-Latn-CS"/>
        </w:rPr>
        <w:t xml:space="preserve"> istovremene prim</w:t>
      </w:r>
      <w:r w:rsidR="00344FF6">
        <w:rPr>
          <w:sz w:val="22"/>
          <w:szCs w:val="22"/>
          <w:lang w:val="sr-Latn-CS"/>
        </w:rPr>
        <w:t>j</w:t>
      </w:r>
      <w:r w:rsidRPr="00D21251">
        <w:rPr>
          <w:sz w:val="22"/>
          <w:szCs w:val="22"/>
          <w:lang w:val="sr-Latn-CS"/>
        </w:rPr>
        <w:t>ene</w:t>
      </w:r>
      <w:r w:rsidR="00A26F6D">
        <w:rPr>
          <w:sz w:val="22"/>
          <w:szCs w:val="22"/>
          <w:lang w:val="sr-Latn-CS"/>
        </w:rPr>
        <w:t>,</w:t>
      </w:r>
      <w:r w:rsidRPr="00D21251">
        <w:rPr>
          <w:sz w:val="22"/>
          <w:szCs w:val="22"/>
          <w:lang w:val="sr-Latn-CS"/>
        </w:rPr>
        <w:t xml:space="preserve"> i prilagođavati dozu </w:t>
      </w:r>
      <w:r w:rsidR="00344FF6">
        <w:rPr>
          <w:sz w:val="22"/>
          <w:szCs w:val="22"/>
          <w:lang w:val="sr-Latn-CS"/>
        </w:rPr>
        <w:t>lijek</w:t>
      </w:r>
      <w:r w:rsidRPr="00D21251">
        <w:rPr>
          <w:sz w:val="22"/>
          <w:szCs w:val="22"/>
          <w:lang w:val="sr-Latn-CS"/>
        </w:rPr>
        <w:t>a Exjade</w:t>
      </w:r>
      <w:r w:rsidRPr="00D21251">
        <w:rPr>
          <w:b/>
          <w:bCs/>
          <w:sz w:val="22"/>
          <w:szCs w:val="22"/>
          <w:vertAlign w:val="superscript"/>
          <w:lang w:val="sr-Latn-CS"/>
        </w:rPr>
        <w:t xml:space="preserve"> </w:t>
      </w:r>
      <w:r w:rsidRPr="00D21251">
        <w:rPr>
          <w:bCs/>
          <w:sz w:val="22"/>
          <w:szCs w:val="22"/>
          <w:lang w:val="sr-Latn-CS"/>
        </w:rPr>
        <w:t>ukoliko</w:t>
      </w:r>
      <w:r w:rsidRPr="00D21251">
        <w:rPr>
          <w:sz w:val="22"/>
          <w:szCs w:val="22"/>
          <w:lang w:val="sr-Latn-CS"/>
        </w:rPr>
        <w:t xml:space="preserve"> je potrebno.</w:t>
      </w:r>
    </w:p>
    <w:p w14:paraId="5F960C88" w14:textId="77777777" w:rsidR="0058338A" w:rsidRPr="00D21251" w:rsidRDefault="0058338A" w:rsidP="00531B03">
      <w:pPr>
        <w:jc w:val="both"/>
        <w:rPr>
          <w:sz w:val="22"/>
          <w:szCs w:val="22"/>
          <w:lang w:val="sr-Latn-CS"/>
        </w:rPr>
      </w:pPr>
    </w:p>
    <w:p w14:paraId="1A6BB9F1" w14:textId="77777777" w:rsidR="0058338A" w:rsidRPr="00D21251" w:rsidRDefault="0058338A" w:rsidP="00531B03">
      <w:pPr>
        <w:jc w:val="both"/>
        <w:rPr>
          <w:sz w:val="22"/>
          <w:szCs w:val="22"/>
          <w:lang w:val="sr-Latn-CS"/>
        </w:rPr>
      </w:pPr>
      <w:r w:rsidRPr="00D21251">
        <w:rPr>
          <w:sz w:val="22"/>
          <w:szCs w:val="22"/>
          <w:lang w:val="sr-Latn-CS"/>
        </w:rPr>
        <w:t>Holestiramin je značajno smanjio izloženost deferasiroksu u mehanističkoj studiji sprovedenoj radi određivanja stepena enterohepatičke recirkulacije (</w:t>
      </w:r>
      <w:r w:rsidR="009E320F">
        <w:rPr>
          <w:sz w:val="22"/>
          <w:szCs w:val="22"/>
          <w:lang w:val="sr-Latn-CS"/>
        </w:rPr>
        <w:t xml:space="preserve">vidjeti </w:t>
      </w:r>
      <w:r w:rsidR="00C30F21">
        <w:rPr>
          <w:sz w:val="22"/>
          <w:szCs w:val="22"/>
          <w:lang w:val="sr-Latn-CS"/>
        </w:rPr>
        <w:t>dio</w:t>
      </w:r>
      <w:r w:rsidR="00C30F21" w:rsidRPr="00D21251">
        <w:rPr>
          <w:sz w:val="22"/>
          <w:szCs w:val="22"/>
          <w:lang w:val="sr-Latn-CS"/>
        </w:rPr>
        <w:t xml:space="preserve"> </w:t>
      </w:r>
      <w:r w:rsidRPr="00D21251">
        <w:rPr>
          <w:sz w:val="22"/>
          <w:szCs w:val="22"/>
          <w:lang w:val="sr-Latn-CS"/>
        </w:rPr>
        <w:t>5.2).</w:t>
      </w:r>
    </w:p>
    <w:p w14:paraId="31C901AF" w14:textId="77777777" w:rsidR="0058338A" w:rsidRPr="00D21251" w:rsidRDefault="0058338A" w:rsidP="00531B03">
      <w:pPr>
        <w:jc w:val="both"/>
        <w:rPr>
          <w:sz w:val="22"/>
          <w:szCs w:val="22"/>
          <w:lang w:val="sr-Latn-CS"/>
        </w:rPr>
      </w:pPr>
    </w:p>
    <w:p w14:paraId="075253B8" w14:textId="77777777" w:rsidR="0058338A" w:rsidRPr="00D21251" w:rsidRDefault="0058338A" w:rsidP="00531B03">
      <w:pPr>
        <w:jc w:val="both"/>
        <w:rPr>
          <w:sz w:val="22"/>
          <w:szCs w:val="22"/>
          <w:u w:val="single"/>
          <w:lang w:val="sr-Latn-CS"/>
        </w:rPr>
      </w:pPr>
      <w:r w:rsidRPr="00D21251">
        <w:rPr>
          <w:sz w:val="22"/>
          <w:szCs w:val="22"/>
          <w:u w:val="single"/>
          <w:lang w:val="sr-Latn-CS"/>
        </w:rPr>
        <w:t xml:space="preserve">Interakcija sa midazolamom i drugim </w:t>
      </w:r>
      <w:r w:rsidR="00344FF6">
        <w:rPr>
          <w:sz w:val="22"/>
          <w:szCs w:val="22"/>
          <w:u w:val="single"/>
          <w:lang w:val="sr-Latn-CS"/>
        </w:rPr>
        <w:t>ljekovima</w:t>
      </w:r>
      <w:r w:rsidRPr="00D21251">
        <w:rPr>
          <w:sz w:val="22"/>
          <w:szCs w:val="22"/>
          <w:u w:val="single"/>
          <w:lang w:val="sr-Latn-CS"/>
        </w:rPr>
        <w:t xml:space="preserve"> koji se metabolišu putem CYP3A4</w:t>
      </w:r>
    </w:p>
    <w:p w14:paraId="7C6275B5" w14:textId="77777777" w:rsidR="0058338A" w:rsidRPr="00D21251" w:rsidRDefault="0058338A" w:rsidP="00531B03">
      <w:pPr>
        <w:jc w:val="both"/>
        <w:rPr>
          <w:sz w:val="22"/>
          <w:szCs w:val="22"/>
          <w:lang w:val="sr-Latn-CS"/>
        </w:rPr>
      </w:pPr>
      <w:r w:rsidRPr="00D21251">
        <w:rPr>
          <w:sz w:val="22"/>
          <w:szCs w:val="22"/>
          <w:lang w:val="sr-Latn-CS"/>
        </w:rPr>
        <w:t xml:space="preserve">U studiji </w:t>
      </w:r>
      <w:r w:rsidR="006372BE">
        <w:rPr>
          <w:sz w:val="22"/>
          <w:szCs w:val="22"/>
          <w:lang w:val="sr-Latn-CS"/>
        </w:rPr>
        <w:t xml:space="preserve">sprovedenoj </w:t>
      </w:r>
      <w:r w:rsidRPr="00D21251">
        <w:rPr>
          <w:sz w:val="22"/>
          <w:szCs w:val="22"/>
          <w:lang w:val="sr-Latn-CS"/>
        </w:rPr>
        <w:t>kod zdravih dobrovoljaca, istovremena prim</w:t>
      </w:r>
      <w:r w:rsidR="00344FF6">
        <w:rPr>
          <w:sz w:val="22"/>
          <w:szCs w:val="22"/>
          <w:lang w:val="sr-Latn-CS"/>
        </w:rPr>
        <w:t>j</w:t>
      </w:r>
      <w:r w:rsidRPr="00D21251">
        <w:rPr>
          <w:sz w:val="22"/>
          <w:szCs w:val="22"/>
          <w:lang w:val="sr-Latn-CS"/>
        </w:rPr>
        <w:t>ena deferasiroks disperzibilnih tableta i midazolama (CYP3A4 probni supstrat) dovela je do smanjenja izloženosti midazolamu za 17% (90% CI: 8% - 26%). U kliničkim okolnostima, ovaj efekat može da bude jače izražen. Prema tome, zbog mogućeg smanjenja efikasnosti, neophodan je oprez kada se deferasiroks prim</w:t>
      </w:r>
      <w:r w:rsidR="00344FF6">
        <w:rPr>
          <w:sz w:val="22"/>
          <w:szCs w:val="22"/>
          <w:lang w:val="sr-Latn-CS"/>
        </w:rPr>
        <w:t>j</w:t>
      </w:r>
      <w:r w:rsidRPr="00D21251">
        <w:rPr>
          <w:sz w:val="22"/>
          <w:szCs w:val="22"/>
          <w:lang w:val="sr-Latn-CS"/>
        </w:rPr>
        <w:t xml:space="preserve">enjuje istovremeno sa </w:t>
      </w:r>
      <w:r w:rsidR="00344FF6">
        <w:rPr>
          <w:sz w:val="22"/>
          <w:szCs w:val="22"/>
          <w:lang w:val="sr-Latn-CS"/>
        </w:rPr>
        <w:t>ljekovima</w:t>
      </w:r>
      <w:r w:rsidRPr="00D21251">
        <w:rPr>
          <w:sz w:val="22"/>
          <w:szCs w:val="22"/>
          <w:lang w:val="sr-Latn-CS"/>
        </w:rPr>
        <w:t xml:space="preserve"> koji se metabolišu preko CYP3A4 (npr. ciklosporin, simvastatin, hormonski kontraceptivi, bepridil, ergotamin).</w:t>
      </w:r>
    </w:p>
    <w:p w14:paraId="684AA5F9" w14:textId="77777777" w:rsidR="0058338A" w:rsidRPr="00D21251" w:rsidRDefault="0058338A" w:rsidP="00531B03">
      <w:pPr>
        <w:jc w:val="both"/>
        <w:rPr>
          <w:sz w:val="22"/>
          <w:szCs w:val="22"/>
          <w:lang w:val="sr-Latn-CS"/>
        </w:rPr>
      </w:pPr>
    </w:p>
    <w:p w14:paraId="12CE402A" w14:textId="77777777" w:rsidR="0058338A" w:rsidRPr="00D21251" w:rsidRDefault="0058338A" w:rsidP="00531B03">
      <w:pPr>
        <w:jc w:val="both"/>
        <w:rPr>
          <w:sz w:val="22"/>
          <w:szCs w:val="22"/>
          <w:u w:val="single"/>
          <w:lang w:val="sr-Latn-CS"/>
        </w:rPr>
      </w:pPr>
      <w:r w:rsidRPr="00D21251">
        <w:rPr>
          <w:sz w:val="22"/>
          <w:szCs w:val="22"/>
          <w:u w:val="single"/>
          <w:lang w:val="sr-Latn-CS"/>
        </w:rPr>
        <w:t xml:space="preserve">Interakcija sa repaglinidom i drugim </w:t>
      </w:r>
      <w:r w:rsidR="00344FF6">
        <w:rPr>
          <w:sz w:val="22"/>
          <w:szCs w:val="22"/>
          <w:u w:val="single"/>
          <w:lang w:val="sr-Latn-CS"/>
        </w:rPr>
        <w:t>ljekovima</w:t>
      </w:r>
      <w:r w:rsidRPr="00D21251">
        <w:rPr>
          <w:sz w:val="22"/>
          <w:szCs w:val="22"/>
          <w:u w:val="single"/>
          <w:lang w:val="sr-Latn-CS"/>
        </w:rPr>
        <w:t xml:space="preserve"> koji se metabolišu putem CYP2C8</w:t>
      </w:r>
    </w:p>
    <w:p w14:paraId="0D8044A8" w14:textId="77777777" w:rsidR="0058338A" w:rsidRPr="00D21251" w:rsidRDefault="0058338A" w:rsidP="00531B03">
      <w:pPr>
        <w:jc w:val="both"/>
        <w:rPr>
          <w:sz w:val="22"/>
          <w:szCs w:val="22"/>
          <w:lang w:val="sr-Latn-CS"/>
        </w:rPr>
      </w:pPr>
      <w:r w:rsidRPr="00D21251">
        <w:rPr>
          <w:sz w:val="22"/>
          <w:szCs w:val="22"/>
          <w:lang w:val="sr-Latn-CS"/>
        </w:rPr>
        <w:t>U studiji sprovedenoj kod zdravih dobrovoljaca, prilikom istovremene prim</w:t>
      </w:r>
      <w:r w:rsidR="00344FF6">
        <w:rPr>
          <w:sz w:val="22"/>
          <w:szCs w:val="22"/>
          <w:lang w:val="sr-Latn-CS"/>
        </w:rPr>
        <w:t>j</w:t>
      </w:r>
      <w:r w:rsidRPr="00D21251">
        <w:rPr>
          <w:sz w:val="22"/>
          <w:szCs w:val="22"/>
          <w:lang w:val="sr-Latn-CS"/>
        </w:rPr>
        <w:t>ene defrasiroksa kao um</w:t>
      </w:r>
      <w:r w:rsidR="009A2ACE">
        <w:rPr>
          <w:sz w:val="22"/>
          <w:szCs w:val="22"/>
          <w:lang w:val="sr-Latn-CS"/>
        </w:rPr>
        <w:t>j</w:t>
      </w:r>
      <w:r w:rsidRPr="00D21251">
        <w:rPr>
          <w:sz w:val="22"/>
          <w:szCs w:val="22"/>
          <w:lang w:val="sr-Latn-CS"/>
        </w:rPr>
        <w:t xml:space="preserve">erenog CYP2C8 inhibitora (30 mg/kg/dnevno, u formulaciji disperzibilne tablete) sa repaglinidom, supstratom CYP2C8, datog u pojedinačnoj dozi od 0,5 mg, došlo je do povećanja </w:t>
      </w:r>
      <w:r w:rsidR="0071118F">
        <w:rPr>
          <w:sz w:val="22"/>
          <w:szCs w:val="22"/>
          <w:lang w:val="sr-Latn-CS"/>
        </w:rPr>
        <w:t>vrijednost</w:t>
      </w:r>
      <w:r w:rsidRPr="00D21251">
        <w:rPr>
          <w:sz w:val="22"/>
          <w:szCs w:val="22"/>
          <w:lang w:val="sr-Latn-CS"/>
        </w:rPr>
        <w:t>i PIK repaglinida oko 2,3 puta (90% CI [2,03-2,63]) i C</w:t>
      </w:r>
      <w:r w:rsidRPr="00D21251">
        <w:rPr>
          <w:sz w:val="22"/>
          <w:szCs w:val="22"/>
          <w:vertAlign w:val="subscript"/>
          <w:lang w:val="sr-Latn-CS"/>
        </w:rPr>
        <w:t>max</w:t>
      </w:r>
      <w:r w:rsidRPr="00D21251">
        <w:rPr>
          <w:sz w:val="22"/>
          <w:szCs w:val="22"/>
          <w:lang w:val="sr-Latn-CS"/>
        </w:rPr>
        <w:t xml:space="preserve"> </w:t>
      </w:r>
      <w:r w:rsidR="008A3015">
        <w:rPr>
          <w:sz w:val="22"/>
          <w:szCs w:val="22"/>
          <w:lang w:val="sr-Latn-CS"/>
        </w:rPr>
        <w:t xml:space="preserve">oko </w:t>
      </w:r>
      <w:r w:rsidRPr="00D21251">
        <w:rPr>
          <w:sz w:val="22"/>
          <w:szCs w:val="22"/>
          <w:lang w:val="sr-Latn-CS"/>
        </w:rPr>
        <w:t>1,6 puta (90%CI [1,42-1,84]). S obzirom na to da interakcija nije ustanovljena sa dozama iznad 0,5 mg repaglinida, trebalo bi izb</w:t>
      </w:r>
      <w:r w:rsidR="00022A1D">
        <w:rPr>
          <w:sz w:val="22"/>
          <w:szCs w:val="22"/>
          <w:lang w:val="sr-Latn-CS"/>
        </w:rPr>
        <w:t>j</w:t>
      </w:r>
      <w:r w:rsidRPr="00D21251">
        <w:rPr>
          <w:sz w:val="22"/>
          <w:szCs w:val="22"/>
          <w:lang w:val="sr-Latn-CS"/>
        </w:rPr>
        <w:t>egavati istovremenu prim</w:t>
      </w:r>
      <w:r w:rsidR="00344FF6">
        <w:rPr>
          <w:sz w:val="22"/>
          <w:szCs w:val="22"/>
          <w:lang w:val="sr-Latn-CS"/>
        </w:rPr>
        <w:t>j</w:t>
      </w:r>
      <w:r w:rsidRPr="00D21251">
        <w:rPr>
          <w:sz w:val="22"/>
          <w:szCs w:val="22"/>
          <w:lang w:val="sr-Latn-CS"/>
        </w:rPr>
        <w:t>enu deferasiroksa sa repaglinidom. Ako je istovremena prim</w:t>
      </w:r>
      <w:r w:rsidR="00344FF6">
        <w:rPr>
          <w:sz w:val="22"/>
          <w:szCs w:val="22"/>
          <w:lang w:val="sr-Latn-CS"/>
        </w:rPr>
        <w:t>j</w:t>
      </w:r>
      <w:r w:rsidRPr="00D21251">
        <w:rPr>
          <w:sz w:val="22"/>
          <w:szCs w:val="22"/>
          <w:lang w:val="sr-Latn-CS"/>
        </w:rPr>
        <w:t xml:space="preserve">ena neophodna, potrebno je pažljivo </w:t>
      </w:r>
      <w:r w:rsidRPr="00D21251">
        <w:rPr>
          <w:sz w:val="22"/>
          <w:szCs w:val="22"/>
          <w:lang w:val="sr-Latn-CS"/>
        </w:rPr>
        <w:lastRenderedPageBreak/>
        <w:t>pratiti kliničko stanje pacijenta i koncentraciju glukoze u krvi (</w:t>
      </w:r>
      <w:r w:rsidR="009E320F">
        <w:rPr>
          <w:sz w:val="22"/>
          <w:szCs w:val="22"/>
          <w:lang w:val="sr-Latn-CS"/>
        </w:rPr>
        <w:t xml:space="preserve">vidjeti </w:t>
      </w:r>
      <w:r w:rsidR="00C30F21">
        <w:rPr>
          <w:sz w:val="22"/>
          <w:szCs w:val="22"/>
          <w:lang w:val="sr-Latn-CS"/>
        </w:rPr>
        <w:t>dio</w:t>
      </w:r>
      <w:r w:rsidRPr="00D21251">
        <w:rPr>
          <w:sz w:val="22"/>
          <w:szCs w:val="22"/>
          <w:lang w:val="sr-Latn-CS"/>
        </w:rPr>
        <w:t xml:space="preserve"> 4.4). Ne može se isključiti ni interakcija između deferasiroksa i drugih supstrata CYP2C8</w:t>
      </w:r>
      <w:r w:rsidR="00A26F6D">
        <w:rPr>
          <w:sz w:val="22"/>
          <w:szCs w:val="22"/>
          <w:lang w:val="sr-Latn-CS"/>
        </w:rPr>
        <w:t>,</w:t>
      </w:r>
      <w:r w:rsidRPr="00D21251">
        <w:rPr>
          <w:sz w:val="22"/>
          <w:szCs w:val="22"/>
          <w:lang w:val="sr-Latn-CS"/>
        </w:rPr>
        <w:t xml:space="preserve"> kao što je paklitaksel.</w:t>
      </w:r>
    </w:p>
    <w:p w14:paraId="0CD699C1" w14:textId="77777777" w:rsidR="00742B27" w:rsidRDefault="00742B27" w:rsidP="00531B03">
      <w:pPr>
        <w:jc w:val="both"/>
        <w:rPr>
          <w:sz w:val="22"/>
          <w:szCs w:val="22"/>
          <w:u w:val="single"/>
          <w:lang w:val="sr-Latn-CS"/>
        </w:rPr>
      </w:pPr>
    </w:p>
    <w:p w14:paraId="1FD547D9" w14:textId="77777777" w:rsidR="0058338A" w:rsidRPr="00D21251" w:rsidRDefault="0058338A" w:rsidP="00531B03">
      <w:pPr>
        <w:jc w:val="both"/>
        <w:rPr>
          <w:sz w:val="22"/>
          <w:szCs w:val="22"/>
          <w:u w:val="single"/>
          <w:lang w:val="sr-Latn-CS"/>
        </w:rPr>
      </w:pPr>
      <w:r w:rsidRPr="00D21251">
        <w:rPr>
          <w:sz w:val="22"/>
          <w:szCs w:val="22"/>
          <w:u w:val="single"/>
          <w:lang w:val="sr-Latn-CS"/>
        </w:rPr>
        <w:t xml:space="preserve">Interakcija sa teofilinom i drugim </w:t>
      </w:r>
      <w:r w:rsidR="00344FF6">
        <w:rPr>
          <w:sz w:val="22"/>
          <w:szCs w:val="22"/>
          <w:u w:val="single"/>
          <w:lang w:val="sr-Latn-CS"/>
        </w:rPr>
        <w:t>ljekovima</w:t>
      </w:r>
      <w:r w:rsidRPr="00D21251">
        <w:rPr>
          <w:sz w:val="22"/>
          <w:szCs w:val="22"/>
          <w:u w:val="single"/>
          <w:lang w:val="sr-Latn-CS"/>
        </w:rPr>
        <w:t xml:space="preserve"> koji se metabolišu putem CYP1A2</w:t>
      </w:r>
    </w:p>
    <w:p w14:paraId="5432154A" w14:textId="77777777" w:rsidR="0058338A" w:rsidRPr="00D21251" w:rsidRDefault="0058338A" w:rsidP="00531B03">
      <w:pPr>
        <w:jc w:val="both"/>
        <w:rPr>
          <w:sz w:val="22"/>
          <w:szCs w:val="22"/>
          <w:lang w:val="sr-Latn-CS"/>
        </w:rPr>
      </w:pPr>
      <w:r w:rsidRPr="00D21251">
        <w:rPr>
          <w:sz w:val="22"/>
          <w:szCs w:val="22"/>
          <w:lang w:val="sr-Latn-CS"/>
        </w:rPr>
        <w:t>U studiji sprovedenoj kod zdravih dobrovoljaca, prilikom istovremene prim</w:t>
      </w:r>
      <w:r w:rsidR="00344FF6">
        <w:rPr>
          <w:sz w:val="22"/>
          <w:szCs w:val="22"/>
          <w:lang w:val="sr-Latn-CS"/>
        </w:rPr>
        <w:t>j</w:t>
      </w:r>
      <w:r w:rsidRPr="00D21251">
        <w:rPr>
          <w:sz w:val="22"/>
          <w:szCs w:val="22"/>
          <w:lang w:val="sr-Latn-CS"/>
        </w:rPr>
        <w:t xml:space="preserve">ene deferasiroksa kao CYP1A2 inhibitora (ponavljane doze od 30 mg/kg/dan, u formulaciji disperzibilne tablete) i teofilina, supstrata CYP1A2 (pojedinačna doza od 120 mg) došlo je do povećanja </w:t>
      </w:r>
      <w:r w:rsidR="0071118F">
        <w:rPr>
          <w:sz w:val="22"/>
          <w:szCs w:val="22"/>
          <w:lang w:val="sr-Latn-CS"/>
        </w:rPr>
        <w:t>vrijednost</w:t>
      </w:r>
      <w:r w:rsidRPr="00D21251">
        <w:rPr>
          <w:sz w:val="22"/>
          <w:szCs w:val="22"/>
          <w:lang w:val="sr-Latn-CS"/>
        </w:rPr>
        <w:t>i PIK teofilina za 84% (90% CI: 73% do 95%). Vr</w:t>
      </w:r>
      <w:r w:rsidR="0071118F">
        <w:rPr>
          <w:sz w:val="22"/>
          <w:szCs w:val="22"/>
          <w:lang w:val="sr-Latn-CS"/>
        </w:rPr>
        <w:t>ij</w:t>
      </w:r>
      <w:r w:rsidRPr="00D21251">
        <w:rPr>
          <w:sz w:val="22"/>
          <w:szCs w:val="22"/>
          <w:lang w:val="sr-Latn-CS"/>
        </w:rPr>
        <w:t>ednost C</w:t>
      </w:r>
      <w:r w:rsidRPr="00D21251">
        <w:rPr>
          <w:sz w:val="22"/>
          <w:szCs w:val="22"/>
          <w:vertAlign w:val="subscript"/>
          <w:lang w:val="sr-Latn-CS"/>
        </w:rPr>
        <w:t>max</w:t>
      </w:r>
      <w:r w:rsidRPr="00D21251">
        <w:rPr>
          <w:sz w:val="22"/>
          <w:szCs w:val="22"/>
          <w:lang w:val="sr-Latn-CS"/>
        </w:rPr>
        <w:t xml:space="preserve"> nakon prim</w:t>
      </w:r>
      <w:r w:rsidR="00344FF6">
        <w:rPr>
          <w:sz w:val="22"/>
          <w:szCs w:val="22"/>
          <w:lang w:val="sr-Latn-CS"/>
        </w:rPr>
        <w:t>j</w:t>
      </w:r>
      <w:r w:rsidRPr="00D21251">
        <w:rPr>
          <w:sz w:val="22"/>
          <w:szCs w:val="22"/>
          <w:lang w:val="sr-Latn-CS"/>
        </w:rPr>
        <w:t xml:space="preserve">ene pojedinačne doze nije </w:t>
      </w:r>
      <w:r w:rsidR="00F90136">
        <w:rPr>
          <w:sz w:val="22"/>
          <w:szCs w:val="22"/>
          <w:lang w:val="sr-Latn-CS"/>
        </w:rPr>
        <w:t>prom</w:t>
      </w:r>
      <w:r w:rsidR="006372BE">
        <w:rPr>
          <w:sz w:val="22"/>
          <w:szCs w:val="22"/>
          <w:lang w:val="sr-Latn-CS"/>
        </w:rPr>
        <w:t>i</w:t>
      </w:r>
      <w:r w:rsidR="00F90136">
        <w:rPr>
          <w:sz w:val="22"/>
          <w:szCs w:val="22"/>
          <w:lang w:val="sr-Latn-CS"/>
        </w:rPr>
        <w:t>jen</w:t>
      </w:r>
      <w:r w:rsidRPr="00D21251">
        <w:rPr>
          <w:sz w:val="22"/>
          <w:szCs w:val="22"/>
          <w:lang w:val="sr-Latn-CS"/>
        </w:rPr>
        <w:t>jena, ali povećanje C</w:t>
      </w:r>
      <w:r w:rsidRPr="00D21251">
        <w:rPr>
          <w:sz w:val="22"/>
          <w:szCs w:val="22"/>
          <w:vertAlign w:val="subscript"/>
          <w:lang w:val="sr-Latn-CS"/>
        </w:rPr>
        <w:t xml:space="preserve">max </w:t>
      </w:r>
      <w:r w:rsidRPr="00D21251">
        <w:rPr>
          <w:sz w:val="22"/>
          <w:szCs w:val="22"/>
          <w:lang w:val="sr-Latn-CS"/>
        </w:rPr>
        <w:t>teofilina se očekuje pri hroničnoj prim</w:t>
      </w:r>
      <w:r w:rsidR="00344FF6">
        <w:rPr>
          <w:sz w:val="22"/>
          <w:szCs w:val="22"/>
          <w:lang w:val="sr-Latn-CS"/>
        </w:rPr>
        <w:t>j</w:t>
      </w:r>
      <w:r w:rsidRPr="00D21251">
        <w:rPr>
          <w:sz w:val="22"/>
          <w:szCs w:val="22"/>
          <w:lang w:val="sr-Latn-CS"/>
        </w:rPr>
        <w:t xml:space="preserve">eni </w:t>
      </w:r>
      <w:r w:rsidR="00344FF6">
        <w:rPr>
          <w:sz w:val="22"/>
          <w:szCs w:val="22"/>
          <w:lang w:val="sr-Latn-CS"/>
        </w:rPr>
        <w:t>lijek</w:t>
      </w:r>
      <w:r w:rsidRPr="00D21251">
        <w:rPr>
          <w:sz w:val="22"/>
          <w:szCs w:val="22"/>
          <w:lang w:val="sr-Latn-CS"/>
        </w:rPr>
        <w:t>a. Zbog toga se ne preporučuje istovremena prim</w:t>
      </w:r>
      <w:r w:rsidR="00344FF6">
        <w:rPr>
          <w:sz w:val="22"/>
          <w:szCs w:val="22"/>
          <w:lang w:val="sr-Latn-CS"/>
        </w:rPr>
        <w:t>j</w:t>
      </w:r>
      <w:r w:rsidRPr="00D21251">
        <w:rPr>
          <w:sz w:val="22"/>
          <w:szCs w:val="22"/>
          <w:lang w:val="sr-Latn-CS"/>
        </w:rPr>
        <w:t xml:space="preserve">ena deferasiroksa i teofilina. Ako se deferasiroks i teofilin koriste istovremeno, treba pratiti koncentraciju teofilina i treba razmotriti smanjenje doze teofilina. Interakcije između deferasiroksa i drugih supstrata CYP1A2 se ne mogu isključiti. Za </w:t>
      </w:r>
      <w:r w:rsidR="00344FF6">
        <w:rPr>
          <w:sz w:val="22"/>
          <w:szCs w:val="22"/>
          <w:lang w:val="sr-Latn-CS"/>
        </w:rPr>
        <w:t>ljekove</w:t>
      </w:r>
      <w:r w:rsidRPr="00D21251">
        <w:rPr>
          <w:sz w:val="22"/>
          <w:szCs w:val="22"/>
          <w:lang w:val="sr-Latn-CS"/>
        </w:rPr>
        <w:t xml:space="preserve"> koji se uglavnom metabolišu preko CYP1A2, a koji imaju uzak terapijski indeks (npr. klozapin, tizanidin), treba prim</w:t>
      </w:r>
      <w:r w:rsidR="00344FF6">
        <w:rPr>
          <w:sz w:val="22"/>
          <w:szCs w:val="22"/>
          <w:lang w:val="sr-Latn-CS"/>
        </w:rPr>
        <w:t>j</w:t>
      </w:r>
      <w:r w:rsidRPr="00D21251">
        <w:rPr>
          <w:sz w:val="22"/>
          <w:szCs w:val="22"/>
          <w:lang w:val="sr-Latn-CS"/>
        </w:rPr>
        <w:t>enjivati iste preporuke kao i za teofilin.</w:t>
      </w:r>
    </w:p>
    <w:p w14:paraId="2067A056" w14:textId="77777777" w:rsidR="0058338A" w:rsidRPr="00D21251" w:rsidRDefault="0058338A" w:rsidP="00531B03">
      <w:pPr>
        <w:jc w:val="both"/>
        <w:rPr>
          <w:sz w:val="22"/>
          <w:szCs w:val="22"/>
          <w:lang w:val="sr-Latn-CS"/>
        </w:rPr>
      </w:pPr>
    </w:p>
    <w:p w14:paraId="427EBEA9" w14:textId="77777777" w:rsidR="0058338A" w:rsidRPr="00D21251" w:rsidRDefault="0058338A" w:rsidP="00531B03">
      <w:pPr>
        <w:jc w:val="both"/>
        <w:rPr>
          <w:sz w:val="22"/>
          <w:szCs w:val="22"/>
          <w:u w:val="single"/>
          <w:lang w:val="sr-Latn-CS"/>
        </w:rPr>
      </w:pPr>
      <w:r w:rsidRPr="00D21251">
        <w:rPr>
          <w:sz w:val="22"/>
          <w:szCs w:val="22"/>
          <w:u w:val="single"/>
          <w:lang w:val="sr-Latn-CS"/>
        </w:rPr>
        <w:t>Ostale informacije</w:t>
      </w:r>
    </w:p>
    <w:p w14:paraId="136534CF" w14:textId="77777777" w:rsidR="0058338A" w:rsidRPr="00D21251" w:rsidRDefault="0058338A" w:rsidP="00531B03">
      <w:pPr>
        <w:jc w:val="both"/>
        <w:rPr>
          <w:sz w:val="22"/>
          <w:szCs w:val="22"/>
          <w:lang w:val="sr-Latn-CS"/>
        </w:rPr>
      </w:pPr>
      <w:r w:rsidRPr="00D21251">
        <w:rPr>
          <w:sz w:val="22"/>
          <w:szCs w:val="22"/>
          <w:lang w:val="sr-Latn-CS"/>
        </w:rPr>
        <w:t>Istovremena prim</w:t>
      </w:r>
      <w:r w:rsidR="00344FF6">
        <w:rPr>
          <w:sz w:val="22"/>
          <w:szCs w:val="22"/>
          <w:lang w:val="sr-Latn-CS"/>
        </w:rPr>
        <w:t>j</w:t>
      </w:r>
      <w:r w:rsidRPr="00D21251">
        <w:rPr>
          <w:sz w:val="22"/>
          <w:szCs w:val="22"/>
          <w:lang w:val="sr-Latn-CS"/>
        </w:rPr>
        <w:t>ena deferasiroksa i antacida koji sadrže aluminijum nije zvanično ispitivana. Iako deferasiroks ima manji afinitet za aluminijum nego za gvožđe, ne preporučuje se prim</w:t>
      </w:r>
      <w:r w:rsidR="00344FF6">
        <w:rPr>
          <w:sz w:val="22"/>
          <w:szCs w:val="22"/>
          <w:lang w:val="sr-Latn-CS"/>
        </w:rPr>
        <w:t>j</w:t>
      </w:r>
      <w:r w:rsidRPr="00D21251">
        <w:rPr>
          <w:sz w:val="22"/>
          <w:szCs w:val="22"/>
          <w:lang w:val="sr-Latn-CS"/>
        </w:rPr>
        <w:t>ena deferasiroks tableta zajedno sa antacidima koji sadrže aluminijum.</w:t>
      </w:r>
    </w:p>
    <w:p w14:paraId="2CA7B3C1" w14:textId="77777777" w:rsidR="0058338A" w:rsidRPr="00D21251" w:rsidRDefault="0058338A" w:rsidP="00531B03">
      <w:pPr>
        <w:jc w:val="both"/>
        <w:rPr>
          <w:sz w:val="22"/>
          <w:szCs w:val="22"/>
          <w:lang w:val="sr-Latn-CS"/>
        </w:rPr>
      </w:pPr>
    </w:p>
    <w:p w14:paraId="38A7C2B0" w14:textId="77777777" w:rsidR="0058338A" w:rsidRPr="00D21251" w:rsidRDefault="0058338A" w:rsidP="00531B03">
      <w:pPr>
        <w:jc w:val="both"/>
        <w:rPr>
          <w:sz w:val="22"/>
          <w:szCs w:val="22"/>
          <w:lang w:val="sr-Latn-CS"/>
        </w:rPr>
      </w:pPr>
      <w:r w:rsidRPr="00D21251">
        <w:rPr>
          <w:sz w:val="22"/>
          <w:szCs w:val="22"/>
          <w:lang w:val="sr-Latn-CS"/>
        </w:rPr>
        <w:t>Istovremena prim</w:t>
      </w:r>
      <w:r w:rsidR="00344FF6">
        <w:rPr>
          <w:sz w:val="22"/>
          <w:szCs w:val="22"/>
          <w:lang w:val="sr-Latn-CS"/>
        </w:rPr>
        <w:t>j</w:t>
      </w:r>
      <w:r w:rsidRPr="00D21251">
        <w:rPr>
          <w:sz w:val="22"/>
          <w:szCs w:val="22"/>
          <w:lang w:val="sr-Latn-CS"/>
        </w:rPr>
        <w:t xml:space="preserve">ena deferasiroksa sa </w:t>
      </w:r>
      <w:r w:rsidR="00344FF6">
        <w:rPr>
          <w:sz w:val="22"/>
          <w:szCs w:val="22"/>
          <w:lang w:val="sr-Latn-CS"/>
        </w:rPr>
        <w:t>ljekovima</w:t>
      </w:r>
      <w:r w:rsidRPr="00D21251">
        <w:rPr>
          <w:sz w:val="22"/>
          <w:szCs w:val="22"/>
          <w:lang w:val="sr-Latn-CS"/>
        </w:rPr>
        <w:t xml:space="preserve"> koji imaju ulcerogeni potencijal, kao što su NSAIL (uključujući velike doze acetilsalicilne kiseline), kortikosteroidi ili oralni bi</w:t>
      </w:r>
      <w:r w:rsidR="00C66729">
        <w:rPr>
          <w:sz w:val="22"/>
          <w:szCs w:val="22"/>
          <w:lang w:val="sr-Latn-CS"/>
        </w:rPr>
        <w:t>s</w:t>
      </w:r>
      <w:r w:rsidRPr="00D21251">
        <w:rPr>
          <w:sz w:val="22"/>
          <w:szCs w:val="22"/>
          <w:lang w:val="sr-Latn-CS"/>
        </w:rPr>
        <w:t>fosfonati</w:t>
      </w:r>
      <w:r w:rsidR="00A26F6D">
        <w:rPr>
          <w:sz w:val="22"/>
          <w:szCs w:val="22"/>
          <w:lang w:val="sr-Latn-CS"/>
        </w:rPr>
        <w:t>,</w:t>
      </w:r>
      <w:r w:rsidRPr="00D21251">
        <w:rPr>
          <w:sz w:val="22"/>
          <w:szCs w:val="22"/>
          <w:lang w:val="sr-Latn-CS"/>
        </w:rPr>
        <w:t xml:space="preserve"> može povećati rizik od gastrointestinalne toksičnosti (</w:t>
      </w:r>
      <w:r w:rsidR="009E320F">
        <w:rPr>
          <w:sz w:val="22"/>
          <w:szCs w:val="22"/>
          <w:lang w:val="sr-Latn-CS"/>
        </w:rPr>
        <w:t xml:space="preserve">vidjeti </w:t>
      </w:r>
      <w:r w:rsidR="00C66729">
        <w:rPr>
          <w:sz w:val="22"/>
          <w:szCs w:val="22"/>
          <w:lang w:val="sr-Latn-CS"/>
        </w:rPr>
        <w:t>dio</w:t>
      </w:r>
      <w:r w:rsidR="00C66729" w:rsidRPr="00D21251">
        <w:rPr>
          <w:sz w:val="22"/>
          <w:szCs w:val="22"/>
          <w:lang w:val="sr-Latn-CS"/>
        </w:rPr>
        <w:t xml:space="preserve"> </w:t>
      </w:r>
      <w:r w:rsidRPr="00D21251">
        <w:rPr>
          <w:sz w:val="22"/>
          <w:szCs w:val="22"/>
          <w:lang w:val="sr-Latn-CS"/>
        </w:rPr>
        <w:t>4.4). Istovremena prim</w:t>
      </w:r>
      <w:r w:rsidR="00344FF6">
        <w:rPr>
          <w:sz w:val="22"/>
          <w:szCs w:val="22"/>
          <w:lang w:val="sr-Latn-CS"/>
        </w:rPr>
        <w:t>j</w:t>
      </w:r>
      <w:r w:rsidRPr="00D21251">
        <w:rPr>
          <w:sz w:val="22"/>
          <w:szCs w:val="22"/>
          <w:lang w:val="sr-Latn-CS"/>
        </w:rPr>
        <w:t>ena deferasiroksa sa antikoagulansima takođe može da poveća rizik od pojave gastrointestinalne hemoragije. Neophodno je pažljivo kliničko praćenje prilikom istovremene prim</w:t>
      </w:r>
      <w:r w:rsidR="00344FF6">
        <w:rPr>
          <w:sz w:val="22"/>
          <w:szCs w:val="22"/>
          <w:lang w:val="sr-Latn-CS"/>
        </w:rPr>
        <w:t>j</w:t>
      </w:r>
      <w:r w:rsidRPr="00D21251">
        <w:rPr>
          <w:sz w:val="22"/>
          <w:szCs w:val="22"/>
          <w:lang w:val="sr-Latn-CS"/>
        </w:rPr>
        <w:t xml:space="preserve">ene deferasiroksa sa ovim </w:t>
      </w:r>
      <w:r w:rsidR="00344FF6">
        <w:rPr>
          <w:sz w:val="22"/>
          <w:szCs w:val="22"/>
          <w:lang w:val="sr-Latn-CS"/>
        </w:rPr>
        <w:t>ljekovima</w:t>
      </w:r>
      <w:r w:rsidRPr="00D21251">
        <w:rPr>
          <w:sz w:val="22"/>
          <w:szCs w:val="22"/>
          <w:lang w:val="sr-Latn-CS"/>
        </w:rPr>
        <w:t>.</w:t>
      </w:r>
    </w:p>
    <w:p w14:paraId="16E4B008" w14:textId="77777777" w:rsidR="0058338A" w:rsidRPr="00D21251" w:rsidRDefault="0058338A" w:rsidP="00531B03">
      <w:pPr>
        <w:jc w:val="both"/>
        <w:rPr>
          <w:sz w:val="22"/>
          <w:szCs w:val="22"/>
          <w:lang w:val="sr-Latn-CS"/>
        </w:rPr>
      </w:pPr>
    </w:p>
    <w:p w14:paraId="5E41F16E" w14:textId="77777777" w:rsidR="0058338A" w:rsidRPr="00D21251" w:rsidRDefault="0058338A" w:rsidP="00531B03">
      <w:pPr>
        <w:jc w:val="both"/>
        <w:rPr>
          <w:sz w:val="22"/>
          <w:szCs w:val="22"/>
          <w:lang w:val="sr-Latn-CS"/>
        </w:rPr>
      </w:pPr>
      <w:r w:rsidRPr="00D21251">
        <w:rPr>
          <w:sz w:val="22"/>
          <w:szCs w:val="22"/>
          <w:lang w:val="sr-Latn-CS"/>
        </w:rPr>
        <w:t>Istovremena prim</w:t>
      </w:r>
      <w:r w:rsidR="00344FF6">
        <w:rPr>
          <w:sz w:val="22"/>
          <w:szCs w:val="22"/>
          <w:lang w:val="sr-Latn-CS"/>
        </w:rPr>
        <w:t>j</w:t>
      </w:r>
      <w:r w:rsidRPr="00D21251">
        <w:rPr>
          <w:sz w:val="22"/>
          <w:szCs w:val="22"/>
          <w:lang w:val="sr-Latn-CS"/>
        </w:rPr>
        <w:t xml:space="preserve">ena deferasiroksa i busulfana imala je za </w:t>
      </w:r>
      <w:r w:rsidR="000F5050">
        <w:rPr>
          <w:sz w:val="22"/>
          <w:szCs w:val="22"/>
          <w:lang w:val="sr-Latn-CS"/>
        </w:rPr>
        <w:t>posljed</w:t>
      </w:r>
      <w:r w:rsidRPr="00D21251">
        <w:rPr>
          <w:sz w:val="22"/>
          <w:szCs w:val="22"/>
          <w:lang w:val="sr-Latn-CS"/>
        </w:rPr>
        <w:t xml:space="preserve">icu povećanje izloženosti busulfanu (PIK), ali mehanizam interakcije nije jasan. Ako je moguće, potrebno je </w:t>
      </w:r>
      <w:r w:rsidR="000F5050">
        <w:rPr>
          <w:sz w:val="22"/>
          <w:szCs w:val="22"/>
          <w:lang w:val="sr-Latn-CS"/>
        </w:rPr>
        <w:t>proc</w:t>
      </w:r>
      <w:r w:rsidR="00F90136">
        <w:rPr>
          <w:sz w:val="22"/>
          <w:szCs w:val="22"/>
          <w:lang w:val="sr-Latn-CS"/>
        </w:rPr>
        <w:t>i</w:t>
      </w:r>
      <w:r w:rsidR="000F5050">
        <w:rPr>
          <w:sz w:val="22"/>
          <w:szCs w:val="22"/>
          <w:lang w:val="sr-Latn-CS"/>
        </w:rPr>
        <w:t>jen</w:t>
      </w:r>
      <w:r w:rsidRPr="00D21251">
        <w:rPr>
          <w:sz w:val="22"/>
          <w:szCs w:val="22"/>
          <w:lang w:val="sr-Latn-CS"/>
        </w:rPr>
        <w:t>iti farmakokinetiku (PIK, klirens) test</w:t>
      </w:r>
      <w:r w:rsidR="00C66729">
        <w:rPr>
          <w:sz w:val="22"/>
          <w:szCs w:val="22"/>
          <w:lang w:val="sr-Latn-CS"/>
        </w:rPr>
        <w:t>ne</w:t>
      </w:r>
      <w:r w:rsidRPr="00D21251">
        <w:rPr>
          <w:sz w:val="22"/>
          <w:szCs w:val="22"/>
          <w:lang w:val="sr-Latn-CS"/>
        </w:rPr>
        <w:t xml:space="preserve"> doze busulfana</w:t>
      </w:r>
      <w:r w:rsidR="00A26F6D">
        <w:rPr>
          <w:sz w:val="22"/>
          <w:szCs w:val="22"/>
          <w:lang w:val="sr-Latn-CS"/>
        </w:rPr>
        <w:t>,</w:t>
      </w:r>
      <w:r w:rsidRPr="00D21251">
        <w:rPr>
          <w:sz w:val="22"/>
          <w:szCs w:val="22"/>
          <w:lang w:val="sr-Latn-CS"/>
        </w:rPr>
        <w:t xml:space="preserve"> kako bi se omogućilo prilagođavanje doze.</w:t>
      </w:r>
    </w:p>
    <w:p w14:paraId="22D7F097" w14:textId="77777777" w:rsidR="0072020E" w:rsidRPr="00531B03" w:rsidRDefault="0072020E" w:rsidP="00531B03">
      <w:pPr>
        <w:tabs>
          <w:tab w:val="left" w:pos="540"/>
          <w:tab w:val="left" w:pos="569"/>
        </w:tabs>
        <w:jc w:val="both"/>
        <w:rPr>
          <w:bCs/>
          <w:sz w:val="22"/>
          <w:szCs w:val="22"/>
          <w:lang w:val="sr-Latn-CS"/>
        </w:rPr>
      </w:pPr>
    </w:p>
    <w:p w14:paraId="51358C59" w14:textId="77777777" w:rsidR="0072020E" w:rsidRDefault="0072020E" w:rsidP="00531B03">
      <w:pPr>
        <w:tabs>
          <w:tab w:val="left" w:pos="540"/>
          <w:tab w:val="left" w:pos="569"/>
        </w:tabs>
        <w:jc w:val="both"/>
        <w:rPr>
          <w:b/>
          <w:sz w:val="22"/>
          <w:szCs w:val="22"/>
          <w:lang w:val="sr-Latn-CS"/>
        </w:rPr>
      </w:pPr>
      <w:r w:rsidRPr="00786071">
        <w:rPr>
          <w:b/>
          <w:bCs/>
          <w:sz w:val="22"/>
          <w:szCs w:val="22"/>
        </w:rPr>
        <w:t xml:space="preserve">4.6. </w:t>
      </w:r>
      <w:r w:rsidR="00480FB1" w:rsidRPr="00786071">
        <w:rPr>
          <w:b/>
          <w:bCs/>
          <w:sz w:val="22"/>
          <w:szCs w:val="22"/>
        </w:rPr>
        <w:tab/>
      </w:r>
      <w:r w:rsidR="006D20A5">
        <w:rPr>
          <w:b/>
          <w:sz w:val="22"/>
          <w:szCs w:val="22"/>
          <w:lang w:val="sr-Latn-CS"/>
        </w:rPr>
        <w:t>Plodnost, trudnoća i dojenje</w:t>
      </w:r>
    </w:p>
    <w:p w14:paraId="0E5614B7" w14:textId="77777777" w:rsidR="002031B3" w:rsidRDefault="002031B3" w:rsidP="00531B03">
      <w:pPr>
        <w:tabs>
          <w:tab w:val="left" w:pos="540"/>
          <w:tab w:val="left" w:pos="569"/>
        </w:tabs>
        <w:jc w:val="both"/>
        <w:rPr>
          <w:sz w:val="22"/>
          <w:szCs w:val="22"/>
          <w:u w:val="single"/>
        </w:rPr>
      </w:pPr>
    </w:p>
    <w:p w14:paraId="176576EA" w14:textId="77777777" w:rsidR="0058338A" w:rsidRPr="00D21251" w:rsidRDefault="0058338A" w:rsidP="00531B03">
      <w:pPr>
        <w:jc w:val="both"/>
        <w:rPr>
          <w:sz w:val="22"/>
          <w:szCs w:val="22"/>
          <w:u w:val="single"/>
          <w:lang w:val="sr-Latn-CS"/>
        </w:rPr>
      </w:pPr>
      <w:r w:rsidRPr="00D21251">
        <w:rPr>
          <w:sz w:val="22"/>
          <w:szCs w:val="22"/>
          <w:u w:val="single"/>
          <w:lang w:val="sr-Latn-CS"/>
        </w:rPr>
        <w:t>Trudnoća</w:t>
      </w:r>
    </w:p>
    <w:p w14:paraId="2A8FBEF5" w14:textId="77777777" w:rsidR="0058338A" w:rsidRPr="00D21251" w:rsidRDefault="0058338A" w:rsidP="00531B03">
      <w:pPr>
        <w:jc w:val="both"/>
        <w:rPr>
          <w:sz w:val="22"/>
          <w:szCs w:val="22"/>
          <w:lang w:val="sr-Latn-CS"/>
        </w:rPr>
      </w:pPr>
      <w:r w:rsidRPr="00D21251">
        <w:rPr>
          <w:sz w:val="22"/>
          <w:szCs w:val="22"/>
          <w:lang w:val="sr-Latn-CS"/>
        </w:rPr>
        <w:t>Nema dostupnih kliničkih podataka vezanih za uticaj deferasiroksa na trudnoću. Ispitivanja na životinjama su pokazala izv</w:t>
      </w:r>
      <w:r w:rsidR="00C66729">
        <w:rPr>
          <w:sz w:val="22"/>
          <w:szCs w:val="22"/>
          <w:lang w:val="sr-Latn-CS"/>
        </w:rPr>
        <w:t>j</w:t>
      </w:r>
      <w:r w:rsidRPr="00D21251">
        <w:rPr>
          <w:sz w:val="22"/>
          <w:szCs w:val="22"/>
          <w:lang w:val="sr-Latn-CS"/>
        </w:rPr>
        <w:t>esnu reproduktivnu toksičnost pri dozama koje su bile toksične za majku (</w:t>
      </w:r>
      <w:r w:rsidR="009E320F">
        <w:rPr>
          <w:sz w:val="22"/>
          <w:szCs w:val="22"/>
          <w:lang w:val="sr-Latn-CS"/>
        </w:rPr>
        <w:t xml:space="preserve">vidjeti </w:t>
      </w:r>
      <w:r w:rsidR="00C66729">
        <w:rPr>
          <w:sz w:val="22"/>
          <w:szCs w:val="22"/>
          <w:lang w:val="sr-Latn-CS"/>
        </w:rPr>
        <w:t>dio</w:t>
      </w:r>
      <w:r w:rsidR="00C66729" w:rsidRPr="00D21251">
        <w:rPr>
          <w:sz w:val="22"/>
          <w:szCs w:val="22"/>
          <w:lang w:val="sr-Latn-CS"/>
        </w:rPr>
        <w:t xml:space="preserve"> </w:t>
      </w:r>
      <w:r w:rsidRPr="00D21251">
        <w:rPr>
          <w:sz w:val="22"/>
          <w:szCs w:val="22"/>
          <w:lang w:val="sr-Latn-CS"/>
        </w:rPr>
        <w:t>5.3). Nije poznat mogući rizik za ljude.</w:t>
      </w:r>
    </w:p>
    <w:p w14:paraId="679D8F93" w14:textId="77777777" w:rsidR="0058338A" w:rsidRPr="00D21251" w:rsidRDefault="0058338A" w:rsidP="00531B03">
      <w:pPr>
        <w:jc w:val="both"/>
        <w:rPr>
          <w:sz w:val="22"/>
          <w:szCs w:val="22"/>
          <w:lang w:val="sr-Latn-CS"/>
        </w:rPr>
      </w:pPr>
    </w:p>
    <w:p w14:paraId="2299DAB0" w14:textId="77777777" w:rsidR="0058338A" w:rsidRPr="00D21251" w:rsidRDefault="0058338A" w:rsidP="00531B03">
      <w:pPr>
        <w:jc w:val="both"/>
        <w:rPr>
          <w:sz w:val="22"/>
          <w:szCs w:val="22"/>
          <w:lang w:val="sr-Latn-CS"/>
        </w:rPr>
      </w:pPr>
      <w:r w:rsidRPr="00D21251">
        <w:rPr>
          <w:sz w:val="22"/>
          <w:szCs w:val="22"/>
          <w:lang w:val="sr-Latn-CS"/>
        </w:rPr>
        <w:t>Kao m</w:t>
      </w:r>
      <w:r w:rsidR="003864AD">
        <w:rPr>
          <w:sz w:val="22"/>
          <w:szCs w:val="22"/>
          <w:lang w:val="sr-Latn-CS"/>
        </w:rPr>
        <w:t>j</w:t>
      </w:r>
      <w:r w:rsidRPr="00D21251">
        <w:rPr>
          <w:sz w:val="22"/>
          <w:szCs w:val="22"/>
          <w:lang w:val="sr-Latn-CS"/>
        </w:rPr>
        <w:t xml:space="preserve">era opreza, ne preporučuje se upotreba </w:t>
      </w:r>
      <w:r w:rsidR="00344FF6">
        <w:rPr>
          <w:sz w:val="22"/>
          <w:szCs w:val="22"/>
          <w:lang w:val="sr-Latn-CS"/>
        </w:rPr>
        <w:t>lijek</w:t>
      </w:r>
      <w:r w:rsidRPr="00D21251">
        <w:rPr>
          <w:sz w:val="22"/>
          <w:szCs w:val="22"/>
          <w:lang w:val="sr-Latn-CS"/>
        </w:rPr>
        <w:t>a Exjade u trudnoći</w:t>
      </w:r>
      <w:r w:rsidR="006D43CE">
        <w:rPr>
          <w:sz w:val="22"/>
          <w:szCs w:val="22"/>
          <w:lang w:val="sr-Latn-CS"/>
        </w:rPr>
        <w:t>,</w:t>
      </w:r>
      <w:r w:rsidRPr="00D21251">
        <w:rPr>
          <w:sz w:val="22"/>
          <w:szCs w:val="22"/>
          <w:lang w:val="sr-Latn-CS"/>
        </w:rPr>
        <w:t xml:space="preserve"> osim ukoliko je to zaista neophodno.</w:t>
      </w:r>
    </w:p>
    <w:p w14:paraId="03675514" w14:textId="77777777" w:rsidR="0058338A" w:rsidRPr="00D21251" w:rsidRDefault="0058338A" w:rsidP="00531B03">
      <w:pPr>
        <w:jc w:val="both"/>
        <w:rPr>
          <w:sz w:val="22"/>
          <w:szCs w:val="22"/>
          <w:lang w:val="sr-Latn-CS"/>
        </w:rPr>
      </w:pPr>
    </w:p>
    <w:p w14:paraId="2E378A27" w14:textId="77777777" w:rsidR="0058338A" w:rsidRPr="00D21251" w:rsidRDefault="00344FF6" w:rsidP="00531B03">
      <w:pPr>
        <w:pStyle w:val="Text"/>
        <w:widowControl w:val="0"/>
        <w:spacing w:before="0"/>
        <w:rPr>
          <w:rFonts w:ascii="Times New Roman" w:hAnsi="Times New Roman" w:cs="Times New Roman"/>
          <w:color w:val="000000"/>
          <w:sz w:val="22"/>
          <w:szCs w:val="22"/>
          <w:lang w:val="bs-Latn-BA"/>
        </w:rPr>
      </w:pPr>
      <w:r>
        <w:rPr>
          <w:rFonts w:ascii="Times New Roman" w:hAnsi="Times New Roman" w:cs="Times New Roman"/>
          <w:color w:val="000000"/>
          <w:sz w:val="22"/>
          <w:szCs w:val="22"/>
          <w:lang w:val="bs-Latn-BA"/>
        </w:rPr>
        <w:t>Lijek</w:t>
      </w:r>
      <w:r w:rsidR="0058338A" w:rsidRPr="00D21251">
        <w:rPr>
          <w:rFonts w:ascii="Times New Roman" w:hAnsi="Times New Roman" w:cs="Times New Roman"/>
          <w:color w:val="000000"/>
          <w:sz w:val="22"/>
          <w:szCs w:val="22"/>
          <w:lang w:val="bs-Latn-BA"/>
        </w:rPr>
        <w:t xml:space="preserve"> Exjade može da smanji efikasnost hormonskih kontraceptiva (</w:t>
      </w:r>
      <w:r w:rsidR="009E320F">
        <w:rPr>
          <w:rFonts w:ascii="Times New Roman" w:hAnsi="Times New Roman" w:cs="Times New Roman"/>
          <w:color w:val="000000"/>
          <w:sz w:val="22"/>
          <w:szCs w:val="22"/>
          <w:lang w:val="bs-Latn-BA"/>
        </w:rPr>
        <w:t xml:space="preserve">vidjeti </w:t>
      </w:r>
      <w:r w:rsidR="00C66729">
        <w:rPr>
          <w:rFonts w:ascii="Times New Roman" w:hAnsi="Times New Roman" w:cs="Times New Roman"/>
          <w:color w:val="000000"/>
          <w:sz w:val="22"/>
          <w:szCs w:val="22"/>
          <w:lang w:val="bs-Latn-BA"/>
        </w:rPr>
        <w:t>dio</w:t>
      </w:r>
      <w:r w:rsidR="00C66729" w:rsidRPr="00D21251">
        <w:rPr>
          <w:rFonts w:ascii="Times New Roman" w:hAnsi="Times New Roman" w:cs="Times New Roman"/>
          <w:color w:val="000000"/>
          <w:sz w:val="22"/>
          <w:szCs w:val="22"/>
          <w:lang w:val="bs-Latn-BA"/>
        </w:rPr>
        <w:t xml:space="preserve"> </w:t>
      </w:r>
      <w:r w:rsidR="0058338A" w:rsidRPr="00D21251">
        <w:rPr>
          <w:rFonts w:ascii="Times New Roman" w:hAnsi="Times New Roman" w:cs="Times New Roman"/>
          <w:color w:val="000000"/>
          <w:sz w:val="22"/>
          <w:szCs w:val="22"/>
          <w:lang w:val="bs-Latn-BA"/>
        </w:rPr>
        <w:t xml:space="preserve">4.5). Ženama u reproduktivnom periodu se preporučuje da koriste dodatne ili alternativne nehormonske metode kontracepcije dok uzimaju </w:t>
      </w:r>
      <w:r>
        <w:rPr>
          <w:rFonts w:ascii="Times New Roman" w:hAnsi="Times New Roman" w:cs="Times New Roman"/>
          <w:color w:val="000000"/>
          <w:sz w:val="22"/>
          <w:szCs w:val="22"/>
          <w:lang w:val="bs-Latn-BA"/>
        </w:rPr>
        <w:t>lijek</w:t>
      </w:r>
      <w:r w:rsidR="0058338A" w:rsidRPr="00D21251">
        <w:rPr>
          <w:rFonts w:ascii="Times New Roman" w:hAnsi="Times New Roman" w:cs="Times New Roman"/>
          <w:color w:val="000000"/>
          <w:sz w:val="22"/>
          <w:szCs w:val="22"/>
          <w:lang w:val="bs-Latn-BA"/>
        </w:rPr>
        <w:t xml:space="preserve"> Exjade.</w:t>
      </w:r>
    </w:p>
    <w:p w14:paraId="23BBC240" w14:textId="77777777" w:rsidR="0058338A" w:rsidRPr="00D21251" w:rsidRDefault="0058338A" w:rsidP="00531B03">
      <w:pPr>
        <w:pStyle w:val="Header"/>
        <w:tabs>
          <w:tab w:val="left" w:pos="284"/>
        </w:tabs>
        <w:jc w:val="both"/>
        <w:rPr>
          <w:sz w:val="22"/>
          <w:szCs w:val="22"/>
          <w:lang w:val="bs-Latn-BA"/>
        </w:rPr>
      </w:pPr>
    </w:p>
    <w:p w14:paraId="7517E10C" w14:textId="77777777" w:rsidR="0058338A" w:rsidRPr="00D21251" w:rsidRDefault="0058338A" w:rsidP="00531B03">
      <w:pPr>
        <w:jc w:val="both"/>
        <w:rPr>
          <w:sz w:val="22"/>
          <w:szCs w:val="22"/>
          <w:u w:val="single"/>
          <w:lang w:val="sr-Latn-CS"/>
        </w:rPr>
      </w:pPr>
      <w:r w:rsidRPr="00D21251">
        <w:rPr>
          <w:sz w:val="22"/>
          <w:szCs w:val="22"/>
          <w:u w:val="single"/>
          <w:lang w:val="sr-Latn-CS"/>
        </w:rPr>
        <w:t>Dojenje</w:t>
      </w:r>
    </w:p>
    <w:p w14:paraId="3021745C" w14:textId="77777777" w:rsidR="0058338A" w:rsidRPr="00D21251" w:rsidRDefault="008A3015" w:rsidP="00531B03">
      <w:pPr>
        <w:jc w:val="both"/>
        <w:rPr>
          <w:sz w:val="22"/>
          <w:szCs w:val="22"/>
          <w:lang w:val="sr-Latn-CS"/>
        </w:rPr>
      </w:pPr>
      <w:r>
        <w:rPr>
          <w:sz w:val="22"/>
          <w:szCs w:val="22"/>
          <w:lang w:val="sr-Latn-CS"/>
        </w:rPr>
        <w:t>Studije</w:t>
      </w:r>
      <w:r w:rsidR="0058338A" w:rsidRPr="00D21251">
        <w:rPr>
          <w:sz w:val="22"/>
          <w:szCs w:val="22"/>
          <w:lang w:val="sr-Latn-CS"/>
        </w:rPr>
        <w:t xml:space="preserve"> na životinjama </w:t>
      </w:r>
      <w:r w:rsidR="00C66729">
        <w:rPr>
          <w:sz w:val="22"/>
          <w:szCs w:val="22"/>
          <w:lang w:val="sr-Latn-CS"/>
        </w:rPr>
        <w:t xml:space="preserve">su </w:t>
      </w:r>
      <w:r>
        <w:rPr>
          <w:sz w:val="22"/>
          <w:szCs w:val="22"/>
          <w:lang w:val="sr-Latn-CS"/>
        </w:rPr>
        <w:t>pokaz</w:t>
      </w:r>
      <w:r w:rsidR="00C66729">
        <w:rPr>
          <w:sz w:val="22"/>
          <w:szCs w:val="22"/>
          <w:lang w:val="sr-Latn-CS"/>
        </w:rPr>
        <w:t>ale</w:t>
      </w:r>
      <w:r w:rsidR="0058338A" w:rsidRPr="00D21251">
        <w:rPr>
          <w:sz w:val="22"/>
          <w:szCs w:val="22"/>
          <w:lang w:val="sr-Latn-CS"/>
        </w:rPr>
        <w:t xml:space="preserve"> da se deferasiroks brzo i u velikoj m</w:t>
      </w:r>
      <w:r w:rsidR="003864AD">
        <w:rPr>
          <w:sz w:val="22"/>
          <w:szCs w:val="22"/>
          <w:lang w:val="sr-Latn-CS"/>
        </w:rPr>
        <w:t>j</w:t>
      </w:r>
      <w:r w:rsidR="0058338A" w:rsidRPr="00D21251">
        <w:rPr>
          <w:sz w:val="22"/>
          <w:szCs w:val="22"/>
          <w:lang w:val="sr-Latn-CS"/>
        </w:rPr>
        <w:t>eri izlučuje u majčino ml</w:t>
      </w:r>
      <w:r w:rsidR="009A2ACE">
        <w:rPr>
          <w:sz w:val="22"/>
          <w:szCs w:val="22"/>
          <w:lang w:val="sr-Latn-CS"/>
        </w:rPr>
        <w:t>ij</w:t>
      </w:r>
      <w:r w:rsidR="0058338A" w:rsidRPr="00D21251">
        <w:rPr>
          <w:sz w:val="22"/>
          <w:szCs w:val="22"/>
          <w:lang w:val="sr-Latn-CS"/>
        </w:rPr>
        <w:t>eko. Nije zapaženo d</w:t>
      </w:r>
      <w:r w:rsidR="00C66729">
        <w:rPr>
          <w:sz w:val="22"/>
          <w:szCs w:val="22"/>
          <w:lang w:val="sr-Latn-CS"/>
        </w:rPr>
        <w:t>j</w:t>
      </w:r>
      <w:r w:rsidR="0058338A" w:rsidRPr="00D21251">
        <w:rPr>
          <w:sz w:val="22"/>
          <w:szCs w:val="22"/>
          <w:lang w:val="sr-Latn-CS"/>
        </w:rPr>
        <w:t xml:space="preserve">elovanje na potomstvo. Nije poznato da li se deferasiroks izlučuje u </w:t>
      </w:r>
      <w:r>
        <w:rPr>
          <w:sz w:val="22"/>
          <w:szCs w:val="22"/>
          <w:lang w:val="sr-Latn-CS"/>
        </w:rPr>
        <w:t>majčino</w:t>
      </w:r>
      <w:r w:rsidR="0058338A" w:rsidRPr="00D21251">
        <w:rPr>
          <w:sz w:val="22"/>
          <w:szCs w:val="22"/>
          <w:lang w:val="sr-Latn-CS"/>
        </w:rPr>
        <w:t xml:space="preserve"> ml</w:t>
      </w:r>
      <w:r w:rsidR="009A2ACE">
        <w:rPr>
          <w:sz w:val="22"/>
          <w:szCs w:val="22"/>
          <w:lang w:val="sr-Latn-CS"/>
        </w:rPr>
        <w:t>ij</w:t>
      </w:r>
      <w:r w:rsidR="0058338A" w:rsidRPr="00D21251">
        <w:rPr>
          <w:sz w:val="22"/>
          <w:szCs w:val="22"/>
          <w:lang w:val="sr-Latn-CS"/>
        </w:rPr>
        <w:t>eko</w:t>
      </w:r>
      <w:r w:rsidR="00C66729">
        <w:rPr>
          <w:sz w:val="22"/>
          <w:szCs w:val="22"/>
          <w:lang w:val="sr-Latn-CS"/>
        </w:rPr>
        <w:t xml:space="preserve"> kod ljudi</w:t>
      </w:r>
      <w:r w:rsidR="0058338A" w:rsidRPr="00D21251">
        <w:rPr>
          <w:sz w:val="22"/>
          <w:szCs w:val="22"/>
          <w:lang w:val="sr-Latn-CS"/>
        </w:rPr>
        <w:t xml:space="preserve">. Dojenje se ne preporučuje tokom uzimanja </w:t>
      </w:r>
      <w:r w:rsidR="00344FF6">
        <w:rPr>
          <w:sz w:val="22"/>
          <w:szCs w:val="22"/>
          <w:lang w:val="sr-Latn-CS"/>
        </w:rPr>
        <w:t>lijek</w:t>
      </w:r>
      <w:r w:rsidR="0058338A" w:rsidRPr="00D21251">
        <w:rPr>
          <w:sz w:val="22"/>
          <w:szCs w:val="22"/>
          <w:lang w:val="sr-Latn-CS"/>
        </w:rPr>
        <w:t>a Exjade.</w:t>
      </w:r>
    </w:p>
    <w:p w14:paraId="0E79AF96" w14:textId="77777777" w:rsidR="0058338A" w:rsidRPr="00D21251" w:rsidRDefault="0058338A" w:rsidP="00531B03">
      <w:pPr>
        <w:pStyle w:val="Header"/>
        <w:tabs>
          <w:tab w:val="left" w:pos="284"/>
        </w:tabs>
        <w:jc w:val="both"/>
        <w:rPr>
          <w:sz w:val="22"/>
          <w:szCs w:val="22"/>
          <w:lang w:val="sr-Latn-CS"/>
        </w:rPr>
      </w:pPr>
    </w:p>
    <w:p w14:paraId="6D51CFE0" w14:textId="77777777" w:rsidR="0058338A" w:rsidRPr="00D21251" w:rsidRDefault="0058338A" w:rsidP="00531B03">
      <w:pPr>
        <w:pStyle w:val="Header"/>
        <w:tabs>
          <w:tab w:val="left" w:pos="284"/>
        </w:tabs>
        <w:jc w:val="both"/>
        <w:rPr>
          <w:sz w:val="22"/>
          <w:szCs w:val="22"/>
          <w:u w:val="single"/>
          <w:lang w:val="sr-Latn-CS"/>
        </w:rPr>
      </w:pPr>
      <w:r w:rsidRPr="00D21251">
        <w:rPr>
          <w:sz w:val="22"/>
          <w:szCs w:val="22"/>
          <w:u w:val="single"/>
          <w:lang w:val="sr-Latn-CS"/>
        </w:rPr>
        <w:t>Plodnost</w:t>
      </w:r>
    </w:p>
    <w:p w14:paraId="76A0C207" w14:textId="2E5DA58F" w:rsidR="0058338A" w:rsidRPr="00D21251" w:rsidRDefault="0058338A" w:rsidP="00531B03">
      <w:pPr>
        <w:jc w:val="both"/>
        <w:rPr>
          <w:sz w:val="22"/>
          <w:szCs w:val="22"/>
          <w:lang w:val="sr-Latn-CS"/>
        </w:rPr>
      </w:pPr>
      <w:r w:rsidRPr="00D21251">
        <w:rPr>
          <w:sz w:val="22"/>
          <w:szCs w:val="22"/>
          <w:lang w:val="sr-Latn-CS"/>
        </w:rPr>
        <w:t>Nisu dostupni podaci o uticaju na plodnost kod ljudi. Kod životinja, ni</w:t>
      </w:r>
      <w:r w:rsidR="00392966">
        <w:rPr>
          <w:sz w:val="22"/>
          <w:szCs w:val="22"/>
          <w:lang w:val="sr-Latn-CS"/>
        </w:rPr>
        <w:t>je</w:t>
      </w:r>
      <w:r w:rsidRPr="00D21251">
        <w:rPr>
          <w:sz w:val="22"/>
          <w:szCs w:val="22"/>
          <w:lang w:val="sr-Latn-CS"/>
        </w:rPr>
        <w:t>su pronađeni neželjeni efekti na plodnost mužjaka i ženki (</w:t>
      </w:r>
      <w:r w:rsidR="009E320F">
        <w:rPr>
          <w:sz w:val="22"/>
          <w:szCs w:val="22"/>
          <w:lang w:val="sr-Latn-CS"/>
        </w:rPr>
        <w:t xml:space="preserve">vidjeti </w:t>
      </w:r>
      <w:r w:rsidR="00736705">
        <w:rPr>
          <w:sz w:val="22"/>
          <w:szCs w:val="22"/>
          <w:lang w:val="sr-Latn-CS"/>
        </w:rPr>
        <w:t>dio</w:t>
      </w:r>
      <w:r w:rsidR="00D11649">
        <w:rPr>
          <w:sz w:val="22"/>
          <w:szCs w:val="22"/>
          <w:lang w:val="sr-Latn-CS"/>
        </w:rPr>
        <w:t xml:space="preserve"> </w:t>
      </w:r>
      <w:r w:rsidRPr="00D21251">
        <w:rPr>
          <w:sz w:val="22"/>
          <w:szCs w:val="22"/>
          <w:lang w:val="sr-Latn-CS"/>
        </w:rPr>
        <w:t>5.3).</w:t>
      </w:r>
    </w:p>
    <w:p w14:paraId="104077EA" w14:textId="77777777" w:rsidR="00227BDB" w:rsidRPr="00531B03" w:rsidRDefault="00227BDB" w:rsidP="00531B03">
      <w:pPr>
        <w:tabs>
          <w:tab w:val="left" w:pos="540"/>
          <w:tab w:val="left" w:pos="569"/>
        </w:tabs>
        <w:ind w:left="540" w:hanging="540"/>
        <w:jc w:val="both"/>
        <w:rPr>
          <w:b/>
          <w:bCs/>
          <w:sz w:val="22"/>
          <w:szCs w:val="22"/>
          <w:lang w:val="sr-Latn-CS"/>
        </w:rPr>
      </w:pPr>
    </w:p>
    <w:p w14:paraId="1444F8BE" w14:textId="77777777" w:rsidR="004459D9" w:rsidRDefault="004459D9" w:rsidP="00531B03">
      <w:pPr>
        <w:tabs>
          <w:tab w:val="left" w:pos="540"/>
          <w:tab w:val="left" w:pos="569"/>
        </w:tabs>
        <w:ind w:left="540" w:hanging="540"/>
        <w:jc w:val="both"/>
        <w:rPr>
          <w:b/>
          <w:bCs/>
          <w:sz w:val="22"/>
          <w:szCs w:val="22"/>
        </w:rPr>
      </w:pPr>
    </w:p>
    <w:p w14:paraId="3507555C" w14:textId="77777777" w:rsidR="004459D9" w:rsidRDefault="004459D9" w:rsidP="00C85663">
      <w:pPr>
        <w:tabs>
          <w:tab w:val="left" w:pos="540"/>
          <w:tab w:val="left" w:pos="569"/>
        </w:tabs>
        <w:jc w:val="both"/>
        <w:rPr>
          <w:b/>
          <w:bCs/>
          <w:sz w:val="22"/>
          <w:szCs w:val="22"/>
        </w:rPr>
      </w:pPr>
    </w:p>
    <w:p w14:paraId="75627712" w14:textId="77777777" w:rsidR="00876CC7" w:rsidRDefault="00876CC7" w:rsidP="00531B03">
      <w:pPr>
        <w:tabs>
          <w:tab w:val="left" w:pos="540"/>
          <w:tab w:val="left" w:pos="569"/>
        </w:tabs>
        <w:ind w:left="540" w:hanging="540"/>
        <w:jc w:val="both"/>
        <w:rPr>
          <w:b/>
          <w:bCs/>
          <w:sz w:val="22"/>
          <w:szCs w:val="22"/>
        </w:rPr>
      </w:pPr>
    </w:p>
    <w:p w14:paraId="5D7EE6C6" w14:textId="77777777" w:rsidR="0072020E" w:rsidRPr="00786071" w:rsidRDefault="0072020E" w:rsidP="00531B03">
      <w:pPr>
        <w:tabs>
          <w:tab w:val="left" w:pos="540"/>
          <w:tab w:val="left" w:pos="569"/>
        </w:tabs>
        <w:ind w:left="540" w:hanging="540"/>
        <w:jc w:val="both"/>
        <w:rPr>
          <w:b/>
          <w:bCs/>
          <w:sz w:val="22"/>
          <w:szCs w:val="22"/>
        </w:rPr>
      </w:pPr>
      <w:r w:rsidRPr="00786071">
        <w:rPr>
          <w:b/>
          <w:bCs/>
          <w:sz w:val="22"/>
          <w:szCs w:val="22"/>
        </w:rPr>
        <w:t xml:space="preserve">4.7. </w:t>
      </w:r>
      <w:r w:rsidR="00480FB1" w:rsidRPr="00786071">
        <w:rPr>
          <w:b/>
          <w:bCs/>
          <w:sz w:val="22"/>
          <w:szCs w:val="22"/>
        </w:rPr>
        <w:tab/>
      </w:r>
      <w:r w:rsidRPr="00786071">
        <w:rPr>
          <w:b/>
          <w:bCs/>
          <w:sz w:val="22"/>
          <w:szCs w:val="22"/>
        </w:rPr>
        <w:t xml:space="preserve">Uticaj </w:t>
      </w:r>
      <w:proofErr w:type="gramStart"/>
      <w:r w:rsidRPr="00786071">
        <w:rPr>
          <w:b/>
          <w:bCs/>
          <w:sz w:val="22"/>
          <w:szCs w:val="22"/>
        </w:rPr>
        <w:t>na</w:t>
      </w:r>
      <w:proofErr w:type="gramEnd"/>
      <w:r w:rsidRPr="00786071">
        <w:rPr>
          <w:b/>
          <w:bCs/>
          <w:sz w:val="22"/>
          <w:szCs w:val="22"/>
        </w:rPr>
        <w:t xml:space="preserve"> </w:t>
      </w:r>
      <w:r w:rsidR="002031B3">
        <w:rPr>
          <w:b/>
          <w:bCs/>
          <w:sz w:val="22"/>
          <w:szCs w:val="22"/>
        </w:rPr>
        <w:t xml:space="preserve">sposobnost </w:t>
      </w:r>
      <w:r w:rsidR="00F34554" w:rsidRPr="00786071">
        <w:rPr>
          <w:b/>
          <w:bCs/>
          <w:sz w:val="22"/>
          <w:szCs w:val="22"/>
        </w:rPr>
        <w:t>upravljanja vozili</w:t>
      </w:r>
      <w:r w:rsidRPr="00786071">
        <w:rPr>
          <w:b/>
          <w:bCs/>
          <w:sz w:val="22"/>
          <w:szCs w:val="22"/>
        </w:rPr>
        <w:t>m</w:t>
      </w:r>
      <w:r w:rsidR="00F34554" w:rsidRPr="00786071">
        <w:rPr>
          <w:b/>
          <w:bCs/>
          <w:sz w:val="22"/>
          <w:szCs w:val="22"/>
        </w:rPr>
        <w:t>a</w:t>
      </w:r>
      <w:r w:rsidRPr="00786071">
        <w:rPr>
          <w:b/>
          <w:bCs/>
          <w:sz w:val="22"/>
          <w:szCs w:val="22"/>
        </w:rPr>
        <w:t xml:space="preserve"> i </w:t>
      </w:r>
      <w:r w:rsidR="000D3449" w:rsidRPr="00786071">
        <w:rPr>
          <w:b/>
          <w:bCs/>
          <w:sz w:val="22"/>
          <w:szCs w:val="22"/>
        </w:rPr>
        <w:t>rukovanj</w:t>
      </w:r>
      <w:r w:rsidR="000D3449">
        <w:rPr>
          <w:b/>
          <w:bCs/>
          <w:sz w:val="22"/>
          <w:szCs w:val="22"/>
        </w:rPr>
        <w:t>e</w:t>
      </w:r>
      <w:r w:rsidR="000D3449" w:rsidRPr="00786071">
        <w:rPr>
          <w:b/>
          <w:bCs/>
          <w:sz w:val="22"/>
          <w:szCs w:val="22"/>
        </w:rPr>
        <w:t xml:space="preserve"> </w:t>
      </w:r>
      <w:r w:rsidRPr="00786071">
        <w:rPr>
          <w:b/>
          <w:bCs/>
          <w:sz w:val="22"/>
          <w:szCs w:val="22"/>
        </w:rPr>
        <w:t>mašinama</w:t>
      </w:r>
    </w:p>
    <w:p w14:paraId="68680FDF" w14:textId="77777777" w:rsidR="00D21251" w:rsidRDefault="00D21251" w:rsidP="00531B03">
      <w:pPr>
        <w:jc w:val="both"/>
        <w:rPr>
          <w:szCs w:val="22"/>
          <w:lang w:val="sr-Latn-CS"/>
        </w:rPr>
      </w:pPr>
    </w:p>
    <w:p w14:paraId="7B35C4F6" w14:textId="126A6DEC" w:rsidR="0058338A" w:rsidRPr="00D21251" w:rsidRDefault="00344FF6" w:rsidP="00531B03">
      <w:pPr>
        <w:jc w:val="both"/>
        <w:rPr>
          <w:sz w:val="22"/>
          <w:szCs w:val="22"/>
          <w:lang w:val="sr-Latn-CS"/>
        </w:rPr>
      </w:pPr>
      <w:r>
        <w:rPr>
          <w:sz w:val="22"/>
          <w:szCs w:val="22"/>
          <w:lang w:val="sr-Latn-CS"/>
        </w:rPr>
        <w:t>Lijek</w:t>
      </w:r>
      <w:r w:rsidR="0058338A" w:rsidRPr="00D21251">
        <w:rPr>
          <w:sz w:val="22"/>
          <w:szCs w:val="22"/>
          <w:lang w:val="sr-Latn-CS"/>
        </w:rPr>
        <w:t xml:space="preserve"> Exjade ima minimalni uticaj na sposobnost upravljanja vozilima i rukovanja mašinama. Pacijenti kod kojih se javi </w:t>
      </w:r>
      <w:r w:rsidR="00895521" w:rsidRPr="00D21251">
        <w:rPr>
          <w:sz w:val="22"/>
          <w:szCs w:val="22"/>
          <w:lang w:val="sr-Latn-CS"/>
        </w:rPr>
        <w:t>vrtoglavica</w:t>
      </w:r>
      <w:r w:rsidR="00895521">
        <w:rPr>
          <w:sz w:val="22"/>
          <w:szCs w:val="22"/>
          <w:lang w:val="sr-Latn-CS"/>
        </w:rPr>
        <w:t xml:space="preserve">, kao </w:t>
      </w:r>
      <w:r w:rsidR="0058338A" w:rsidRPr="00D21251">
        <w:rPr>
          <w:sz w:val="22"/>
          <w:szCs w:val="22"/>
          <w:lang w:val="sr-Latn-CS"/>
        </w:rPr>
        <w:t>povremena neželjena reakcija</w:t>
      </w:r>
      <w:r w:rsidR="00895521">
        <w:rPr>
          <w:sz w:val="22"/>
          <w:szCs w:val="22"/>
          <w:lang w:val="sr-Latn-CS"/>
        </w:rPr>
        <w:t>,</w:t>
      </w:r>
      <w:r w:rsidR="0058338A" w:rsidRPr="00D21251">
        <w:rPr>
          <w:sz w:val="22"/>
          <w:szCs w:val="22"/>
          <w:lang w:val="sr-Latn-CS"/>
        </w:rPr>
        <w:t xml:space="preserve"> treba da budu oprezni dok voze ili rukuju mašinama (</w:t>
      </w:r>
      <w:r w:rsidR="009E320F">
        <w:rPr>
          <w:sz w:val="22"/>
          <w:szCs w:val="22"/>
          <w:lang w:val="sr-Latn-CS"/>
        </w:rPr>
        <w:t xml:space="preserve">vidjeti </w:t>
      </w:r>
      <w:r w:rsidR="00736705">
        <w:rPr>
          <w:sz w:val="22"/>
          <w:szCs w:val="22"/>
          <w:lang w:val="sr-Latn-CS"/>
        </w:rPr>
        <w:t>dio</w:t>
      </w:r>
      <w:r w:rsidR="0058338A" w:rsidRPr="00D21251">
        <w:rPr>
          <w:sz w:val="22"/>
          <w:szCs w:val="22"/>
          <w:lang w:val="sr-Latn-CS"/>
        </w:rPr>
        <w:t xml:space="preserve"> 4.8).</w:t>
      </w:r>
    </w:p>
    <w:p w14:paraId="58D2013C" w14:textId="77777777" w:rsidR="0072020E" w:rsidRPr="00531B03" w:rsidRDefault="0072020E" w:rsidP="00531B03">
      <w:pPr>
        <w:tabs>
          <w:tab w:val="left" w:pos="540"/>
          <w:tab w:val="left" w:pos="569"/>
        </w:tabs>
        <w:jc w:val="both"/>
        <w:rPr>
          <w:b/>
          <w:bCs/>
          <w:sz w:val="22"/>
          <w:szCs w:val="22"/>
          <w:lang w:val="sr-Latn-CS"/>
        </w:rPr>
      </w:pPr>
    </w:p>
    <w:p w14:paraId="0B863BFB" w14:textId="77777777" w:rsidR="00742B27" w:rsidRDefault="00742B27" w:rsidP="00531B03">
      <w:pPr>
        <w:tabs>
          <w:tab w:val="left" w:pos="540"/>
          <w:tab w:val="left" w:pos="569"/>
        </w:tabs>
        <w:jc w:val="both"/>
        <w:rPr>
          <w:b/>
          <w:bCs/>
          <w:sz w:val="22"/>
          <w:szCs w:val="22"/>
        </w:rPr>
      </w:pPr>
    </w:p>
    <w:p w14:paraId="37B7D637" w14:textId="77777777" w:rsidR="0072020E" w:rsidRPr="00D21251" w:rsidRDefault="0072020E" w:rsidP="00531B03">
      <w:pPr>
        <w:tabs>
          <w:tab w:val="left" w:pos="540"/>
          <w:tab w:val="left" w:pos="569"/>
        </w:tabs>
        <w:jc w:val="both"/>
        <w:rPr>
          <w:b/>
          <w:bCs/>
          <w:sz w:val="22"/>
          <w:szCs w:val="22"/>
        </w:rPr>
      </w:pPr>
      <w:r w:rsidRPr="00D21251">
        <w:rPr>
          <w:b/>
          <w:bCs/>
          <w:sz w:val="22"/>
          <w:szCs w:val="22"/>
        </w:rPr>
        <w:t xml:space="preserve">4.8. </w:t>
      </w:r>
      <w:r w:rsidR="00480FB1" w:rsidRPr="00D21251">
        <w:rPr>
          <w:b/>
          <w:bCs/>
          <w:sz w:val="22"/>
          <w:szCs w:val="22"/>
        </w:rPr>
        <w:tab/>
      </w:r>
      <w:r w:rsidRPr="00D21251">
        <w:rPr>
          <w:b/>
          <w:bCs/>
          <w:sz w:val="22"/>
          <w:szCs w:val="22"/>
        </w:rPr>
        <w:t>Neželjena dejstva</w:t>
      </w:r>
    </w:p>
    <w:p w14:paraId="22A1C124" w14:textId="77777777" w:rsidR="00D21251" w:rsidRDefault="00D21251" w:rsidP="00531B03">
      <w:pPr>
        <w:jc w:val="both"/>
        <w:rPr>
          <w:sz w:val="22"/>
          <w:szCs w:val="22"/>
          <w:u w:val="single"/>
          <w:lang w:val="sr-Latn-CS"/>
        </w:rPr>
      </w:pPr>
    </w:p>
    <w:p w14:paraId="327B4EA8" w14:textId="77777777" w:rsidR="0058338A" w:rsidRPr="00D21251" w:rsidRDefault="0058338A" w:rsidP="00531B03">
      <w:pPr>
        <w:jc w:val="both"/>
        <w:rPr>
          <w:sz w:val="22"/>
          <w:szCs w:val="22"/>
          <w:u w:val="single"/>
          <w:lang w:val="sr-Latn-CS"/>
        </w:rPr>
      </w:pPr>
      <w:r w:rsidRPr="00D21251">
        <w:rPr>
          <w:sz w:val="22"/>
          <w:szCs w:val="22"/>
          <w:u w:val="single"/>
          <w:lang w:val="sr-Latn-CS"/>
        </w:rPr>
        <w:t>Sažetak bezb</w:t>
      </w:r>
      <w:r w:rsidR="000F5050">
        <w:rPr>
          <w:sz w:val="22"/>
          <w:szCs w:val="22"/>
          <w:u w:val="single"/>
          <w:lang w:val="sr-Latn-CS"/>
        </w:rPr>
        <w:t>j</w:t>
      </w:r>
      <w:r w:rsidRPr="00D21251">
        <w:rPr>
          <w:sz w:val="22"/>
          <w:szCs w:val="22"/>
          <w:u w:val="single"/>
          <w:lang w:val="sr-Latn-CS"/>
        </w:rPr>
        <w:t>ednosnog profila</w:t>
      </w:r>
    </w:p>
    <w:p w14:paraId="3F854EEF" w14:textId="77777777" w:rsidR="0058338A" w:rsidRDefault="0058338A" w:rsidP="00531B03">
      <w:pPr>
        <w:jc w:val="both"/>
        <w:rPr>
          <w:sz w:val="22"/>
          <w:szCs w:val="22"/>
          <w:lang w:val="sr-Latn-CS"/>
        </w:rPr>
      </w:pPr>
      <w:r w:rsidRPr="00D21251">
        <w:rPr>
          <w:sz w:val="22"/>
          <w:szCs w:val="22"/>
          <w:lang w:val="sr-Latn-CS"/>
        </w:rPr>
        <w:t>Najčešće reakcije opisane u kliničkim studijama u toku hronične terapije deferasiroks disperzibilnim tabletama kod odraslih i pedijatrijskih pacijenata obuhvataju poremećaje gastrointestinalnog trakta (uglavnom mučnina, povraćanje, dijareja ili bol u abdomenu) i osip po koži. Dijareja se češće prijavljuje kod pedijatrijskih pacijenata uzrasta od 2 do 5 godina i kod starijih pacijenata. Ove reakcije zavise od prim</w:t>
      </w:r>
      <w:r w:rsidR="003864AD">
        <w:rPr>
          <w:sz w:val="22"/>
          <w:szCs w:val="22"/>
          <w:lang w:val="sr-Latn-CS"/>
        </w:rPr>
        <w:t>i</w:t>
      </w:r>
      <w:r w:rsidR="00344FF6">
        <w:rPr>
          <w:sz w:val="22"/>
          <w:szCs w:val="22"/>
          <w:lang w:val="sr-Latn-CS"/>
        </w:rPr>
        <w:t>j</w:t>
      </w:r>
      <w:r w:rsidRPr="00D21251">
        <w:rPr>
          <w:sz w:val="22"/>
          <w:szCs w:val="22"/>
          <w:lang w:val="sr-Latn-CS"/>
        </w:rPr>
        <w:t>enjene doze, uglavnom su blage do um</w:t>
      </w:r>
      <w:r w:rsidR="009A2ACE">
        <w:rPr>
          <w:sz w:val="22"/>
          <w:szCs w:val="22"/>
          <w:lang w:val="sr-Latn-CS"/>
        </w:rPr>
        <w:t>j</w:t>
      </w:r>
      <w:r w:rsidRPr="00D21251">
        <w:rPr>
          <w:sz w:val="22"/>
          <w:szCs w:val="22"/>
          <w:lang w:val="sr-Latn-CS"/>
        </w:rPr>
        <w:t xml:space="preserve">erene, prolazne i u većini slučajeva se povlače iako se nastavi sa terapijom. </w:t>
      </w:r>
    </w:p>
    <w:p w14:paraId="783200BC" w14:textId="77777777" w:rsidR="000B2AB6" w:rsidRPr="00D21251" w:rsidRDefault="000B2AB6" w:rsidP="00531B03">
      <w:pPr>
        <w:jc w:val="both"/>
        <w:rPr>
          <w:sz w:val="22"/>
          <w:szCs w:val="22"/>
          <w:lang w:val="sr-Latn-CS"/>
        </w:rPr>
      </w:pPr>
    </w:p>
    <w:p w14:paraId="31532B4D" w14:textId="77777777" w:rsidR="0058338A" w:rsidRPr="00D21251" w:rsidRDefault="0058338A" w:rsidP="00531B03">
      <w:pPr>
        <w:jc w:val="both"/>
        <w:rPr>
          <w:sz w:val="22"/>
          <w:szCs w:val="22"/>
          <w:lang w:val="sr-Latn-CS"/>
        </w:rPr>
      </w:pPr>
      <w:r w:rsidRPr="00D21251">
        <w:rPr>
          <w:sz w:val="22"/>
          <w:szCs w:val="22"/>
          <w:lang w:val="sr-Latn-CS"/>
        </w:rPr>
        <w:t xml:space="preserve">Tokom kliničkih studija javio se dozno zavisni porast </w:t>
      </w:r>
      <w:r w:rsidR="0071118F">
        <w:rPr>
          <w:sz w:val="22"/>
          <w:szCs w:val="22"/>
          <w:lang w:val="sr-Latn-CS"/>
        </w:rPr>
        <w:t>vrijednost</w:t>
      </w:r>
      <w:r w:rsidRPr="00D21251">
        <w:rPr>
          <w:sz w:val="22"/>
          <w:szCs w:val="22"/>
          <w:lang w:val="sr-Latn-CS"/>
        </w:rPr>
        <w:t xml:space="preserve">i serumskog kreatinina kod oko 36% pacijenata, mada je kod većine ostao u normalnom opsegu. Smanjenja u srednjoj </w:t>
      </w:r>
      <w:r w:rsidR="0071118F">
        <w:rPr>
          <w:sz w:val="22"/>
          <w:szCs w:val="22"/>
          <w:lang w:val="sr-Latn-CS"/>
        </w:rPr>
        <w:t>vrijednost</w:t>
      </w:r>
      <w:r w:rsidRPr="00D21251">
        <w:rPr>
          <w:sz w:val="22"/>
          <w:szCs w:val="22"/>
          <w:lang w:val="sr-Latn-CS"/>
        </w:rPr>
        <w:t xml:space="preserve">i klirensa kreatinina </w:t>
      </w:r>
      <w:r w:rsidR="00F90136">
        <w:rPr>
          <w:sz w:val="22"/>
          <w:szCs w:val="22"/>
          <w:lang w:val="sr-Latn-CS"/>
        </w:rPr>
        <w:t>zabilježen</w:t>
      </w:r>
      <w:r w:rsidRPr="00D21251">
        <w:rPr>
          <w:sz w:val="22"/>
          <w:szCs w:val="22"/>
          <w:lang w:val="sr-Latn-CS"/>
        </w:rPr>
        <w:t xml:space="preserve">a su i kod pedijatrijskih i kod odraslih pacijenata sa beta talasemijom i preopterećenjem gvožđem tokom prve godine terapije, ali postoji dokaz da se ne smanjuje dalje u narednim godinama terapije. Prijavljivana su povećanja </w:t>
      </w:r>
      <w:r w:rsidR="0071118F">
        <w:rPr>
          <w:sz w:val="22"/>
          <w:szCs w:val="22"/>
          <w:lang w:val="sr-Latn-CS"/>
        </w:rPr>
        <w:t>vrijednost</w:t>
      </w:r>
      <w:r w:rsidRPr="00D21251">
        <w:rPr>
          <w:sz w:val="22"/>
          <w:szCs w:val="22"/>
          <w:lang w:val="sr-Latn-CS"/>
        </w:rPr>
        <w:t>i transaminaza jetre. Preporučuje se raspored bezb</w:t>
      </w:r>
      <w:r w:rsidR="000F5050">
        <w:rPr>
          <w:sz w:val="22"/>
          <w:szCs w:val="22"/>
          <w:lang w:val="sr-Latn-CS"/>
        </w:rPr>
        <w:t>j</w:t>
      </w:r>
      <w:r w:rsidRPr="00D21251">
        <w:rPr>
          <w:sz w:val="22"/>
          <w:szCs w:val="22"/>
          <w:lang w:val="sr-Latn-CS"/>
        </w:rPr>
        <w:t>ednosnog praćenja parametara bubrega i jetre. Poremećaji sluha (slabiji sluh) i vida (zamućenja sočiva) su povremeni i takođe se preporučuju godišnji kontrolni pregledi (</w:t>
      </w:r>
      <w:r w:rsidR="009E320F">
        <w:rPr>
          <w:sz w:val="22"/>
          <w:szCs w:val="22"/>
          <w:lang w:val="sr-Latn-CS"/>
        </w:rPr>
        <w:t xml:space="preserve">vidjeti </w:t>
      </w:r>
      <w:r w:rsidR="00D05808">
        <w:rPr>
          <w:sz w:val="22"/>
          <w:szCs w:val="22"/>
          <w:lang w:val="sr-Latn-CS"/>
        </w:rPr>
        <w:t xml:space="preserve">dio </w:t>
      </w:r>
      <w:r w:rsidRPr="00D21251">
        <w:rPr>
          <w:sz w:val="22"/>
          <w:szCs w:val="22"/>
          <w:lang w:val="sr-Latn-CS"/>
        </w:rPr>
        <w:t>4.4).</w:t>
      </w:r>
    </w:p>
    <w:p w14:paraId="5EB0FE50" w14:textId="77777777" w:rsidR="0058338A" w:rsidRPr="00D21251" w:rsidRDefault="0058338A" w:rsidP="00531B03">
      <w:pPr>
        <w:jc w:val="both"/>
        <w:rPr>
          <w:sz w:val="22"/>
          <w:szCs w:val="22"/>
          <w:lang w:val="sr-Latn-CS"/>
        </w:rPr>
      </w:pPr>
    </w:p>
    <w:p w14:paraId="47193EFE" w14:textId="77777777" w:rsidR="0058338A" w:rsidRPr="00D21251" w:rsidRDefault="0058338A" w:rsidP="00531B03">
      <w:pPr>
        <w:jc w:val="both"/>
        <w:rPr>
          <w:sz w:val="22"/>
          <w:szCs w:val="22"/>
          <w:lang w:val="sr-Latn-CS"/>
        </w:rPr>
      </w:pPr>
      <w:r w:rsidRPr="00D21251">
        <w:rPr>
          <w:sz w:val="22"/>
          <w:szCs w:val="22"/>
          <w:lang w:val="sr-Latn-CS"/>
        </w:rPr>
        <w:t xml:space="preserve">Teške neželjene reakcije kože na </w:t>
      </w:r>
      <w:r w:rsidR="00344FF6">
        <w:rPr>
          <w:sz w:val="22"/>
          <w:szCs w:val="22"/>
          <w:lang w:val="sr-Latn-CS"/>
        </w:rPr>
        <w:t>lijek</w:t>
      </w:r>
      <w:r w:rsidRPr="00D21251">
        <w:rPr>
          <w:sz w:val="22"/>
          <w:szCs w:val="22"/>
          <w:lang w:val="sr-Latn-CS"/>
        </w:rPr>
        <w:t xml:space="preserve"> (SCAR, eng. </w:t>
      </w:r>
      <w:r w:rsidRPr="00D21251">
        <w:rPr>
          <w:i/>
          <w:sz w:val="22"/>
          <w:szCs w:val="22"/>
          <w:lang w:val="sr-Latn-CS"/>
        </w:rPr>
        <w:t xml:space="preserve">Severe </w:t>
      </w:r>
      <w:r w:rsidR="00D05808">
        <w:rPr>
          <w:i/>
          <w:sz w:val="22"/>
          <w:szCs w:val="22"/>
          <w:lang w:val="sr-Latn-CS"/>
        </w:rPr>
        <w:t>C</w:t>
      </w:r>
      <w:r w:rsidRPr="00D21251">
        <w:rPr>
          <w:i/>
          <w:sz w:val="22"/>
          <w:szCs w:val="22"/>
          <w:lang w:val="sr-Latn-CS"/>
        </w:rPr>
        <w:t xml:space="preserve">utaneous </w:t>
      </w:r>
      <w:r w:rsidR="00D05808">
        <w:rPr>
          <w:i/>
          <w:sz w:val="22"/>
          <w:szCs w:val="22"/>
          <w:lang w:val="sr-Latn-CS"/>
        </w:rPr>
        <w:t>A</w:t>
      </w:r>
      <w:r w:rsidRPr="00D21251">
        <w:rPr>
          <w:i/>
          <w:sz w:val="22"/>
          <w:szCs w:val="22"/>
          <w:lang w:val="sr-Latn-CS"/>
        </w:rPr>
        <w:t xml:space="preserve">dverse </w:t>
      </w:r>
      <w:r w:rsidR="00D05808">
        <w:rPr>
          <w:i/>
          <w:sz w:val="22"/>
          <w:szCs w:val="22"/>
          <w:lang w:val="sr-Latn-CS"/>
        </w:rPr>
        <w:t>R</w:t>
      </w:r>
      <w:r w:rsidRPr="00D21251">
        <w:rPr>
          <w:i/>
          <w:sz w:val="22"/>
          <w:szCs w:val="22"/>
          <w:lang w:val="sr-Latn-CS"/>
        </w:rPr>
        <w:t>eactions</w:t>
      </w:r>
      <w:r w:rsidRPr="00D21251">
        <w:rPr>
          <w:sz w:val="22"/>
          <w:szCs w:val="22"/>
          <w:lang w:val="sr-Latn-CS"/>
        </w:rPr>
        <w:t xml:space="preserve">) uključujući </w:t>
      </w:r>
      <w:r w:rsidRPr="00D21251">
        <w:rPr>
          <w:i/>
          <w:sz w:val="22"/>
          <w:szCs w:val="22"/>
          <w:lang w:val="sr-Latn-CS"/>
        </w:rPr>
        <w:t>Stevens-Johnson-</w:t>
      </w:r>
      <w:r w:rsidRPr="00D21251">
        <w:rPr>
          <w:sz w:val="22"/>
          <w:szCs w:val="22"/>
          <w:lang w:val="sr-Latn-CS"/>
        </w:rPr>
        <w:t xml:space="preserve">ov sindrom </w:t>
      </w:r>
      <w:r w:rsidRPr="00531B03">
        <w:rPr>
          <w:color w:val="000000"/>
          <w:sz w:val="22"/>
          <w:szCs w:val="22"/>
          <w:lang w:val="sr-Latn-CS"/>
        </w:rPr>
        <w:t>(</w:t>
      </w:r>
      <w:r w:rsidRPr="00D21251">
        <w:rPr>
          <w:color w:val="000000"/>
          <w:sz w:val="22"/>
          <w:szCs w:val="22"/>
        </w:rPr>
        <w:t>SJS</w:t>
      </w:r>
      <w:r w:rsidRPr="00531B03">
        <w:rPr>
          <w:color w:val="000000"/>
          <w:sz w:val="22"/>
          <w:szCs w:val="22"/>
          <w:lang w:val="sr-Latn-CS"/>
        </w:rPr>
        <w:t>)</w:t>
      </w:r>
      <w:r w:rsidRPr="00D21251">
        <w:rPr>
          <w:sz w:val="22"/>
          <w:szCs w:val="22"/>
          <w:lang w:val="sr-Latn-CS"/>
        </w:rPr>
        <w:t>, toksičnu epidermalnu nekrolizu (TEN) i reakcij</w:t>
      </w:r>
      <w:r w:rsidR="00D05808">
        <w:rPr>
          <w:sz w:val="22"/>
          <w:szCs w:val="22"/>
          <w:lang w:val="sr-Latn-CS"/>
        </w:rPr>
        <w:t>u</w:t>
      </w:r>
      <w:r w:rsidRPr="00D21251">
        <w:rPr>
          <w:sz w:val="22"/>
          <w:szCs w:val="22"/>
          <w:lang w:val="sr-Latn-CS"/>
        </w:rPr>
        <w:t xml:space="preserve"> na </w:t>
      </w:r>
      <w:r w:rsidR="00344FF6">
        <w:rPr>
          <w:sz w:val="22"/>
          <w:szCs w:val="22"/>
          <w:lang w:val="sr-Latn-CS"/>
        </w:rPr>
        <w:t>lijek</w:t>
      </w:r>
      <w:r w:rsidRPr="00D21251">
        <w:rPr>
          <w:sz w:val="22"/>
          <w:szCs w:val="22"/>
          <w:lang w:val="sr-Latn-CS"/>
        </w:rPr>
        <w:t xml:space="preserve"> sa eozinofilijom i sistemskim simptomima (DRESS), zab</w:t>
      </w:r>
      <w:r w:rsidR="00F90136">
        <w:rPr>
          <w:sz w:val="22"/>
          <w:szCs w:val="22"/>
          <w:lang w:val="sr-Latn-CS"/>
        </w:rPr>
        <w:t>i</w:t>
      </w:r>
      <w:r w:rsidRPr="00D21251">
        <w:rPr>
          <w:sz w:val="22"/>
          <w:szCs w:val="22"/>
          <w:lang w:val="sr-Latn-CS"/>
        </w:rPr>
        <w:t>l</w:t>
      </w:r>
      <w:r w:rsidR="00F90136">
        <w:rPr>
          <w:sz w:val="22"/>
          <w:szCs w:val="22"/>
          <w:lang w:val="sr-Latn-CS"/>
        </w:rPr>
        <w:t>j</w:t>
      </w:r>
      <w:r w:rsidRPr="00D21251">
        <w:rPr>
          <w:sz w:val="22"/>
          <w:szCs w:val="22"/>
          <w:lang w:val="sr-Latn-CS"/>
        </w:rPr>
        <w:t xml:space="preserve">ežene su tokom upotrebe </w:t>
      </w:r>
      <w:r w:rsidR="00344FF6">
        <w:rPr>
          <w:sz w:val="22"/>
          <w:szCs w:val="22"/>
          <w:lang w:val="sr-Latn-CS"/>
        </w:rPr>
        <w:t>lijek</w:t>
      </w:r>
      <w:r w:rsidRPr="00D21251">
        <w:rPr>
          <w:sz w:val="22"/>
          <w:szCs w:val="22"/>
          <w:lang w:val="sr-Latn-CS"/>
        </w:rPr>
        <w:t>a Exjade (</w:t>
      </w:r>
      <w:r w:rsidR="009E320F">
        <w:rPr>
          <w:sz w:val="22"/>
          <w:szCs w:val="22"/>
          <w:lang w:val="sr-Latn-CS"/>
        </w:rPr>
        <w:t xml:space="preserve">vidjeti </w:t>
      </w:r>
      <w:r w:rsidR="00D05808">
        <w:rPr>
          <w:sz w:val="22"/>
          <w:szCs w:val="22"/>
          <w:lang w:val="sr-Latn-CS"/>
        </w:rPr>
        <w:t xml:space="preserve">dio </w:t>
      </w:r>
      <w:r w:rsidRPr="00D21251">
        <w:rPr>
          <w:sz w:val="22"/>
          <w:szCs w:val="22"/>
          <w:lang w:val="sr-Latn-CS"/>
        </w:rPr>
        <w:t>4.4).</w:t>
      </w:r>
    </w:p>
    <w:p w14:paraId="2E9280BF" w14:textId="77777777" w:rsidR="0058338A" w:rsidRPr="00D21251" w:rsidRDefault="0058338A" w:rsidP="00531B03">
      <w:pPr>
        <w:jc w:val="both"/>
        <w:rPr>
          <w:sz w:val="22"/>
          <w:szCs w:val="22"/>
          <w:lang w:val="sr-Latn-CS"/>
        </w:rPr>
      </w:pPr>
    </w:p>
    <w:p w14:paraId="4561FD7F" w14:textId="77777777" w:rsidR="0058338A" w:rsidRPr="00D21251" w:rsidRDefault="0058338A" w:rsidP="00531B03">
      <w:pPr>
        <w:jc w:val="both"/>
        <w:rPr>
          <w:sz w:val="22"/>
          <w:szCs w:val="22"/>
          <w:u w:val="single"/>
          <w:lang w:val="sr-Latn-CS"/>
        </w:rPr>
      </w:pPr>
      <w:r w:rsidRPr="00D21251">
        <w:rPr>
          <w:sz w:val="22"/>
          <w:szCs w:val="22"/>
          <w:u w:val="single"/>
          <w:lang w:val="sr-Latn-CS"/>
        </w:rPr>
        <w:t xml:space="preserve">Tabelarni prikaz neželjenih reakcija </w:t>
      </w:r>
    </w:p>
    <w:p w14:paraId="5B46D05F" w14:textId="032C2EF4" w:rsidR="0058338A" w:rsidRPr="00D21251" w:rsidRDefault="0058338A" w:rsidP="00531B03">
      <w:pPr>
        <w:jc w:val="both"/>
        <w:rPr>
          <w:sz w:val="22"/>
          <w:szCs w:val="22"/>
          <w:lang w:val="sr-Latn-CS"/>
        </w:rPr>
      </w:pPr>
      <w:r w:rsidRPr="00D21251">
        <w:rPr>
          <w:sz w:val="22"/>
          <w:szCs w:val="22"/>
          <w:lang w:val="sr-Latn-CS"/>
        </w:rPr>
        <w:t>Neželjene reakcije su rangirane prema sl</w:t>
      </w:r>
      <w:r w:rsidR="00A95529">
        <w:rPr>
          <w:sz w:val="22"/>
          <w:szCs w:val="22"/>
          <w:lang w:val="sr-Latn-CS"/>
        </w:rPr>
        <w:t>j</w:t>
      </w:r>
      <w:r w:rsidRPr="00D21251">
        <w:rPr>
          <w:sz w:val="22"/>
          <w:szCs w:val="22"/>
          <w:lang w:val="sr-Latn-CS"/>
        </w:rPr>
        <w:t xml:space="preserve">edećoj konvenciji: veoma često (≥1/10), često (≥1/100 do &lt;1/10), povremeno (≥1/1000 do &lt;1/100); </w:t>
      </w:r>
      <w:r w:rsidR="0065396C">
        <w:rPr>
          <w:sz w:val="22"/>
          <w:szCs w:val="22"/>
          <w:lang w:val="sr-Latn-CS"/>
        </w:rPr>
        <w:t>rijetk</w:t>
      </w:r>
      <w:r w:rsidRPr="00D21251">
        <w:rPr>
          <w:sz w:val="22"/>
          <w:szCs w:val="22"/>
          <w:lang w:val="sr-Latn-CS"/>
        </w:rPr>
        <w:t>o (≥1/10000 do &lt;1/1000); veoma r</w:t>
      </w:r>
      <w:r w:rsidR="003864AD">
        <w:rPr>
          <w:sz w:val="22"/>
          <w:szCs w:val="22"/>
          <w:lang w:val="sr-Latn-CS"/>
        </w:rPr>
        <w:t>ij</w:t>
      </w:r>
      <w:r w:rsidRPr="00D21251">
        <w:rPr>
          <w:sz w:val="22"/>
          <w:szCs w:val="22"/>
          <w:lang w:val="sr-Latn-CS"/>
        </w:rPr>
        <w:t xml:space="preserve">etko (&lt; 1/10000), nepoznato (ne može se </w:t>
      </w:r>
      <w:r w:rsidR="000F5050">
        <w:rPr>
          <w:sz w:val="22"/>
          <w:szCs w:val="22"/>
          <w:lang w:val="sr-Latn-CS"/>
        </w:rPr>
        <w:t>proc</w:t>
      </w:r>
      <w:r w:rsidR="00F90136">
        <w:rPr>
          <w:sz w:val="22"/>
          <w:szCs w:val="22"/>
          <w:lang w:val="sr-Latn-CS"/>
        </w:rPr>
        <w:t>i</w:t>
      </w:r>
      <w:r w:rsidR="000F5050">
        <w:rPr>
          <w:sz w:val="22"/>
          <w:szCs w:val="22"/>
          <w:lang w:val="sr-Latn-CS"/>
        </w:rPr>
        <w:t>jen</w:t>
      </w:r>
      <w:r w:rsidRPr="00D21251">
        <w:rPr>
          <w:sz w:val="22"/>
          <w:szCs w:val="22"/>
          <w:lang w:val="sr-Latn-CS"/>
        </w:rPr>
        <w:t>iti na osnovu dostupnih podataka). Unutar svake grupe učestalosti, redosl</w:t>
      </w:r>
      <w:r w:rsidR="00392966">
        <w:rPr>
          <w:sz w:val="22"/>
          <w:szCs w:val="22"/>
          <w:lang w:val="sr-Latn-CS"/>
        </w:rPr>
        <w:t>j</w:t>
      </w:r>
      <w:r w:rsidRPr="00D21251">
        <w:rPr>
          <w:sz w:val="22"/>
          <w:szCs w:val="22"/>
          <w:lang w:val="sr-Latn-CS"/>
        </w:rPr>
        <w:t>ed neželjenih reakcija dat je prema opadajućoj ozbiljnosti.</w:t>
      </w:r>
    </w:p>
    <w:p w14:paraId="46B4A12E" w14:textId="77777777" w:rsidR="0058338A" w:rsidRDefault="0058338A" w:rsidP="0058338A">
      <w:pPr>
        <w:rPr>
          <w:szCs w:val="22"/>
          <w:u w:val="single"/>
          <w:lang w:val="sr-Latn-CS"/>
        </w:rPr>
      </w:pPr>
    </w:p>
    <w:p w14:paraId="1A98454B" w14:textId="77777777" w:rsidR="0058338A" w:rsidRDefault="0058338A" w:rsidP="0058338A">
      <w:pPr>
        <w:rPr>
          <w:sz w:val="22"/>
          <w:szCs w:val="22"/>
          <w:u w:val="single"/>
          <w:lang w:val="sr-Latn-CS"/>
        </w:rPr>
      </w:pPr>
      <w:r w:rsidRPr="00D21251">
        <w:rPr>
          <w:sz w:val="22"/>
          <w:szCs w:val="22"/>
          <w:u w:val="single"/>
          <w:lang w:val="sr-Latn-CS"/>
        </w:rPr>
        <w:t>Tabela 5</w:t>
      </w:r>
    </w:p>
    <w:p w14:paraId="07983738" w14:textId="77777777" w:rsidR="00A01E2A" w:rsidRPr="00D21251" w:rsidRDefault="00A01E2A" w:rsidP="0058338A">
      <w:pPr>
        <w:rPr>
          <w:sz w:val="22"/>
          <w:szCs w:val="22"/>
          <w:u w:val="single"/>
          <w:lang w:val="sr-Latn-C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088"/>
        <w:gridCol w:w="5987"/>
      </w:tblGrid>
      <w:tr w:rsidR="0058338A" w:rsidRPr="004459D9" w14:paraId="27A447B7" w14:textId="77777777" w:rsidTr="0058338A">
        <w:tc>
          <w:tcPr>
            <w:tcW w:w="3088" w:type="dxa"/>
          </w:tcPr>
          <w:p w14:paraId="5EA71115" w14:textId="77777777" w:rsidR="0058338A" w:rsidRPr="00531B03" w:rsidRDefault="0058338A" w:rsidP="00D21251">
            <w:pPr>
              <w:rPr>
                <w:b/>
                <w:sz w:val="20"/>
                <w:szCs w:val="20"/>
                <w:lang w:val="sr-Latn-CS"/>
              </w:rPr>
            </w:pPr>
            <w:r w:rsidRPr="00531B03">
              <w:rPr>
                <w:b/>
                <w:sz w:val="20"/>
                <w:szCs w:val="20"/>
                <w:lang w:val="sr-Latn-CS"/>
              </w:rPr>
              <w:t>Poremećaji krvi i limfnog sistema</w:t>
            </w:r>
          </w:p>
        </w:tc>
        <w:tc>
          <w:tcPr>
            <w:tcW w:w="5987" w:type="dxa"/>
          </w:tcPr>
          <w:p w14:paraId="4A472D5E" w14:textId="77777777" w:rsidR="0058338A" w:rsidRPr="00531B03" w:rsidRDefault="0058338A" w:rsidP="00D21251">
            <w:pPr>
              <w:rPr>
                <w:noProof/>
                <w:sz w:val="20"/>
                <w:szCs w:val="20"/>
                <w:u w:val="single"/>
                <w:lang w:val="hr-HR"/>
              </w:rPr>
            </w:pPr>
          </w:p>
        </w:tc>
      </w:tr>
      <w:tr w:rsidR="0058338A" w:rsidRPr="004459D9" w14:paraId="41DDFD18" w14:textId="77777777" w:rsidTr="0058338A">
        <w:tc>
          <w:tcPr>
            <w:tcW w:w="3088" w:type="dxa"/>
          </w:tcPr>
          <w:p w14:paraId="646005C7" w14:textId="77777777" w:rsidR="0058338A" w:rsidRPr="00531B03" w:rsidRDefault="0058338A" w:rsidP="00D21251">
            <w:pPr>
              <w:ind w:left="284"/>
              <w:rPr>
                <w:noProof/>
                <w:sz w:val="20"/>
                <w:szCs w:val="20"/>
                <w:lang w:val="hr-HR"/>
              </w:rPr>
            </w:pPr>
            <w:r w:rsidRPr="00531B03">
              <w:rPr>
                <w:noProof/>
                <w:sz w:val="20"/>
                <w:szCs w:val="20"/>
                <w:lang w:val="hr-HR"/>
              </w:rPr>
              <w:t>Nepoznato:</w:t>
            </w:r>
          </w:p>
        </w:tc>
        <w:tc>
          <w:tcPr>
            <w:tcW w:w="5987" w:type="dxa"/>
          </w:tcPr>
          <w:p w14:paraId="52CA9C60" w14:textId="77777777" w:rsidR="0058338A" w:rsidRPr="00531B03" w:rsidRDefault="0058338A" w:rsidP="00D21251">
            <w:pPr>
              <w:rPr>
                <w:sz w:val="20"/>
                <w:szCs w:val="20"/>
                <w:lang w:val="sr-Latn-CS"/>
              </w:rPr>
            </w:pPr>
            <w:r w:rsidRPr="00531B03">
              <w:rPr>
                <w:sz w:val="20"/>
                <w:szCs w:val="20"/>
                <w:lang w:val="sr-Latn-CS"/>
              </w:rPr>
              <w:t>Pancitopenija</w:t>
            </w:r>
            <w:r w:rsidRPr="00531B03">
              <w:rPr>
                <w:sz w:val="20"/>
                <w:szCs w:val="20"/>
                <w:vertAlign w:val="superscript"/>
                <w:lang w:val="sr-Latn-CS"/>
              </w:rPr>
              <w:t>1</w:t>
            </w:r>
            <w:r w:rsidRPr="00531B03">
              <w:rPr>
                <w:sz w:val="20"/>
                <w:szCs w:val="20"/>
                <w:lang w:val="sr-Latn-CS"/>
              </w:rPr>
              <w:t>, trombocitopenija</w:t>
            </w:r>
            <w:r w:rsidRPr="00531B03">
              <w:rPr>
                <w:sz w:val="20"/>
                <w:szCs w:val="20"/>
                <w:vertAlign w:val="superscript"/>
                <w:lang w:val="sr-Latn-CS"/>
              </w:rPr>
              <w:t>1</w:t>
            </w:r>
            <w:r w:rsidRPr="00531B03">
              <w:rPr>
                <w:sz w:val="20"/>
                <w:szCs w:val="20"/>
                <w:lang w:val="sr-Latn-CS"/>
              </w:rPr>
              <w:t>, pogoršana anemija</w:t>
            </w:r>
            <w:r w:rsidRPr="00531B03">
              <w:rPr>
                <w:sz w:val="20"/>
                <w:szCs w:val="20"/>
                <w:vertAlign w:val="superscript"/>
                <w:lang w:val="sr-Latn-CS"/>
              </w:rPr>
              <w:t>1</w:t>
            </w:r>
            <w:r w:rsidRPr="00531B03">
              <w:rPr>
                <w:sz w:val="20"/>
                <w:szCs w:val="20"/>
                <w:lang w:val="sr-Latn-CS"/>
              </w:rPr>
              <w:t>, neutropenija</w:t>
            </w:r>
            <w:r w:rsidRPr="00531B03">
              <w:rPr>
                <w:sz w:val="20"/>
                <w:szCs w:val="20"/>
                <w:vertAlign w:val="superscript"/>
                <w:lang w:val="sr-Latn-CS"/>
              </w:rPr>
              <w:t>1</w:t>
            </w:r>
          </w:p>
        </w:tc>
      </w:tr>
      <w:tr w:rsidR="0058338A" w:rsidRPr="004459D9" w14:paraId="613BF666" w14:textId="77777777" w:rsidTr="0058338A">
        <w:tc>
          <w:tcPr>
            <w:tcW w:w="3088" w:type="dxa"/>
          </w:tcPr>
          <w:p w14:paraId="7C4362F9" w14:textId="77777777" w:rsidR="0058338A" w:rsidRPr="00531B03" w:rsidRDefault="0058338A" w:rsidP="00D21251">
            <w:pPr>
              <w:rPr>
                <w:b/>
                <w:sz w:val="20"/>
                <w:szCs w:val="20"/>
                <w:lang w:val="sr-Latn-CS"/>
              </w:rPr>
            </w:pPr>
            <w:r w:rsidRPr="00531B03">
              <w:rPr>
                <w:b/>
                <w:sz w:val="20"/>
                <w:szCs w:val="20"/>
                <w:lang w:val="sr-Latn-CS"/>
              </w:rPr>
              <w:t>Poremećaji imunskog sistema</w:t>
            </w:r>
          </w:p>
        </w:tc>
        <w:tc>
          <w:tcPr>
            <w:tcW w:w="5987" w:type="dxa"/>
          </w:tcPr>
          <w:p w14:paraId="4038E1D1" w14:textId="77777777" w:rsidR="0058338A" w:rsidRPr="00531B03" w:rsidRDefault="0058338A" w:rsidP="00D21251">
            <w:pPr>
              <w:rPr>
                <w:sz w:val="20"/>
                <w:szCs w:val="20"/>
                <w:lang w:val="sr-Latn-CS"/>
              </w:rPr>
            </w:pPr>
          </w:p>
        </w:tc>
      </w:tr>
      <w:tr w:rsidR="0058338A" w:rsidRPr="004459D9" w14:paraId="6BFEEC54" w14:textId="77777777" w:rsidTr="0058338A">
        <w:tc>
          <w:tcPr>
            <w:tcW w:w="3088" w:type="dxa"/>
          </w:tcPr>
          <w:p w14:paraId="5468A156" w14:textId="77777777" w:rsidR="0058338A" w:rsidRPr="00531B03" w:rsidRDefault="0058338A" w:rsidP="00D21251">
            <w:pPr>
              <w:ind w:left="284"/>
              <w:rPr>
                <w:noProof/>
                <w:sz w:val="20"/>
                <w:szCs w:val="20"/>
                <w:lang w:val="hr-HR"/>
              </w:rPr>
            </w:pPr>
            <w:r w:rsidRPr="00531B03">
              <w:rPr>
                <w:noProof/>
                <w:sz w:val="20"/>
                <w:szCs w:val="20"/>
                <w:lang w:val="hr-HR"/>
              </w:rPr>
              <w:t>Nepoznato:</w:t>
            </w:r>
          </w:p>
        </w:tc>
        <w:tc>
          <w:tcPr>
            <w:tcW w:w="5987" w:type="dxa"/>
          </w:tcPr>
          <w:p w14:paraId="4D024ADD" w14:textId="77777777" w:rsidR="0058338A" w:rsidRPr="00531B03" w:rsidRDefault="0058338A" w:rsidP="00D21251">
            <w:pPr>
              <w:rPr>
                <w:noProof/>
                <w:sz w:val="20"/>
                <w:szCs w:val="20"/>
                <w:u w:val="single"/>
                <w:lang w:val="hr-HR"/>
              </w:rPr>
            </w:pPr>
            <w:r w:rsidRPr="00531B03">
              <w:rPr>
                <w:sz w:val="20"/>
                <w:szCs w:val="20"/>
                <w:lang w:val="sr-Latn-CS"/>
              </w:rPr>
              <w:t>Reakcije preos</w:t>
            </w:r>
            <w:r w:rsidR="00022A1D" w:rsidRPr="00531B03">
              <w:rPr>
                <w:sz w:val="20"/>
                <w:szCs w:val="20"/>
                <w:lang w:val="sr-Latn-CS"/>
              </w:rPr>
              <w:t>j</w:t>
            </w:r>
            <w:r w:rsidRPr="00531B03">
              <w:rPr>
                <w:sz w:val="20"/>
                <w:szCs w:val="20"/>
                <w:lang w:val="sr-Latn-CS"/>
              </w:rPr>
              <w:t>etljivosti (uključujući anafilaktičke reakcije i angioedem)</w:t>
            </w:r>
            <w:r w:rsidRPr="00531B03">
              <w:rPr>
                <w:sz w:val="20"/>
                <w:szCs w:val="20"/>
                <w:vertAlign w:val="superscript"/>
                <w:lang w:val="sr-Latn-CS"/>
              </w:rPr>
              <w:t>1</w:t>
            </w:r>
          </w:p>
        </w:tc>
      </w:tr>
      <w:tr w:rsidR="0058338A" w:rsidRPr="004459D9" w14:paraId="76637F5D" w14:textId="77777777" w:rsidTr="0058338A">
        <w:tc>
          <w:tcPr>
            <w:tcW w:w="3088" w:type="dxa"/>
          </w:tcPr>
          <w:p w14:paraId="2DBD4FDF" w14:textId="77777777" w:rsidR="0058338A" w:rsidRPr="00531B03" w:rsidRDefault="0058338A" w:rsidP="00D21251">
            <w:pPr>
              <w:rPr>
                <w:b/>
                <w:sz w:val="20"/>
                <w:szCs w:val="20"/>
                <w:lang w:val="sr-Latn-CS"/>
              </w:rPr>
            </w:pPr>
            <w:r w:rsidRPr="00531B03">
              <w:rPr>
                <w:b/>
                <w:sz w:val="20"/>
                <w:szCs w:val="20"/>
                <w:lang w:val="sr-Latn-CS"/>
              </w:rPr>
              <w:t xml:space="preserve">Poremećaji metabolizma i ishrane </w:t>
            </w:r>
          </w:p>
        </w:tc>
        <w:tc>
          <w:tcPr>
            <w:tcW w:w="5987" w:type="dxa"/>
          </w:tcPr>
          <w:p w14:paraId="52ADF381" w14:textId="77777777" w:rsidR="0058338A" w:rsidRPr="00531B03" w:rsidRDefault="0058338A" w:rsidP="00D21251">
            <w:pPr>
              <w:rPr>
                <w:noProof/>
                <w:sz w:val="20"/>
                <w:szCs w:val="20"/>
                <w:u w:val="single"/>
                <w:lang w:val="hr-HR"/>
              </w:rPr>
            </w:pPr>
          </w:p>
        </w:tc>
      </w:tr>
      <w:tr w:rsidR="0058338A" w:rsidRPr="004459D9" w14:paraId="76E67224" w14:textId="77777777" w:rsidTr="0058338A">
        <w:tc>
          <w:tcPr>
            <w:tcW w:w="3088" w:type="dxa"/>
          </w:tcPr>
          <w:p w14:paraId="621A1B61" w14:textId="77777777" w:rsidR="0058338A" w:rsidRPr="00531B03" w:rsidRDefault="0058338A" w:rsidP="00D21251">
            <w:pPr>
              <w:ind w:left="284"/>
              <w:rPr>
                <w:noProof/>
                <w:sz w:val="20"/>
                <w:szCs w:val="20"/>
                <w:lang w:val="hr-HR"/>
              </w:rPr>
            </w:pPr>
            <w:r w:rsidRPr="00531B03">
              <w:rPr>
                <w:noProof/>
                <w:sz w:val="20"/>
                <w:szCs w:val="20"/>
                <w:lang w:val="hr-HR"/>
              </w:rPr>
              <w:t>Nepoznato:</w:t>
            </w:r>
          </w:p>
        </w:tc>
        <w:tc>
          <w:tcPr>
            <w:tcW w:w="5987" w:type="dxa"/>
          </w:tcPr>
          <w:p w14:paraId="1E99372D" w14:textId="77777777" w:rsidR="0058338A" w:rsidRPr="00531B03" w:rsidRDefault="0058338A" w:rsidP="00D21251">
            <w:pPr>
              <w:rPr>
                <w:sz w:val="20"/>
                <w:szCs w:val="20"/>
                <w:lang w:val="sr-Latn-CS"/>
              </w:rPr>
            </w:pPr>
            <w:r w:rsidRPr="00531B03">
              <w:rPr>
                <w:sz w:val="20"/>
                <w:szCs w:val="20"/>
                <w:lang w:val="sr-Latn-CS"/>
              </w:rPr>
              <w:t>Metabolička acidoza</w:t>
            </w:r>
            <w:r w:rsidRPr="00531B03">
              <w:rPr>
                <w:sz w:val="20"/>
                <w:szCs w:val="20"/>
                <w:vertAlign w:val="superscript"/>
                <w:lang w:val="sr-Latn-CS"/>
              </w:rPr>
              <w:t>1</w:t>
            </w:r>
          </w:p>
        </w:tc>
      </w:tr>
      <w:tr w:rsidR="0058338A" w:rsidRPr="004459D9" w14:paraId="2DC851FE" w14:textId="77777777" w:rsidTr="0058338A">
        <w:tc>
          <w:tcPr>
            <w:tcW w:w="3088" w:type="dxa"/>
          </w:tcPr>
          <w:p w14:paraId="01B5C325" w14:textId="77777777" w:rsidR="0058338A" w:rsidRPr="00531B03" w:rsidRDefault="0058338A" w:rsidP="00D21251">
            <w:pPr>
              <w:rPr>
                <w:b/>
                <w:sz w:val="20"/>
                <w:szCs w:val="20"/>
                <w:lang w:val="sr-Latn-CS"/>
              </w:rPr>
            </w:pPr>
            <w:r w:rsidRPr="00531B03">
              <w:rPr>
                <w:b/>
                <w:sz w:val="20"/>
                <w:szCs w:val="20"/>
                <w:lang w:val="sr-Latn-CS"/>
              </w:rPr>
              <w:t>Psihijatrijski poremećaji:</w:t>
            </w:r>
          </w:p>
        </w:tc>
        <w:tc>
          <w:tcPr>
            <w:tcW w:w="5987" w:type="dxa"/>
          </w:tcPr>
          <w:p w14:paraId="350C23DB" w14:textId="77777777" w:rsidR="0058338A" w:rsidRPr="00531B03" w:rsidRDefault="0058338A" w:rsidP="00D21251">
            <w:pPr>
              <w:rPr>
                <w:noProof/>
                <w:sz w:val="20"/>
                <w:szCs w:val="20"/>
                <w:u w:val="single"/>
                <w:lang w:val="hr-HR"/>
              </w:rPr>
            </w:pPr>
          </w:p>
        </w:tc>
      </w:tr>
      <w:tr w:rsidR="0058338A" w:rsidRPr="004459D9" w14:paraId="163137B3" w14:textId="77777777" w:rsidTr="0058338A">
        <w:tc>
          <w:tcPr>
            <w:tcW w:w="3088" w:type="dxa"/>
          </w:tcPr>
          <w:p w14:paraId="78FE480C" w14:textId="77777777" w:rsidR="0058338A" w:rsidRPr="00531B03" w:rsidRDefault="0058338A" w:rsidP="00D21251">
            <w:pPr>
              <w:ind w:left="284"/>
              <w:rPr>
                <w:noProof/>
                <w:sz w:val="20"/>
                <w:szCs w:val="20"/>
                <w:u w:val="single"/>
                <w:lang w:val="hr-HR"/>
              </w:rPr>
            </w:pPr>
            <w:r w:rsidRPr="00531B03">
              <w:rPr>
                <w:sz w:val="20"/>
                <w:szCs w:val="20"/>
                <w:lang w:val="sr-Latn-CS"/>
              </w:rPr>
              <w:t>Povremeno:</w:t>
            </w:r>
          </w:p>
        </w:tc>
        <w:tc>
          <w:tcPr>
            <w:tcW w:w="5987" w:type="dxa"/>
          </w:tcPr>
          <w:p w14:paraId="4E1EFF33" w14:textId="77777777" w:rsidR="0058338A" w:rsidRPr="00531B03" w:rsidRDefault="0058338A" w:rsidP="00D21251">
            <w:pPr>
              <w:rPr>
                <w:noProof/>
                <w:sz w:val="20"/>
                <w:szCs w:val="20"/>
                <w:u w:val="single"/>
                <w:lang w:val="hr-HR"/>
              </w:rPr>
            </w:pPr>
            <w:r w:rsidRPr="00531B03">
              <w:rPr>
                <w:sz w:val="20"/>
                <w:szCs w:val="20"/>
                <w:lang w:val="sr-Latn-CS"/>
              </w:rPr>
              <w:t>Anksioznost, poremećaj sna</w:t>
            </w:r>
          </w:p>
        </w:tc>
      </w:tr>
      <w:tr w:rsidR="0058338A" w:rsidRPr="004459D9" w14:paraId="6683AEEF" w14:textId="77777777" w:rsidTr="0058338A">
        <w:tc>
          <w:tcPr>
            <w:tcW w:w="3088" w:type="dxa"/>
          </w:tcPr>
          <w:p w14:paraId="79327E47" w14:textId="77777777" w:rsidR="0058338A" w:rsidRPr="00531B03" w:rsidRDefault="0058338A" w:rsidP="00D21251">
            <w:pPr>
              <w:rPr>
                <w:b/>
                <w:sz w:val="20"/>
                <w:szCs w:val="20"/>
                <w:lang w:val="sr-Latn-CS"/>
              </w:rPr>
            </w:pPr>
            <w:r w:rsidRPr="00531B03">
              <w:rPr>
                <w:b/>
                <w:sz w:val="20"/>
                <w:szCs w:val="20"/>
                <w:lang w:val="sr-Latn-CS"/>
              </w:rPr>
              <w:t>Poremećaji nervnog sistema:</w:t>
            </w:r>
          </w:p>
        </w:tc>
        <w:tc>
          <w:tcPr>
            <w:tcW w:w="5987" w:type="dxa"/>
          </w:tcPr>
          <w:p w14:paraId="21236919" w14:textId="77777777" w:rsidR="0058338A" w:rsidRPr="00531B03" w:rsidRDefault="0058338A" w:rsidP="00D21251">
            <w:pPr>
              <w:rPr>
                <w:noProof/>
                <w:sz w:val="20"/>
                <w:szCs w:val="20"/>
                <w:u w:val="single"/>
                <w:lang w:val="hr-HR"/>
              </w:rPr>
            </w:pPr>
          </w:p>
        </w:tc>
      </w:tr>
      <w:tr w:rsidR="0058338A" w:rsidRPr="004459D9" w14:paraId="4905A8A8" w14:textId="77777777" w:rsidTr="0058338A">
        <w:tc>
          <w:tcPr>
            <w:tcW w:w="3088" w:type="dxa"/>
          </w:tcPr>
          <w:p w14:paraId="64DAF245" w14:textId="77777777" w:rsidR="0058338A" w:rsidRPr="00531B03" w:rsidRDefault="0058338A" w:rsidP="00D21251">
            <w:pPr>
              <w:ind w:left="284"/>
              <w:rPr>
                <w:noProof/>
                <w:sz w:val="20"/>
                <w:szCs w:val="20"/>
                <w:u w:val="single"/>
                <w:lang w:val="hr-HR"/>
              </w:rPr>
            </w:pPr>
            <w:r w:rsidRPr="00531B03">
              <w:rPr>
                <w:sz w:val="20"/>
                <w:szCs w:val="20"/>
                <w:lang w:val="sr-Latn-CS"/>
              </w:rPr>
              <w:t>Često:</w:t>
            </w:r>
          </w:p>
        </w:tc>
        <w:tc>
          <w:tcPr>
            <w:tcW w:w="5987" w:type="dxa"/>
          </w:tcPr>
          <w:p w14:paraId="3E8D2D0A" w14:textId="77777777" w:rsidR="0058338A" w:rsidRPr="00531B03" w:rsidRDefault="0058338A" w:rsidP="00D21251">
            <w:pPr>
              <w:rPr>
                <w:sz w:val="20"/>
                <w:szCs w:val="20"/>
                <w:lang w:val="sr-Latn-CS"/>
              </w:rPr>
            </w:pPr>
            <w:r w:rsidRPr="00531B03">
              <w:rPr>
                <w:sz w:val="20"/>
                <w:szCs w:val="20"/>
                <w:lang w:val="sr-Latn-CS"/>
              </w:rPr>
              <w:t>Glavobolja</w:t>
            </w:r>
          </w:p>
        </w:tc>
      </w:tr>
      <w:tr w:rsidR="0058338A" w:rsidRPr="004459D9" w14:paraId="4C66358D" w14:textId="77777777" w:rsidTr="0058338A">
        <w:tc>
          <w:tcPr>
            <w:tcW w:w="3088" w:type="dxa"/>
          </w:tcPr>
          <w:p w14:paraId="79240E91" w14:textId="77777777" w:rsidR="0058338A" w:rsidRPr="00531B03" w:rsidRDefault="0058338A" w:rsidP="00D21251">
            <w:pPr>
              <w:ind w:left="284"/>
              <w:rPr>
                <w:noProof/>
                <w:sz w:val="20"/>
                <w:szCs w:val="20"/>
                <w:u w:val="single"/>
                <w:lang w:val="hr-HR"/>
              </w:rPr>
            </w:pPr>
            <w:r w:rsidRPr="00531B03">
              <w:rPr>
                <w:sz w:val="20"/>
                <w:szCs w:val="20"/>
                <w:lang w:val="sr-Latn-CS"/>
              </w:rPr>
              <w:t>Povremeno:</w:t>
            </w:r>
          </w:p>
        </w:tc>
        <w:tc>
          <w:tcPr>
            <w:tcW w:w="5987" w:type="dxa"/>
          </w:tcPr>
          <w:p w14:paraId="774FD333" w14:textId="77777777" w:rsidR="0058338A" w:rsidRPr="00531B03" w:rsidRDefault="0058338A" w:rsidP="00D21251">
            <w:pPr>
              <w:rPr>
                <w:sz w:val="20"/>
                <w:szCs w:val="20"/>
                <w:lang w:val="sr-Latn-CS"/>
              </w:rPr>
            </w:pPr>
            <w:r w:rsidRPr="00531B03">
              <w:rPr>
                <w:sz w:val="20"/>
                <w:szCs w:val="20"/>
                <w:lang w:val="sr-Latn-CS"/>
              </w:rPr>
              <w:t>Vrtoglavica</w:t>
            </w:r>
          </w:p>
        </w:tc>
      </w:tr>
      <w:tr w:rsidR="0058338A" w:rsidRPr="004459D9" w14:paraId="0C817C21" w14:textId="77777777" w:rsidTr="0058338A">
        <w:tc>
          <w:tcPr>
            <w:tcW w:w="3088" w:type="dxa"/>
          </w:tcPr>
          <w:p w14:paraId="08213CF7" w14:textId="77777777" w:rsidR="0058338A" w:rsidRPr="00531B03" w:rsidRDefault="0058338A" w:rsidP="00D21251">
            <w:pPr>
              <w:rPr>
                <w:b/>
                <w:sz w:val="20"/>
                <w:szCs w:val="20"/>
                <w:lang w:val="sr-Latn-CS"/>
              </w:rPr>
            </w:pPr>
            <w:r w:rsidRPr="00531B03">
              <w:rPr>
                <w:b/>
                <w:sz w:val="20"/>
                <w:szCs w:val="20"/>
                <w:lang w:val="sr-Latn-CS"/>
              </w:rPr>
              <w:t>Poremećaji oka:</w:t>
            </w:r>
          </w:p>
        </w:tc>
        <w:tc>
          <w:tcPr>
            <w:tcW w:w="5987" w:type="dxa"/>
          </w:tcPr>
          <w:p w14:paraId="7E2C81EE" w14:textId="77777777" w:rsidR="0058338A" w:rsidRPr="00531B03" w:rsidRDefault="0058338A" w:rsidP="00D21251">
            <w:pPr>
              <w:rPr>
                <w:noProof/>
                <w:sz w:val="20"/>
                <w:szCs w:val="20"/>
                <w:u w:val="single"/>
                <w:lang w:val="hr-HR"/>
              </w:rPr>
            </w:pPr>
          </w:p>
        </w:tc>
      </w:tr>
      <w:tr w:rsidR="0058338A" w:rsidRPr="004459D9" w14:paraId="022DDC97" w14:textId="77777777" w:rsidTr="0058338A">
        <w:tc>
          <w:tcPr>
            <w:tcW w:w="3088" w:type="dxa"/>
          </w:tcPr>
          <w:p w14:paraId="5E83AA6B" w14:textId="77777777" w:rsidR="0058338A" w:rsidRPr="00531B03" w:rsidRDefault="0058338A" w:rsidP="00D21251">
            <w:pPr>
              <w:pStyle w:val="Header"/>
              <w:tabs>
                <w:tab w:val="left" w:pos="284"/>
              </w:tabs>
              <w:ind w:left="284"/>
              <w:rPr>
                <w:color w:val="FF6600"/>
                <w:sz w:val="20"/>
                <w:szCs w:val="20"/>
                <w:lang w:val="sr-Latn-CS"/>
              </w:rPr>
            </w:pPr>
            <w:r w:rsidRPr="00531B03">
              <w:rPr>
                <w:sz w:val="20"/>
                <w:szCs w:val="20"/>
                <w:lang w:val="sr-Latn-CS"/>
              </w:rPr>
              <w:t>Povremeno:</w:t>
            </w:r>
          </w:p>
        </w:tc>
        <w:tc>
          <w:tcPr>
            <w:tcW w:w="5987" w:type="dxa"/>
          </w:tcPr>
          <w:p w14:paraId="7C2DC00E" w14:textId="77777777" w:rsidR="0058338A" w:rsidRPr="00531B03" w:rsidRDefault="0058338A" w:rsidP="00D21251">
            <w:pPr>
              <w:rPr>
                <w:noProof/>
                <w:sz w:val="20"/>
                <w:szCs w:val="20"/>
                <w:u w:val="single"/>
                <w:lang w:val="hr-HR"/>
              </w:rPr>
            </w:pPr>
            <w:r w:rsidRPr="00531B03">
              <w:rPr>
                <w:sz w:val="20"/>
                <w:szCs w:val="20"/>
                <w:lang w:val="sr-Latn-CS"/>
              </w:rPr>
              <w:t>Katarakta, makulopatija</w:t>
            </w:r>
          </w:p>
        </w:tc>
      </w:tr>
      <w:tr w:rsidR="0058338A" w:rsidRPr="004459D9" w14:paraId="423693DC" w14:textId="77777777" w:rsidTr="0058338A">
        <w:tc>
          <w:tcPr>
            <w:tcW w:w="3088" w:type="dxa"/>
          </w:tcPr>
          <w:p w14:paraId="347437F1" w14:textId="77777777" w:rsidR="0058338A" w:rsidRPr="00531B03" w:rsidRDefault="0058338A" w:rsidP="00D21251">
            <w:pPr>
              <w:pStyle w:val="Header"/>
              <w:tabs>
                <w:tab w:val="left" w:pos="284"/>
              </w:tabs>
              <w:ind w:left="284"/>
              <w:rPr>
                <w:color w:val="FF6600"/>
                <w:sz w:val="20"/>
                <w:szCs w:val="20"/>
                <w:lang w:val="sr-Latn-CS"/>
              </w:rPr>
            </w:pPr>
            <w:r w:rsidRPr="00531B03">
              <w:rPr>
                <w:sz w:val="20"/>
                <w:szCs w:val="20"/>
                <w:lang w:val="sr-Latn-CS"/>
              </w:rPr>
              <w:t>R</w:t>
            </w:r>
            <w:r w:rsidR="003864AD" w:rsidRPr="00531B03">
              <w:rPr>
                <w:sz w:val="20"/>
                <w:szCs w:val="20"/>
                <w:lang w:val="sr-Latn-CS"/>
              </w:rPr>
              <w:t>ij</w:t>
            </w:r>
            <w:r w:rsidRPr="00531B03">
              <w:rPr>
                <w:sz w:val="20"/>
                <w:szCs w:val="20"/>
                <w:lang w:val="sr-Latn-CS"/>
              </w:rPr>
              <w:t>etko:</w:t>
            </w:r>
          </w:p>
        </w:tc>
        <w:tc>
          <w:tcPr>
            <w:tcW w:w="5987" w:type="dxa"/>
          </w:tcPr>
          <w:p w14:paraId="6992DD09" w14:textId="77777777" w:rsidR="0058338A" w:rsidRPr="00531B03" w:rsidRDefault="0058338A" w:rsidP="00D21251">
            <w:pPr>
              <w:rPr>
                <w:noProof/>
                <w:sz w:val="20"/>
                <w:szCs w:val="20"/>
                <w:u w:val="single"/>
                <w:lang w:val="hr-HR"/>
              </w:rPr>
            </w:pPr>
            <w:r w:rsidRPr="00531B03">
              <w:rPr>
                <w:sz w:val="20"/>
                <w:szCs w:val="20"/>
                <w:lang w:val="sr-Latn-CS"/>
              </w:rPr>
              <w:t>Optički neuritis</w:t>
            </w:r>
          </w:p>
        </w:tc>
      </w:tr>
      <w:tr w:rsidR="0058338A" w:rsidRPr="004459D9" w14:paraId="62C6D86C" w14:textId="77777777" w:rsidTr="0058338A">
        <w:tc>
          <w:tcPr>
            <w:tcW w:w="3088" w:type="dxa"/>
          </w:tcPr>
          <w:p w14:paraId="42D346D9" w14:textId="77777777" w:rsidR="0058338A" w:rsidRPr="00531B03" w:rsidRDefault="0058338A" w:rsidP="00D21251">
            <w:pPr>
              <w:rPr>
                <w:b/>
                <w:sz w:val="20"/>
                <w:szCs w:val="20"/>
                <w:lang w:val="sr-Latn-CS"/>
              </w:rPr>
            </w:pPr>
            <w:r w:rsidRPr="00531B03">
              <w:rPr>
                <w:b/>
                <w:sz w:val="20"/>
                <w:szCs w:val="20"/>
                <w:lang w:val="sr-Latn-CS"/>
              </w:rPr>
              <w:t>Poremećaji uha i labirinta</w:t>
            </w:r>
          </w:p>
        </w:tc>
        <w:tc>
          <w:tcPr>
            <w:tcW w:w="5987" w:type="dxa"/>
          </w:tcPr>
          <w:p w14:paraId="3E51CA33" w14:textId="77777777" w:rsidR="0058338A" w:rsidRPr="00531B03" w:rsidRDefault="0058338A" w:rsidP="00D21251">
            <w:pPr>
              <w:rPr>
                <w:noProof/>
                <w:sz w:val="20"/>
                <w:szCs w:val="20"/>
                <w:u w:val="single"/>
                <w:lang w:val="hr-HR"/>
              </w:rPr>
            </w:pPr>
          </w:p>
        </w:tc>
      </w:tr>
      <w:tr w:rsidR="0058338A" w:rsidRPr="004459D9" w14:paraId="1B39D7F2" w14:textId="77777777" w:rsidTr="0058338A">
        <w:tc>
          <w:tcPr>
            <w:tcW w:w="3088" w:type="dxa"/>
          </w:tcPr>
          <w:p w14:paraId="01699588" w14:textId="77777777" w:rsidR="0058338A" w:rsidRPr="00531B03" w:rsidRDefault="0058338A" w:rsidP="00D21251">
            <w:pPr>
              <w:pStyle w:val="Header"/>
              <w:tabs>
                <w:tab w:val="left" w:pos="284"/>
              </w:tabs>
              <w:ind w:left="284"/>
              <w:rPr>
                <w:sz w:val="20"/>
                <w:szCs w:val="20"/>
                <w:lang w:val="sr-Latn-CS"/>
              </w:rPr>
            </w:pPr>
            <w:r w:rsidRPr="00531B03">
              <w:rPr>
                <w:sz w:val="20"/>
                <w:szCs w:val="20"/>
                <w:lang w:val="sr-Latn-CS"/>
              </w:rPr>
              <w:t>Povremeno:</w:t>
            </w:r>
          </w:p>
        </w:tc>
        <w:tc>
          <w:tcPr>
            <w:tcW w:w="5987" w:type="dxa"/>
          </w:tcPr>
          <w:p w14:paraId="4A9A4445" w14:textId="77777777" w:rsidR="0058338A" w:rsidRPr="00531B03" w:rsidRDefault="0058338A" w:rsidP="00D21251">
            <w:pPr>
              <w:rPr>
                <w:noProof/>
                <w:sz w:val="20"/>
                <w:szCs w:val="20"/>
                <w:u w:val="single"/>
                <w:lang w:val="hr-HR"/>
              </w:rPr>
            </w:pPr>
            <w:r w:rsidRPr="00531B03">
              <w:rPr>
                <w:sz w:val="20"/>
                <w:szCs w:val="20"/>
                <w:lang w:val="sr-Latn-CS"/>
              </w:rPr>
              <w:t>Gluvoća</w:t>
            </w:r>
          </w:p>
        </w:tc>
      </w:tr>
      <w:tr w:rsidR="0058338A" w:rsidRPr="004459D9" w14:paraId="4182CC29" w14:textId="77777777" w:rsidTr="0058338A">
        <w:tc>
          <w:tcPr>
            <w:tcW w:w="9075" w:type="dxa"/>
            <w:gridSpan w:val="2"/>
          </w:tcPr>
          <w:p w14:paraId="151E2BCB" w14:textId="77777777" w:rsidR="0058338A" w:rsidRPr="00531B03" w:rsidRDefault="0058338A" w:rsidP="00D21251">
            <w:pPr>
              <w:pStyle w:val="Header"/>
              <w:tabs>
                <w:tab w:val="left" w:pos="284"/>
              </w:tabs>
              <w:rPr>
                <w:noProof/>
                <w:sz w:val="20"/>
                <w:szCs w:val="20"/>
                <w:u w:val="single"/>
                <w:lang w:val="hr-HR"/>
              </w:rPr>
            </w:pPr>
            <w:r w:rsidRPr="00531B03">
              <w:rPr>
                <w:b/>
                <w:sz w:val="20"/>
                <w:szCs w:val="20"/>
                <w:lang w:val="sr-Latn-CS"/>
              </w:rPr>
              <w:t>Respiratorni, torakalni i medijastinalni poremećaji</w:t>
            </w:r>
          </w:p>
        </w:tc>
      </w:tr>
      <w:tr w:rsidR="0058338A" w:rsidRPr="004459D9" w14:paraId="1CC4C06E" w14:textId="77777777" w:rsidTr="0058338A">
        <w:tc>
          <w:tcPr>
            <w:tcW w:w="3088" w:type="dxa"/>
          </w:tcPr>
          <w:p w14:paraId="51DF0A53" w14:textId="77777777" w:rsidR="0058338A" w:rsidRPr="00531B03" w:rsidRDefault="0058338A" w:rsidP="00D21251">
            <w:pPr>
              <w:pStyle w:val="Header"/>
              <w:tabs>
                <w:tab w:val="left" w:pos="284"/>
              </w:tabs>
              <w:ind w:left="284"/>
              <w:rPr>
                <w:noProof/>
                <w:sz w:val="20"/>
                <w:szCs w:val="20"/>
                <w:u w:val="single"/>
                <w:lang w:val="hr-HR"/>
              </w:rPr>
            </w:pPr>
            <w:r w:rsidRPr="00531B03">
              <w:rPr>
                <w:sz w:val="20"/>
                <w:szCs w:val="20"/>
                <w:lang w:val="sr-Latn-CS"/>
              </w:rPr>
              <w:t>Povremeno:</w:t>
            </w:r>
          </w:p>
        </w:tc>
        <w:tc>
          <w:tcPr>
            <w:tcW w:w="5987" w:type="dxa"/>
          </w:tcPr>
          <w:p w14:paraId="749BEC4A" w14:textId="77777777" w:rsidR="0058338A" w:rsidRPr="00531B03" w:rsidRDefault="0058338A" w:rsidP="00D21251">
            <w:pPr>
              <w:rPr>
                <w:noProof/>
                <w:sz w:val="20"/>
                <w:szCs w:val="20"/>
                <w:u w:val="single"/>
                <w:lang w:val="hr-HR"/>
              </w:rPr>
            </w:pPr>
            <w:r w:rsidRPr="00531B03">
              <w:rPr>
                <w:sz w:val="20"/>
                <w:szCs w:val="20"/>
                <w:lang w:val="sr-Latn-CS"/>
              </w:rPr>
              <w:t>Laringealni bol</w:t>
            </w:r>
          </w:p>
        </w:tc>
      </w:tr>
      <w:tr w:rsidR="0058338A" w:rsidRPr="004459D9" w14:paraId="55635C52" w14:textId="77777777" w:rsidTr="0058338A">
        <w:tc>
          <w:tcPr>
            <w:tcW w:w="3088" w:type="dxa"/>
          </w:tcPr>
          <w:p w14:paraId="43170504" w14:textId="77777777" w:rsidR="0058338A" w:rsidRPr="00531B03" w:rsidRDefault="0058338A" w:rsidP="00D21251">
            <w:pPr>
              <w:rPr>
                <w:b/>
                <w:sz w:val="20"/>
                <w:szCs w:val="20"/>
                <w:lang w:val="sr-Latn-CS"/>
              </w:rPr>
            </w:pPr>
            <w:r w:rsidRPr="00531B03">
              <w:rPr>
                <w:b/>
                <w:sz w:val="20"/>
                <w:szCs w:val="20"/>
                <w:lang w:val="sr-Latn-CS"/>
              </w:rPr>
              <w:t>Gastrointestinalni poremećaji</w:t>
            </w:r>
          </w:p>
        </w:tc>
        <w:tc>
          <w:tcPr>
            <w:tcW w:w="5987" w:type="dxa"/>
          </w:tcPr>
          <w:p w14:paraId="6528481D" w14:textId="77777777" w:rsidR="0058338A" w:rsidRPr="00531B03" w:rsidRDefault="0058338A" w:rsidP="00D21251">
            <w:pPr>
              <w:rPr>
                <w:noProof/>
                <w:sz w:val="20"/>
                <w:szCs w:val="20"/>
                <w:u w:val="single"/>
                <w:lang w:val="hr-HR"/>
              </w:rPr>
            </w:pPr>
          </w:p>
        </w:tc>
      </w:tr>
      <w:tr w:rsidR="0058338A" w:rsidRPr="004459D9" w14:paraId="729924BF" w14:textId="77777777" w:rsidTr="0058338A">
        <w:tc>
          <w:tcPr>
            <w:tcW w:w="3088" w:type="dxa"/>
          </w:tcPr>
          <w:p w14:paraId="5FD9A32F" w14:textId="77777777" w:rsidR="0058338A" w:rsidRPr="00531B03" w:rsidRDefault="0058338A" w:rsidP="00D21251">
            <w:pPr>
              <w:ind w:left="284"/>
              <w:rPr>
                <w:noProof/>
                <w:sz w:val="20"/>
                <w:szCs w:val="20"/>
                <w:u w:val="single"/>
                <w:lang w:val="hr-HR"/>
              </w:rPr>
            </w:pPr>
            <w:r w:rsidRPr="00531B03">
              <w:rPr>
                <w:sz w:val="20"/>
                <w:szCs w:val="20"/>
                <w:lang w:val="sr-Latn-CS"/>
              </w:rPr>
              <w:lastRenderedPageBreak/>
              <w:t>Često:</w:t>
            </w:r>
          </w:p>
        </w:tc>
        <w:tc>
          <w:tcPr>
            <w:tcW w:w="5987" w:type="dxa"/>
          </w:tcPr>
          <w:p w14:paraId="3B562368" w14:textId="77777777" w:rsidR="0058338A" w:rsidRPr="00531B03" w:rsidRDefault="0058338A" w:rsidP="00D21251">
            <w:pPr>
              <w:rPr>
                <w:noProof/>
                <w:sz w:val="20"/>
                <w:szCs w:val="20"/>
                <w:u w:val="single"/>
                <w:lang w:val="hr-HR"/>
              </w:rPr>
            </w:pPr>
            <w:r w:rsidRPr="00531B03">
              <w:rPr>
                <w:sz w:val="20"/>
                <w:szCs w:val="20"/>
                <w:lang w:val="sr-Latn-CS"/>
              </w:rPr>
              <w:t>Dijareja, konstipacija, povraćanje, mučnina, bol u abdomenu, abdominalna distenzija, dispe</w:t>
            </w:r>
            <w:r w:rsidR="008A3015" w:rsidRPr="00531B03">
              <w:rPr>
                <w:sz w:val="20"/>
                <w:szCs w:val="20"/>
                <w:lang w:val="sr-Latn-CS"/>
              </w:rPr>
              <w:t>p</w:t>
            </w:r>
            <w:r w:rsidRPr="00531B03">
              <w:rPr>
                <w:sz w:val="20"/>
                <w:szCs w:val="20"/>
                <w:lang w:val="sr-Latn-CS"/>
              </w:rPr>
              <w:t>sija</w:t>
            </w:r>
          </w:p>
        </w:tc>
      </w:tr>
      <w:tr w:rsidR="0058338A" w:rsidRPr="004459D9" w14:paraId="2FF33F95" w14:textId="77777777" w:rsidTr="0058338A">
        <w:tc>
          <w:tcPr>
            <w:tcW w:w="3088" w:type="dxa"/>
          </w:tcPr>
          <w:p w14:paraId="782396AA" w14:textId="77777777" w:rsidR="0058338A" w:rsidRPr="00531B03" w:rsidRDefault="0058338A" w:rsidP="00D21251">
            <w:pPr>
              <w:pStyle w:val="Header"/>
              <w:tabs>
                <w:tab w:val="left" w:pos="284"/>
              </w:tabs>
              <w:ind w:left="284"/>
              <w:rPr>
                <w:noProof/>
                <w:sz w:val="20"/>
                <w:szCs w:val="20"/>
                <w:u w:val="single"/>
                <w:lang w:val="hr-HR"/>
              </w:rPr>
            </w:pPr>
            <w:r w:rsidRPr="00531B03">
              <w:rPr>
                <w:sz w:val="20"/>
                <w:szCs w:val="20"/>
                <w:lang w:val="sr-Latn-CS"/>
              </w:rPr>
              <w:t>Povremeno:</w:t>
            </w:r>
          </w:p>
        </w:tc>
        <w:tc>
          <w:tcPr>
            <w:tcW w:w="5987" w:type="dxa"/>
          </w:tcPr>
          <w:p w14:paraId="0857EB87" w14:textId="77777777" w:rsidR="0058338A" w:rsidRPr="00531B03" w:rsidRDefault="0058338A" w:rsidP="00D21251">
            <w:pPr>
              <w:rPr>
                <w:noProof/>
                <w:sz w:val="20"/>
                <w:szCs w:val="20"/>
                <w:u w:val="single"/>
                <w:lang w:val="hr-HR"/>
              </w:rPr>
            </w:pPr>
            <w:r w:rsidRPr="00531B03">
              <w:rPr>
                <w:sz w:val="20"/>
                <w:szCs w:val="20"/>
                <w:lang w:val="sr-Latn-CS"/>
              </w:rPr>
              <w:t xml:space="preserve">Gastrointestinalna hemoragija, ulkus želuca (uključujući multiple ulkuse), duodenalni ulkus, gastritis </w:t>
            </w:r>
          </w:p>
        </w:tc>
      </w:tr>
      <w:tr w:rsidR="0058338A" w:rsidRPr="004459D9" w14:paraId="15AA617C" w14:textId="77777777" w:rsidTr="0058338A">
        <w:tc>
          <w:tcPr>
            <w:tcW w:w="3088" w:type="dxa"/>
          </w:tcPr>
          <w:p w14:paraId="21DB110C" w14:textId="77777777" w:rsidR="0058338A" w:rsidRPr="00531B03" w:rsidRDefault="0065396C" w:rsidP="00D21251">
            <w:pPr>
              <w:ind w:left="284"/>
              <w:rPr>
                <w:noProof/>
                <w:sz w:val="20"/>
                <w:szCs w:val="20"/>
                <w:u w:val="single"/>
                <w:lang w:val="hr-HR"/>
              </w:rPr>
            </w:pPr>
            <w:r w:rsidRPr="00531B03">
              <w:rPr>
                <w:sz w:val="20"/>
                <w:szCs w:val="20"/>
                <w:lang w:val="sr-Latn-CS"/>
              </w:rPr>
              <w:t>Rijetk</w:t>
            </w:r>
            <w:r w:rsidR="0058338A" w:rsidRPr="00531B03">
              <w:rPr>
                <w:sz w:val="20"/>
                <w:szCs w:val="20"/>
                <w:lang w:val="sr-Latn-CS"/>
              </w:rPr>
              <w:t>o:</w:t>
            </w:r>
          </w:p>
        </w:tc>
        <w:tc>
          <w:tcPr>
            <w:tcW w:w="5987" w:type="dxa"/>
          </w:tcPr>
          <w:p w14:paraId="6C29ABA2" w14:textId="77777777" w:rsidR="0058338A" w:rsidRPr="00531B03" w:rsidRDefault="0058338A" w:rsidP="00D21251">
            <w:pPr>
              <w:rPr>
                <w:noProof/>
                <w:sz w:val="20"/>
                <w:szCs w:val="20"/>
                <w:u w:val="single"/>
                <w:lang w:val="hr-HR"/>
              </w:rPr>
            </w:pPr>
            <w:r w:rsidRPr="00531B03">
              <w:rPr>
                <w:sz w:val="20"/>
                <w:szCs w:val="20"/>
                <w:lang w:val="sr-Latn-CS"/>
              </w:rPr>
              <w:t>Ezofagitis</w:t>
            </w:r>
          </w:p>
        </w:tc>
      </w:tr>
      <w:tr w:rsidR="0058338A" w:rsidRPr="004459D9" w14:paraId="3B23E149" w14:textId="77777777" w:rsidTr="0058338A">
        <w:tc>
          <w:tcPr>
            <w:tcW w:w="3088" w:type="dxa"/>
          </w:tcPr>
          <w:p w14:paraId="446AA0CC" w14:textId="77777777" w:rsidR="0058338A" w:rsidRPr="00531B03" w:rsidRDefault="0058338A" w:rsidP="00D21251">
            <w:pPr>
              <w:pStyle w:val="Header"/>
              <w:tabs>
                <w:tab w:val="left" w:pos="284"/>
              </w:tabs>
              <w:ind w:left="284"/>
              <w:rPr>
                <w:noProof/>
                <w:sz w:val="20"/>
                <w:szCs w:val="20"/>
                <w:u w:val="single"/>
                <w:lang w:val="hr-HR"/>
              </w:rPr>
            </w:pPr>
            <w:r w:rsidRPr="00531B03">
              <w:rPr>
                <w:sz w:val="20"/>
                <w:szCs w:val="20"/>
                <w:lang w:val="sr-Latn-CS"/>
              </w:rPr>
              <w:t>Nepoznato:</w:t>
            </w:r>
          </w:p>
        </w:tc>
        <w:tc>
          <w:tcPr>
            <w:tcW w:w="5987" w:type="dxa"/>
          </w:tcPr>
          <w:p w14:paraId="49A78847" w14:textId="77777777" w:rsidR="0058338A" w:rsidRPr="00531B03" w:rsidRDefault="0058338A" w:rsidP="00D21251">
            <w:pPr>
              <w:rPr>
                <w:noProof/>
                <w:sz w:val="20"/>
                <w:szCs w:val="20"/>
                <w:u w:val="single"/>
                <w:lang w:val="hr-HR"/>
              </w:rPr>
            </w:pPr>
            <w:r w:rsidRPr="00531B03">
              <w:rPr>
                <w:sz w:val="20"/>
                <w:szCs w:val="20"/>
                <w:lang w:val="sr-Latn-CS"/>
              </w:rPr>
              <w:t>Gastrointestinalna perforacija</w:t>
            </w:r>
            <w:r w:rsidRPr="00531B03">
              <w:rPr>
                <w:sz w:val="20"/>
                <w:szCs w:val="20"/>
                <w:vertAlign w:val="superscript"/>
                <w:lang w:val="sr-Latn-CS"/>
              </w:rPr>
              <w:t>1</w:t>
            </w:r>
            <w:r w:rsidRPr="00531B03">
              <w:rPr>
                <w:sz w:val="20"/>
                <w:szCs w:val="20"/>
                <w:lang w:val="sr-Latn-CS"/>
              </w:rPr>
              <w:t>, akutni pankreatitis</w:t>
            </w:r>
            <w:r w:rsidRPr="00531B03">
              <w:rPr>
                <w:sz w:val="20"/>
                <w:szCs w:val="20"/>
                <w:vertAlign w:val="superscript"/>
                <w:lang w:val="sr-Latn-CS"/>
              </w:rPr>
              <w:t>1</w:t>
            </w:r>
          </w:p>
        </w:tc>
      </w:tr>
      <w:tr w:rsidR="0058338A" w:rsidRPr="004459D9" w14:paraId="26831C01" w14:textId="77777777" w:rsidTr="0058338A">
        <w:tc>
          <w:tcPr>
            <w:tcW w:w="3088" w:type="dxa"/>
          </w:tcPr>
          <w:p w14:paraId="6A869106" w14:textId="77777777" w:rsidR="0058338A" w:rsidRPr="00531B03" w:rsidRDefault="0058338A" w:rsidP="00D21251">
            <w:pPr>
              <w:pStyle w:val="Header"/>
              <w:tabs>
                <w:tab w:val="left" w:pos="284"/>
              </w:tabs>
              <w:rPr>
                <w:sz w:val="20"/>
                <w:szCs w:val="20"/>
                <w:lang w:val="sr-Latn-CS"/>
              </w:rPr>
            </w:pPr>
            <w:r w:rsidRPr="00531B03">
              <w:rPr>
                <w:b/>
                <w:sz w:val="20"/>
                <w:szCs w:val="20"/>
                <w:lang w:val="sr-Latn-CS"/>
              </w:rPr>
              <w:t>Hepatobilijarni poremećaji</w:t>
            </w:r>
          </w:p>
        </w:tc>
        <w:tc>
          <w:tcPr>
            <w:tcW w:w="5987" w:type="dxa"/>
          </w:tcPr>
          <w:p w14:paraId="47767569" w14:textId="77777777" w:rsidR="0058338A" w:rsidRPr="00531B03" w:rsidRDefault="0058338A" w:rsidP="00D21251">
            <w:pPr>
              <w:rPr>
                <w:noProof/>
                <w:sz w:val="20"/>
                <w:szCs w:val="20"/>
                <w:u w:val="single"/>
                <w:lang w:val="hr-HR"/>
              </w:rPr>
            </w:pPr>
          </w:p>
        </w:tc>
      </w:tr>
      <w:tr w:rsidR="0058338A" w:rsidRPr="004459D9" w14:paraId="1F5E8C1C" w14:textId="77777777" w:rsidTr="0058338A">
        <w:tc>
          <w:tcPr>
            <w:tcW w:w="3088" w:type="dxa"/>
          </w:tcPr>
          <w:p w14:paraId="0ED62A8F" w14:textId="77777777" w:rsidR="0058338A" w:rsidRPr="00531B03" w:rsidRDefault="0058338A" w:rsidP="00D21251">
            <w:pPr>
              <w:ind w:left="284"/>
              <w:rPr>
                <w:sz w:val="20"/>
                <w:szCs w:val="20"/>
                <w:lang w:val="sr-Latn-CS"/>
              </w:rPr>
            </w:pPr>
            <w:r w:rsidRPr="00531B03">
              <w:rPr>
                <w:sz w:val="20"/>
                <w:szCs w:val="20"/>
                <w:lang w:val="sr-Latn-CS"/>
              </w:rPr>
              <w:t>Često:</w:t>
            </w:r>
          </w:p>
        </w:tc>
        <w:tc>
          <w:tcPr>
            <w:tcW w:w="5987" w:type="dxa"/>
          </w:tcPr>
          <w:p w14:paraId="492B5B68" w14:textId="77777777" w:rsidR="0058338A" w:rsidRPr="00531B03" w:rsidRDefault="0058338A" w:rsidP="00D21251">
            <w:pPr>
              <w:rPr>
                <w:noProof/>
                <w:sz w:val="20"/>
                <w:szCs w:val="20"/>
                <w:u w:val="single"/>
                <w:lang w:val="hr-HR"/>
              </w:rPr>
            </w:pPr>
            <w:r w:rsidRPr="00531B03">
              <w:rPr>
                <w:sz w:val="20"/>
                <w:szCs w:val="20"/>
                <w:lang w:val="sr-Latn-CS"/>
              </w:rPr>
              <w:t xml:space="preserve">Porast </w:t>
            </w:r>
            <w:r w:rsidR="0071118F" w:rsidRPr="00531B03">
              <w:rPr>
                <w:sz w:val="20"/>
                <w:szCs w:val="20"/>
                <w:lang w:val="sr-Latn-CS"/>
              </w:rPr>
              <w:t>vrijednost</w:t>
            </w:r>
            <w:r w:rsidRPr="00531B03">
              <w:rPr>
                <w:sz w:val="20"/>
                <w:szCs w:val="20"/>
                <w:lang w:val="sr-Latn-CS"/>
              </w:rPr>
              <w:t>i transaminaza</w:t>
            </w:r>
          </w:p>
        </w:tc>
      </w:tr>
      <w:tr w:rsidR="0058338A" w:rsidRPr="004459D9" w14:paraId="68A75134" w14:textId="77777777" w:rsidTr="0058338A">
        <w:tc>
          <w:tcPr>
            <w:tcW w:w="3088" w:type="dxa"/>
          </w:tcPr>
          <w:p w14:paraId="0931D429" w14:textId="77777777" w:rsidR="0058338A" w:rsidRPr="00531B03" w:rsidRDefault="0058338A" w:rsidP="00D21251">
            <w:pPr>
              <w:ind w:left="284"/>
              <w:rPr>
                <w:sz w:val="20"/>
                <w:szCs w:val="20"/>
                <w:lang w:val="sr-Latn-CS"/>
              </w:rPr>
            </w:pPr>
            <w:r w:rsidRPr="00531B03">
              <w:rPr>
                <w:sz w:val="20"/>
                <w:szCs w:val="20"/>
                <w:lang w:val="sr-Latn-CS"/>
              </w:rPr>
              <w:t>Povremeno:</w:t>
            </w:r>
          </w:p>
        </w:tc>
        <w:tc>
          <w:tcPr>
            <w:tcW w:w="5987" w:type="dxa"/>
          </w:tcPr>
          <w:p w14:paraId="57A4CF08" w14:textId="77777777" w:rsidR="0058338A" w:rsidRPr="00531B03" w:rsidRDefault="0058338A" w:rsidP="00D21251">
            <w:pPr>
              <w:rPr>
                <w:noProof/>
                <w:sz w:val="20"/>
                <w:szCs w:val="20"/>
                <w:u w:val="single"/>
                <w:lang w:val="hr-HR"/>
              </w:rPr>
            </w:pPr>
            <w:r w:rsidRPr="00531B03">
              <w:rPr>
                <w:sz w:val="20"/>
                <w:szCs w:val="20"/>
                <w:lang w:val="sr-Latn-CS"/>
              </w:rPr>
              <w:t>Hepatitis, holelitijaza</w:t>
            </w:r>
          </w:p>
        </w:tc>
      </w:tr>
      <w:tr w:rsidR="0058338A" w:rsidRPr="004459D9" w14:paraId="0A20B1BB" w14:textId="77777777" w:rsidTr="0058338A">
        <w:tc>
          <w:tcPr>
            <w:tcW w:w="3088" w:type="dxa"/>
          </w:tcPr>
          <w:p w14:paraId="75E315EC" w14:textId="77777777" w:rsidR="0058338A" w:rsidRPr="00531B03" w:rsidRDefault="0058338A" w:rsidP="00D21251">
            <w:pPr>
              <w:ind w:left="284"/>
              <w:rPr>
                <w:sz w:val="20"/>
                <w:szCs w:val="20"/>
                <w:lang w:val="sr-Latn-CS"/>
              </w:rPr>
            </w:pPr>
            <w:r w:rsidRPr="00531B03">
              <w:rPr>
                <w:sz w:val="20"/>
                <w:szCs w:val="20"/>
                <w:lang w:val="sr-Latn-CS"/>
              </w:rPr>
              <w:t>Nepoznato:</w:t>
            </w:r>
          </w:p>
        </w:tc>
        <w:tc>
          <w:tcPr>
            <w:tcW w:w="5987" w:type="dxa"/>
          </w:tcPr>
          <w:p w14:paraId="23CCFD5E" w14:textId="77777777" w:rsidR="0058338A" w:rsidRPr="00531B03" w:rsidRDefault="0058338A" w:rsidP="00D21251">
            <w:pPr>
              <w:rPr>
                <w:noProof/>
                <w:sz w:val="20"/>
                <w:szCs w:val="20"/>
                <w:u w:val="single"/>
                <w:lang w:val="hr-HR"/>
              </w:rPr>
            </w:pPr>
            <w:r w:rsidRPr="00531B03">
              <w:rPr>
                <w:sz w:val="20"/>
                <w:szCs w:val="20"/>
                <w:lang w:val="sr-Latn-CS"/>
              </w:rPr>
              <w:t>Insuficijencija jetre</w:t>
            </w:r>
            <w:r w:rsidRPr="00531B03">
              <w:rPr>
                <w:sz w:val="20"/>
                <w:szCs w:val="20"/>
                <w:vertAlign w:val="superscript"/>
                <w:lang w:val="sr-Latn-CS"/>
              </w:rPr>
              <w:t>1, 2</w:t>
            </w:r>
          </w:p>
        </w:tc>
      </w:tr>
      <w:tr w:rsidR="0058338A" w:rsidRPr="004459D9" w14:paraId="26A9F64B" w14:textId="77777777" w:rsidTr="0058338A">
        <w:tc>
          <w:tcPr>
            <w:tcW w:w="3088" w:type="dxa"/>
          </w:tcPr>
          <w:p w14:paraId="234EF75A" w14:textId="77777777" w:rsidR="0058338A" w:rsidRPr="00531B03" w:rsidRDefault="0058338A" w:rsidP="00D21251">
            <w:pPr>
              <w:rPr>
                <w:b/>
                <w:sz w:val="20"/>
                <w:szCs w:val="20"/>
                <w:lang w:val="sr-Latn-CS"/>
              </w:rPr>
            </w:pPr>
            <w:r w:rsidRPr="00531B03">
              <w:rPr>
                <w:b/>
                <w:sz w:val="20"/>
                <w:szCs w:val="20"/>
                <w:lang w:val="sr-Latn-CS"/>
              </w:rPr>
              <w:t>Poremećaji kože i potkožnog tkiva</w:t>
            </w:r>
          </w:p>
        </w:tc>
        <w:tc>
          <w:tcPr>
            <w:tcW w:w="5987" w:type="dxa"/>
          </w:tcPr>
          <w:p w14:paraId="2773F5D0" w14:textId="77777777" w:rsidR="0058338A" w:rsidRPr="00531B03" w:rsidRDefault="0058338A" w:rsidP="00D21251">
            <w:pPr>
              <w:rPr>
                <w:noProof/>
                <w:sz w:val="20"/>
                <w:szCs w:val="20"/>
                <w:u w:val="single"/>
                <w:lang w:val="hr-HR"/>
              </w:rPr>
            </w:pPr>
          </w:p>
        </w:tc>
      </w:tr>
      <w:tr w:rsidR="0058338A" w:rsidRPr="004459D9" w14:paraId="424D7804" w14:textId="77777777" w:rsidTr="0058338A">
        <w:tc>
          <w:tcPr>
            <w:tcW w:w="3088" w:type="dxa"/>
          </w:tcPr>
          <w:p w14:paraId="615A6AE5" w14:textId="77777777" w:rsidR="0058338A" w:rsidRPr="00531B03" w:rsidRDefault="0058338A" w:rsidP="00D21251">
            <w:pPr>
              <w:ind w:left="284"/>
              <w:rPr>
                <w:sz w:val="20"/>
                <w:szCs w:val="20"/>
                <w:lang w:val="sr-Latn-CS"/>
              </w:rPr>
            </w:pPr>
            <w:r w:rsidRPr="00531B03">
              <w:rPr>
                <w:sz w:val="20"/>
                <w:szCs w:val="20"/>
                <w:lang w:val="sr-Latn-CS"/>
              </w:rPr>
              <w:t>Često:</w:t>
            </w:r>
          </w:p>
        </w:tc>
        <w:tc>
          <w:tcPr>
            <w:tcW w:w="5987" w:type="dxa"/>
          </w:tcPr>
          <w:p w14:paraId="64C3B040" w14:textId="77777777" w:rsidR="0058338A" w:rsidRPr="00531B03" w:rsidRDefault="0058338A" w:rsidP="00D21251">
            <w:pPr>
              <w:rPr>
                <w:noProof/>
                <w:sz w:val="20"/>
                <w:szCs w:val="20"/>
                <w:u w:val="single"/>
                <w:lang w:val="hr-HR"/>
              </w:rPr>
            </w:pPr>
            <w:r w:rsidRPr="00531B03">
              <w:rPr>
                <w:sz w:val="20"/>
                <w:szCs w:val="20"/>
                <w:lang w:val="sr-Latn-CS"/>
              </w:rPr>
              <w:t>Osip, svrab</w:t>
            </w:r>
          </w:p>
        </w:tc>
      </w:tr>
      <w:tr w:rsidR="0058338A" w:rsidRPr="004459D9" w14:paraId="20B6F719" w14:textId="77777777" w:rsidTr="0058338A">
        <w:tc>
          <w:tcPr>
            <w:tcW w:w="3088" w:type="dxa"/>
          </w:tcPr>
          <w:p w14:paraId="31021974" w14:textId="77777777" w:rsidR="0058338A" w:rsidRPr="00531B03" w:rsidRDefault="0058338A" w:rsidP="00D21251">
            <w:pPr>
              <w:pStyle w:val="Header"/>
              <w:tabs>
                <w:tab w:val="left" w:pos="284"/>
              </w:tabs>
              <w:ind w:left="284"/>
              <w:rPr>
                <w:sz w:val="20"/>
                <w:szCs w:val="20"/>
                <w:lang w:val="sr-Latn-CS"/>
              </w:rPr>
            </w:pPr>
            <w:r w:rsidRPr="00531B03">
              <w:rPr>
                <w:sz w:val="20"/>
                <w:szCs w:val="20"/>
                <w:lang w:val="sr-Latn-CS"/>
              </w:rPr>
              <w:t>Povremeno:</w:t>
            </w:r>
          </w:p>
        </w:tc>
        <w:tc>
          <w:tcPr>
            <w:tcW w:w="5987" w:type="dxa"/>
          </w:tcPr>
          <w:p w14:paraId="3897557A" w14:textId="77777777" w:rsidR="0058338A" w:rsidRPr="00531B03" w:rsidRDefault="0058338A" w:rsidP="00D21251">
            <w:pPr>
              <w:rPr>
                <w:noProof/>
                <w:sz w:val="20"/>
                <w:szCs w:val="20"/>
                <w:u w:val="single"/>
                <w:lang w:val="hr-HR"/>
              </w:rPr>
            </w:pPr>
            <w:r w:rsidRPr="00531B03">
              <w:rPr>
                <w:sz w:val="20"/>
                <w:szCs w:val="20"/>
                <w:lang w:val="sr-Latn-CS"/>
              </w:rPr>
              <w:t>Poremećaj pigmentacije</w:t>
            </w:r>
          </w:p>
        </w:tc>
      </w:tr>
      <w:tr w:rsidR="0058338A" w:rsidRPr="004459D9" w14:paraId="6804E2C1" w14:textId="77777777" w:rsidTr="0058338A">
        <w:tc>
          <w:tcPr>
            <w:tcW w:w="3088" w:type="dxa"/>
          </w:tcPr>
          <w:p w14:paraId="26324264" w14:textId="77777777" w:rsidR="0058338A" w:rsidRPr="00531B03" w:rsidRDefault="0058338A" w:rsidP="00D21251">
            <w:pPr>
              <w:pStyle w:val="Header"/>
              <w:tabs>
                <w:tab w:val="left" w:pos="284"/>
              </w:tabs>
              <w:ind w:left="284"/>
              <w:rPr>
                <w:sz w:val="20"/>
                <w:szCs w:val="20"/>
                <w:lang w:val="sr-Latn-CS"/>
              </w:rPr>
            </w:pPr>
            <w:r w:rsidRPr="00531B03">
              <w:rPr>
                <w:sz w:val="20"/>
                <w:szCs w:val="20"/>
                <w:lang w:val="sr-Latn-CS"/>
              </w:rPr>
              <w:t>R</w:t>
            </w:r>
            <w:r w:rsidR="0065396C" w:rsidRPr="00531B03">
              <w:rPr>
                <w:sz w:val="20"/>
                <w:szCs w:val="20"/>
                <w:lang w:val="sr-Latn-CS"/>
              </w:rPr>
              <w:t>ij</w:t>
            </w:r>
            <w:r w:rsidRPr="00531B03">
              <w:rPr>
                <w:sz w:val="20"/>
                <w:szCs w:val="20"/>
                <w:lang w:val="sr-Latn-CS"/>
              </w:rPr>
              <w:t>etko:</w:t>
            </w:r>
          </w:p>
        </w:tc>
        <w:tc>
          <w:tcPr>
            <w:tcW w:w="5987" w:type="dxa"/>
          </w:tcPr>
          <w:p w14:paraId="7129B4AA" w14:textId="77777777" w:rsidR="0058338A" w:rsidRPr="00531B03" w:rsidRDefault="0058338A" w:rsidP="00D05808">
            <w:pPr>
              <w:rPr>
                <w:sz w:val="20"/>
                <w:szCs w:val="20"/>
                <w:lang w:val="sr-Latn-CS"/>
              </w:rPr>
            </w:pPr>
            <w:r w:rsidRPr="00531B03">
              <w:rPr>
                <w:sz w:val="20"/>
                <w:szCs w:val="20"/>
                <w:lang w:val="sr-Latn-CS"/>
              </w:rPr>
              <w:t>Reakcij</w:t>
            </w:r>
            <w:r w:rsidR="00D05808" w:rsidRPr="00531B03">
              <w:rPr>
                <w:sz w:val="20"/>
                <w:szCs w:val="20"/>
                <w:lang w:val="sr-Latn-CS"/>
              </w:rPr>
              <w:t>a</w:t>
            </w:r>
            <w:r w:rsidRPr="00531B03">
              <w:rPr>
                <w:sz w:val="20"/>
                <w:szCs w:val="20"/>
                <w:lang w:val="sr-Latn-CS"/>
              </w:rPr>
              <w:t xml:space="preserve"> na </w:t>
            </w:r>
            <w:r w:rsidR="00344FF6" w:rsidRPr="00531B03">
              <w:rPr>
                <w:sz w:val="20"/>
                <w:szCs w:val="20"/>
                <w:lang w:val="sr-Latn-CS"/>
              </w:rPr>
              <w:t>lijek</w:t>
            </w:r>
            <w:r w:rsidRPr="00531B03">
              <w:rPr>
                <w:sz w:val="20"/>
                <w:szCs w:val="20"/>
                <w:lang w:val="sr-Latn-CS"/>
              </w:rPr>
              <w:t xml:space="preserve"> sa eozinofilijom i sistemskim simptomima (DRESS)</w:t>
            </w:r>
          </w:p>
        </w:tc>
      </w:tr>
      <w:tr w:rsidR="0058338A" w:rsidRPr="004459D9" w14:paraId="76DDA659" w14:textId="77777777" w:rsidTr="0058338A">
        <w:tc>
          <w:tcPr>
            <w:tcW w:w="3088" w:type="dxa"/>
          </w:tcPr>
          <w:p w14:paraId="1E7BEFD7" w14:textId="77777777" w:rsidR="0058338A" w:rsidRPr="00531B03" w:rsidRDefault="0058338A" w:rsidP="00D21251">
            <w:pPr>
              <w:pStyle w:val="Header"/>
              <w:tabs>
                <w:tab w:val="left" w:pos="284"/>
              </w:tabs>
              <w:ind w:left="284"/>
              <w:rPr>
                <w:sz w:val="20"/>
                <w:szCs w:val="20"/>
                <w:lang w:val="sr-Latn-CS"/>
              </w:rPr>
            </w:pPr>
            <w:r w:rsidRPr="00531B03">
              <w:rPr>
                <w:sz w:val="20"/>
                <w:szCs w:val="20"/>
                <w:lang w:val="sr-Latn-CS"/>
              </w:rPr>
              <w:t xml:space="preserve">Nepoznato: </w:t>
            </w:r>
          </w:p>
        </w:tc>
        <w:tc>
          <w:tcPr>
            <w:tcW w:w="5987" w:type="dxa"/>
          </w:tcPr>
          <w:p w14:paraId="13ACC9E6" w14:textId="77777777" w:rsidR="0058338A" w:rsidRPr="00531B03" w:rsidRDefault="0058338A" w:rsidP="00D21251">
            <w:pPr>
              <w:pStyle w:val="Header"/>
              <w:tabs>
                <w:tab w:val="left" w:pos="284"/>
              </w:tabs>
              <w:ind w:left="4111" w:hanging="4111"/>
              <w:rPr>
                <w:sz w:val="20"/>
                <w:szCs w:val="20"/>
                <w:lang w:val="sr-Latn-CS"/>
              </w:rPr>
            </w:pPr>
            <w:r w:rsidRPr="00531B03">
              <w:rPr>
                <w:i/>
                <w:color w:val="000000"/>
                <w:sz w:val="20"/>
                <w:szCs w:val="20"/>
                <w:lang w:val="hr-HR"/>
              </w:rPr>
              <w:t>Stevens-Johnson-</w:t>
            </w:r>
            <w:r w:rsidRPr="00531B03">
              <w:rPr>
                <w:color w:val="000000"/>
                <w:sz w:val="20"/>
                <w:szCs w:val="20"/>
                <w:lang w:val="hr-HR"/>
              </w:rPr>
              <w:t>ov sindrom</w:t>
            </w:r>
            <w:r w:rsidRPr="00531B03">
              <w:rPr>
                <w:color w:val="000000"/>
                <w:sz w:val="20"/>
                <w:szCs w:val="20"/>
                <w:vertAlign w:val="superscript"/>
                <w:lang w:val="hr-HR"/>
              </w:rPr>
              <w:t>1</w:t>
            </w:r>
            <w:r w:rsidRPr="00531B03">
              <w:rPr>
                <w:color w:val="000000"/>
                <w:sz w:val="20"/>
                <w:szCs w:val="20"/>
                <w:lang w:val="hr-HR"/>
              </w:rPr>
              <w:t xml:space="preserve">, </w:t>
            </w:r>
            <w:r w:rsidRPr="00531B03">
              <w:rPr>
                <w:sz w:val="20"/>
                <w:szCs w:val="20"/>
                <w:lang w:val="sr-Latn-CS"/>
              </w:rPr>
              <w:t>hipersenzitivni vaskulitis</w:t>
            </w:r>
            <w:r w:rsidRPr="00531B03">
              <w:rPr>
                <w:sz w:val="20"/>
                <w:szCs w:val="20"/>
                <w:vertAlign w:val="superscript"/>
                <w:lang w:val="sr-Latn-CS"/>
              </w:rPr>
              <w:t>1</w:t>
            </w:r>
            <w:r w:rsidRPr="00531B03">
              <w:rPr>
                <w:sz w:val="20"/>
                <w:szCs w:val="20"/>
                <w:lang w:val="sr-Latn-CS"/>
              </w:rPr>
              <w:t>,</w:t>
            </w:r>
          </w:p>
          <w:p w14:paraId="66CA3845" w14:textId="77777777" w:rsidR="0058338A" w:rsidRPr="00531B03" w:rsidRDefault="0058338A" w:rsidP="00D21251">
            <w:pPr>
              <w:pStyle w:val="Header"/>
              <w:tabs>
                <w:tab w:val="left" w:pos="284"/>
              </w:tabs>
              <w:rPr>
                <w:color w:val="FF6600"/>
                <w:sz w:val="20"/>
                <w:szCs w:val="20"/>
                <w:lang w:val="sr-Latn-CS"/>
              </w:rPr>
            </w:pPr>
            <w:r w:rsidRPr="00531B03">
              <w:rPr>
                <w:sz w:val="20"/>
                <w:szCs w:val="20"/>
                <w:lang w:val="sr-Latn-CS"/>
              </w:rPr>
              <w:t>urtikarija</w:t>
            </w:r>
            <w:r w:rsidRPr="00531B03">
              <w:rPr>
                <w:sz w:val="20"/>
                <w:szCs w:val="20"/>
                <w:vertAlign w:val="superscript"/>
                <w:lang w:val="sr-Latn-CS"/>
              </w:rPr>
              <w:t>1</w:t>
            </w:r>
            <w:r w:rsidRPr="00531B03">
              <w:rPr>
                <w:sz w:val="20"/>
                <w:szCs w:val="20"/>
                <w:lang w:val="sr-Latn-CS"/>
              </w:rPr>
              <w:t>, multiformni eritem</w:t>
            </w:r>
            <w:r w:rsidRPr="00531B03">
              <w:rPr>
                <w:sz w:val="20"/>
                <w:szCs w:val="20"/>
                <w:vertAlign w:val="superscript"/>
                <w:lang w:val="sr-Latn-CS"/>
              </w:rPr>
              <w:t>1</w:t>
            </w:r>
            <w:r w:rsidRPr="00531B03">
              <w:rPr>
                <w:sz w:val="20"/>
                <w:szCs w:val="20"/>
                <w:lang w:val="sr-Latn-CS"/>
              </w:rPr>
              <w:t>, alopecija</w:t>
            </w:r>
            <w:r w:rsidRPr="00531B03">
              <w:rPr>
                <w:sz w:val="20"/>
                <w:szCs w:val="20"/>
                <w:vertAlign w:val="superscript"/>
                <w:lang w:val="sr-Latn-CS"/>
              </w:rPr>
              <w:t>1</w:t>
            </w:r>
            <w:r w:rsidRPr="00531B03">
              <w:rPr>
                <w:sz w:val="20"/>
                <w:szCs w:val="20"/>
                <w:lang w:val="sr-Latn-CS"/>
              </w:rPr>
              <w:t>, toksična epidermalna nekroliza (TEN)</w:t>
            </w:r>
            <w:r w:rsidRPr="00531B03">
              <w:rPr>
                <w:sz w:val="20"/>
                <w:szCs w:val="20"/>
                <w:vertAlign w:val="superscript"/>
                <w:lang w:val="sr-Latn-CS"/>
              </w:rPr>
              <w:t>1</w:t>
            </w:r>
          </w:p>
        </w:tc>
      </w:tr>
      <w:tr w:rsidR="0058338A" w:rsidRPr="004459D9" w14:paraId="02D827B1" w14:textId="77777777" w:rsidTr="0058338A">
        <w:tc>
          <w:tcPr>
            <w:tcW w:w="3088" w:type="dxa"/>
          </w:tcPr>
          <w:p w14:paraId="3043AB21" w14:textId="77777777" w:rsidR="0058338A" w:rsidRPr="00531B03" w:rsidRDefault="0058338A" w:rsidP="00D21251">
            <w:pPr>
              <w:pStyle w:val="Header"/>
              <w:tabs>
                <w:tab w:val="left" w:pos="284"/>
              </w:tabs>
              <w:rPr>
                <w:sz w:val="20"/>
                <w:szCs w:val="20"/>
                <w:lang w:val="sr-Latn-CS"/>
              </w:rPr>
            </w:pPr>
            <w:r w:rsidRPr="00531B03">
              <w:rPr>
                <w:b/>
                <w:sz w:val="20"/>
                <w:szCs w:val="20"/>
                <w:lang w:val="sr-Latn-CS"/>
              </w:rPr>
              <w:t>Poremećaji bubrega i urinarnog sistema</w:t>
            </w:r>
          </w:p>
        </w:tc>
        <w:tc>
          <w:tcPr>
            <w:tcW w:w="5987" w:type="dxa"/>
          </w:tcPr>
          <w:p w14:paraId="2F08E223" w14:textId="77777777" w:rsidR="0058338A" w:rsidRPr="00531B03" w:rsidRDefault="0058338A" w:rsidP="00D21251">
            <w:pPr>
              <w:rPr>
                <w:sz w:val="20"/>
                <w:szCs w:val="20"/>
                <w:lang w:val="sr-Latn-CS"/>
              </w:rPr>
            </w:pPr>
          </w:p>
        </w:tc>
      </w:tr>
      <w:tr w:rsidR="0058338A" w:rsidRPr="004459D9" w14:paraId="40B5D1FA" w14:textId="77777777" w:rsidTr="0058338A">
        <w:tc>
          <w:tcPr>
            <w:tcW w:w="3088" w:type="dxa"/>
          </w:tcPr>
          <w:p w14:paraId="39777603" w14:textId="77777777" w:rsidR="0058338A" w:rsidRPr="00531B03" w:rsidRDefault="0058338A" w:rsidP="00D21251">
            <w:pPr>
              <w:pStyle w:val="Header"/>
              <w:tabs>
                <w:tab w:val="left" w:pos="284"/>
              </w:tabs>
              <w:ind w:left="284"/>
              <w:rPr>
                <w:sz w:val="20"/>
                <w:szCs w:val="20"/>
                <w:lang w:val="sr-Latn-CS"/>
              </w:rPr>
            </w:pPr>
            <w:r w:rsidRPr="00531B03">
              <w:rPr>
                <w:sz w:val="20"/>
                <w:szCs w:val="20"/>
                <w:lang w:val="sr-Latn-CS"/>
              </w:rPr>
              <w:t>Veoma često:</w:t>
            </w:r>
          </w:p>
        </w:tc>
        <w:tc>
          <w:tcPr>
            <w:tcW w:w="5987" w:type="dxa"/>
          </w:tcPr>
          <w:p w14:paraId="36F71A39" w14:textId="77777777" w:rsidR="0058338A" w:rsidRPr="00531B03" w:rsidRDefault="0058338A" w:rsidP="00D21251">
            <w:pPr>
              <w:rPr>
                <w:sz w:val="20"/>
                <w:szCs w:val="20"/>
                <w:lang w:val="sr-Latn-CS"/>
              </w:rPr>
            </w:pPr>
            <w:r w:rsidRPr="00531B03">
              <w:rPr>
                <w:sz w:val="20"/>
                <w:szCs w:val="20"/>
                <w:lang w:val="sr-Latn-CS"/>
              </w:rPr>
              <w:t xml:space="preserve">Porast </w:t>
            </w:r>
            <w:r w:rsidR="0071118F" w:rsidRPr="00531B03">
              <w:rPr>
                <w:sz w:val="20"/>
                <w:szCs w:val="20"/>
                <w:lang w:val="sr-Latn-CS"/>
              </w:rPr>
              <w:t>vrijednost</w:t>
            </w:r>
            <w:r w:rsidRPr="00531B03">
              <w:rPr>
                <w:sz w:val="20"/>
                <w:szCs w:val="20"/>
                <w:lang w:val="sr-Latn-CS"/>
              </w:rPr>
              <w:t>i kreatinina u krvi</w:t>
            </w:r>
          </w:p>
        </w:tc>
      </w:tr>
      <w:tr w:rsidR="0058338A" w:rsidRPr="004459D9" w14:paraId="458CAFF7" w14:textId="77777777" w:rsidTr="0058338A">
        <w:tc>
          <w:tcPr>
            <w:tcW w:w="3088" w:type="dxa"/>
          </w:tcPr>
          <w:p w14:paraId="1A45326C" w14:textId="77777777" w:rsidR="0058338A" w:rsidRPr="00531B03" w:rsidRDefault="0058338A" w:rsidP="00D21251">
            <w:pPr>
              <w:pStyle w:val="Header"/>
              <w:tabs>
                <w:tab w:val="left" w:pos="284"/>
              </w:tabs>
              <w:ind w:left="284"/>
              <w:rPr>
                <w:sz w:val="20"/>
                <w:szCs w:val="20"/>
                <w:lang w:val="sr-Latn-CS"/>
              </w:rPr>
            </w:pPr>
            <w:r w:rsidRPr="00531B03">
              <w:rPr>
                <w:sz w:val="20"/>
                <w:szCs w:val="20"/>
                <w:lang w:val="sr-Latn-CS"/>
              </w:rPr>
              <w:t>Često:</w:t>
            </w:r>
          </w:p>
        </w:tc>
        <w:tc>
          <w:tcPr>
            <w:tcW w:w="5987" w:type="dxa"/>
          </w:tcPr>
          <w:p w14:paraId="6BAC2177" w14:textId="77777777" w:rsidR="0058338A" w:rsidRPr="00531B03" w:rsidRDefault="0058338A" w:rsidP="00D21251">
            <w:pPr>
              <w:rPr>
                <w:sz w:val="20"/>
                <w:szCs w:val="20"/>
                <w:lang w:val="sr-Latn-CS"/>
              </w:rPr>
            </w:pPr>
            <w:r w:rsidRPr="00531B03">
              <w:rPr>
                <w:sz w:val="20"/>
                <w:szCs w:val="20"/>
                <w:lang w:val="sr-Latn-CS"/>
              </w:rPr>
              <w:t>Proteinurija</w:t>
            </w:r>
          </w:p>
        </w:tc>
      </w:tr>
      <w:tr w:rsidR="0058338A" w:rsidRPr="004459D9" w14:paraId="5CF75C63" w14:textId="77777777" w:rsidTr="0058338A">
        <w:tc>
          <w:tcPr>
            <w:tcW w:w="3088" w:type="dxa"/>
          </w:tcPr>
          <w:p w14:paraId="41477990" w14:textId="77777777" w:rsidR="0058338A" w:rsidRPr="00531B03" w:rsidRDefault="0058338A" w:rsidP="00D21251">
            <w:pPr>
              <w:pStyle w:val="Header"/>
              <w:tabs>
                <w:tab w:val="left" w:pos="284"/>
              </w:tabs>
              <w:ind w:left="284"/>
              <w:rPr>
                <w:sz w:val="20"/>
                <w:szCs w:val="20"/>
                <w:lang w:val="sr-Latn-CS"/>
              </w:rPr>
            </w:pPr>
            <w:r w:rsidRPr="00531B03">
              <w:rPr>
                <w:sz w:val="20"/>
                <w:szCs w:val="20"/>
                <w:lang w:val="sr-Latn-CS"/>
              </w:rPr>
              <w:t>Povremeno:</w:t>
            </w:r>
          </w:p>
        </w:tc>
        <w:tc>
          <w:tcPr>
            <w:tcW w:w="5987" w:type="dxa"/>
          </w:tcPr>
          <w:p w14:paraId="6E0F5330" w14:textId="77777777" w:rsidR="0058338A" w:rsidRPr="00531B03" w:rsidRDefault="0058338A" w:rsidP="00D21251">
            <w:pPr>
              <w:pStyle w:val="Header"/>
              <w:tabs>
                <w:tab w:val="left" w:pos="284"/>
              </w:tabs>
              <w:rPr>
                <w:sz w:val="20"/>
                <w:szCs w:val="20"/>
                <w:lang w:val="sr-Latn-CS"/>
              </w:rPr>
            </w:pPr>
            <w:r w:rsidRPr="00531B03">
              <w:rPr>
                <w:sz w:val="20"/>
                <w:szCs w:val="20"/>
                <w:lang w:val="sr-Latn-CS"/>
              </w:rPr>
              <w:t>Poremećaj</w:t>
            </w:r>
            <w:r w:rsidRPr="00531B03">
              <w:rPr>
                <w:color w:val="FF6600"/>
                <w:sz w:val="20"/>
                <w:szCs w:val="20"/>
                <w:lang w:val="sr-Latn-CS"/>
              </w:rPr>
              <w:t xml:space="preserve"> </w:t>
            </w:r>
            <w:r w:rsidRPr="00531B03">
              <w:rPr>
                <w:sz w:val="20"/>
                <w:szCs w:val="20"/>
                <w:lang w:val="sr-Latn-CS"/>
              </w:rPr>
              <w:t>renalnih tubula</w:t>
            </w:r>
            <w:r w:rsidRPr="00531B03">
              <w:rPr>
                <w:sz w:val="20"/>
                <w:szCs w:val="20"/>
                <w:vertAlign w:val="superscript"/>
                <w:lang w:val="sr-Latn-CS"/>
              </w:rPr>
              <w:t>2</w:t>
            </w:r>
            <w:r w:rsidRPr="00531B03">
              <w:rPr>
                <w:sz w:val="20"/>
                <w:szCs w:val="20"/>
                <w:lang w:val="sr-Latn-CS"/>
              </w:rPr>
              <w:t xml:space="preserve"> (stečeni Fankonijev sindrom), glikozurija</w:t>
            </w:r>
          </w:p>
        </w:tc>
      </w:tr>
      <w:tr w:rsidR="0058338A" w:rsidRPr="004459D9" w14:paraId="369C2AD5" w14:textId="77777777" w:rsidTr="0058338A">
        <w:tc>
          <w:tcPr>
            <w:tcW w:w="3088" w:type="dxa"/>
          </w:tcPr>
          <w:p w14:paraId="18A016DC" w14:textId="77777777" w:rsidR="0058338A" w:rsidRPr="00531B03" w:rsidRDefault="0058338A" w:rsidP="00D21251">
            <w:pPr>
              <w:pStyle w:val="Header"/>
              <w:tabs>
                <w:tab w:val="left" w:pos="284"/>
              </w:tabs>
              <w:ind w:left="284"/>
              <w:rPr>
                <w:sz w:val="20"/>
                <w:szCs w:val="20"/>
                <w:lang w:val="sr-Latn-CS"/>
              </w:rPr>
            </w:pPr>
            <w:r w:rsidRPr="00531B03">
              <w:rPr>
                <w:sz w:val="20"/>
                <w:szCs w:val="20"/>
                <w:lang w:val="sr-Latn-CS"/>
              </w:rPr>
              <w:t>Nepoznato:</w:t>
            </w:r>
          </w:p>
        </w:tc>
        <w:tc>
          <w:tcPr>
            <w:tcW w:w="5987" w:type="dxa"/>
          </w:tcPr>
          <w:p w14:paraId="5099C80B" w14:textId="77777777" w:rsidR="0058338A" w:rsidRPr="00531B03" w:rsidRDefault="0058338A" w:rsidP="00D21251">
            <w:pPr>
              <w:pStyle w:val="Header"/>
              <w:tabs>
                <w:tab w:val="left" w:pos="284"/>
              </w:tabs>
              <w:rPr>
                <w:sz w:val="20"/>
                <w:szCs w:val="20"/>
                <w:lang w:val="sr-Latn-CS"/>
              </w:rPr>
            </w:pPr>
            <w:r w:rsidRPr="00531B03">
              <w:rPr>
                <w:sz w:val="20"/>
                <w:szCs w:val="20"/>
                <w:lang w:val="sr-Latn-CS"/>
              </w:rPr>
              <w:t>Akutna bubrežna insuficijencija</w:t>
            </w:r>
            <w:r w:rsidRPr="00531B03">
              <w:rPr>
                <w:sz w:val="20"/>
                <w:szCs w:val="20"/>
                <w:vertAlign w:val="superscript"/>
                <w:lang w:val="sr-Latn-CS"/>
              </w:rPr>
              <w:t>1, 2</w:t>
            </w:r>
            <w:r w:rsidRPr="00531B03">
              <w:rPr>
                <w:sz w:val="20"/>
                <w:szCs w:val="20"/>
                <w:lang w:val="sr-Latn-CS"/>
              </w:rPr>
              <w:t>, tubulointersticijalni nefritis</w:t>
            </w:r>
            <w:r w:rsidRPr="00531B03">
              <w:rPr>
                <w:sz w:val="20"/>
                <w:szCs w:val="20"/>
                <w:vertAlign w:val="superscript"/>
                <w:lang w:val="sr-Latn-CS"/>
              </w:rPr>
              <w:t>1</w:t>
            </w:r>
            <w:r w:rsidRPr="00531B03">
              <w:rPr>
                <w:sz w:val="20"/>
                <w:szCs w:val="20"/>
                <w:lang w:val="sr-Latn-CS"/>
              </w:rPr>
              <w:t>, nefrolitijaza</w:t>
            </w:r>
            <w:r w:rsidRPr="00531B03">
              <w:rPr>
                <w:sz w:val="20"/>
                <w:szCs w:val="20"/>
                <w:vertAlign w:val="superscript"/>
                <w:lang w:val="sr-Latn-CS"/>
              </w:rPr>
              <w:t>1</w:t>
            </w:r>
            <w:r w:rsidRPr="00531B03">
              <w:rPr>
                <w:sz w:val="20"/>
                <w:szCs w:val="20"/>
                <w:lang w:val="sr-Latn-CS"/>
              </w:rPr>
              <w:t>, bubrežna tubularna nekroza</w:t>
            </w:r>
            <w:r w:rsidRPr="00531B03">
              <w:rPr>
                <w:sz w:val="20"/>
                <w:szCs w:val="20"/>
                <w:vertAlign w:val="superscript"/>
                <w:lang w:val="sr-Latn-CS"/>
              </w:rPr>
              <w:t>1</w:t>
            </w:r>
          </w:p>
        </w:tc>
      </w:tr>
      <w:tr w:rsidR="0058338A" w:rsidRPr="004459D9" w14:paraId="21835D87" w14:textId="77777777" w:rsidTr="0058338A">
        <w:tc>
          <w:tcPr>
            <w:tcW w:w="9075" w:type="dxa"/>
            <w:gridSpan w:val="2"/>
          </w:tcPr>
          <w:p w14:paraId="2024093E" w14:textId="77777777" w:rsidR="0058338A" w:rsidRPr="00531B03" w:rsidRDefault="0058338A" w:rsidP="00D21251">
            <w:pPr>
              <w:rPr>
                <w:b/>
                <w:sz w:val="20"/>
                <w:szCs w:val="20"/>
                <w:lang w:val="sr-Latn-CS"/>
              </w:rPr>
            </w:pPr>
            <w:r w:rsidRPr="00531B03">
              <w:rPr>
                <w:b/>
                <w:sz w:val="20"/>
                <w:szCs w:val="20"/>
                <w:lang w:val="sr-Latn-CS"/>
              </w:rPr>
              <w:t>Opšti poremećaji i reakcije na m</w:t>
            </w:r>
            <w:r w:rsidR="00403A3D" w:rsidRPr="00531B03">
              <w:rPr>
                <w:b/>
                <w:sz w:val="20"/>
                <w:szCs w:val="20"/>
                <w:lang w:val="sr-Latn-CS"/>
              </w:rPr>
              <w:t>j</w:t>
            </w:r>
            <w:r w:rsidRPr="00531B03">
              <w:rPr>
                <w:b/>
                <w:sz w:val="20"/>
                <w:szCs w:val="20"/>
                <w:lang w:val="sr-Latn-CS"/>
              </w:rPr>
              <w:t>estu prim</w:t>
            </w:r>
            <w:r w:rsidR="00344FF6" w:rsidRPr="00531B03">
              <w:rPr>
                <w:b/>
                <w:sz w:val="20"/>
                <w:szCs w:val="20"/>
                <w:lang w:val="sr-Latn-CS"/>
              </w:rPr>
              <w:t>j</w:t>
            </w:r>
            <w:r w:rsidRPr="00531B03">
              <w:rPr>
                <w:b/>
                <w:sz w:val="20"/>
                <w:szCs w:val="20"/>
                <w:lang w:val="sr-Latn-CS"/>
              </w:rPr>
              <w:t>ene</w:t>
            </w:r>
          </w:p>
        </w:tc>
      </w:tr>
      <w:tr w:rsidR="0058338A" w:rsidRPr="004459D9" w14:paraId="529C7261" w14:textId="77777777" w:rsidTr="0058338A">
        <w:tc>
          <w:tcPr>
            <w:tcW w:w="3088" w:type="dxa"/>
          </w:tcPr>
          <w:p w14:paraId="47A7BAE4" w14:textId="77777777" w:rsidR="0058338A" w:rsidRPr="00531B03" w:rsidRDefault="0058338A" w:rsidP="00D21251">
            <w:pPr>
              <w:pStyle w:val="Header"/>
              <w:tabs>
                <w:tab w:val="left" w:pos="284"/>
              </w:tabs>
              <w:ind w:left="284"/>
              <w:rPr>
                <w:sz w:val="20"/>
                <w:szCs w:val="20"/>
                <w:lang w:val="sr-Latn-CS"/>
              </w:rPr>
            </w:pPr>
            <w:r w:rsidRPr="00531B03">
              <w:rPr>
                <w:sz w:val="20"/>
                <w:szCs w:val="20"/>
                <w:lang w:val="sr-Latn-CS"/>
              </w:rPr>
              <w:t>Povremeno:</w:t>
            </w:r>
          </w:p>
        </w:tc>
        <w:tc>
          <w:tcPr>
            <w:tcW w:w="5987" w:type="dxa"/>
          </w:tcPr>
          <w:p w14:paraId="08B9952C" w14:textId="77777777" w:rsidR="0058338A" w:rsidRPr="00531B03" w:rsidRDefault="0058338A" w:rsidP="00D21251">
            <w:pPr>
              <w:rPr>
                <w:sz w:val="20"/>
                <w:szCs w:val="20"/>
                <w:lang w:val="sr-Latn-CS"/>
              </w:rPr>
            </w:pPr>
            <w:r w:rsidRPr="00531B03">
              <w:rPr>
                <w:sz w:val="20"/>
                <w:szCs w:val="20"/>
                <w:lang w:val="sr-Latn-CS"/>
              </w:rPr>
              <w:t>Pireksija, edem, zamor</w:t>
            </w:r>
          </w:p>
        </w:tc>
      </w:tr>
    </w:tbl>
    <w:p w14:paraId="56DCD252" w14:textId="77777777" w:rsidR="0058338A" w:rsidRPr="00D21251" w:rsidRDefault="0058338A" w:rsidP="00531B03">
      <w:pPr>
        <w:autoSpaceDE w:val="0"/>
        <w:autoSpaceDN w:val="0"/>
        <w:adjustRightInd w:val="0"/>
        <w:jc w:val="both"/>
        <w:rPr>
          <w:sz w:val="22"/>
          <w:szCs w:val="22"/>
          <w:lang w:val="sr-Latn-CS"/>
        </w:rPr>
      </w:pPr>
      <w:r w:rsidRPr="00D21251">
        <w:rPr>
          <w:sz w:val="22"/>
          <w:szCs w:val="22"/>
          <w:vertAlign w:val="superscript"/>
          <w:lang w:val="sr-Latn-CS"/>
        </w:rPr>
        <w:t>1</w:t>
      </w:r>
      <w:r w:rsidRPr="00D21251">
        <w:rPr>
          <w:sz w:val="22"/>
          <w:szCs w:val="22"/>
          <w:lang w:val="sr-Latn-CS"/>
        </w:rPr>
        <w:t xml:space="preserve"> Neželjene reakcije prijavljene tokom postmarketinškog iskustva. One su prikupljene iz spontanih prijava za koje nije uv</w:t>
      </w:r>
      <w:r w:rsidR="00D05808">
        <w:rPr>
          <w:sz w:val="22"/>
          <w:szCs w:val="22"/>
          <w:lang w:val="sr-Latn-CS"/>
        </w:rPr>
        <w:t>ij</w:t>
      </w:r>
      <w:r w:rsidRPr="00D21251">
        <w:rPr>
          <w:sz w:val="22"/>
          <w:szCs w:val="22"/>
          <w:lang w:val="sr-Latn-CS"/>
        </w:rPr>
        <w:t xml:space="preserve">ek moguće pouzdano utvrditi učestalost ili uzročnu povezanost sa izloženošću </w:t>
      </w:r>
      <w:r w:rsidR="00344FF6">
        <w:rPr>
          <w:sz w:val="22"/>
          <w:szCs w:val="22"/>
          <w:lang w:val="sr-Latn-CS"/>
        </w:rPr>
        <w:t>lijek</w:t>
      </w:r>
      <w:r w:rsidRPr="00D21251">
        <w:rPr>
          <w:sz w:val="22"/>
          <w:szCs w:val="22"/>
          <w:lang w:val="sr-Latn-CS"/>
        </w:rPr>
        <w:t>u.</w:t>
      </w:r>
    </w:p>
    <w:p w14:paraId="707D80E2" w14:textId="77777777" w:rsidR="0058338A" w:rsidRPr="00D21251" w:rsidRDefault="0058338A" w:rsidP="00531B03">
      <w:pPr>
        <w:autoSpaceDE w:val="0"/>
        <w:autoSpaceDN w:val="0"/>
        <w:adjustRightInd w:val="0"/>
        <w:jc w:val="both"/>
        <w:rPr>
          <w:sz w:val="22"/>
          <w:szCs w:val="22"/>
          <w:lang w:val="sr-Latn-CS"/>
        </w:rPr>
      </w:pPr>
      <w:r w:rsidRPr="00D21251">
        <w:rPr>
          <w:sz w:val="22"/>
          <w:szCs w:val="22"/>
          <w:vertAlign w:val="superscript"/>
          <w:lang w:val="sr-Latn-CS"/>
        </w:rPr>
        <w:t>2</w:t>
      </w:r>
      <w:r w:rsidRPr="00D21251">
        <w:rPr>
          <w:sz w:val="22"/>
          <w:szCs w:val="22"/>
          <w:lang w:val="sr-Latn-CS"/>
        </w:rPr>
        <w:t xml:space="preserve"> Bili su prijavljeni teški oblici povezani sa </w:t>
      </w:r>
      <w:r w:rsidR="00F90136">
        <w:rPr>
          <w:sz w:val="22"/>
          <w:szCs w:val="22"/>
          <w:lang w:val="sr-Latn-CS"/>
        </w:rPr>
        <w:t>promjen</w:t>
      </w:r>
      <w:r w:rsidRPr="00D21251">
        <w:rPr>
          <w:sz w:val="22"/>
          <w:szCs w:val="22"/>
          <w:lang w:val="sr-Latn-CS"/>
        </w:rPr>
        <w:t>ama sv</w:t>
      </w:r>
      <w:r w:rsidR="0065396C">
        <w:rPr>
          <w:sz w:val="22"/>
          <w:szCs w:val="22"/>
          <w:lang w:val="sr-Latn-CS"/>
        </w:rPr>
        <w:t>ij</w:t>
      </w:r>
      <w:r w:rsidRPr="00D21251">
        <w:rPr>
          <w:sz w:val="22"/>
          <w:szCs w:val="22"/>
          <w:lang w:val="sr-Latn-CS"/>
        </w:rPr>
        <w:t>esti u okviru hiperamonemične encefalopatije.</w:t>
      </w:r>
    </w:p>
    <w:p w14:paraId="19C649ED" w14:textId="77777777" w:rsidR="0058338A" w:rsidRPr="00D21251" w:rsidRDefault="0058338A" w:rsidP="00531B03">
      <w:pPr>
        <w:autoSpaceDE w:val="0"/>
        <w:autoSpaceDN w:val="0"/>
        <w:adjustRightInd w:val="0"/>
        <w:jc w:val="both"/>
        <w:rPr>
          <w:sz w:val="22"/>
          <w:szCs w:val="22"/>
          <w:lang w:val="sr-Latn-CS"/>
        </w:rPr>
      </w:pPr>
    </w:p>
    <w:p w14:paraId="670ECB42" w14:textId="77777777" w:rsidR="0058338A" w:rsidRPr="00D21251" w:rsidRDefault="0058338A" w:rsidP="00531B03">
      <w:pPr>
        <w:jc w:val="both"/>
        <w:rPr>
          <w:sz w:val="22"/>
          <w:szCs w:val="22"/>
          <w:u w:val="single"/>
          <w:lang w:val="sr-Latn-CS"/>
        </w:rPr>
      </w:pPr>
      <w:r w:rsidRPr="00D21251">
        <w:rPr>
          <w:sz w:val="22"/>
          <w:szCs w:val="22"/>
          <w:u w:val="single"/>
          <w:lang w:val="sr-Latn-CS"/>
        </w:rPr>
        <w:t xml:space="preserve">Opis odabranih neželjenih reakcija </w:t>
      </w:r>
    </w:p>
    <w:p w14:paraId="3D988BBA" w14:textId="77777777" w:rsidR="0058338A" w:rsidRPr="00D21251" w:rsidRDefault="0058338A" w:rsidP="00531B03">
      <w:pPr>
        <w:jc w:val="both"/>
        <w:rPr>
          <w:sz w:val="22"/>
          <w:szCs w:val="22"/>
          <w:lang w:val="sr-Latn-CS"/>
        </w:rPr>
      </w:pPr>
      <w:r w:rsidRPr="00D21251">
        <w:rPr>
          <w:sz w:val="22"/>
          <w:szCs w:val="22"/>
          <w:lang w:val="sr-Latn-CS"/>
        </w:rPr>
        <w:t>Žučni konkrementi i poremećaji žučnih puteva su zab</w:t>
      </w:r>
      <w:r w:rsidR="00F90136">
        <w:rPr>
          <w:sz w:val="22"/>
          <w:szCs w:val="22"/>
          <w:lang w:val="sr-Latn-CS"/>
        </w:rPr>
        <w:t>i</w:t>
      </w:r>
      <w:r w:rsidRPr="00D21251">
        <w:rPr>
          <w:sz w:val="22"/>
          <w:szCs w:val="22"/>
          <w:lang w:val="sr-Latn-CS"/>
        </w:rPr>
        <w:t>l</w:t>
      </w:r>
      <w:r w:rsidR="00F90136">
        <w:rPr>
          <w:sz w:val="22"/>
          <w:szCs w:val="22"/>
          <w:lang w:val="sr-Latn-CS"/>
        </w:rPr>
        <w:t>j</w:t>
      </w:r>
      <w:r w:rsidRPr="00D21251">
        <w:rPr>
          <w:sz w:val="22"/>
          <w:szCs w:val="22"/>
          <w:lang w:val="sr-Latn-CS"/>
        </w:rPr>
        <w:t xml:space="preserve">eženi kod oko 2% pacijenata. Porast </w:t>
      </w:r>
      <w:r w:rsidR="0071118F">
        <w:rPr>
          <w:sz w:val="22"/>
          <w:szCs w:val="22"/>
          <w:lang w:val="sr-Latn-CS"/>
        </w:rPr>
        <w:t>vrijednost</w:t>
      </w:r>
      <w:r w:rsidRPr="00D21251">
        <w:rPr>
          <w:sz w:val="22"/>
          <w:szCs w:val="22"/>
          <w:lang w:val="sr-Latn-CS"/>
        </w:rPr>
        <w:t xml:space="preserve">i transaminaza jetre prijavljen je kao neželjena reakcija kod oko 2% pacijenata. Porast transaminaza za više od deset puta u odnosu na normalne </w:t>
      </w:r>
      <w:r w:rsidR="0071118F">
        <w:rPr>
          <w:sz w:val="22"/>
          <w:szCs w:val="22"/>
          <w:lang w:val="sr-Latn-CS"/>
        </w:rPr>
        <w:t>vrijednost</w:t>
      </w:r>
      <w:r w:rsidRPr="00D21251">
        <w:rPr>
          <w:sz w:val="22"/>
          <w:szCs w:val="22"/>
          <w:lang w:val="sr-Latn-CS"/>
        </w:rPr>
        <w:t>i, koji bi ukazivao na hepatitis, bio je povremen (0,3%). U postmarketinškom iskustvu, insuficijencija jetre, ponekad sa smrtnim ishodom, prijavljivana je kod pacijenata na terapiji deferasiroksom (</w:t>
      </w:r>
      <w:r w:rsidR="009E320F">
        <w:rPr>
          <w:sz w:val="22"/>
          <w:szCs w:val="22"/>
          <w:lang w:val="sr-Latn-CS"/>
        </w:rPr>
        <w:t xml:space="preserve">vidjeti </w:t>
      </w:r>
      <w:r w:rsidR="00403A3D">
        <w:rPr>
          <w:sz w:val="22"/>
          <w:szCs w:val="22"/>
          <w:lang w:val="sr-Latn-CS"/>
        </w:rPr>
        <w:t xml:space="preserve">dio </w:t>
      </w:r>
      <w:r w:rsidRPr="00D21251">
        <w:rPr>
          <w:sz w:val="22"/>
          <w:szCs w:val="22"/>
          <w:lang w:val="sr-Latn-CS"/>
        </w:rPr>
        <w:t xml:space="preserve">4.4). Nakon stavljanja </w:t>
      </w:r>
      <w:r w:rsidR="00344FF6">
        <w:rPr>
          <w:sz w:val="22"/>
          <w:szCs w:val="22"/>
          <w:lang w:val="sr-Latn-CS"/>
        </w:rPr>
        <w:t>lijek</w:t>
      </w:r>
      <w:r w:rsidRPr="00D21251">
        <w:rPr>
          <w:sz w:val="22"/>
          <w:szCs w:val="22"/>
          <w:lang w:val="sr-Latn-CS"/>
        </w:rPr>
        <w:t>a u promet bili su prijavljeni slučajevi metaboličke acidoze. Većina ovih pacijenata je imala oštećenje funkcije bubrega, bubrežnu tubulopatiju (Fankonijev sindrom) ili dijareju</w:t>
      </w:r>
      <w:r w:rsidR="00D05808">
        <w:rPr>
          <w:sz w:val="22"/>
          <w:szCs w:val="22"/>
          <w:lang w:val="sr-Latn-CS"/>
        </w:rPr>
        <w:t>,</w:t>
      </w:r>
      <w:r w:rsidRPr="00D21251">
        <w:rPr>
          <w:sz w:val="22"/>
          <w:szCs w:val="22"/>
          <w:lang w:val="sr-Latn-CS"/>
        </w:rPr>
        <w:t xml:space="preserve"> ili stanja kod kojih je poremećaj acido-bazne ravnoteže poznata komplikacija (</w:t>
      </w:r>
      <w:r w:rsidR="009E320F">
        <w:rPr>
          <w:sz w:val="22"/>
          <w:szCs w:val="22"/>
          <w:lang w:val="sr-Latn-CS"/>
        </w:rPr>
        <w:t xml:space="preserve">vidjeti </w:t>
      </w:r>
      <w:r w:rsidR="00D05808">
        <w:rPr>
          <w:sz w:val="22"/>
          <w:szCs w:val="22"/>
          <w:lang w:val="sr-Latn-CS"/>
        </w:rPr>
        <w:t xml:space="preserve">dio </w:t>
      </w:r>
      <w:r w:rsidRPr="00D21251">
        <w:rPr>
          <w:sz w:val="22"/>
          <w:szCs w:val="22"/>
          <w:lang w:val="sr-Latn-CS"/>
        </w:rPr>
        <w:t xml:space="preserve">4.4). Slučajevi ozbiljnog akutnog pankreatitisa su </w:t>
      </w:r>
      <w:r w:rsidR="00F90136">
        <w:rPr>
          <w:sz w:val="22"/>
          <w:szCs w:val="22"/>
          <w:lang w:val="sr-Latn-CS"/>
        </w:rPr>
        <w:t>zabilježen</w:t>
      </w:r>
      <w:r w:rsidRPr="00D21251">
        <w:rPr>
          <w:sz w:val="22"/>
          <w:szCs w:val="22"/>
          <w:lang w:val="sr-Latn-CS"/>
        </w:rPr>
        <w:t>i bez dokumentovanog postojećeg oboljenja žučnih puteva. Kao i kod terapija drugim helatorima gvožđa, povremeno su bili zapaženi gubitak sluha pri visokim frekvencama i zamućenje sočiva (rana katarakta) kod pacijenata koji su l</w:t>
      </w:r>
      <w:r w:rsidR="009A2ACE">
        <w:rPr>
          <w:sz w:val="22"/>
          <w:szCs w:val="22"/>
          <w:lang w:val="sr-Latn-CS"/>
        </w:rPr>
        <w:t>ij</w:t>
      </w:r>
      <w:r w:rsidRPr="00D21251">
        <w:rPr>
          <w:sz w:val="22"/>
          <w:szCs w:val="22"/>
          <w:lang w:val="sr-Latn-CS"/>
        </w:rPr>
        <w:t>ečeni deferasiroksom (</w:t>
      </w:r>
      <w:r w:rsidR="009E320F">
        <w:rPr>
          <w:sz w:val="22"/>
          <w:szCs w:val="22"/>
          <w:lang w:val="sr-Latn-CS"/>
        </w:rPr>
        <w:t xml:space="preserve">vidjeti </w:t>
      </w:r>
      <w:r w:rsidR="00D05808">
        <w:rPr>
          <w:sz w:val="22"/>
          <w:szCs w:val="22"/>
          <w:lang w:val="sr-Latn-CS"/>
        </w:rPr>
        <w:t xml:space="preserve">dio </w:t>
      </w:r>
      <w:r w:rsidRPr="00D21251">
        <w:rPr>
          <w:sz w:val="22"/>
          <w:szCs w:val="22"/>
          <w:lang w:val="sr-Latn-CS"/>
        </w:rPr>
        <w:t>4.4).</w:t>
      </w:r>
    </w:p>
    <w:p w14:paraId="203535DD" w14:textId="77777777" w:rsidR="0058338A" w:rsidRPr="00D21251" w:rsidRDefault="0058338A" w:rsidP="00531B03">
      <w:pPr>
        <w:jc w:val="both"/>
        <w:rPr>
          <w:sz w:val="22"/>
          <w:szCs w:val="22"/>
          <w:u w:val="single"/>
          <w:lang w:val="sr-Latn-CS"/>
        </w:rPr>
      </w:pPr>
    </w:p>
    <w:p w14:paraId="34602A37" w14:textId="77777777" w:rsidR="0058338A" w:rsidRPr="00D21251" w:rsidRDefault="0058338A" w:rsidP="00531B03">
      <w:pPr>
        <w:jc w:val="both"/>
        <w:rPr>
          <w:sz w:val="22"/>
          <w:szCs w:val="22"/>
          <w:u w:val="single"/>
          <w:lang w:val="sr-Latn-CS"/>
        </w:rPr>
      </w:pPr>
      <w:r w:rsidRPr="00D21251">
        <w:rPr>
          <w:sz w:val="22"/>
          <w:szCs w:val="22"/>
          <w:u w:val="single"/>
          <w:lang w:val="sr-Latn-CS"/>
        </w:rPr>
        <w:t xml:space="preserve">Klirens kreatinina kod preopterećenja gvožđem koje je </w:t>
      </w:r>
      <w:r w:rsidR="000F5050">
        <w:rPr>
          <w:sz w:val="22"/>
          <w:szCs w:val="22"/>
          <w:u w:val="single"/>
          <w:lang w:val="sr-Latn-CS"/>
        </w:rPr>
        <w:t>posljed</w:t>
      </w:r>
      <w:r w:rsidRPr="00D21251">
        <w:rPr>
          <w:sz w:val="22"/>
          <w:szCs w:val="22"/>
          <w:u w:val="single"/>
          <w:lang w:val="sr-Latn-CS"/>
        </w:rPr>
        <w:t>ica transfuzije krvi</w:t>
      </w:r>
    </w:p>
    <w:p w14:paraId="68404C08" w14:textId="6C0D0457" w:rsidR="0058338A" w:rsidRPr="00D21251" w:rsidRDefault="0058338A" w:rsidP="00531B03">
      <w:pPr>
        <w:jc w:val="both"/>
        <w:rPr>
          <w:sz w:val="22"/>
          <w:szCs w:val="22"/>
          <w:lang w:val="sr-Latn-CS"/>
        </w:rPr>
      </w:pPr>
      <w:r w:rsidRPr="00D21251">
        <w:rPr>
          <w:sz w:val="22"/>
          <w:szCs w:val="22"/>
          <w:lang w:val="sr-Latn-CS"/>
        </w:rPr>
        <w:t>U retrospektivnoj meta analizi sprovedenoj kod 2102 odrasla i pedijatrijska pacijenta sa beta talasemijom i preopterećenjem gvožđem usl</w:t>
      </w:r>
      <w:r w:rsidR="00392966">
        <w:rPr>
          <w:sz w:val="22"/>
          <w:szCs w:val="22"/>
          <w:lang w:val="sr-Latn-CS"/>
        </w:rPr>
        <w:t>j</w:t>
      </w:r>
      <w:r w:rsidRPr="00D21251">
        <w:rPr>
          <w:sz w:val="22"/>
          <w:szCs w:val="22"/>
          <w:lang w:val="sr-Latn-CS"/>
        </w:rPr>
        <w:t>ed transfuzije krvi l</w:t>
      </w:r>
      <w:r w:rsidR="009A2ACE">
        <w:rPr>
          <w:sz w:val="22"/>
          <w:szCs w:val="22"/>
          <w:lang w:val="sr-Latn-CS"/>
        </w:rPr>
        <w:t>ij</w:t>
      </w:r>
      <w:r w:rsidRPr="00D21251">
        <w:rPr>
          <w:sz w:val="22"/>
          <w:szCs w:val="22"/>
          <w:lang w:val="sr-Latn-CS"/>
        </w:rPr>
        <w:t xml:space="preserve">ečenih deferasiroks disperzibilnim tabletama u okviru </w:t>
      </w:r>
      <w:r w:rsidR="006C19D8">
        <w:rPr>
          <w:sz w:val="22"/>
          <w:szCs w:val="22"/>
          <w:lang w:val="sr-Latn-CS"/>
        </w:rPr>
        <w:t xml:space="preserve">dvije </w:t>
      </w:r>
      <w:r w:rsidRPr="00D21251">
        <w:rPr>
          <w:sz w:val="22"/>
          <w:szCs w:val="22"/>
          <w:lang w:val="sr-Latn-CS"/>
        </w:rPr>
        <w:t>randomizovane i četiri otvorene kliničke studije u trajanju do pet godina, prim</w:t>
      </w:r>
      <w:r w:rsidR="00CF7D2F">
        <w:rPr>
          <w:sz w:val="22"/>
          <w:szCs w:val="22"/>
          <w:lang w:val="sr-Latn-CS"/>
        </w:rPr>
        <w:t>ij</w:t>
      </w:r>
      <w:r w:rsidRPr="00D21251">
        <w:rPr>
          <w:sz w:val="22"/>
          <w:szCs w:val="22"/>
          <w:lang w:val="sr-Latn-CS"/>
        </w:rPr>
        <w:t xml:space="preserve">ećeno je smanjenje srednje </w:t>
      </w:r>
      <w:r w:rsidR="0071118F">
        <w:rPr>
          <w:sz w:val="22"/>
          <w:szCs w:val="22"/>
          <w:lang w:val="sr-Latn-CS"/>
        </w:rPr>
        <w:t>vrijednost</w:t>
      </w:r>
      <w:r w:rsidRPr="00D21251">
        <w:rPr>
          <w:sz w:val="22"/>
          <w:szCs w:val="22"/>
          <w:lang w:val="sr-Latn-CS"/>
        </w:rPr>
        <w:t xml:space="preserve">i klirensa kreatinina za 13,2% kod odraslih pacijenata (95 % CI: -14,4% do -12,1%; n=935) i 9,9% (95 % CI: -11,1% do -8,6%; n=1142) kod pedijatrijskih pacijenata tokom prve godine terapije. Kod 250 pacijenata koji su praćeni tokom pet godina, nije bilo </w:t>
      </w:r>
      <w:r w:rsidR="00F90136">
        <w:rPr>
          <w:sz w:val="22"/>
          <w:szCs w:val="22"/>
          <w:lang w:val="sr-Latn-CS"/>
        </w:rPr>
        <w:t>zabilježen</w:t>
      </w:r>
      <w:r w:rsidRPr="00D21251">
        <w:rPr>
          <w:sz w:val="22"/>
          <w:szCs w:val="22"/>
          <w:lang w:val="sr-Latn-CS"/>
        </w:rPr>
        <w:t xml:space="preserve">o dalje smanjenje srednjih </w:t>
      </w:r>
      <w:r w:rsidR="0071118F">
        <w:rPr>
          <w:sz w:val="22"/>
          <w:szCs w:val="22"/>
          <w:lang w:val="sr-Latn-CS"/>
        </w:rPr>
        <w:t>vrijednost</w:t>
      </w:r>
      <w:r w:rsidRPr="00D21251">
        <w:rPr>
          <w:sz w:val="22"/>
          <w:szCs w:val="22"/>
          <w:lang w:val="sr-Latn-CS"/>
        </w:rPr>
        <w:t>i klirensa kreatinina.</w:t>
      </w:r>
    </w:p>
    <w:p w14:paraId="05B1B6C3" w14:textId="77777777" w:rsidR="0058338A" w:rsidRPr="00D21251" w:rsidRDefault="0058338A" w:rsidP="00531B03">
      <w:pPr>
        <w:jc w:val="both"/>
        <w:rPr>
          <w:sz w:val="22"/>
          <w:szCs w:val="22"/>
          <w:lang w:val="sr-Latn-CS"/>
        </w:rPr>
      </w:pPr>
    </w:p>
    <w:p w14:paraId="0DBD00E1" w14:textId="77777777" w:rsidR="0058338A" w:rsidRPr="00D21251" w:rsidRDefault="0058338A" w:rsidP="00531B03">
      <w:pPr>
        <w:jc w:val="both"/>
        <w:rPr>
          <w:sz w:val="22"/>
          <w:szCs w:val="22"/>
          <w:u w:val="single"/>
          <w:lang w:val="sr-Latn-CS"/>
        </w:rPr>
      </w:pPr>
      <w:r w:rsidRPr="00D21251">
        <w:rPr>
          <w:sz w:val="22"/>
          <w:szCs w:val="22"/>
          <w:u w:val="single"/>
          <w:lang w:val="sr-Latn-CS"/>
        </w:rPr>
        <w:t>Klinička studija kod pacijenata sa talasemijskim sindromima koji ne zavise od transfuzije krvi</w:t>
      </w:r>
    </w:p>
    <w:p w14:paraId="26D76765" w14:textId="77777777" w:rsidR="0058338A" w:rsidRPr="00D21251" w:rsidRDefault="0058338A" w:rsidP="00531B03">
      <w:pPr>
        <w:jc w:val="both"/>
        <w:rPr>
          <w:sz w:val="22"/>
          <w:szCs w:val="22"/>
          <w:lang w:val="sr-Latn-CS"/>
        </w:rPr>
      </w:pPr>
      <w:r w:rsidRPr="00D21251">
        <w:rPr>
          <w:sz w:val="22"/>
          <w:szCs w:val="22"/>
          <w:lang w:val="sr-Latn-CS"/>
        </w:rPr>
        <w:t>U jednogodišnjoj studiji kod pacijen</w:t>
      </w:r>
      <w:r w:rsidR="00403A3D">
        <w:rPr>
          <w:sz w:val="22"/>
          <w:szCs w:val="22"/>
          <w:lang w:val="sr-Latn-CS"/>
        </w:rPr>
        <w:t>a</w:t>
      </w:r>
      <w:r w:rsidRPr="00D21251">
        <w:rPr>
          <w:sz w:val="22"/>
          <w:szCs w:val="22"/>
          <w:lang w:val="sr-Latn-CS"/>
        </w:rPr>
        <w:t>ta sa talasemijskim sindromima koji ne zavise od transfuzije krvi i sa preopterećenjem gvožđem (disperzibilne tablete u dozi od 10 mg/kg/dan), najčešći neželjeni događaji povezani sa prim</w:t>
      </w:r>
      <w:r w:rsidR="00344FF6">
        <w:rPr>
          <w:sz w:val="22"/>
          <w:szCs w:val="22"/>
          <w:lang w:val="sr-Latn-CS"/>
        </w:rPr>
        <w:t>j</w:t>
      </w:r>
      <w:r w:rsidRPr="00D21251">
        <w:rPr>
          <w:sz w:val="22"/>
          <w:szCs w:val="22"/>
          <w:lang w:val="sr-Latn-CS"/>
        </w:rPr>
        <w:t xml:space="preserve">enom </w:t>
      </w:r>
      <w:r w:rsidR="00344FF6">
        <w:rPr>
          <w:sz w:val="22"/>
          <w:szCs w:val="22"/>
          <w:lang w:val="sr-Latn-CS"/>
        </w:rPr>
        <w:t>lijek</w:t>
      </w:r>
      <w:r w:rsidRPr="00D21251">
        <w:rPr>
          <w:sz w:val="22"/>
          <w:szCs w:val="22"/>
          <w:lang w:val="sr-Latn-CS"/>
        </w:rPr>
        <w:t xml:space="preserve">a su bili dijareja (9,1%), osip (9,1%) i mučnina (7,3%). </w:t>
      </w:r>
      <w:r w:rsidR="00F90136">
        <w:rPr>
          <w:sz w:val="22"/>
          <w:szCs w:val="22"/>
          <w:lang w:val="sr-Latn-CS"/>
        </w:rPr>
        <w:t>Zabilježen</w:t>
      </w:r>
      <w:r w:rsidRPr="00D21251">
        <w:rPr>
          <w:sz w:val="22"/>
          <w:szCs w:val="22"/>
          <w:lang w:val="sr-Latn-CS"/>
        </w:rPr>
        <w:t xml:space="preserve"> </w:t>
      </w:r>
      <w:r w:rsidRPr="00D21251">
        <w:rPr>
          <w:sz w:val="22"/>
          <w:szCs w:val="22"/>
          <w:lang w:val="sr-Latn-CS"/>
        </w:rPr>
        <w:lastRenderedPageBreak/>
        <w:t xml:space="preserve">je poremećaj </w:t>
      </w:r>
      <w:r w:rsidR="0071118F">
        <w:rPr>
          <w:sz w:val="22"/>
          <w:szCs w:val="22"/>
          <w:lang w:val="sr-Latn-CS"/>
        </w:rPr>
        <w:t>vrijednost</w:t>
      </w:r>
      <w:r w:rsidRPr="00D21251">
        <w:rPr>
          <w:sz w:val="22"/>
          <w:szCs w:val="22"/>
          <w:lang w:val="sr-Latn-CS"/>
        </w:rPr>
        <w:t xml:space="preserve">i serumskog kreatinina kod 5,5% pacijenata i klirensa kreatinina kod 1,8% pacijenata. Porast </w:t>
      </w:r>
      <w:r w:rsidR="0071118F">
        <w:rPr>
          <w:sz w:val="22"/>
          <w:szCs w:val="22"/>
          <w:lang w:val="sr-Latn-CS"/>
        </w:rPr>
        <w:t>vrijednost</w:t>
      </w:r>
      <w:r w:rsidRPr="00D21251">
        <w:rPr>
          <w:sz w:val="22"/>
          <w:szCs w:val="22"/>
          <w:lang w:val="sr-Latn-CS"/>
        </w:rPr>
        <w:t xml:space="preserve">i transaminaza jetre 2 puta veći od početnih </w:t>
      </w:r>
      <w:r w:rsidR="0071118F">
        <w:rPr>
          <w:sz w:val="22"/>
          <w:szCs w:val="22"/>
          <w:lang w:val="sr-Latn-CS"/>
        </w:rPr>
        <w:t>vrijednost</w:t>
      </w:r>
      <w:r w:rsidRPr="00D21251">
        <w:rPr>
          <w:sz w:val="22"/>
          <w:szCs w:val="22"/>
          <w:lang w:val="sr-Latn-CS"/>
        </w:rPr>
        <w:t xml:space="preserve">i i 5 puta veći od gornje granice normalnih </w:t>
      </w:r>
      <w:r w:rsidR="0071118F">
        <w:rPr>
          <w:sz w:val="22"/>
          <w:szCs w:val="22"/>
          <w:lang w:val="sr-Latn-CS"/>
        </w:rPr>
        <w:t>vrijednost</w:t>
      </w:r>
      <w:r w:rsidRPr="00D21251">
        <w:rPr>
          <w:sz w:val="22"/>
          <w:szCs w:val="22"/>
          <w:lang w:val="sr-Latn-CS"/>
        </w:rPr>
        <w:t xml:space="preserve">i su </w:t>
      </w:r>
      <w:r w:rsidR="00F90136">
        <w:rPr>
          <w:sz w:val="22"/>
          <w:szCs w:val="22"/>
          <w:lang w:val="sr-Latn-CS"/>
        </w:rPr>
        <w:t>zabilježen</w:t>
      </w:r>
      <w:r w:rsidRPr="00D21251">
        <w:rPr>
          <w:sz w:val="22"/>
          <w:szCs w:val="22"/>
          <w:lang w:val="sr-Latn-CS"/>
        </w:rPr>
        <w:t>i kod 1,8% pacijenata.</w:t>
      </w:r>
    </w:p>
    <w:p w14:paraId="30A65540" w14:textId="77777777" w:rsidR="0058338A" w:rsidRPr="00D21251" w:rsidRDefault="0058338A" w:rsidP="00531B03">
      <w:pPr>
        <w:jc w:val="both"/>
        <w:rPr>
          <w:sz w:val="22"/>
          <w:szCs w:val="22"/>
          <w:lang w:val="sr-Latn-CS"/>
        </w:rPr>
      </w:pPr>
    </w:p>
    <w:p w14:paraId="78213DA1" w14:textId="77777777" w:rsidR="0058338A" w:rsidRPr="00D21251" w:rsidRDefault="0058338A" w:rsidP="00531B03">
      <w:pPr>
        <w:jc w:val="both"/>
        <w:rPr>
          <w:i/>
          <w:sz w:val="22"/>
          <w:szCs w:val="22"/>
          <w:u w:val="single"/>
          <w:lang w:val="sr-Latn-CS"/>
        </w:rPr>
      </w:pPr>
      <w:r w:rsidRPr="00D21251">
        <w:rPr>
          <w:i/>
          <w:sz w:val="22"/>
          <w:szCs w:val="22"/>
          <w:u w:val="single"/>
          <w:lang w:val="sr-Latn-CS"/>
        </w:rPr>
        <w:t>Pedijatrijska populacija</w:t>
      </w:r>
    </w:p>
    <w:p w14:paraId="2E465156" w14:textId="77777777" w:rsidR="0058338A" w:rsidRPr="00D21251" w:rsidRDefault="0058338A" w:rsidP="00531B03">
      <w:pPr>
        <w:jc w:val="both"/>
        <w:rPr>
          <w:sz w:val="22"/>
          <w:szCs w:val="22"/>
          <w:lang w:val="sr-Latn-CS"/>
        </w:rPr>
      </w:pPr>
      <w:r w:rsidRPr="00D21251">
        <w:rPr>
          <w:sz w:val="22"/>
          <w:szCs w:val="22"/>
          <w:lang w:val="sr-Latn-CS"/>
        </w:rPr>
        <w:t xml:space="preserve">U </w:t>
      </w:r>
      <w:r w:rsidR="006C19D8">
        <w:rPr>
          <w:sz w:val="22"/>
          <w:szCs w:val="22"/>
          <w:lang w:val="sr-Latn-CS"/>
        </w:rPr>
        <w:t xml:space="preserve">dvije </w:t>
      </w:r>
      <w:r w:rsidRPr="00D21251">
        <w:rPr>
          <w:sz w:val="22"/>
          <w:szCs w:val="22"/>
          <w:lang w:val="sr-Latn-CS"/>
        </w:rPr>
        <w:t xml:space="preserve">kliničke studije, nije </w:t>
      </w:r>
      <w:r w:rsidR="00F90136">
        <w:rPr>
          <w:sz w:val="22"/>
          <w:szCs w:val="22"/>
          <w:lang w:val="sr-Latn-CS"/>
        </w:rPr>
        <w:t>zabilježen</w:t>
      </w:r>
      <w:r w:rsidRPr="00D21251">
        <w:rPr>
          <w:sz w:val="22"/>
          <w:szCs w:val="22"/>
          <w:lang w:val="sr-Latn-CS"/>
        </w:rPr>
        <w:t xml:space="preserve"> uticaj na rast i polni razvoj pedijatrijskih pacijenata l</w:t>
      </w:r>
      <w:r w:rsidR="009A2ACE">
        <w:rPr>
          <w:sz w:val="22"/>
          <w:szCs w:val="22"/>
          <w:lang w:val="sr-Latn-CS"/>
        </w:rPr>
        <w:t>ij</w:t>
      </w:r>
      <w:r w:rsidRPr="00D21251">
        <w:rPr>
          <w:sz w:val="22"/>
          <w:szCs w:val="22"/>
          <w:lang w:val="sr-Latn-CS"/>
        </w:rPr>
        <w:t>ečenih deferasiroksom u trajanju do 5 godina (</w:t>
      </w:r>
      <w:r w:rsidR="009E320F">
        <w:rPr>
          <w:sz w:val="22"/>
          <w:szCs w:val="22"/>
          <w:lang w:val="sr-Latn-CS"/>
        </w:rPr>
        <w:t xml:space="preserve">vidjeti </w:t>
      </w:r>
      <w:r w:rsidR="001722D3">
        <w:rPr>
          <w:sz w:val="22"/>
          <w:szCs w:val="22"/>
          <w:lang w:val="sr-Latn-CS"/>
        </w:rPr>
        <w:t>dio</w:t>
      </w:r>
      <w:r w:rsidRPr="00D21251">
        <w:rPr>
          <w:sz w:val="22"/>
          <w:szCs w:val="22"/>
          <w:lang w:val="sr-Latn-CS"/>
        </w:rPr>
        <w:t xml:space="preserve"> 4.4). </w:t>
      </w:r>
    </w:p>
    <w:p w14:paraId="5AAB0FDB" w14:textId="77777777" w:rsidR="0058338A" w:rsidRPr="00D21251" w:rsidRDefault="0058338A" w:rsidP="00531B03">
      <w:pPr>
        <w:jc w:val="both"/>
        <w:rPr>
          <w:noProof/>
          <w:sz w:val="22"/>
          <w:szCs w:val="22"/>
          <w:u w:val="single"/>
          <w:lang w:val="sr-Latn-CS"/>
        </w:rPr>
      </w:pPr>
    </w:p>
    <w:p w14:paraId="6F8C2690" w14:textId="77777777" w:rsidR="0058338A" w:rsidRPr="00D21251" w:rsidRDefault="0058338A" w:rsidP="00531B03">
      <w:pPr>
        <w:jc w:val="both"/>
        <w:rPr>
          <w:sz w:val="22"/>
          <w:szCs w:val="22"/>
          <w:lang w:val="sr-Latn-CS"/>
        </w:rPr>
      </w:pPr>
      <w:r w:rsidRPr="00D21251">
        <w:rPr>
          <w:sz w:val="22"/>
          <w:szCs w:val="22"/>
          <w:lang w:val="sr-Latn-CS"/>
        </w:rPr>
        <w:t>Dijareja je češće prijavljivana kod pedijatrijskih pacijenata uzrasta od 2 do 5 godina nego kod starijih pacijenata.</w:t>
      </w:r>
    </w:p>
    <w:p w14:paraId="6EB052A1" w14:textId="77777777" w:rsidR="0058338A" w:rsidRPr="00D21251" w:rsidRDefault="0058338A" w:rsidP="00531B03">
      <w:pPr>
        <w:jc w:val="both"/>
        <w:rPr>
          <w:sz w:val="22"/>
          <w:szCs w:val="22"/>
          <w:lang w:val="sr-Latn-CS"/>
        </w:rPr>
      </w:pPr>
    </w:p>
    <w:p w14:paraId="7D5ECF1D" w14:textId="77777777" w:rsidR="0058338A" w:rsidRPr="00D21251" w:rsidRDefault="0058338A" w:rsidP="00531B03">
      <w:pPr>
        <w:jc w:val="both"/>
        <w:rPr>
          <w:sz w:val="22"/>
          <w:szCs w:val="22"/>
          <w:lang w:val="sr-Latn-CS"/>
        </w:rPr>
      </w:pPr>
      <w:r w:rsidRPr="00D21251">
        <w:rPr>
          <w:sz w:val="22"/>
          <w:szCs w:val="22"/>
          <w:lang w:val="sr-Latn-CS"/>
        </w:rPr>
        <w:t>Bubrežna tubulopatija je uglavnom prijavljivana kod d</w:t>
      </w:r>
      <w:r w:rsidR="009A2ACE">
        <w:rPr>
          <w:sz w:val="22"/>
          <w:szCs w:val="22"/>
          <w:lang w:val="sr-Latn-CS"/>
        </w:rPr>
        <w:t>j</w:t>
      </w:r>
      <w:r w:rsidRPr="00D21251">
        <w:rPr>
          <w:sz w:val="22"/>
          <w:szCs w:val="22"/>
          <w:lang w:val="sr-Latn-CS"/>
        </w:rPr>
        <w:t>ece i adolescenata sa beta talasemijom koji su l</w:t>
      </w:r>
      <w:r w:rsidR="009A2ACE">
        <w:rPr>
          <w:sz w:val="22"/>
          <w:szCs w:val="22"/>
          <w:lang w:val="sr-Latn-CS"/>
        </w:rPr>
        <w:t>ij</w:t>
      </w:r>
      <w:r w:rsidRPr="00D21251">
        <w:rPr>
          <w:sz w:val="22"/>
          <w:szCs w:val="22"/>
          <w:lang w:val="sr-Latn-CS"/>
        </w:rPr>
        <w:t>ečeni deferasiroksom. U postmarketinškim izv</w:t>
      </w:r>
      <w:r w:rsidR="001722D3">
        <w:rPr>
          <w:sz w:val="22"/>
          <w:szCs w:val="22"/>
          <w:lang w:val="sr-Latn-CS"/>
        </w:rPr>
        <w:t>j</w:t>
      </w:r>
      <w:r w:rsidRPr="00D21251">
        <w:rPr>
          <w:sz w:val="22"/>
          <w:szCs w:val="22"/>
          <w:lang w:val="sr-Latn-CS"/>
        </w:rPr>
        <w:t xml:space="preserve">eštajima, visok </w:t>
      </w:r>
      <w:r w:rsidR="00F90136">
        <w:rPr>
          <w:sz w:val="22"/>
          <w:szCs w:val="22"/>
          <w:lang w:val="sr-Latn-CS"/>
        </w:rPr>
        <w:t>proc</w:t>
      </w:r>
      <w:r w:rsidR="000F5050">
        <w:rPr>
          <w:sz w:val="22"/>
          <w:szCs w:val="22"/>
          <w:lang w:val="sr-Latn-CS"/>
        </w:rPr>
        <w:t>en</w:t>
      </w:r>
      <w:r w:rsidRPr="00D21251">
        <w:rPr>
          <w:sz w:val="22"/>
          <w:szCs w:val="22"/>
          <w:lang w:val="sr-Latn-CS"/>
        </w:rPr>
        <w:t>at slučajeva metaboličke acidoze se javio kod d</w:t>
      </w:r>
      <w:r w:rsidR="009A2ACE">
        <w:rPr>
          <w:sz w:val="22"/>
          <w:szCs w:val="22"/>
          <w:lang w:val="sr-Latn-CS"/>
        </w:rPr>
        <w:t>j</w:t>
      </w:r>
      <w:r w:rsidRPr="00D21251">
        <w:rPr>
          <w:sz w:val="22"/>
          <w:szCs w:val="22"/>
          <w:lang w:val="sr-Latn-CS"/>
        </w:rPr>
        <w:t>ece u sklopu Fankonijevog sindroma.</w:t>
      </w:r>
    </w:p>
    <w:p w14:paraId="393C89A4" w14:textId="77777777" w:rsidR="0058338A" w:rsidRPr="00D21251" w:rsidRDefault="0058338A" w:rsidP="00531B03">
      <w:pPr>
        <w:jc w:val="both"/>
        <w:rPr>
          <w:sz w:val="22"/>
          <w:szCs w:val="22"/>
          <w:lang w:val="sr-Latn-CS"/>
        </w:rPr>
      </w:pPr>
    </w:p>
    <w:p w14:paraId="62792707" w14:textId="77777777" w:rsidR="0058338A" w:rsidRPr="00D21251" w:rsidRDefault="0058338A" w:rsidP="00531B03">
      <w:pPr>
        <w:jc w:val="both"/>
        <w:rPr>
          <w:sz w:val="22"/>
          <w:szCs w:val="22"/>
          <w:lang w:val="sr-Latn-CS"/>
        </w:rPr>
      </w:pPr>
      <w:r w:rsidRPr="00D21251">
        <w:rPr>
          <w:sz w:val="22"/>
          <w:szCs w:val="22"/>
          <w:lang w:val="sr-Latn-CS"/>
        </w:rPr>
        <w:t>Prijavljivan je akutni pankreatitis, naročito kod d</w:t>
      </w:r>
      <w:r w:rsidR="009A2ACE">
        <w:rPr>
          <w:sz w:val="22"/>
          <w:szCs w:val="22"/>
          <w:lang w:val="sr-Latn-CS"/>
        </w:rPr>
        <w:t>j</w:t>
      </w:r>
      <w:r w:rsidRPr="00D21251">
        <w:rPr>
          <w:sz w:val="22"/>
          <w:szCs w:val="22"/>
          <w:lang w:val="sr-Latn-CS"/>
        </w:rPr>
        <w:t>ece i adolescenata.</w:t>
      </w:r>
    </w:p>
    <w:p w14:paraId="5CDB1833" w14:textId="77777777" w:rsidR="00742B27" w:rsidRDefault="00742B27" w:rsidP="00531B03">
      <w:pPr>
        <w:spacing w:after="200" w:line="276" w:lineRule="auto"/>
        <w:jc w:val="both"/>
        <w:rPr>
          <w:rFonts w:eastAsia="Calibri"/>
          <w:sz w:val="22"/>
          <w:szCs w:val="22"/>
          <w:u w:val="single"/>
          <w:lang w:val="sr-Latn-RS"/>
        </w:rPr>
      </w:pPr>
    </w:p>
    <w:p w14:paraId="5C3C4281" w14:textId="77777777" w:rsidR="009C1917" w:rsidRPr="00786071" w:rsidRDefault="009C1917" w:rsidP="00531B03">
      <w:pPr>
        <w:spacing w:after="200" w:line="276" w:lineRule="auto"/>
        <w:jc w:val="both"/>
        <w:rPr>
          <w:rFonts w:eastAsia="Calibri"/>
          <w:sz w:val="22"/>
          <w:szCs w:val="22"/>
          <w:u w:val="single"/>
          <w:lang w:val="sr-Latn-RS"/>
        </w:rPr>
      </w:pPr>
      <w:r w:rsidRPr="00786071">
        <w:rPr>
          <w:rFonts w:eastAsia="Calibri"/>
          <w:sz w:val="22"/>
          <w:szCs w:val="22"/>
          <w:u w:val="single"/>
          <w:lang w:val="sr-Latn-RS"/>
        </w:rPr>
        <w:t>Prijavljivanje sumnji na neželjena dejstva</w:t>
      </w:r>
    </w:p>
    <w:p w14:paraId="0ED030DF" w14:textId="77777777" w:rsidR="009C1917" w:rsidRPr="00786071" w:rsidRDefault="009C1917" w:rsidP="00D56F33">
      <w:pPr>
        <w:spacing w:after="200"/>
        <w:jc w:val="both"/>
        <w:rPr>
          <w:rFonts w:eastAsia="Calibri"/>
          <w:sz w:val="22"/>
          <w:szCs w:val="22"/>
          <w:lang w:val="sr-Latn-RS"/>
        </w:rPr>
      </w:pPr>
      <w:r w:rsidRPr="00786071">
        <w:rPr>
          <w:rFonts w:eastAsia="Calibri"/>
          <w:sz w:val="22"/>
          <w:szCs w:val="22"/>
          <w:lang w:val="sr-Latn-RS"/>
        </w:rPr>
        <w:t xml:space="preserve">Prijavljivanje neželjenih dejstava nakon dobijanja dozvole je od velikog značaja jer obezbjeđuje kontinuirano praćenje odnosa korist/rizik primjene lijeka. Zdravstveni radnici treba da prijave svaku sumnju na neželjeno dejstvo ovog lijeka </w:t>
      </w:r>
      <w:r>
        <w:rPr>
          <w:rFonts w:eastAsia="Calibri"/>
          <w:sz w:val="22"/>
          <w:szCs w:val="22"/>
          <w:lang w:val="sr-Latn-RS"/>
        </w:rPr>
        <w:t>Institutu</w:t>
      </w:r>
      <w:r w:rsidRPr="00786071">
        <w:rPr>
          <w:rFonts w:eastAsia="Calibri"/>
          <w:sz w:val="22"/>
          <w:szCs w:val="22"/>
          <w:lang w:val="sr-Latn-RS"/>
        </w:rPr>
        <w:t xml:space="preserve"> za ljekove i medicinska sredstva</w:t>
      </w:r>
      <w:r>
        <w:rPr>
          <w:rFonts w:eastAsia="Calibri"/>
          <w:sz w:val="22"/>
          <w:szCs w:val="22"/>
          <w:lang w:val="sr-Latn-RS"/>
        </w:rPr>
        <w:t xml:space="preserve"> </w:t>
      </w:r>
      <w:r w:rsidRPr="00786071">
        <w:rPr>
          <w:rFonts w:eastAsia="Calibri"/>
          <w:sz w:val="22"/>
          <w:szCs w:val="22"/>
          <w:lang w:val="sr-Latn-RS"/>
        </w:rPr>
        <w:t>(C</w:t>
      </w:r>
      <w:r>
        <w:rPr>
          <w:rFonts w:eastAsia="Calibri"/>
          <w:sz w:val="22"/>
          <w:szCs w:val="22"/>
          <w:lang w:val="sr-Latn-RS"/>
        </w:rPr>
        <w:t>InMED</w:t>
      </w:r>
      <w:r w:rsidRPr="00786071">
        <w:rPr>
          <w:rFonts w:eastAsia="Calibri"/>
          <w:sz w:val="22"/>
          <w:szCs w:val="22"/>
          <w:lang w:val="sr-Latn-RS"/>
        </w:rPr>
        <w:t>):</w:t>
      </w:r>
    </w:p>
    <w:p w14:paraId="63EFA4F7" w14:textId="77777777" w:rsidR="009C1917" w:rsidRPr="00786071" w:rsidRDefault="009C1917" w:rsidP="004152EB">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za ljekove i medicinska sredstva </w:t>
      </w:r>
    </w:p>
    <w:p w14:paraId="7B987C48" w14:textId="77777777" w:rsidR="009C1917" w:rsidRPr="00786071" w:rsidRDefault="009C1917">
      <w:pPr>
        <w:pStyle w:val="NoSpacing"/>
        <w:jc w:val="both"/>
        <w:rPr>
          <w:rFonts w:eastAsia="Calibri"/>
          <w:sz w:val="22"/>
          <w:szCs w:val="22"/>
          <w:lang w:val="sr-Latn-RS"/>
        </w:rPr>
      </w:pPr>
      <w:r w:rsidRPr="00786071">
        <w:rPr>
          <w:rFonts w:eastAsia="Calibri"/>
          <w:sz w:val="22"/>
          <w:szCs w:val="22"/>
          <w:lang w:val="sr-Latn-RS"/>
        </w:rPr>
        <w:t>Odjeljenje za farmakovigilancu</w:t>
      </w:r>
    </w:p>
    <w:p w14:paraId="23E4CD38" w14:textId="77777777" w:rsidR="009C1917" w:rsidRPr="00786071" w:rsidRDefault="009C1917">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1BA1A8F3" w14:textId="77777777" w:rsidR="009C1917" w:rsidRPr="00786071" w:rsidRDefault="009C1917" w:rsidP="00531B03">
      <w:pPr>
        <w:pStyle w:val="NoSpacing"/>
        <w:jc w:val="both"/>
        <w:rPr>
          <w:rFonts w:eastAsia="Calibri"/>
          <w:sz w:val="22"/>
          <w:szCs w:val="22"/>
          <w:lang w:val="sr-Latn-RS"/>
        </w:rPr>
      </w:pPr>
    </w:p>
    <w:p w14:paraId="23DB3052" w14:textId="77777777" w:rsidR="009C1917" w:rsidRPr="00786071" w:rsidRDefault="009C1917" w:rsidP="00D56F33">
      <w:pPr>
        <w:pStyle w:val="NoSpacing"/>
        <w:jc w:val="both"/>
        <w:rPr>
          <w:rFonts w:eastAsia="Calibri"/>
          <w:sz w:val="22"/>
          <w:szCs w:val="22"/>
          <w:lang w:val="sr-Latn-RS"/>
        </w:rPr>
      </w:pPr>
      <w:r w:rsidRPr="00786071">
        <w:rPr>
          <w:rFonts w:eastAsia="Calibri"/>
          <w:sz w:val="22"/>
          <w:szCs w:val="22"/>
          <w:lang w:val="sr-Latn-RS"/>
        </w:rPr>
        <w:t>tel: +382 (0) 20 310 280</w:t>
      </w:r>
    </w:p>
    <w:p w14:paraId="2AD97C8D" w14:textId="77777777" w:rsidR="009C1917" w:rsidRPr="00786071" w:rsidRDefault="009C1917" w:rsidP="004152EB">
      <w:pPr>
        <w:pStyle w:val="NoSpacing"/>
        <w:jc w:val="both"/>
        <w:rPr>
          <w:rFonts w:eastAsia="Calibri"/>
          <w:sz w:val="22"/>
          <w:szCs w:val="22"/>
          <w:lang w:val="sr-Latn-RS"/>
        </w:rPr>
      </w:pPr>
      <w:r w:rsidRPr="00786071">
        <w:rPr>
          <w:rFonts w:eastAsia="Calibri"/>
          <w:sz w:val="22"/>
          <w:szCs w:val="22"/>
          <w:lang w:val="sr-Latn-RS"/>
        </w:rPr>
        <w:t>fax: +382 (0) 20 310 581</w:t>
      </w:r>
    </w:p>
    <w:p w14:paraId="748C00FD" w14:textId="77777777" w:rsidR="009C1917" w:rsidRPr="00786071" w:rsidRDefault="00635DF3">
      <w:pPr>
        <w:pStyle w:val="NoSpacing"/>
        <w:jc w:val="both"/>
        <w:rPr>
          <w:rFonts w:eastAsia="Calibri"/>
          <w:sz w:val="22"/>
          <w:szCs w:val="22"/>
          <w:lang w:val="sr-Latn-RS"/>
        </w:rPr>
      </w:pPr>
      <w:hyperlink r:id="rId9" w:history="1">
        <w:r w:rsidR="009C1917" w:rsidRPr="00B664A0">
          <w:rPr>
            <w:rStyle w:val="Hyperlink"/>
            <w:rFonts w:eastAsia="Calibri"/>
            <w:sz w:val="22"/>
            <w:szCs w:val="22"/>
            <w:lang w:val="sr-Latn-RS"/>
          </w:rPr>
          <w:t>www.cinmed.me</w:t>
        </w:r>
      </w:hyperlink>
    </w:p>
    <w:p w14:paraId="3A0EECF6" w14:textId="77777777" w:rsidR="009C1917" w:rsidRPr="00786071" w:rsidRDefault="00635DF3">
      <w:pPr>
        <w:pStyle w:val="NoSpacing"/>
        <w:jc w:val="both"/>
        <w:rPr>
          <w:rFonts w:eastAsia="Calibri"/>
          <w:color w:val="0000FF"/>
          <w:sz w:val="22"/>
          <w:szCs w:val="22"/>
          <w:u w:val="single"/>
          <w:lang w:val="sr-Latn-RS"/>
        </w:rPr>
      </w:pPr>
      <w:hyperlink r:id="rId10" w:history="1">
        <w:r w:rsidR="009C1917" w:rsidRPr="00B664A0">
          <w:rPr>
            <w:rStyle w:val="Hyperlink"/>
            <w:rFonts w:eastAsia="Calibri"/>
            <w:sz w:val="22"/>
            <w:szCs w:val="22"/>
            <w:lang w:val="sr-Latn-RS"/>
          </w:rPr>
          <w:t>nezeljenadejstva@cinmed.me</w:t>
        </w:r>
      </w:hyperlink>
    </w:p>
    <w:p w14:paraId="69A5675E" w14:textId="6E573D45" w:rsidR="009C1917" w:rsidRDefault="009C1917">
      <w:pPr>
        <w:pStyle w:val="NoSpacing"/>
        <w:jc w:val="both"/>
        <w:rPr>
          <w:rFonts w:eastAsia="Calibri"/>
          <w:sz w:val="22"/>
          <w:szCs w:val="22"/>
          <w:lang w:val="sr-Latn-RS"/>
        </w:rPr>
      </w:pPr>
      <w:r w:rsidRPr="00786071">
        <w:rPr>
          <w:rFonts w:eastAsia="Calibri"/>
          <w:sz w:val="22"/>
          <w:szCs w:val="22"/>
          <w:lang w:val="sr-Latn-RS"/>
        </w:rPr>
        <w:t>putem IS zdravstvene zaštite</w:t>
      </w:r>
    </w:p>
    <w:p w14:paraId="43FC1458" w14:textId="77777777" w:rsidR="003220B0" w:rsidRDefault="003220B0" w:rsidP="003220B0">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23D667EB" w14:textId="77777777" w:rsidR="003220B0" w:rsidRDefault="003220B0">
      <w:pPr>
        <w:pStyle w:val="NoSpacing"/>
        <w:jc w:val="both"/>
        <w:rPr>
          <w:rFonts w:eastAsia="Calibri"/>
          <w:sz w:val="22"/>
          <w:szCs w:val="22"/>
          <w:lang w:val="sr-Latn-RS"/>
        </w:rPr>
      </w:pPr>
    </w:p>
    <w:p w14:paraId="6E363E5F" w14:textId="0076A969" w:rsidR="00380AE3" w:rsidRPr="00786071" w:rsidRDefault="00380AE3">
      <w:pPr>
        <w:pStyle w:val="NoSpacing"/>
        <w:jc w:val="both"/>
        <w:rPr>
          <w:rFonts w:eastAsia="Calibri"/>
          <w:sz w:val="22"/>
          <w:szCs w:val="22"/>
          <w:lang w:val="sr-Latn-RS"/>
        </w:rPr>
      </w:pPr>
      <w:r w:rsidRPr="007F661E">
        <w:rPr>
          <w:b/>
          <w:bCs/>
          <w:noProof/>
          <w:sz w:val="22"/>
          <w:szCs w:val="22"/>
        </w:rPr>
        <w:drawing>
          <wp:inline distT="0" distB="0" distL="0" distR="0" wp14:anchorId="634DD751" wp14:editId="5EA94D17">
            <wp:extent cx="980796" cy="972000"/>
            <wp:effectExtent l="0" t="0" r="0" b="0"/>
            <wp:docPr id="10"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97B5E5D" w14:textId="77777777" w:rsidR="00836B35" w:rsidRPr="00D21251" w:rsidRDefault="00836B35" w:rsidP="00531B03">
      <w:pPr>
        <w:tabs>
          <w:tab w:val="left" w:pos="540"/>
          <w:tab w:val="left" w:pos="569"/>
        </w:tabs>
        <w:jc w:val="both"/>
        <w:rPr>
          <w:b/>
          <w:bCs/>
          <w:sz w:val="22"/>
          <w:szCs w:val="22"/>
        </w:rPr>
      </w:pPr>
    </w:p>
    <w:p w14:paraId="5CDFC7C3" w14:textId="77777777" w:rsidR="00CD6F02" w:rsidRPr="00D21251" w:rsidRDefault="0072020E" w:rsidP="00531B03">
      <w:pPr>
        <w:tabs>
          <w:tab w:val="left" w:pos="540"/>
          <w:tab w:val="left" w:pos="569"/>
        </w:tabs>
        <w:jc w:val="both"/>
        <w:rPr>
          <w:b/>
          <w:bCs/>
          <w:sz w:val="22"/>
          <w:szCs w:val="22"/>
        </w:rPr>
      </w:pPr>
      <w:r w:rsidRPr="00D21251">
        <w:rPr>
          <w:b/>
          <w:bCs/>
          <w:sz w:val="22"/>
          <w:szCs w:val="22"/>
        </w:rPr>
        <w:t xml:space="preserve">4.9. </w:t>
      </w:r>
      <w:r w:rsidR="00480FB1" w:rsidRPr="00D21251">
        <w:rPr>
          <w:b/>
          <w:bCs/>
          <w:sz w:val="22"/>
          <w:szCs w:val="22"/>
        </w:rPr>
        <w:tab/>
      </w:r>
      <w:r w:rsidRPr="00D21251">
        <w:rPr>
          <w:b/>
          <w:bCs/>
          <w:sz w:val="22"/>
          <w:szCs w:val="22"/>
        </w:rPr>
        <w:t>Predoziranje</w:t>
      </w:r>
      <w:r w:rsidR="002846DB" w:rsidRPr="00D21251">
        <w:rPr>
          <w:b/>
          <w:bCs/>
          <w:sz w:val="22"/>
          <w:szCs w:val="22"/>
        </w:rPr>
        <w:t xml:space="preserve"> </w:t>
      </w:r>
    </w:p>
    <w:p w14:paraId="0FFF639A" w14:textId="77777777" w:rsidR="00D21251" w:rsidRDefault="00D21251" w:rsidP="00531B03">
      <w:pPr>
        <w:jc w:val="both"/>
        <w:rPr>
          <w:sz w:val="22"/>
          <w:szCs w:val="22"/>
          <w:lang w:val="sr-Latn-CS"/>
        </w:rPr>
      </w:pPr>
    </w:p>
    <w:p w14:paraId="539CC3AA" w14:textId="77777777" w:rsidR="0058338A" w:rsidRPr="00D21251" w:rsidRDefault="0058338A" w:rsidP="00531B03">
      <w:pPr>
        <w:jc w:val="both"/>
        <w:rPr>
          <w:sz w:val="22"/>
          <w:szCs w:val="22"/>
          <w:lang w:val="sr-Latn-CS"/>
        </w:rPr>
      </w:pPr>
      <w:r w:rsidRPr="00D21251">
        <w:rPr>
          <w:sz w:val="22"/>
          <w:szCs w:val="22"/>
          <w:lang w:val="sr-Latn-CS"/>
        </w:rPr>
        <w:t>Rani znaci akutnog predoziranja su digestivne reakcije</w:t>
      </w:r>
      <w:r w:rsidR="00895521">
        <w:rPr>
          <w:sz w:val="22"/>
          <w:szCs w:val="22"/>
          <w:lang w:val="sr-Latn-CS"/>
        </w:rPr>
        <w:t>,</w:t>
      </w:r>
      <w:r w:rsidRPr="00D21251">
        <w:rPr>
          <w:sz w:val="22"/>
          <w:szCs w:val="22"/>
          <w:lang w:val="sr-Latn-CS"/>
        </w:rPr>
        <w:t xml:space="preserve"> kao što je abdominalni bol, dijareja, mučnina i povraćanje. Prijavljeni su poremećaji jetre i bubrega</w:t>
      </w:r>
      <w:r w:rsidR="00895521">
        <w:rPr>
          <w:sz w:val="22"/>
          <w:szCs w:val="22"/>
          <w:lang w:val="sr-Latn-CS"/>
        </w:rPr>
        <w:t>,</w:t>
      </w:r>
      <w:r w:rsidRPr="00D21251">
        <w:rPr>
          <w:sz w:val="22"/>
          <w:szCs w:val="22"/>
          <w:lang w:val="sr-Latn-CS"/>
        </w:rPr>
        <w:t xml:space="preserve"> uključujući slučajeve povišenih </w:t>
      </w:r>
      <w:r w:rsidR="0071118F">
        <w:rPr>
          <w:sz w:val="22"/>
          <w:szCs w:val="22"/>
          <w:lang w:val="sr-Latn-CS"/>
        </w:rPr>
        <w:t>vrijednost</w:t>
      </w:r>
      <w:r w:rsidRPr="00D21251">
        <w:rPr>
          <w:sz w:val="22"/>
          <w:szCs w:val="22"/>
          <w:lang w:val="sr-Latn-CS"/>
        </w:rPr>
        <w:t xml:space="preserve">i enzima jetre i kreatinina sa povratkom na normalne </w:t>
      </w:r>
      <w:r w:rsidR="0071118F">
        <w:rPr>
          <w:sz w:val="22"/>
          <w:szCs w:val="22"/>
          <w:lang w:val="sr-Latn-CS"/>
        </w:rPr>
        <w:t>vrijednost</w:t>
      </w:r>
      <w:r w:rsidRPr="00D21251">
        <w:rPr>
          <w:sz w:val="22"/>
          <w:szCs w:val="22"/>
          <w:lang w:val="sr-Latn-CS"/>
        </w:rPr>
        <w:t>i po prestanku terapije. Pogrešno prim</w:t>
      </w:r>
      <w:r w:rsidR="00344FF6">
        <w:rPr>
          <w:sz w:val="22"/>
          <w:szCs w:val="22"/>
          <w:lang w:val="sr-Latn-CS"/>
        </w:rPr>
        <w:t>ij</w:t>
      </w:r>
      <w:r w:rsidRPr="00D21251">
        <w:rPr>
          <w:sz w:val="22"/>
          <w:szCs w:val="22"/>
          <w:lang w:val="sr-Latn-CS"/>
        </w:rPr>
        <w:t>enjena pojedinačna doza od 90 mg/kg dovela je do Fankonijevog sindroma</w:t>
      </w:r>
      <w:r w:rsidR="00895521">
        <w:rPr>
          <w:sz w:val="22"/>
          <w:szCs w:val="22"/>
          <w:lang w:val="sr-Latn-CS"/>
        </w:rPr>
        <w:t>,</w:t>
      </w:r>
      <w:r w:rsidRPr="00D21251">
        <w:rPr>
          <w:sz w:val="22"/>
          <w:szCs w:val="22"/>
          <w:lang w:val="sr-Latn-CS"/>
        </w:rPr>
        <w:t xml:space="preserve"> koji se povukao </w:t>
      </w:r>
      <w:r w:rsidR="00CF7D2F">
        <w:rPr>
          <w:sz w:val="22"/>
          <w:szCs w:val="22"/>
          <w:lang w:val="sr-Latn-CS"/>
        </w:rPr>
        <w:t>poslije</w:t>
      </w:r>
      <w:r w:rsidRPr="00D21251">
        <w:rPr>
          <w:sz w:val="22"/>
          <w:szCs w:val="22"/>
          <w:lang w:val="sr-Latn-CS"/>
        </w:rPr>
        <w:t xml:space="preserve"> terapije.</w:t>
      </w:r>
    </w:p>
    <w:p w14:paraId="400B3DDB" w14:textId="77777777" w:rsidR="0058338A" w:rsidRPr="00D21251" w:rsidRDefault="0058338A" w:rsidP="00531B03">
      <w:pPr>
        <w:jc w:val="both"/>
        <w:rPr>
          <w:sz w:val="22"/>
          <w:szCs w:val="22"/>
          <w:lang w:val="sr-Latn-CS"/>
        </w:rPr>
      </w:pPr>
    </w:p>
    <w:p w14:paraId="0A50C005" w14:textId="77777777" w:rsidR="0058338A" w:rsidRPr="00D21251" w:rsidRDefault="0058338A" w:rsidP="00531B03">
      <w:pPr>
        <w:jc w:val="both"/>
        <w:rPr>
          <w:sz w:val="22"/>
          <w:szCs w:val="22"/>
          <w:lang w:val="sr-Latn-CS"/>
        </w:rPr>
      </w:pPr>
      <w:r w:rsidRPr="00D21251">
        <w:rPr>
          <w:sz w:val="22"/>
          <w:szCs w:val="22"/>
          <w:lang w:val="sr-Latn-CS"/>
        </w:rPr>
        <w:t>Ne postoji specifični antidot za deferasiroks. Može biti indikovana standardna procedura za l</w:t>
      </w:r>
      <w:r w:rsidR="000F5050">
        <w:rPr>
          <w:sz w:val="22"/>
          <w:szCs w:val="22"/>
          <w:lang w:val="sr-Latn-CS"/>
        </w:rPr>
        <w:t>ij</w:t>
      </w:r>
      <w:r w:rsidRPr="00D21251">
        <w:rPr>
          <w:sz w:val="22"/>
          <w:szCs w:val="22"/>
          <w:lang w:val="sr-Latn-CS"/>
        </w:rPr>
        <w:t>ečenje predoziranja</w:t>
      </w:r>
      <w:r w:rsidR="00895521">
        <w:rPr>
          <w:sz w:val="22"/>
          <w:szCs w:val="22"/>
          <w:lang w:val="sr-Latn-CS"/>
        </w:rPr>
        <w:t>,</w:t>
      </w:r>
      <w:r w:rsidRPr="00D21251">
        <w:rPr>
          <w:sz w:val="22"/>
          <w:szCs w:val="22"/>
          <w:lang w:val="sr-Latn-CS"/>
        </w:rPr>
        <w:t xml:space="preserve"> kao i simptomatska terapija, prema medicinskoj potrebi.</w:t>
      </w:r>
    </w:p>
    <w:p w14:paraId="56E341E7" w14:textId="77777777" w:rsidR="00CD6F02" w:rsidRPr="00D21251" w:rsidRDefault="00CD6F02" w:rsidP="00531B03">
      <w:pPr>
        <w:tabs>
          <w:tab w:val="left" w:pos="540"/>
          <w:tab w:val="left" w:pos="569"/>
        </w:tabs>
        <w:jc w:val="both"/>
        <w:rPr>
          <w:b/>
          <w:bCs/>
          <w:sz w:val="22"/>
          <w:szCs w:val="22"/>
        </w:rPr>
      </w:pPr>
    </w:p>
    <w:p w14:paraId="67641CB3" w14:textId="77777777" w:rsidR="00227BDB" w:rsidRPr="00D21251" w:rsidRDefault="00227BDB" w:rsidP="00531B03">
      <w:pPr>
        <w:tabs>
          <w:tab w:val="left" w:pos="540"/>
          <w:tab w:val="left" w:pos="569"/>
        </w:tabs>
        <w:jc w:val="both"/>
        <w:rPr>
          <w:b/>
          <w:bCs/>
          <w:sz w:val="22"/>
          <w:szCs w:val="22"/>
        </w:rPr>
      </w:pPr>
    </w:p>
    <w:p w14:paraId="06ADDA72" w14:textId="77777777" w:rsidR="0072020E" w:rsidRPr="00D21251" w:rsidRDefault="0072020E" w:rsidP="00531B03">
      <w:pPr>
        <w:tabs>
          <w:tab w:val="left" w:pos="540"/>
          <w:tab w:val="left" w:pos="569"/>
        </w:tabs>
        <w:jc w:val="both"/>
        <w:rPr>
          <w:b/>
          <w:bCs/>
          <w:sz w:val="22"/>
          <w:szCs w:val="22"/>
        </w:rPr>
      </w:pPr>
      <w:r w:rsidRPr="00D21251">
        <w:rPr>
          <w:b/>
          <w:bCs/>
          <w:sz w:val="22"/>
          <w:szCs w:val="22"/>
        </w:rPr>
        <w:t xml:space="preserve">5. </w:t>
      </w:r>
      <w:r w:rsidR="00480FB1" w:rsidRPr="00D21251">
        <w:rPr>
          <w:b/>
          <w:bCs/>
          <w:sz w:val="22"/>
          <w:szCs w:val="22"/>
        </w:rPr>
        <w:tab/>
      </w:r>
      <w:r w:rsidRPr="00D21251">
        <w:rPr>
          <w:b/>
          <w:bCs/>
          <w:sz w:val="22"/>
          <w:szCs w:val="22"/>
        </w:rPr>
        <w:t>FARMAKOLOŠK</w:t>
      </w:r>
      <w:r w:rsidR="000D425A" w:rsidRPr="00D21251">
        <w:rPr>
          <w:b/>
          <w:bCs/>
          <w:sz w:val="22"/>
          <w:szCs w:val="22"/>
        </w:rPr>
        <w:t>I</w:t>
      </w:r>
      <w:r w:rsidRPr="00D21251">
        <w:rPr>
          <w:b/>
          <w:bCs/>
          <w:sz w:val="22"/>
          <w:szCs w:val="22"/>
        </w:rPr>
        <w:t xml:space="preserve"> PODACI</w:t>
      </w:r>
    </w:p>
    <w:p w14:paraId="56A1EB9A" w14:textId="77777777" w:rsidR="0072020E" w:rsidRPr="00786071" w:rsidRDefault="0072020E" w:rsidP="00531B03">
      <w:pPr>
        <w:tabs>
          <w:tab w:val="left" w:pos="540"/>
          <w:tab w:val="left" w:pos="569"/>
        </w:tabs>
        <w:jc w:val="both"/>
        <w:rPr>
          <w:b/>
          <w:bCs/>
          <w:sz w:val="22"/>
          <w:szCs w:val="22"/>
        </w:rPr>
      </w:pPr>
    </w:p>
    <w:p w14:paraId="1CD868E3" w14:textId="77777777" w:rsidR="0072020E" w:rsidRPr="00786071" w:rsidRDefault="0072020E" w:rsidP="00531B03">
      <w:pPr>
        <w:tabs>
          <w:tab w:val="left" w:pos="540"/>
          <w:tab w:val="left" w:pos="569"/>
        </w:tabs>
        <w:jc w:val="both"/>
        <w:rPr>
          <w:b/>
          <w:bCs/>
          <w:sz w:val="22"/>
          <w:szCs w:val="22"/>
        </w:rPr>
      </w:pPr>
      <w:r w:rsidRPr="00786071">
        <w:rPr>
          <w:b/>
          <w:bCs/>
          <w:sz w:val="22"/>
          <w:szCs w:val="22"/>
        </w:rPr>
        <w:t xml:space="preserve">5.1. </w:t>
      </w:r>
      <w:r w:rsidR="00480FB1" w:rsidRPr="00786071">
        <w:rPr>
          <w:b/>
          <w:bCs/>
          <w:sz w:val="22"/>
          <w:szCs w:val="22"/>
        </w:rPr>
        <w:tab/>
      </w:r>
      <w:r w:rsidRPr="00786071">
        <w:rPr>
          <w:b/>
          <w:bCs/>
          <w:sz w:val="22"/>
          <w:szCs w:val="22"/>
        </w:rPr>
        <w:t>Farmakodinamski podaci</w:t>
      </w:r>
      <w:r w:rsidR="003A7059" w:rsidRPr="00786071">
        <w:rPr>
          <w:b/>
          <w:bCs/>
          <w:sz w:val="22"/>
          <w:szCs w:val="22"/>
        </w:rPr>
        <w:t xml:space="preserve"> </w:t>
      </w:r>
    </w:p>
    <w:p w14:paraId="353C7C32" w14:textId="77777777" w:rsidR="00F45F77" w:rsidRPr="00786071" w:rsidRDefault="00F45F77" w:rsidP="00531B03">
      <w:pPr>
        <w:tabs>
          <w:tab w:val="left" w:pos="540"/>
          <w:tab w:val="left" w:pos="569"/>
        </w:tabs>
        <w:jc w:val="both"/>
        <w:rPr>
          <w:b/>
          <w:bCs/>
          <w:sz w:val="22"/>
          <w:szCs w:val="22"/>
        </w:rPr>
      </w:pPr>
    </w:p>
    <w:p w14:paraId="6C7558B0" w14:textId="77777777" w:rsidR="0072020E" w:rsidRPr="00D21251" w:rsidRDefault="0072020E" w:rsidP="00531B03">
      <w:pPr>
        <w:tabs>
          <w:tab w:val="left" w:pos="540"/>
          <w:tab w:val="left" w:pos="569"/>
        </w:tabs>
        <w:jc w:val="both"/>
        <w:rPr>
          <w:bCs/>
          <w:sz w:val="22"/>
          <w:szCs w:val="22"/>
        </w:rPr>
      </w:pPr>
      <w:r w:rsidRPr="00531B03">
        <w:rPr>
          <w:bCs/>
          <w:sz w:val="22"/>
          <w:szCs w:val="22"/>
        </w:rPr>
        <w:lastRenderedPageBreak/>
        <w:t>Farmakoterapijska grupa</w:t>
      </w:r>
      <w:r w:rsidRPr="00895521">
        <w:rPr>
          <w:bCs/>
          <w:sz w:val="22"/>
          <w:szCs w:val="22"/>
        </w:rPr>
        <w:t>:</w:t>
      </w:r>
      <w:r w:rsidR="0058338A" w:rsidRPr="0058338A">
        <w:rPr>
          <w:szCs w:val="22"/>
          <w:lang w:val="it-IT"/>
        </w:rPr>
        <w:t xml:space="preserve"> </w:t>
      </w:r>
      <w:r w:rsidR="0058338A" w:rsidRPr="00D21251">
        <w:rPr>
          <w:sz w:val="22"/>
          <w:szCs w:val="22"/>
          <w:lang w:val="it-IT"/>
        </w:rPr>
        <w:t>Heliraju</w:t>
      </w:r>
      <w:r w:rsidR="0058338A" w:rsidRPr="00D21251">
        <w:rPr>
          <w:sz w:val="22"/>
          <w:szCs w:val="22"/>
          <w:lang w:val="sr-Latn-CS"/>
        </w:rPr>
        <w:t>ć</w:t>
      </w:r>
      <w:r w:rsidR="0058338A" w:rsidRPr="00D21251">
        <w:rPr>
          <w:sz w:val="22"/>
          <w:szCs w:val="22"/>
          <w:lang w:val="it-IT"/>
        </w:rPr>
        <w:t>a</w:t>
      </w:r>
      <w:r w:rsidR="0058338A" w:rsidRPr="00D21251">
        <w:rPr>
          <w:sz w:val="22"/>
          <w:szCs w:val="22"/>
          <w:lang w:val="sr-Latn-CS"/>
        </w:rPr>
        <w:t xml:space="preserve"> </w:t>
      </w:r>
      <w:r w:rsidR="0058338A" w:rsidRPr="00D21251">
        <w:rPr>
          <w:sz w:val="22"/>
          <w:szCs w:val="22"/>
          <w:lang w:val="it-IT"/>
        </w:rPr>
        <w:t>sredstva</w:t>
      </w:r>
      <w:r w:rsidR="0058338A" w:rsidRPr="00D21251">
        <w:rPr>
          <w:sz w:val="22"/>
          <w:szCs w:val="22"/>
          <w:lang w:val="sr-Latn-CS"/>
        </w:rPr>
        <w:t xml:space="preserve"> </w:t>
      </w:r>
      <w:r w:rsidR="0058338A" w:rsidRPr="00D21251">
        <w:rPr>
          <w:sz w:val="22"/>
          <w:szCs w:val="22"/>
          <w:lang w:val="it-IT"/>
        </w:rPr>
        <w:t>za</w:t>
      </w:r>
      <w:r w:rsidR="0058338A" w:rsidRPr="00D21251">
        <w:rPr>
          <w:sz w:val="22"/>
          <w:szCs w:val="22"/>
          <w:lang w:val="sr-Latn-CS"/>
        </w:rPr>
        <w:t xml:space="preserve"> </w:t>
      </w:r>
      <w:r w:rsidR="0058338A" w:rsidRPr="00D21251">
        <w:rPr>
          <w:sz w:val="22"/>
          <w:szCs w:val="22"/>
          <w:lang w:val="it-IT"/>
        </w:rPr>
        <w:t>gvo</w:t>
      </w:r>
      <w:r w:rsidR="0058338A" w:rsidRPr="00D21251">
        <w:rPr>
          <w:sz w:val="22"/>
          <w:szCs w:val="22"/>
          <w:lang w:val="sr-Latn-CS"/>
        </w:rPr>
        <w:t>žđ</w:t>
      </w:r>
      <w:r w:rsidR="0058338A" w:rsidRPr="00D21251">
        <w:rPr>
          <w:sz w:val="22"/>
          <w:szCs w:val="22"/>
          <w:lang w:val="it-IT"/>
        </w:rPr>
        <w:t>e</w:t>
      </w:r>
    </w:p>
    <w:p w14:paraId="6CD83F90" w14:textId="77777777" w:rsidR="0072020E" w:rsidRPr="00D21251" w:rsidRDefault="0072020E" w:rsidP="00531B03">
      <w:pPr>
        <w:tabs>
          <w:tab w:val="left" w:pos="540"/>
          <w:tab w:val="left" w:pos="569"/>
        </w:tabs>
        <w:jc w:val="both"/>
        <w:rPr>
          <w:bCs/>
          <w:sz w:val="22"/>
          <w:szCs w:val="22"/>
        </w:rPr>
      </w:pPr>
    </w:p>
    <w:p w14:paraId="3F0B593F" w14:textId="77777777" w:rsidR="0072020E" w:rsidRPr="00D21251" w:rsidRDefault="0072020E" w:rsidP="00531B03">
      <w:pPr>
        <w:tabs>
          <w:tab w:val="left" w:pos="540"/>
          <w:tab w:val="left" w:pos="569"/>
        </w:tabs>
        <w:jc w:val="both"/>
        <w:rPr>
          <w:bCs/>
          <w:sz w:val="22"/>
          <w:szCs w:val="22"/>
        </w:rPr>
      </w:pPr>
      <w:r w:rsidRPr="00531B03">
        <w:rPr>
          <w:bCs/>
          <w:sz w:val="22"/>
          <w:szCs w:val="22"/>
        </w:rPr>
        <w:t>ATC kod</w:t>
      </w:r>
      <w:r w:rsidRPr="00895521">
        <w:rPr>
          <w:bCs/>
          <w:sz w:val="22"/>
          <w:szCs w:val="22"/>
        </w:rPr>
        <w:t>:</w:t>
      </w:r>
      <w:r w:rsidR="0058338A" w:rsidRPr="00D21251">
        <w:rPr>
          <w:sz w:val="22"/>
          <w:szCs w:val="22"/>
          <w:lang w:val="it-IT"/>
        </w:rPr>
        <w:t xml:space="preserve"> V</w:t>
      </w:r>
      <w:r w:rsidR="0058338A" w:rsidRPr="00D21251">
        <w:rPr>
          <w:sz w:val="22"/>
          <w:szCs w:val="22"/>
          <w:lang w:val="sr-Latn-CS"/>
        </w:rPr>
        <w:t>03</w:t>
      </w:r>
      <w:r w:rsidR="0058338A" w:rsidRPr="00D21251">
        <w:rPr>
          <w:sz w:val="22"/>
          <w:szCs w:val="22"/>
          <w:lang w:val="it-IT"/>
        </w:rPr>
        <w:t>AC</w:t>
      </w:r>
      <w:r w:rsidR="0058338A" w:rsidRPr="00D21251">
        <w:rPr>
          <w:sz w:val="22"/>
          <w:szCs w:val="22"/>
          <w:lang w:val="sr-Latn-CS"/>
        </w:rPr>
        <w:t>03</w:t>
      </w:r>
    </w:p>
    <w:p w14:paraId="316B88F3" w14:textId="77777777" w:rsidR="00D21251" w:rsidRDefault="00D21251" w:rsidP="00531B03">
      <w:pPr>
        <w:jc w:val="both"/>
        <w:rPr>
          <w:sz w:val="22"/>
          <w:szCs w:val="22"/>
          <w:u w:val="single"/>
          <w:lang w:val="sr-Latn-CS"/>
        </w:rPr>
      </w:pPr>
    </w:p>
    <w:p w14:paraId="05719B90" w14:textId="77777777" w:rsidR="0058338A" w:rsidRPr="00D21251" w:rsidRDefault="0058338A" w:rsidP="00531B03">
      <w:pPr>
        <w:jc w:val="both"/>
        <w:rPr>
          <w:sz w:val="22"/>
          <w:szCs w:val="22"/>
          <w:u w:val="single"/>
          <w:lang w:val="sr-Latn-CS"/>
        </w:rPr>
      </w:pPr>
      <w:r w:rsidRPr="00D21251">
        <w:rPr>
          <w:sz w:val="22"/>
          <w:szCs w:val="22"/>
          <w:u w:val="single"/>
          <w:lang w:val="sr-Latn-CS"/>
        </w:rPr>
        <w:t>Mehanizam d</w:t>
      </w:r>
      <w:r w:rsidR="00AD035E">
        <w:rPr>
          <w:sz w:val="22"/>
          <w:szCs w:val="22"/>
          <w:u w:val="single"/>
          <w:lang w:val="sr-Latn-CS"/>
        </w:rPr>
        <w:t>j</w:t>
      </w:r>
      <w:r w:rsidRPr="00D21251">
        <w:rPr>
          <w:sz w:val="22"/>
          <w:szCs w:val="22"/>
          <w:u w:val="single"/>
          <w:lang w:val="sr-Latn-CS"/>
        </w:rPr>
        <w:t>elovanja</w:t>
      </w:r>
    </w:p>
    <w:p w14:paraId="72698926" w14:textId="77777777" w:rsidR="0058338A" w:rsidRPr="00D21251" w:rsidRDefault="0058338A" w:rsidP="00531B03">
      <w:pPr>
        <w:jc w:val="both"/>
        <w:rPr>
          <w:sz w:val="22"/>
          <w:szCs w:val="22"/>
          <w:lang w:val="sr-Latn-CS"/>
        </w:rPr>
      </w:pPr>
      <w:r w:rsidRPr="00D21251">
        <w:rPr>
          <w:sz w:val="22"/>
          <w:szCs w:val="22"/>
          <w:lang w:val="sr-Latn-CS"/>
        </w:rPr>
        <w:t xml:space="preserve">Deferasiroks je oralno aktivan helator koji je visoko selektivan za gvožđe (III). To je trovalentni ligand koji vezuje gvožđe sa visokim afinitetom od 2:1. Deferasiroks pojačava izlučivanje gvožđa, prvenstveno putem </w:t>
      </w:r>
      <w:r w:rsidR="00895521">
        <w:rPr>
          <w:sz w:val="22"/>
          <w:szCs w:val="22"/>
          <w:lang w:val="sr-Latn-CS"/>
        </w:rPr>
        <w:t>fecesa</w:t>
      </w:r>
      <w:r w:rsidRPr="00D21251">
        <w:rPr>
          <w:sz w:val="22"/>
          <w:szCs w:val="22"/>
          <w:lang w:val="sr-Latn-CS"/>
        </w:rPr>
        <w:t>. Deferasiroks ima nizak afinitet za cink i bakar i ne dovodi do konstantno niskih koncentracija ovih metala u serumu.</w:t>
      </w:r>
    </w:p>
    <w:p w14:paraId="55BF6C97" w14:textId="77777777" w:rsidR="0058338A" w:rsidRPr="00D21251" w:rsidRDefault="0058338A" w:rsidP="00531B03">
      <w:pPr>
        <w:jc w:val="both"/>
        <w:rPr>
          <w:sz w:val="22"/>
          <w:szCs w:val="22"/>
          <w:lang w:val="sr-Latn-CS"/>
        </w:rPr>
      </w:pPr>
    </w:p>
    <w:p w14:paraId="2BB5CB60" w14:textId="77777777" w:rsidR="0058338A" w:rsidRPr="007916C3" w:rsidRDefault="0058338A" w:rsidP="00531B03">
      <w:pPr>
        <w:jc w:val="both"/>
        <w:rPr>
          <w:sz w:val="22"/>
          <w:szCs w:val="22"/>
          <w:u w:val="single"/>
          <w:lang w:val="sr-Latn-CS"/>
        </w:rPr>
      </w:pPr>
      <w:r w:rsidRPr="007916C3">
        <w:rPr>
          <w:sz w:val="22"/>
          <w:szCs w:val="22"/>
          <w:u w:val="single"/>
          <w:lang w:val="sr-Latn-CS"/>
        </w:rPr>
        <w:t>Farmakodinamsk</w:t>
      </w:r>
      <w:r w:rsidR="008A3015">
        <w:rPr>
          <w:sz w:val="22"/>
          <w:szCs w:val="22"/>
          <w:u w:val="single"/>
          <w:lang w:val="sr-Latn-CS"/>
        </w:rPr>
        <w:t>o</w:t>
      </w:r>
      <w:r w:rsidRPr="007916C3">
        <w:rPr>
          <w:sz w:val="22"/>
          <w:szCs w:val="22"/>
          <w:u w:val="single"/>
          <w:lang w:val="sr-Latn-CS"/>
        </w:rPr>
        <w:t xml:space="preserve"> </w:t>
      </w:r>
      <w:r w:rsidR="008A3015">
        <w:rPr>
          <w:sz w:val="22"/>
          <w:szCs w:val="22"/>
          <w:u w:val="single"/>
          <w:lang w:val="sr-Latn-CS"/>
        </w:rPr>
        <w:t>dejstvo</w:t>
      </w:r>
    </w:p>
    <w:p w14:paraId="7847F8A4" w14:textId="77777777" w:rsidR="0058338A" w:rsidRPr="007916C3" w:rsidRDefault="0058338A" w:rsidP="00531B03">
      <w:pPr>
        <w:jc w:val="both"/>
        <w:rPr>
          <w:sz w:val="22"/>
          <w:szCs w:val="22"/>
          <w:lang w:val="sr-Latn-CS"/>
        </w:rPr>
      </w:pPr>
      <w:r w:rsidRPr="007916C3">
        <w:rPr>
          <w:sz w:val="22"/>
          <w:szCs w:val="22"/>
          <w:lang w:val="sr-Latn-CS"/>
        </w:rPr>
        <w:t>U ispitivanju metaboličke ravnoteže gvožđa kod odraslih osoba sa talasemijom kod kojih je došlo do preopterećenja gvožđem, deferasiroks u dnevnim dozama od 10, 20 i 40 mg/kg (farmaceutski oblik disperzibilna tableta) izazva</w:t>
      </w:r>
      <w:r w:rsidR="00895521">
        <w:rPr>
          <w:sz w:val="22"/>
          <w:szCs w:val="22"/>
          <w:lang w:val="sr-Latn-CS"/>
        </w:rPr>
        <w:t>o je</w:t>
      </w:r>
      <w:r w:rsidRPr="007916C3">
        <w:rPr>
          <w:sz w:val="22"/>
          <w:szCs w:val="22"/>
          <w:lang w:val="sr-Latn-CS"/>
        </w:rPr>
        <w:t xml:space="preserve"> </w:t>
      </w:r>
      <w:r w:rsidR="0065396C">
        <w:rPr>
          <w:sz w:val="22"/>
          <w:szCs w:val="22"/>
          <w:lang w:val="sr-Latn-CS"/>
        </w:rPr>
        <w:t>prosje</w:t>
      </w:r>
      <w:r w:rsidRPr="007916C3">
        <w:rPr>
          <w:sz w:val="22"/>
          <w:szCs w:val="22"/>
          <w:lang w:val="sr-Latn-CS"/>
        </w:rPr>
        <w:t xml:space="preserve">čno neto izlučivanje od 0,119; 0,329, i 0,445 mg Fe/kg </w:t>
      </w:r>
      <w:r w:rsidR="007916C3" w:rsidRPr="007916C3">
        <w:rPr>
          <w:sz w:val="22"/>
          <w:szCs w:val="22"/>
          <w:lang w:val="sr-Latn-CS"/>
        </w:rPr>
        <w:t>tjelesn</w:t>
      </w:r>
      <w:r w:rsidRPr="007916C3">
        <w:rPr>
          <w:sz w:val="22"/>
          <w:szCs w:val="22"/>
          <w:lang w:val="sr-Latn-CS"/>
        </w:rPr>
        <w:t>e mase/dnevno.</w:t>
      </w:r>
    </w:p>
    <w:p w14:paraId="7C1A9274" w14:textId="77777777" w:rsidR="0058338A" w:rsidRPr="007916C3" w:rsidRDefault="0058338A" w:rsidP="00531B03">
      <w:pPr>
        <w:jc w:val="both"/>
        <w:rPr>
          <w:sz w:val="22"/>
          <w:szCs w:val="22"/>
          <w:lang w:val="sr-Latn-CS"/>
        </w:rPr>
      </w:pPr>
    </w:p>
    <w:p w14:paraId="2271551E" w14:textId="77777777" w:rsidR="0058338A" w:rsidRPr="007916C3" w:rsidRDefault="0058338A" w:rsidP="00531B03">
      <w:pPr>
        <w:pStyle w:val="Header"/>
        <w:tabs>
          <w:tab w:val="left" w:pos="284"/>
        </w:tabs>
        <w:spacing w:before="80" w:after="80"/>
        <w:jc w:val="both"/>
        <w:rPr>
          <w:sz w:val="22"/>
          <w:szCs w:val="22"/>
          <w:u w:val="single"/>
          <w:lang w:val="sr-Latn-CS"/>
        </w:rPr>
      </w:pPr>
      <w:r w:rsidRPr="007916C3">
        <w:rPr>
          <w:sz w:val="22"/>
          <w:szCs w:val="22"/>
          <w:u w:val="single"/>
          <w:lang w:val="sr-Latn-CS"/>
        </w:rPr>
        <w:t>Klinička efikasnost i bezb</w:t>
      </w:r>
      <w:r w:rsidR="00AD035E">
        <w:rPr>
          <w:sz w:val="22"/>
          <w:szCs w:val="22"/>
          <w:u w:val="single"/>
          <w:lang w:val="sr-Latn-CS"/>
        </w:rPr>
        <w:t>j</w:t>
      </w:r>
      <w:r w:rsidRPr="007916C3">
        <w:rPr>
          <w:sz w:val="22"/>
          <w:szCs w:val="22"/>
          <w:u w:val="single"/>
          <w:lang w:val="sr-Latn-CS"/>
        </w:rPr>
        <w:t>ednost</w:t>
      </w:r>
    </w:p>
    <w:p w14:paraId="026BF734" w14:textId="42334263" w:rsidR="00BB5621" w:rsidRDefault="00BB5621" w:rsidP="00BB5621">
      <w:pPr>
        <w:pStyle w:val="Header"/>
        <w:tabs>
          <w:tab w:val="left" w:pos="284"/>
        </w:tabs>
        <w:spacing w:before="80" w:after="80"/>
        <w:jc w:val="both"/>
        <w:rPr>
          <w:sz w:val="22"/>
          <w:szCs w:val="22"/>
        </w:rPr>
      </w:pPr>
      <w:r>
        <w:rPr>
          <w:sz w:val="22"/>
          <w:szCs w:val="22"/>
        </w:rPr>
        <w:t>Studije</w:t>
      </w:r>
      <w:r w:rsidRPr="00236EBE">
        <w:rPr>
          <w:sz w:val="22"/>
          <w:szCs w:val="22"/>
        </w:rPr>
        <w:t xml:space="preserve"> kliničke </w:t>
      </w:r>
      <w:r>
        <w:rPr>
          <w:sz w:val="22"/>
          <w:szCs w:val="22"/>
        </w:rPr>
        <w:t>efikasnosti su</w:t>
      </w:r>
      <w:r w:rsidRPr="00236EBE">
        <w:rPr>
          <w:sz w:val="22"/>
          <w:szCs w:val="22"/>
        </w:rPr>
        <w:t xml:space="preserve"> </w:t>
      </w:r>
      <w:r w:rsidR="001C1DE0">
        <w:rPr>
          <w:sz w:val="22"/>
          <w:szCs w:val="22"/>
        </w:rPr>
        <w:t>s</w:t>
      </w:r>
      <w:r w:rsidRPr="00236EBE">
        <w:rPr>
          <w:sz w:val="22"/>
          <w:szCs w:val="22"/>
        </w:rPr>
        <w:t>proveden</w:t>
      </w:r>
      <w:r>
        <w:rPr>
          <w:sz w:val="22"/>
          <w:szCs w:val="22"/>
        </w:rPr>
        <w:t>e</w:t>
      </w:r>
      <w:r w:rsidRPr="00236EBE">
        <w:rPr>
          <w:sz w:val="22"/>
          <w:szCs w:val="22"/>
        </w:rPr>
        <w:t xml:space="preserve"> </w:t>
      </w:r>
      <w:proofErr w:type="gramStart"/>
      <w:r>
        <w:rPr>
          <w:sz w:val="22"/>
          <w:szCs w:val="22"/>
        </w:rPr>
        <w:t>sa</w:t>
      </w:r>
      <w:proofErr w:type="gramEnd"/>
      <w:r w:rsidRPr="00236EBE">
        <w:rPr>
          <w:sz w:val="22"/>
          <w:szCs w:val="22"/>
        </w:rPr>
        <w:t xml:space="preserve"> E</w:t>
      </w:r>
      <w:r>
        <w:rPr>
          <w:sz w:val="22"/>
          <w:szCs w:val="22"/>
        </w:rPr>
        <w:t>xjade</w:t>
      </w:r>
      <w:r w:rsidRPr="00236EBE">
        <w:rPr>
          <w:sz w:val="22"/>
          <w:szCs w:val="22"/>
        </w:rPr>
        <w:t xml:space="preserve"> </w:t>
      </w:r>
      <w:r>
        <w:rPr>
          <w:sz w:val="22"/>
          <w:szCs w:val="22"/>
        </w:rPr>
        <w:t xml:space="preserve">disperzibilnim </w:t>
      </w:r>
      <w:r w:rsidRPr="00236EBE">
        <w:rPr>
          <w:sz w:val="22"/>
          <w:szCs w:val="22"/>
        </w:rPr>
        <w:t xml:space="preserve">tabletama (niže navedeno kao „deferasiroks“). U </w:t>
      </w:r>
      <w:r>
        <w:rPr>
          <w:sz w:val="22"/>
          <w:szCs w:val="22"/>
        </w:rPr>
        <w:t xml:space="preserve">poređenju </w:t>
      </w:r>
      <w:proofErr w:type="gramStart"/>
      <w:r>
        <w:rPr>
          <w:sz w:val="22"/>
          <w:szCs w:val="22"/>
        </w:rPr>
        <w:t>sa</w:t>
      </w:r>
      <w:proofErr w:type="gramEnd"/>
      <w:r w:rsidRPr="00236EBE">
        <w:rPr>
          <w:sz w:val="22"/>
          <w:szCs w:val="22"/>
        </w:rPr>
        <w:t xml:space="preserve"> deferasiroks </w:t>
      </w:r>
      <w:r>
        <w:rPr>
          <w:sz w:val="22"/>
          <w:szCs w:val="22"/>
        </w:rPr>
        <w:t xml:space="preserve">disperzibilnim </w:t>
      </w:r>
      <w:r w:rsidRPr="00236EBE">
        <w:rPr>
          <w:sz w:val="22"/>
          <w:szCs w:val="22"/>
        </w:rPr>
        <w:t>tabletama, doza deferasiroks film</w:t>
      </w:r>
      <w:r>
        <w:rPr>
          <w:sz w:val="22"/>
          <w:szCs w:val="22"/>
        </w:rPr>
        <w:t xml:space="preserve"> t</w:t>
      </w:r>
      <w:r w:rsidRPr="00236EBE">
        <w:rPr>
          <w:sz w:val="22"/>
          <w:szCs w:val="22"/>
        </w:rPr>
        <w:t xml:space="preserve">ableta je 30 % niža od doze </w:t>
      </w:r>
      <w:r>
        <w:rPr>
          <w:sz w:val="22"/>
          <w:szCs w:val="22"/>
        </w:rPr>
        <w:t xml:space="preserve">disperzibilnih </w:t>
      </w:r>
      <w:r w:rsidRPr="00236EBE">
        <w:rPr>
          <w:sz w:val="22"/>
          <w:szCs w:val="22"/>
        </w:rPr>
        <w:t>tableta, zaokruženo na najbližu c</w:t>
      </w:r>
      <w:r>
        <w:rPr>
          <w:sz w:val="22"/>
          <w:szCs w:val="22"/>
        </w:rPr>
        <w:t>ij</w:t>
      </w:r>
      <w:r w:rsidRPr="00236EBE">
        <w:rPr>
          <w:sz w:val="22"/>
          <w:szCs w:val="22"/>
        </w:rPr>
        <w:t>elu tabletu (vidjeti dio 5.2).</w:t>
      </w:r>
    </w:p>
    <w:p w14:paraId="7A169115" w14:textId="77777777" w:rsidR="00BB5621" w:rsidRPr="007916C3" w:rsidRDefault="00BB5621" w:rsidP="00531B03">
      <w:pPr>
        <w:pStyle w:val="Header"/>
        <w:tabs>
          <w:tab w:val="left" w:pos="284"/>
        </w:tabs>
        <w:spacing w:before="80" w:after="80"/>
        <w:jc w:val="both"/>
        <w:rPr>
          <w:sz w:val="22"/>
          <w:szCs w:val="22"/>
          <w:lang w:val="sr-Latn-CS"/>
        </w:rPr>
      </w:pPr>
    </w:p>
    <w:p w14:paraId="22463BBC" w14:textId="58CB12F8" w:rsidR="0058338A" w:rsidRPr="00D21251" w:rsidRDefault="0058338A" w:rsidP="00531B03">
      <w:pPr>
        <w:pStyle w:val="Header"/>
        <w:tabs>
          <w:tab w:val="left" w:pos="284"/>
        </w:tabs>
        <w:jc w:val="both"/>
        <w:rPr>
          <w:sz w:val="22"/>
          <w:szCs w:val="22"/>
          <w:lang w:val="sr-Latn-CS"/>
        </w:rPr>
      </w:pPr>
      <w:r w:rsidRPr="007916C3">
        <w:rPr>
          <w:sz w:val="22"/>
          <w:szCs w:val="22"/>
          <w:lang w:val="sr-Latn-CS"/>
        </w:rPr>
        <w:t xml:space="preserve">Deferasiroks je ispitivan kod 411 odraslih pacijenata (uzrasta ≥16 godina) i 292 pedijatrijska pacijenta (uzrasta od 2 do </w:t>
      </w:r>
      <w:r w:rsidR="003E59FD" w:rsidRPr="003E59FD">
        <w:rPr>
          <w:sz w:val="22"/>
          <w:szCs w:val="22"/>
          <w:lang w:val="sr-Latn-CS"/>
        </w:rPr>
        <w:t xml:space="preserve">&lt; </w:t>
      </w:r>
      <w:r w:rsidRPr="007916C3">
        <w:rPr>
          <w:sz w:val="22"/>
          <w:szCs w:val="22"/>
          <w:lang w:val="sr-Latn-CS"/>
        </w:rPr>
        <w:t>16 godina) sa hroničnim preopterećenjem gvožđ</w:t>
      </w:r>
      <w:r w:rsidR="00AD035E">
        <w:rPr>
          <w:sz w:val="22"/>
          <w:szCs w:val="22"/>
          <w:lang w:val="sr-Latn-CS"/>
        </w:rPr>
        <w:t>em</w:t>
      </w:r>
      <w:r w:rsidRPr="007916C3">
        <w:rPr>
          <w:sz w:val="22"/>
          <w:szCs w:val="22"/>
          <w:lang w:val="sr-Latn-CS"/>
        </w:rPr>
        <w:t xml:space="preserve"> zbog transfuzija krvi. Od pedijatrijskih pacijenata</w:t>
      </w:r>
      <w:r w:rsidR="00895521">
        <w:rPr>
          <w:sz w:val="22"/>
          <w:szCs w:val="22"/>
          <w:lang w:val="sr-Latn-CS"/>
        </w:rPr>
        <w:t>,</w:t>
      </w:r>
      <w:r w:rsidRPr="007916C3">
        <w:rPr>
          <w:sz w:val="22"/>
          <w:szCs w:val="22"/>
          <w:lang w:val="sr-Latn-CS"/>
        </w:rPr>
        <w:t xml:space="preserve"> 52 su bila uzrasta</w:t>
      </w:r>
      <w:r w:rsidRPr="00D21251">
        <w:rPr>
          <w:sz w:val="22"/>
          <w:szCs w:val="22"/>
          <w:lang w:val="sr-Latn-CS"/>
        </w:rPr>
        <w:t xml:space="preserve"> od 2 do 5 godina. Postojeća oboljenja kod kojih je potrebna transfuzija obuhvataju: beta</w:t>
      </w:r>
      <w:r w:rsidR="00895521">
        <w:rPr>
          <w:sz w:val="22"/>
          <w:szCs w:val="22"/>
          <w:lang w:val="sr-Latn-CS"/>
        </w:rPr>
        <w:t>-</w:t>
      </w:r>
      <w:r w:rsidRPr="00D21251">
        <w:rPr>
          <w:sz w:val="22"/>
          <w:szCs w:val="22"/>
          <w:lang w:val="sr-Latn-CS"/>
        </w:rPr>
        <w:t xml:space="preserve">talasemiju, srpastu anemiju i ostale urođene ili stečene anemije (mijelodisplastični sindrom </w:t>
      </w:r>
      <w:r w:rsidRPr="00531B03">
        <w:rPr>
          <w:color w:val="000000"/>
          <w:sz w:val="22"/>
          <w:szCs w:val="22"/>
          <w:lang w:val="sr-Latn-CS"/>
        </w:rPr>
        <w:t>[</w:t>
      </w:r>
      <w:r w:rsidRPr="00D21251">
        <w:rPr>
          <w:color w:val="000000"/>
          <w:sz w:val="22"/>
          <w:szCs w:val="22"/>
        </w:rPr>
        <w:t>MDS</w:t>
      </w:r>
      <w:r w:rsidRPr="00531B03">
        <w:rPr>
          <w:color w:val="000000"/>
          <w:sz w:val="22"/>
          <w:szCs w:val="22"/>
          <w:lang w:val="sr-Latn-CS"/>
        </w:rPr>
        <w:t>]</w:t>
      </w:r>
      <w:r w:rsidRPr="00D21251">
        <w:rPr>
          <w:sz w:val="22"/>
          <w:szCs w:val="22"/>
          <w:lang w:val="sr-Latn-CS"/>
        </w:rPr>
        <w:t xml:space="preserve">, </w:t>
      </w:r>
      <w:r w:rsidRPr="00D21251">
        <w:rPr>
          <w:i/>
          <w:sz w:val="22"/>
          <w:szCs w:val="22"/>
          <w:lang w:val="sr-Latn-CS"/>
        </w:rPr>
        <w:t>Diamond-Blackfan</w:t>
      </w:r>
      <w:r w:rsidRPr="00D21251">
        <w:rPr>
          <w:sz w:val="22"/>
          <w:szCs w:val="22"/>
          <w:lang w:val="sr-Latn-CS"/>
        </w:rPr>
        <w:t xml:space="preserve"> sindrom, </w:t>
      </w:r>
      <w:r w:rsidR="00895521" w:rsidRPr="00D21251">
        <w:rPr>
          <w:sz w:val="22"/>
          <w:szCs w:val="22"/>
          <w:lang w:val="sr-Latn-CS"/>
        </w:rPr>
        <w:t>aplastičn</w:t>
      </w:r>
      <w:r w:rsidR="00895521">
        <w:rPr>
          <w:sz w:val="22"/>
          <w:szCs w:val="22"/>
          <w:lang w:val="sr-Latn-CS"/>
        </w:rPr>
        <w:t>u</w:t>
      </w:r>
      <w:r w:rsidR="00895521" w:rsidRPr="00D21251">
        <w:rPr>
          <w:sz w:val="22"/>
          <w:szCs w:val="22"/>
          <w:lang w:val="sr-Latn-CS"/>
        </w:rPr>
        <w:t xml:space="preserve"> anemij</w:t>
      </w:r>
      <w:r w:rsidR="00895521">
        <w:rPr>
          <w:sz w:val="22"/>
          <w:szCs w:val="22"/>
          <w:lang w:val="sr-Latn-CS"/>
        </w:rPr>
        <w:t>u</w:t>
      </w:r>
      <w:r w:rsidR="00895521" w:rsidRPr="00D21251">
        <w:rPr>
          <w:sz w:val="22"/>
          <w:szCs w:val="22"/>
          <w:lang w:val="sr-Latn-CS"/>
        </w:rPr>
        <w:t xml:space="preserve"> </w:t>
      </w:r>
      <w:r w:rsidRPr="00D21251">
        <w:rPr>
          <w:sz w:val="22"/>
          <w:szCs w:val="22"/>
          <w:lang w:val="sr-Latn-CS"/>
        </w:rPr>
        <w:t xml:space="preserve">i ostale veoma </w:t>
      </w:r>
      <w:r w:rsidR="0065396C">
        <w:rPr>
          <w:sz w:val="22"/>
          <w:szCs w:val="22"/>
          <w:lang w:val="sr-Latn-CS"/>
        </w:rPr>
        <w:t>rijetk</w:t>
      </w:r>
      <w:r w:rsidRPr="00D21251">
        <w:rPr>
          <w:sz w:val="22"/>
          <w:szCs w:val="22"/>
          <w:lang w:val="sr-Latn-CS"/>
        </w:rPr>
        <w:t>e anemije).</w:t>
      </w:r>
    </w:p>
    <w:p w14:paraId="7B6E6459" w14:textId="77777777" w:rsidR="0058338A" w:rsidRPr="00D21251" w:rsidRDefault="0058338A" w:rsidP="00531B03">
      <w:pPr>
        <w:jc w:val="both"/>
        <w:rPr>
          <w:sz w:val="22"/>
          <w:szCs w:val="22"/>
          <w:lang w:val="sr-Latn-CS"/>
        </w:rPr>
      </w:pPr>
    </w:p>
    <w:p w14:paraId="550CAE5B" w14:textId="77777777" w:rsidR="0058338A" w:rsidRPr="00D21251" w:rsidRDefault="0058338A" w:rsidP="00531B03">
      <w:pPr>
        <w:jc w:val="both"/>
        <w:rPr>
          <w:sz w:val="22"/>
          <w:szCs w:val="22"/>
          <w:lang w:val="sr-Latn-CS"/>
        </w:rPr>
      </w:pPr>
      <w:r w:rsidRPr="00D21251">
        <w:rPr>
          <w:sz w:val="22"/>
          <w:szCs w:val="22"/>
          <w:lang w:val="sr-Latn-CS"/>
        </w:rPr>
        <w:t>Svakodnevna terapija deferasiroks disperzibilnim tabletama</w:t>
      </w:r>
      <w:r w:rsidRPr="00D21251" w:rsidDel="002C5926">
        <w:rPr>
          <w:sz w:val="22"/>
          <w:szCs w:val="22"/>
          <w:lang w:val="sr-Latn-CS"/>
        </w:rPr>
        <w:t xml:space="preserve"> </w:t>
      </w:r>
      <w:r w:rsidRPr="00D21251">
        <w:rPr>
          <w:sz w:val="22"/>
          <w:szCs w:val="22"/>
          <w:lang w:val="sr-Latn-CS"/>
        </w:rPr>
        <w:t xml:space="preserve">u dozama od 20 i 30 mg/kg tokom godinu dana kod osoba koje su često dobijale transfuziju, bilo da se radi o odraslima ili </w:t>
      </w:r>
      <w:r w:rsidR="00895521">
        <w:rPr>
          <w:sz w:val="22"/>
          <w:szCs w:val="22"/>
          <w:lang w:val="sr-Latn-CS"/>
        </w:rPr>
        <w:t xml:space="preserve">o </w:t>
      </w:r>
      <w:r w:rsidRPr="00D21251">
        <w:rPr>
          <w:sz w:val="22"/>
          <w:szCs w:val="22"/>
          <w:lang w:val="sr-Latn-CS"/>
        </w:rPr>
        <w:t>d</w:t>
      </w:r>
      <w:r w:rsidR="009A2ACE">
        <w:rPr>
          <w:sz w:val="22"/>
          <w:szCs w:val="22"/>
          <w:lang w:val="sr-Latn-CS"/>
        </w:rPr>
        <w:t>j</w:t>
      </w:r>
      <w:r w:rsidRPr="00D21251">
        <w:rPr>
          <w:sz w:val="22"/>
          <w:szCs w:val="22"/>
          <w:lang w:val="sr-Latn-CS"/>
        </w:rPr>
        <w:t>eci sa beta</w:t>
      </w:r>
      <w:r w:rsidR="00895521">
        <w:rPr>
          <w:sz w:val="22"/>
          <w:szCs w:val="22"/>
          <w:lang w:val="sr-Latn-CS"/>
        </w:rPr>
        <w:t>-</w:t>
      </w:r>
      <w:r w:rsidRPr="00D21251">
        <w:rPr>
          <w:sz w:val="22"/>
          <w:szCs w:val="22"/>
          <w:lang w:val="sr-Latn-CS"/>
        </w:rPr>
        <w:t xml:space="preserve">talasemijom, dovela je do smanjenja pokazatelja ukupnog gvožđa u organizmu; koncentracija gvožđa u jetri bila je smanjena u </w:t>
      </w:r>
      <w:r w:rsidR="0065396C">
        <w:rPr>
          <w:sz w:val="22"/>
          <w:szCs w:val="22"/>
          <w:lang w:val="sr-Latn-CS"/>
        </w:rPr>
        <w:t>prosje</w:t>
      </w:r>
      <w:r w:rsidRPr="00D21251">
        <w:rPr>
          <w:sz w:val="22"/>
          <w:szCs w:val="22"/>
          <w:lang w:val="sr-Latn-CS"/>
        </w:rPr>
        <w:t xml:space="preserve">ku za oko -0,4 odnosno -8,9 mg Fe/g jetre (suvog tkiva jetre dobijenog biopsijom), a serumski feritin smanjen je u </w:t>
      </w:r>
      <w:r w:rsidR="0065396C">
        <w:rPr>
          <w:sz w:val="22"/>
          <w:szCs w:val="22"/>
          <w:lang w:val="sr-Latn-CS"/>
        </w:rPr>
        <w:t>prosje</w:t>
      </w:r>
      <w:r w:rsidRPr="00D21251">
        <w:rPr>
          <w:sz w:val="22"/>
          <w:szCs w:val="22"/>
          <w:lang w:val="sr-Latn-CS"/>
        </w:rPr>
        <w:t xml:space="preserve">ku za oko -36 odnosno -926 </w:t>
      </w:r>
      <w:r w:rsidR="005C4E58">
        <w:rPr>
          <w:sz w:val="22"/>
          <w:szCs w:val="22"/>
          <w:lang w:val="sr-Latn-CS"/>
        </w:rPr>
        <w:t>µg</w:t>
      </w:r>
      <w:r w:rsidRPr="00D21251">
        <w:rPr>
          <w:sz w:val="22"/>
          <w:szCs w:val="22"/>
          <w:lang w:val="sr-Latn-CS"/>
        </w:rPr>
        <w:t>/</w:t>
      </w:r>
      <w:r w:rsidR="00895521">
        <w:rPr>
          <w:sz w:val="22"/>
          <w:szCs w:val="22"/>
          <w:lang w:val="sr-Latn-CS"/>
        </w:rPr>
        <w:t>l</w:t>
      </w:r>
      <w:r w:rsidRPr="00D21251">
        <w:rPr>
          <w:sz w:val="22"/>
          <w:szCs w:val="22"/>
          <w:lang w:val="sr-Latn-CS"/>
        </w:rPr>
        <w:t>. Pri ovim istim dozama</w:t>
      </w:r>
      <w:r w:rsidR="00895521">
        <w:rPr>
          <w:sz w:val="22"/>
          <w:szCs w:val="22"/>
          <w:lang w:val="sr-Latn-CS"/>
        </w:rPr>
        <w:t>,</w:t>
      </w:r>
      <w:r w:rsidRPr="00D21251">
        <w:rPr>
          <w:sz w:val="22"/>
          <w:szCs w:val="22"/>
          <w:lang w:val="sr-Latn-CS"/>
        </w:rPr>
        <w:t xml:space="preserve"> odnos izlučivanje gvožđa/unos gvožđa bio je 1,02 (što pokazuje neto ravnotežu gvožđa), odnosno 1,67 (što pokazuje neto uklanjanje gvožđa). Deferasiroks je doveo do sličnih odgovora kod pacijenata sa preopterećenjem gvožđem koji imaju druge vrste anemija. Dnevne doze od 10 mg/kg (formulacija disperzibilna tableta) u toku jedne godine mogu da održavaju koncentracije gvožđa u jetri i serumski feritin i da dovedu do ravnoteže ukupnog gvožđa kod pacijenata koji ne dobijaju često transfuzije ili dobijaju eksangvinotransfuzije. Serumski feritin, </w:t>
      </w:r>
      <w:r w:rsidR="000F5050">
        <w:rPr>
          <w:sz w:val="22"/>
          <w:szCs w:val="22"/>
          <w:lang w:val="sr-Latn-CS"/>
        </w:rPr>
        <w:t>proc</w:t>
      </w:r>
      <w:r w:rsidR="00F90136">
        <w:rPr>
          <w:sz w:val="22"/>
          <w:szCs w:val="22"/>
          <w:lang w:val="sr-Latn-CS"/>
        </w:rPr>
        <w:t>i</w:t>
      </w:r>
      <w:r w:rsidR="000F5050">
        <w:rPr>
          <w:sz w:val="22"/>
          <w:szCs w:val="22"/>
          <w:lang w:val="sr-Latn-CS"/>
        </w:rPr>
        <w:t>jen</w:t>
      </w:r>
      <w:r w:rsidRPr="00D21251">
        <w:rPr>
          <w:sz w:val="22"/>
          <w:szCs w:val="22"/>
          <w:lang w:val="sr-Latn-CS"/>
        </w:rPr>
        <w:t xml:space="preserve">jen na osnovu </w:t>
      </w:r>
      <w:r w:rsidR="00B00CF2">
        <w:rPr>
          <w:sz w:val="22"/>
          <w:szCs w:val="22"/>
          <w:lang w:val="sr-Latn-CS"/>
        </w:rPr>
        <w:t>mjeseč</w:t>
      </w:r>
      <w:r w:rsidRPr="00D21251">
        <w:rPr>
          <w:sz w:val="22"/>
          <w:szCs w:val="22"/>
          <w:lang w:val="sr-Latn-CS"/>
        </w:rPr>
        <w:t xml:space="preserve">nog praćenja, odražava </w:t>
      </w:r>
      <w:r w:rsidR="00F90136">
        <w:rPr>
          <w:sz w:val="22"/>
          <w:szCs w:val="22"/>
          <w:lang w:val="sr-Latn-CS"/>
        </w:rPr>
        <w:t>promjen</w:t>
      </w:r>
      <w:r w:rsidRPr="00D21251">
        <w:rPr>
          <w:sz w:val="22"/>
          <w:szCs w:val="22"/>
          <w:lang w:val="sr-Latn-CS"/>
        </w:rPr>
        <w:t>e koncentracije gvožđa u jetri</w:t>
      </w:r>
      <w:r w:rsidR="00895521">
        <w:rPr>
          <w:sz w:val="22"/>
          <w:szCs w:val="22"/>
          <w:lang w:val="sr-Latn-CS"/>
        </w:rPr>
        <w:t>,</w:t>
      </w:r>
      <w:r w:rsidRPr="00D21251">
        <w:rPr>
          <w:sz w:val="22"/>
          <w:szCs w:val="22"/>
          <w:lang w:val="sr-Latn-CS"/>
        </w:rPr>
        <w:t xml:space="preserve"> što ukazuje na to da se trend </w:t>
      </w:r>
      <w:r w:rsidR="00F90136">
        <w:rPr>
          <w:sz w:val="22"/>
          <w:szCs w:val="22"/>
          <w:lang w:val="sr-Latn-CS"/>
        </w:rPr>
        <w:t>promjen</w:t>
      </w:r>
      <w:r w:rsidRPr="00D21251">
        <w:rPr>
          <w:sz w:val="22"/>
          <w:szCs w:val="22"/>
          <w:lang w:val="sr-Latn-CS"/>
        </w:rPr>
        <w:t xml:space="preserve">e </w:t>
      </w:r>
      <w:r w:rsidR="0071118F">
        <w:rPr>
          <w:sz w:val="22"/>
          <w:szCs w:val="22"/>
          <w:lang w:val="sr-Latn-CS"/>
        </w:rPr>
        <w:t>vrijednost</w:t>
      </w:r>
      <w:r w:rsidRPr="00D21251">
        <w:rPr>
          <w:sz w:val="22"/>
          <w:szCs w:val="22"/>
          <w:lang w:val="sr-Latn-CS"/>
        </w:rPr>
        <w:t xml:space="preserve">i serumskog feritina može koristiti za praćenje odgovora na terapiju. Ograničeni klinički podaci (29 pacijenata sa normalnom funkcijom srca na početku), korišćenjem MRI ukazuju da terapija deferasiroksom 10-30 mg/kg/dnevno (disperzibilna tableta) tokom 1 godine može takođe smanjiti nivo gvožđa u srcu (u </w:t>
      </w:r>
      <w:r w:rsidR="0065396C">
        <w:rPr>
          <w:sz w:val="22"/>
          <w:szCs w:val="22"/>
          <w:lang w:val="sr-Latn-CS"/>
        </w:rPr>
        <w:t>prosje</w:t>
      </w:r>
      <w:r w:rsidRPr="00D21251">
        <w:rPr>
          <w:sz w:val="22"/>
          <w:szCs w:val="22"/>
          <w:lang w:val="sr-Latn-CS"/>
        </w:rPr>
        <w:t>ku, MRI T2* je povećan sa 18,3 na 23,0 milisekunde).</w:t>
      </w:r>
    </w:p>
    <w:p w14:paraId="6289B4FE" w14:textId="77777777" w:rsidR="0058338A" w:rsidRPr="00D21251" w:rsidRDefault="0058338A" w:rsidP="00531B03">
      <w:pPr>
        <w:jc w:val="both"/>
        <w:rPr>
          <w:sz w:val="22"/>
          <w:szCs w:val="22"/>
          <w:lang w:val="sr-Latn-CS"/>
        </w:rPr>
      </w:pPr>
    </w:p>
    <w:p w14:paraId="57F16F9B" w14:textId="77777777" w:rsidR="0058338A" w:rsidRPr="00D21251" w:rsidRDefault="0058338A" w:rsidP="00531B03">
      <w:pPr>
        <w:jc w:val="both"/>
        <w:rPr>
          <w:sz w:val="22"/>
          <w:szCs w:val="22"/>
          <w:lang w:val="sr-Latn-CS"/>
        </w:rPr>
      </w:pPr>
      <w:r w:rsidRPr="00D21251">
        <w:rPr>
          <w:sz w:val="22"/>
          <w:szCs w:val="22"/>
          <w:lang w:val="sr-Latn-CS"/>
        </w:rPr>
        <w:t>Glavna analiza pivotalne komparativne studije kod 586 pacijenata obol</w:t>
      </w:r>
      <w:r w:rsidR="005F3428">
        <w:rPr>
          <w:sz w:val="22"/>
          <w:szCs w:val="22"/>
          <w:lang w:val="sr-Latn-CS"/>
        </w:rPr>
        <w:t>j</w:t>
      </w:r>
      <w:r w:rsidRPr="00D21251">
        <w:rPr>
          <w:sz w:val="22"/>
          <w:szCs w:val="22"/>
          <w:lang w:val="sr-Latn-CS"/>
        </w:rPr>
        <w:t>elih od beta</w:t>
      </w:r>
      <w:r w:rsidR="005C3C7F">
        <w:rPr>
          <w:sz w:val="22"/>
          <w:szCs w:val="22"/>
          <w:lang w:val="sr-Latn-CS"/>
        </w:rPr>
        <w:t>-</w:t>
      </w:r>
      <w:r w:rsidRPr="00D21251">
        <w:rPr>
          <w:sz w:val="22"/>
          <w:szCs w:val="22"/>
          <w:lang w:val="sr-Latn-CS"/>
        </w:rPr>
        <w:t xml:space="preserve">talasemije i transfuzijskog preopterećenja gvožđem nije pokazala neinferiornost deferasiroks disperzibilne tablete u odnosu na deferoksamin u analizi ukupne populacije pacijenata. U </w:t>
      </w:r>
      <w:r w:rsidRPr="00D21251">
        <w:rPr>
          <w:i/>
          <w:sz w:val="22"/>
          <w:szCs w:val="22"/>
          <w:lang w:val="sr-Latn-CS"/>
        </w:rPr>
        <w:t>post hoc</w:t>
      </w:r>
      <w:r w:rsidRPr="00D21251">
        <w:rPr>
          <w:sz w:val="22"/>
          <w:szCs w:val="22"/>
          <w:lang w:val="sr-Latn-CS"/>
        </w:rPr>
        <w:t xml:space="preserve"> analizi ove studije zaključeno je da je u podgrupi pacijenata sa koncentracijom gvožđa u jetri ≥7 mg Fe/g (suve mase) na terapiji deferasiroks disperzibilnim tabletama</w:t>
      </w:r>
      <w:r w:rsidRPr="00D21251" w:rsidDel="002C5926">
        <w:rPr>
          <w:sz w:val="22"/>
          <w:szCs w:val="22"/>
          <w:lang w:val="sr-Latn-CS"/>
        </w:rPr>
        <w:t xml:space="preserve"> </w:t>
      </w:r>
      <w:r w:rsidRPr="00D21251">
        <w:rPr>
          <w:sz w:val="22"/>
          <w:szCs w:val="22"/>
          <w:lang w:val="sr-Latn-CS"/>
        </w:rPr>
        <w:t>(20 i 30 mg/kg) ili deferoksaminom (35 do ≥50 mg/kg) postignut kriterijum neinferiornosti. Međutim, kod pacijenata sa koncentracijom gvožđa u jetri &lt;7 mg Fe/g (suve mase) koji su l</w:t>
      </w:r>
      <w:r w:rsidR="009A2ACE">
        <w:rPr>
          <w:sz w:val="22"/>
          <w:szCs w:val="22"/>
          <w:lang w:val="sr-Latn-CS"/>
        </w:rPr>
        <w:t>ij</w:t>
      </w:r>
      <w:r w:rsidRPr="00D21251">
        <w:rPr>
          <w:sz w:val="22"/>
          <w:szCs w:val="22"/>
          <w:lang w:val="sr-Latn-CS"/>
        </w:rPr>
        <w:t>ečeni deferasiroks disperzibilnim tabletama (5 i 10 mg/kg) ili deferoksaminom (20 do 35 mg/kg) nije ustanovljena neinferiornost zbog neravnoteže u doziranju ova dva helatora. Ova neravnoteža se pojavila zato što je pacijentima na deferoksaminu bilo dozvoljeno da zadrže doze koje su primali pr</w:t>
      </w:r>
      <w:r w:rsidR="006C19D8">
        <w:rPr>
          <w:sz w:val="22"/>
          <w:szCs w:val="22"/>
          <w:lang w:val="sr-Latn-CS"/>
        </w:rPr>
        <w:t>ij</w:t>
      </w:r>
      <w:r w:rsidRPr="00D21251">
        <w:rPr>
          <w:sz w:val="22"/>
          <w:szCs w:val="22"/>
          <w:lang w:val="sr-Latn-CS"/>
        </w:rPr>
        <w:t xml:space="preserve">e kliničke studije, iako su bile veće od doza propisanih u protokolu. U </w:t>
      </w:r>
      <w:r w:rsidRPr="00D21251">
        <w:rPr>
          <w:sz w:val="22"/>
          <w:szCs w:val="22"/>
          <w:lang w:val="sr-Latn-CS"/>
        </w:rPr>
        <w:lastRenderedPageBreak/>
        <w:t>ovoj pivotalnoj studiji je učestvovalo 56 pacijenata uzrasta ispod 6 godina, a 28 od njih je uzimalo deferasiroks disperzibilne tablete.</w:t>
      </w:r>
    </w:p>
    <w:p w14:paraId="64536665" w14:textId="77777777" w:rsidR="0058338A" w:rsidRPr="00D21251" w:rsidRDefault="0058338A" w:rsidP="00531B03">
      <w:pPr>
        <w:jc w:val="both"/>
        <w:rPr>
          <w:sz w:val="22"/>
          <w:szCs w:val="22"/>
          <w:lang w:val="sr-Latn-CS"/>
        </w:rPr>
      </w:pPr>
    </w:p>
    <w:p w14:paraId="6E8C2FC4" w14:textId="09BC1703" w:rsidR="0058338A" w:rsidRPr="00D21251" w:rsidRDefault="0058338A" w:rsidP="003E59FD">
      <w:pPr>
        <w:jc w:val="both"/>
        <w:rPr>
          <w:sz w:val="22"/>
          <w:szCs w:val="22"/>
          <w:lang w:val="sr-Latn-CS"/>
        </w:rPr>
      </w:pPr>
      <w:r w:rsidRPr="00D21251">
        <w:rPr>
          <w:sz w:val="22"/>
          <w:szCs w:val="22"/>
          <w:lang w:val="sr-Latn-CS"/>
        </w:rPr>
        <w:t>Prema pretkliničkim i kliničkim studijama, deferasiroks disperzibilne tablete</w:t>
      </w:r>
      <w:r w:rsidRPr="00D21251" w:rsidDel="002C5926">
        <w:rPr>
          <w:sz w:val="22"/>
          <w:szCs w:val="22"/>
          <w:lang w:val="sr-Latn-CS"/>
        </w:rPr>
        <w:t xml:space="preserve"> </w:t>
      </w:r>
      <w:r w:rsidRPr="00D21251">
        <w:rPr>
          <w:sz w:val="22"/>
          <w:szCs w:val="22"/>
          <w:lang w:val="sr-Latn-CS"/>
        </w:rPr>
        <w:t xml:space="preserve">bi mogle da budu aktivne kao i deferoksamin, kada se koristi u doznom odnosu 2:1 (tj. doza deferasiroks disperzibilne tablete koja je numerički polovina doze deferoksamina). </w:t>
      </w:r>
      <w:r w:rsidR="003E59FD" w:rsidRPr="003E59FD">
        <w:rPr>
          <w:sz w:val="22"/>
          <w:szCs w:val="22"/>
          <w:lang w:val="sr-Latn-CS"/>
        </w:rPr>
        <w:t>Za deferasiroks film tablete, odnos doze 3:1 može</w:t>
      </w:r>
      <w:r w:rsidR="003E59FD">
        <w:rPr>
          <w:sz w:val="22"/>
          <w:szCs w:val="22"/>
          <w:lang w:val="sr-Latn-CS"/>
        </w:rPr>
        <w:t xml:space="preserve"> se </w:t>
      </w:r>
      <w:r w:rsidR="003E59FD" w:rsidRPr="003E59FD">
        <w:rPr>
          <w:sz w:val="22"/>
          <w:szCs w:val="22"/>
          <w:lang w:val="sr-Latn-CS"/>
        </w:rPr>
        <w:t>uzeti u obzir (tj. doza deferasiroks film tablet</w:t>
      </w:r>
      <w:r w:rsidR="003E59FD">
        <w:rPr>
          <w:sz w:val="22"/>
          <w:szCs w:val="22"/>
          <w:lang w:val="sr-Latn-CS"/>
        </w:rPr>
        <w:t>e</w:t>
      </w:r>
      <w:r w:rsidR="003E59FD" w:rsidRPr="003E59FD">
        <w:rPr>
          <w:sz w:val="22"/>
          <w:szCs w:val="22"/>
          <w:lang w:val="sr-Latn-CS"/>
        </w:rPr>
        <w:t xml:space="preserve"> koja je </w:t>
      </w:r>
      <w:r w:rsidR="003E59FD">
        <w:rPr>
          <w:sz w:val="22"/>
          <w:szCs w:val="22"/>
          <w:lang w:val="sr-Latn-CS"/>
        </w:rPr>
        <w:t>numerički</w:t>
      </w:r>
      <w:r w:rsidR="003E59FD" w:rsidRPr="003E59FD">
        <w:rPr>
          <w:sz w:val="22"/>
          <w:szCs w:val="22"/>
          <w:lang w:val="sr-Latn-CS"/>
        </w:rPr>
        <w:t xml:space="preserve"> jedna trećina</w:t>
      </w:r>
      <w:r w:rsidR="003E59FD">
        <w:rPr>
          <w:sz w:val="22"/>
          <w:szCs w:val="22"/>
          <w:lang w:val="sr-Latn-CS"/>
        </w:rPr>
        <w:t xml:space="preserve"> </w:t>
      </w:r>
      <w:r w:rsidR="003E59FD" w:rsidRPr="003E59FD">
        <w:rPr>
          <w:sz w:val="22"/>
          <w:szCs w:val="22"/>
          <w:lang w:val="sr-Latn-CS"/>
        </w:rPr>
        <w:t>doz</w:t>
      </w:r>
      <w:r w:rsidR="003E59FD">
        <w:rPr>
          <w:sz w:val="22"/>
          <w:szCs w:val="22"/>
          <w:lang w:val="sr-Latn-CS"/>
        </w:rPr>
        <w:t>e</w:t>
      </w:r>
      <w:r w:rsidR="003E59FD" w:rsidRPr="003E59FD">
        <w:rPr>
          <w:sz w:val="22"/>
          <w:szCs w:val="22"/>
          <w:lang w:val="sr-Latn-CS"/>
        </w:rPr>
        <w:t xml:space="preserve"> deferoksamina). </w:t>
      </w:r>
      <w:r w:rsidRPr="00D21251">
        <w:rPr>
          <w:sz w:val="22"/>
          <w:szCs w:val="22"/>
          <w:lang w:val="sr-Latn-CS"/>
        </w:rPr>
        <w:t xml:space="preserve">Ipak, ova preporuka doziranja nije adekvatno </w:t>
      </w:r>
      <w:r w:rsidR="000F5050">
        <w:rPr>
          <w:sz w:val="22"/>
          <w:szCs w:val="22"/>
          <w:lang w:val="sr-Latn-CS"/>
        </w:rPr>
        <w:t>proc</w:t>
      </w:r>
      <w:r w:rsidR="00F90136">
        <w:rPr>
          <w:sz w:val="22"/>
          <w:szCs w:val="22"/>
          <w:lang w:val="sr-Latn-CS"/>
        </w:rPr>
        <w:t>i</w:t>
      </w:r>
      <w:r w:rsidR="000F5050">
        <w:rPr>
          <w:sz w:val="22"/>
          <w:szCs w:val="22"/>
          <w:lang w:val="sr-Latn-CS"/>
        </w:rPr>
        <w:t>jen</w:t>
      </w:r>
      <w:r w:rsidRPr="00D21251">
        <w:rPr>
          <w:sz w:val="22"/>
          <w:szCs w:val="22"/>
          <w:lang w:val="sr-Latn-CS"/>
        </w:rPr>
        <w:t>jena u kliničkim studijama.</w:t>
      </w:r>
    </w:p>
    <w:p w14:paraId="131174CE" w14:textId="77777777" w:rsidR="0058338A" w:rsidRPr="00D21251" w:rsidRDefault="0058338A" w:rsidP="00531B03">
      <w:pPr>
        <w:jc w:val="both"/>
        <w:rPr>
          <w:sz w:val="22"/>
          <w:szCs w:val="22"/>
          <w:lang w:val="sr-Latn-CS"/>
        </w:rPr>
      </w:pPr>
    </w:p>
    <w:p w14:paraId="1FBACD64" w14:textId="77777777" w:rsidR="0058338A" w:rsidRPr="00D21251" w:rsidRDefault="0058338A" w:rsidP="00531B03">
      <w:pPr>
        <w:jc w:val="both"/>
        <w:rPr>
          <w:sz w:val="22"/>
          <w:szCs w:val="22"/>
          <w:lang w:val="sr-Latn-CS"/>
        </w:rPr>
      </w:pPr>
      <w:r w:rsidRPr="00D21251">
        <w:rPr>
          <w:sz w:val="22"/>
          <w:szCs w:val="22"/>
          <w:lang w:val="sr-Latn-CS"/>
        </w:rPr>
        <w:t xml:space="preserve">Dodatno, kod pacijenata sa koncentracijom gvožđa u jetri ≥7 mg Fe/g (suve mase) sa različitim </w:t>
      </w:r>
      <w:r w:rsidR="0065396C">
        <w:rPr>
          <w:sz w:val="22"/>
          <w:szCs w:val="22"/>
          <w:lang w:val="sr-Latn-CS"/>
        </w:rPr>
        <w:t>rijetk</w:t>
      </w:r>
      <w:r w:rsidRPr="00D21251">
        <w:rPr>
          <w:sz w:val="22"/>
          <w:szCs w:val="22"/>
          <w:lang w:val="sr-Latn-CS"/>
        </w:rPr>
        <w:t>im anemijama ili srpastom anemijom, prim</w:t>
      </w:r>
      <w:r w:rsidR="00344FF6">
        <w:rPr>
          <w:sz w:val="22"/>
          <w:szCs w:val="22"/>
          <w:lang w:val="sr-Latn-CS"/>
        </w:rPr>
        <w:t>j</w:t>
      </w:r>
      <w:r w:rsidRPr="00D21251">
        <w:rPr>
          <w:sz w:val="22"/>
          <w:szCs w:val="22"/>
          <w:lang w:val="sr-Latn-CS"/>
        </w:rPr>
        <w:t>ena deferasiroks disperzibilne tablete u dozi do 20 i 30 mg/kg dovodi do smanjenja koncentracije gvožđa u jetri i serumskog feritina koje je uporedivo sa postignutim efektom kod pacijenata sa beta</w:t>
      </w:r>
      <w:r w:rsidR="00895521">
        <w:rPr>
          <w:sz w:val="22"/>
          <w:szCs w:val="22"/>
          <w:lang w:val="sr-Latn-CS"/>
        </w:rPr>
        <w:t>-</w:t>
      </w:r>
      <w:r w:rsidRPr="00D21251">
        <w:rPr>
          <w:sz w:val="22"/>
          <w:szCs w:val="22"/>
          <w:lang w:val="sr-Latn-CS"/>
        </w:rPr>
        <w:t xml:space="preserve">talasemijom. </w:t>
      </w:r>
    </w:p>
    <w:p w14:paraId="5C6644E7" w14:textId="77777777" w:rsidR="0058338A" w:rsidRPr="00D21251" w:rsidRDefault="0058338A" w:rsidP="00531B03">
      <w:pPr>
        <w:jc w:val="both"/>
        <w:rPr>
          <w:sz w:val="22"/>
          <w:szCs w:val="22"/>
          <w:lang w:val="sr-Latn-CS"/>
        </w:rPr>
      </w:pPr>
    </w:p>
    <w:p w14:paraId="5A6E2802" w14:textId="77777777" w:rsidR="0058338A" w:rsidRPr="001B39EC" w:rsidRDefault="0058338A" w:rsidP="00531B03">
      <w:pPr>
        <w:pStyle w:val="Text"/>
        <w:widowControl w:val="0"/>
        <w:shd w:val="clear" w:color="auto" w:fill="FFFFFF"/>
        <w:spacing w:before="0"/>
        <w:rPr>
          <w:rFonts w:ascii="Times New Roman" w:hAnsi="Times New Roman" w:cs="Times New Roman"/>
          <w:iCs/>
          <w:color w:val="000000"/>
          <w:sz w:val="22"/>
          <w:szCs w:val="22"/>
          <w:lang w:val="sr-Latn-RS"/>
        </w:rPr>
      </w:pPr>
      <w:r w:rsidRPr="00D21251">
        <w:rPr>
          <w:rFonts w:ascii="Times New Roman" w:hAnsi="Times New Roman" w:cs="Times New Roman"/>
          <w:iCs/>
          <w:color w:val="000000"/>
          <w:sz w:val="22"/>
          <w:szCs w:val="22"/>
          <w:lang w:val="sr-Latn-RS"/>
        </w:rPr>
        <w:t>R</w:t>
      </w:r>
      <w:r w:rsidRPr="00D21251">
        <w:rPr>
          <w:rFonts w:ascii="Times New Roman" w:hAnsi="Times New Roman" w:cs="Times New Roman"/>
          <w:iCs/>
          <w:color w:val="000000"/>
          <w:sz w:val="22"/>
          <w:szCs w:val="22"/>
        </w:rPr>
        <w:t>andomizovan</w:t>
      </w:r>
      <w:r w:rsidRPr="00D21251">
        <w:rPr>
          <w:rFonts w:ascii="Times New Roman" w:hAnsi="Times New Roman" w:cs="Times New Roman"/>
          <w:iCs/>
          <w:color w:val="000000"/>
          <w:sz w:val="22"/>
          <w:szCs w:val="22"/>
          <w:lang w:val="sr-Latn-RS"/>
        </w:rPr>
        <w:t>a</w:t>
      </w:r>
      <w:r w:rsidRPr="00D21251">
        <w:rPr>
          <w:rFonts w:ascii="Times New Roman" w:hAnsi="Times New Roman" w:cs="Times New Roman"/>
          <w:iCs/>
          <w:color w:val="000000"/>
          <w:sz w:val="22"/>
          <w:szCs w:val="22"/>
        </w:rPr>
        <w:t>, placebom kontrolisan</w:t>
      </w:r>
      <w:r w:rsidRPr="00D21251">
        <w:rPr>
          <w:rFonts w:ascii="Times New Roman" w:hAnsi="Times New Roman" w:cs="Times New Roman"/>
          <w:iCs/>
          <w:color w:val="000000"/>
          <w:sz w:val="22"/>
          <w:szCs w:val="22"/>
          <w:lang w:val="sr-Latn-RS"/>
        </w:rPr>
        <w:t>a</w:t>
      </w:r>
      <w:r w:rsidRPr="00D21251">
        <w:rPr>
          <w:rFonts w:ascii="Times New Roman" w:hAnsi="Times New Roman" w:cs="Times New Roman"/>
          <w:iCs/>
          <w:color w:val="000000"/>
          <w:sz w:val="22"/>
          <w:szCs w:val="22"/>
        </w:rPr>
        <w:t xml:space="preserve"> studija sprovedena </w:t>
      </w:r>
      <w:r w:rsidRPr="00D21251">
        <w:rPr>
          <w:rFonts w:ascii="Times New Roman" w:hAnsi="Times New Roman" w:cs="Times New Roman"/>
          <w:iCs/>
          <w:color w:val="000000"/>
          <w:sz w:val="22"/>
          <w:szCs w:val="22"/>
          <w:lang w:val="sr-Latn-RS"/>
        </w:rPr>
        <w:t xml:space="preserve">je </w:t>
      </w:r>
      <w:r w:rsidRPr="00D21251">
        <w:rPr>
          <w:rFonts w:ascii="Times New Roman" w:hAnsi="Times New Roman" w:cs="Times New Roman"/>
          <w:iCs/>
          <w:color w:val="000000"/>
          <w:sz w:val="22"/>
          <w:szCs w:val="22"/>
          <w:lang w:val="en-GB"/>
        </w:rPr>
        <w:t>kod</w:t>
      </w:r>
      <w:r w:rsidRPr="00D21251">
        <w:rPr>
          <w:rFonts w:ascii="Times New Roman" w:hAnsi="Times New Roman" w:cs="Times New Roman"/>
          <w:iCs/>
          <w:color w:val="000000"/>
          <w:sz w:val="22"/>
          <w:szCs w:val="22"/>
        </w:rPr>
        <w:t xml:space="preserve"> 225 pacijenata sa MDS (</w:t>
      </w:r>
      <w:r w:rsidRPr="00D21251">
        <w:rPr>
          <w:rFonts w:ascii="Times New Roman" w:hAnsi="Times New Roman" w:cs="Times New Roman"/>
          <w:iCs/>
          <w:color w:val="000000"/>
          <w:sz w:val="22"/>
          <w:szCs w:val="22"/>
          <w:lang w:val="sr-Latn-RS"/>
        </w:rPr>
        <w:t>rizik Mali/Int-1)</w:t>
      </w:r>
      <w:r w:rsidRPr="00D21251">
        <w:rPr>
          <w:rFonts w:ascii="Times New Roman" w:hAnsi="Times New Roman" w:cs="Times New Roman"/>
          <w:iCs/>
          <w:color w:val="000000"/>
          <w:sz w:val="22"/>
          <w:szCs w:val="22"/>
        </w:rPr>
        <w:t xml:space="preserve"> </w:t>
      </w:r>
      <w:r w:rsidRPr="00D21251">
        <w:rPr>
          <w:rFonts w:ascii="Times New Roman" w:hAnsi="Times New Roman" w:cs="Times New Roman"/>
          <w:iCs/>
          <w:color w:val="000000"/>
          <w:sz w:val="22"/>
          <w:szCs w:val="22"/>
          <w:lang w:val="sr-Latn-RS"/>
        </w:rPr>
        <w:t xml:space="preserve">i preopterećenjem gvožđem koje je </w:t>
      </w:r>
      <w:r w:rsidR="000F5050">
        <w:rPr>
          <w:rFonts w:ascii="Times New Roman" w:hAnsi="Times New Roman" w:cs="Times New Roman"/>
          <w:iCs/>
          <w:color w:val="000000"/>
          <w:sz w:val="22"/>
          <w:szCs w:val="22"/>
          <w:lang w:val="sr-Latn-RS"/>
        </w:rPr>
        <w:t>posljed</w:t>
      </w:r>
      <w:r w:rsidRPr="00D21251">
        <w:rPr>
          <w:rFonts w:ascii="Times New Roman" w:hAnsi="Times New Roman" w:cs="Times New Roman"/>
          <w:iCs/>
          <w:color w:val="000000"/>
          <w:sz w:val="22"/>
          <w:szCs w:val="22"/>
          <w:lang w:val="sr-Latn-RS"/>
        </w:rPr>
        <w:t xml:space="preserve">ica transfuzije. Rezultati studije ukazuju na pozitivan uticaj deferasiroksa na preživljavanje bez događaja (engl. </w:t>
      </w:r>
      <w:r w:rsidRPr="00D21251">
        <w:rPr>
          <w:rFonts w:ascii="Times New Roman" w:hAnsi="Times New Roman" w:cs="Times New Roman"/>
          <w:i/>
          <w:iCs/>
          <w:color w:val="000000"/>
          <w:sz w:val="22"/>
          <w:szCs w:val="22"/>
        </w:rPr>
        <w:t>event-free survival</w:t>
      </w:r>
      <w:r w:rsidRPr="00D21251">
        <w:rPr>
          <w:rFonts w:ascii="Times New Roman" w:hAnsi="Times New Roman" w:cs="Times New Roman"/>
          <w:iCs/>
          <w:color w:val="000000"/>
          <w:sz w:val="22"/>
          <w:szCs w:val="22"/>
          <w:lang w:val="sr-Latn-RS"/>
        </w:rPr>
        <w:t xml:space="preserve">, </w:t>
      </w:r>
      <w:r w:rsidRPr="00D21251">
        <w:rPr>
          <w:rFonts w:ascii="Times New Roman" w:hAnsi="Times New Roman" w:cs="Times New Roman"/>
          <w:iCs/>
          <w:color w:val="000000"/>
          <w:sz w:val="22"/>
          <w:szCs w:val="22"/>
        </w:rPr>
        <w:t>EFS</w:t>
      </w:r>
      <w:r w:rsidRPr="00D21251">
        <w:rPr>
          <w:rFonts w:ascii="Times New Roman" w:hAnsi="Times New Roman" w:cs="Times New Roman"/>
          <w:iCs/>
          <w:color w:val="000000"/>
          <w:sz w:val="22"/>
          <w:szCs w:val="22"/>
          <w:lang w:val="sr-Latn-RS"/>
        </w:rPr>
        <w:t>,</w:t>
      </w:r>
      <w:r w:rsidRPr="001B39EC">
        <w:rPr>
          <w:rFonts w:ascii="Times New Roman" w:hAnsi="Times New Roman" w:cs="Times New Roman"/>
          <w:iCs/>
          <w:color w:val="000000"/>
          <w:sz w:val="22"/>
          <w:szCs w:val="22"/>
          <w:lang w:val="sr-Latn-RS"/>
        </w:rPr>
        <w:t xml:space="preserve"> kompozitni ishod uključujući kardiološke događaje bez smrtnog ishoda ili događaje na nivou jetre) i </w:t>
      </w:r>
      <w:r w:rsidR="0071118F">
        <w:rPr>
          <w:rFonts w:ascii="Times New Roman" w:hAnsi="Times New Roman" w:cs="Times New Roman"/>
          <w:iCs/>
          <w:color w:val="000000"/>
          <w:sz w:val="22"/>
          <w:szCs w:val="22"/>
          <w:lang w:val="sr-Latn-RS"/>
        </w:rPr>
        <w:t>vrijednost</w:t>
      </w:r>
      <w:r w:rsidRPr="001B39EC">
        <w:rPr>
          <w:rFonts w:ascii="Times New Roman" w:hAnsi="Times New Roman" w:cs="Times New Roman"/>
          <w:iCs/>
          <w:color w:val="000000"/>
          <w:sz w:val="22"/>
          <w:szCs w:val="22"/>
          <w:lang w:val="sr-Latn-RS"/>
        </w:rPr>
        <w:t xml:space="preserve"> serumskog feritina. Bezb</w:t>
      </w:r>
      <w:r w:rsidR="000F5050">
        <w:rPr>
          <w:rFonts w:ascii="Times New Roman" w:hAnsi="Times New Roman" w:cs="Times New Roman"/>
          <w:iCs/>
          <w:color w:val="000000"/>
          <w:sz w:val="22"/>
          <w:szCs w:val="22"/>
          <w:lang w:val="sr-Latn-RS"/>
        </w:rPr>
        <w:t>j</w:t>
      </w:r>
      <w:r w:rsidRPr="001B39EC">
        <w:rPr>
          <w:rFonts w:ascii="Times New Roman" w:hAnsi="Times New Roman" w:cs="Times New Roman"/>
          <w:iCs/>
          <w:color w:val="000000"/>
          <w:sz w:val="22"/>
          <w:szCs w:val="22"/>
          <w:lang w:val="sr-Latn-RS"/>
        </w:rPr>
        <w:t xml:space="preserve">ednosni profil bio je u skladu sa prethodnim studijama kod odraslih pacijenata sa MDS. </w:t>
      </w:r>
    </w:p>
    <w:p w14:paraId="4F01C99D" w14:textId="77777777" w:rsidR="0058338A" w:rsidRPr="001B39EC" w:rsidRDefault="0058338A" w:rsidP="00531B03">
      <w:pPr>
        <w:jc w:val="both"/>
        <w:rPr>
          <w:szCs w:val="22"/>
          <w:lang w:val="sr-Latn-CS"/>
        </w:rPr>
      </w:pPr>
    </w:p>
    <w:p w14:paraId="12A073AA" w14:textId="0DC1D950" w:rsidR="0058338A" w:rsidRPr="00D21251" w:rsidRDefault="0058338A" w:rsidP="00531B03">
      <w:pPr>
        <w:jc w:val="both"/>
        <w:rPr>
          <w:sz w:val="22"/>
          <w:szCs w:val="22"/>
          <w:lang w:val="sr-Latn-CS"/>
        </w:rPr>
      </w:pPr>
      <w:r w:rsidRPr="00D21251">
        <w:rPr>
          <w:sz w:val="22"/>
          <w:szCs w:val="22"/>
          <w:lang w:val="sr-Latn-CS"/>
        </w:rPr>
        <w:t>U 5-ogodišnjoj opservacionoj studiji, u kojoj je 267 d</w:t>
      </w:r>
      <w:r w:rsidR="009A2ACE">
        <w:rPr>
          <w:sz w:val="22"/>
          <w:szCs w:val="22"/>
          <w:lang w:val="sr-Latn-CS"/>
        </w:rPr>
        <w:t>j</w:t>
      </w:r>
      <w:r w:rsidRPr="00D21251">
        <w:rPr>
          <w:sz w:val="22"/>
          <w:szCs w:val="22"/>
          <w:lang w:val="sr-Latn-CS"/>
        </w:rPr>
        <w:t xml:space="preserve">ece uzrasta od 2 do </w:t>
      </w:r>
      <w:r w:rsidR="003E59FD" w:rsidRPr="003E59FD">
        <w:rPr>
          <w:sz w:val="22"/>
          <w:szCs w:val="22"/>
          <w:lang w:val="sr-Latn-CS"/>
        </w:rPr>
        <w:t xml:space="preserve">&lt; </w:t>
      </w:r>
      <w:r w:rsidRPr="00D21251">
        <w:rPr>
          <w:sz w:val="22"/>
          <w:szCs w:val="22"/>
          <w:lang w:val="sr-Latn-CS"/>
        </w:rPr>
        <w:t>6 godina (u trenutku uključivanja) sa transfuzionom hemosiderozom primalo deferasiroks, nije bilo klinički značajnih razlika u bezb</w:t>
      </w:r>
      <w:r w:rsidR="000F5050">
        <w:rPr>
          <w:sz w:val="22"/>
          <w:szCs w:val="22"/>
          <w:lang w:val="sr-Latn-CS"/>
        </w:rPr>
        <w:t>j</w:t>
      </w:r>
      <w:r w:rsidRPr="00D21251">
        <w:rPr>
          <w:sz w:val="22"/>
          <w:szCs w:val="22"/>
          <w:lang w:val="sr-Latn-CS"/>
        </w:rPr>
        <w:t xml:space="preserve">ednosnom profilu i profilu podnošljivosti </w:t>
      </w:r>
      <w:r w:rsidR="00344FF6">
        <w:rPr>
          <w:sz w:val="22"/>
          <w:szCs w:val="22"/>
          <w:lang w:val="sr-Latn-CS"/>
        </w:rPr>
        <w:t>lijek</w:t>
      </w:r>
      <w:r w:rsidRPr="00D21251">
        <w:rPr>
          <w:sz w:val="22"/>
          <w:szCs w:val="22"/>
          <w:lang w:val="sr-Latn-CS"/>
        </w:rPr>
        <w:t xml:space="preserve">a Exjade kod pedijatrijskih pacijenata uzrasta od 2 do </w:t>
      </w:r>
      <w:r w:rsidR="003E59FD" w:rsidRPr="003E59FD">
        <w:rPr>
          <w:sz w:val="22"/>
          <w:szCs w:val="22"/>
          <w:lang w:val="sr-Latn-CS"/>
        </w:rPr>
        <w:t xml:space="preserve">&lt; </w:t>
      </w:r>
      <w:r w:rsidRPr="00D21251">
        <w:rPr>
          <w:sz w:val="22"/>
          <w:szCs w:val="22"/>
          <w:lang w:val="sr-Latn-CS"/>
        </w:rPr>
        <w:t xml:space="preserve">6 godina u poređenju sa opštom populacijom odraslih i starijom pedijatrijskom populacijom, uključujući porast serumskog kreatinina od &gt;33% i iznad gornjih granica normalnih </w:t>
      </w:r>
      <w:r w:rsidR="0071118F">
        <w:rPr>
          <w:sz w:val="22"/>
          <w:szCs w:val="22"/>
          <w:lang w:val="sr-Latn-CS"/>
        </w:rPr>
        <w:t>vrijednost</w:t>
      </w:r>
      <w:r w:rsidRPr="00D21251">
        <w:rPr>
          <w:sz w:val="22"/>
          <w:szCs w:val="22"/>
          <w:lang w:val="sr-Latn-CS"/>
        </w:rPr>
        <w:t xml:space="preserve">i u ≥2 uzastopne kontrole (3,1%) i porast </w:t>
      </w:r>
      <w:r w:rsidR="0071118F">
        <w:rPr>
          <w:sz w:val="22"/>
          <w:szCs w:val="22"/>
          <w:lang w:val="sr-Latn-CS"/>
        </w:rPr>
        <w:t>vrijednost</w:t>
      </w:r>
      <w:r w:rsidRPr="00D21251">
        <w:rPr>
          <w:sz w:val="22"/>
          <w:szCs w:val="22"/>
          <w:lang w:val="sr-Latn-CS"/>
        </w:rPr>
        <w:t>i alanin</w:t>
      </w:r>
      <w:r w:rsidR="005C3C7F">
        <w:rPr>
          <w:sz w:val="22"/>
          <w:szCs w:val="22"/>
          <w:lang w:val="sr-Latn-CS"/>
        </w:rPr>
        <w:t xml:space="preserve"> </w:t>
      </w:r>
      <w:r w:rsidRPr="00D21251">
        <w:rPr>
          <w:sz w:val="22"/>
          <w:szCs w:val="22"/>
          <w:lang w:val="sr-Latn-CS"/>
        </w:rPr>
        <w:t xml:space="preserve">aminotransferaze (ALT) veći od 5-ostruke </w:t>
      </w:r>
      <w:r w:rsidR="0071118F">
        <w:rPr>
          <w:sz w:val="22"/>
          <w:szCs w:val="22"/>
          <w:lang w:val="sr-Latn-CS"/>
        </w:rPr>
        <w:t>vrijednost</w:t>
      </w:r>
      <w:r w:rsidRPr="00D21251">
        <w:rPr>
          <w:sz w:val="22"/>
          <w:szCs w:val="22"/>
          <w:lang w:val="sr-Latn-CS"/>
        </w:rPr>
        <w:t xml:space="preserve">i gornje granice normalne </w:t>
      </w:r>
      <w:r w:rsidR="0071118F">
        <w:rPr>
          <w:sz w:val="22"/>
          <w:szCs w:val="22"/>
          <w:lang w:val="sr-Latn-CS"/>
        </w:rPr>
        <w:t>vrijednost</w:t>
      </w:r>
      <w:r w:rsidRPr="00D21251">
        <w:rPr>
          <w:sz w:val="22"/>
          <w:szCs w:val="22"/>
          <w:lang w:val="sr-Latn-CS"/>
        </w:rPr>
        <w:t xml:space="preserve">i (4,3%). Pojedinačni slučajevi porasta </w:t>
      </w:r>
      <w:r w:rsidR="0071118F">
        <w:rPr>
          <w:sz w:val="22"/>
          <w:szCs w:val="22"/>
          <w:lang w:val="sr-Latn-CS"/>
        </w:rPr>
        <w:t>vrijednost</w:t>
      </w:r>
      <w:r w:rsidRPr="00D21251">
        <w:rPr>
          <w:sz w:val="22"/>
          <w:szCs w:val="22"/>
          <w:lang w:val="sr-Latn-CS"/>
        </w:rPr>
        <w:t>i ALT i aspartat</w:t>
      </w:r>
      <w:r w:rsidR="005C3C7F">
        <w:rPr>
          <w:sz w:val="22"/>
          <w:szCs w:val="22"/>
          <w:lang w:val="sr-Latn-CS"/>
        </w:rPr>
        <w:t xml:space="preserve"> </w:t>
      </w:r>
      <w:r w:rsidRPr="00D21251">
        <w:rPr>
          <w:sz w:val="22"/>
          <w:szCs w:val="22"/>
          <w:lang w:val="sr-Latn-CS"/>
        </w:rPr>
        <w:t>aminotransferaze (AST) prijavljivani su kod 20,0%, odnosno 8,3% od 145 pacijenata koji su završili studiju.</w:t>
      </w:r>
    </w:p>
    <w:p w14:paraId="3081FC41" w14:textId="77777777" w:rsidR="0058338A" w:rsidRPr="00D21251" w:rsidRDefault="0058338A" w:rsidP="00531B03">
      <w:pPr>
        <w:pStyle w:val="Header"/>
        <w:jc w:val="both"/>
        <w:rPr>
          <w:sz w:val="22"/>
          <w:szCs w:val="22"/>
          <w:lang w:val="sr-Latn-CS"/>
        </w:rPr>
      </w:pPr>
    </w:p>
    <w:p w14:paraId="05B705A2" w14:textId="77777777" w:rsidR="0058338A" w:rsidRPr="00D21251" w:rsidRDefault="0058338A" w:rsidP="00531B03">
      <w:pPr>
        <w:pStyle w:val="Text"/>
        <w:widowControl w:val="0"/>
        <w:spacing w:before="0"/>
        <w:rPr>
          <w:rFonts w:ascii="Times New Roman" w:hAnsi="Times New Roman" w:cs="Times New Roman"/>
          <w:sz w:val="22"/>
          <w:szCs w:val="22"/>
          <w:lang w:val="sr-Latn-CS"/>
        </w:rPr>
      </w:pPr>
      <w:r w:rsidRPr="00D21251">
        <w:rPr>
          <w:rFonts w:ascii="Times New Roman" w:hAnsi="Times New Roman" w:cs="Times New Roman"/>
          <w:color w:val="000000"/>
          <w:sz w:val="22"/>
          <w:szCs w:val="22"/>
        </w:rPr>
        <w:t>U</w:t>
      </w:r>
      <w:r w:rsidRPr="00D21251">
        <w:rPr>
          <w:rFonts w:ascii="Times New Roman" w:hAnsi="Times New Roman" w:cs="Times New Roman"/>
          <w:color w:val="000000"/>
          <w:sz w:val="22"/>
          <w:szCs w:val="22"/>
          <w:lang w:val="sr-Latn-CS"/>
        </w:rPr>
        <w:t xml:space="preserve"> </w:t>
      </w:r>
      <w:r w:rsidRPr="00D21251">
        <w:rPr>
          <w:rFonts w:ascii="Times New Roman" w:hAnsi="Times New Roman" w:cs="Times New Roman"/>
          <w:color w:val="000000"/>
          <w:sz w:val="22"/>
          <w:szCs w:val="22"/>
        </w:rPr>
        <w:t>studiji</w:t>
      </w:r>
      <w:r w:rsidRPr="00D21251">
        <w:rPr>
          <w:rFonts w:ascii="Times New Roman" w:hAnsi="Times New Roman" w:cs="Times New Roman"/>
          <w:color w:val="000000"/>
          <w:sz w:val="22"/>
          <w:szCs w:val="22"/>
          <w:lang w:val="sr-Latn-CS"/>
        </w:rPr>
        <w:t xml:space="preserve"> u kojoj </w:t>
      </w:r>
      <w:r w:rsidRPr="00D21251">
        <w:rPr>
          <w:rFonts w:ascii="Times New Roman" w:hAnsi="Times New Roman" w:cs="Times New Roman"/>
          <w:color w:val="000000"/>
          <w:sz w:val="22"/>
          <w:szCs w:val="22"/>
        </w:rPr>
        <w:t>je</w:t>
      </w:r>
      <w:r w:rsidRPr="00D21251">
        <w:rPr>
          <w:rFonts w:ascii="Times New Roman" w:hAnsi="Times New Roman" w:cs="Times New Roman"/>
          <w:color w:val="000000"/>
          <w:sz w:val="22"/>
          <w:szCs w:val="22"/>
          <w:lang w:val="sr-Latn-CS"/>
        </w:rPr>
        <w:t xml:space="preserve"> </w:t>
      </w:r>
      <w:r w:rsidR="000F5050">
        <w:rPr>
          <w:rFonts w:ascii="Times New Roman" w:hAnsi="Times New Roman" w:cs="Times New Roman"/>
          <w:color w:val="000000"/>
          <w:sz w:val="22"/>
          <w:szCs w:val="22"/>
        </w:rPr>
        <w:t>procjen</w:t>
      </w:r>
      <w:r w:rsidRPr="00D21251">
        <w:rPr>
          <w:rFonts w:ascii="Times New Roman" w:hAnsi="Times New Roman" w:cs="Times New Roman"/>
          <w:color w:val="000000"/>
          <w:sz w:val="22"/>
          <w:szCs w:val="22"/>
        </w:rPr>
        <w:t>jivana</w:t>
      </w:r>
      <w:r w:rsidRPr="00D21251">
        <w:rPr>
          <w:rFonts w:ascii="Times New Roman" w:hAnsi="Times New Roman" w:cs="Times New Roman"/>
          <w:color w:val="000000"/>
          <w:sz w:val="22"/>
          <w:szCs w:val="22"/>
          <w:lang w:val="sr-Latn-CS"/>
        </w:rPr>
        <w:t xml:space="preserve"> </w:t>
      </w:r>
      <w:r w:rsidRPr="00D21251">
        <w:rPr>
          <w:rFonts w:ascii="Times New Roman" w:hAnsi="Times New Roman" w:cs="Times New Roman"/>
          <w:color w:val="000000"/>
          <w:sz w:val="22"/>
          <w:szCs w:val="22"/>
        </w:rPr>
        <w:t>bezb</w:t>
      </w:r>
      <w:r w:rsidR="000F5050">
        <w:rPr>
          <w:rFonts w:ascii="Times New Roman" w:hAnsi="Times New Roman" w:cs="Times New Roman"/>
          <w:color w:val="000000"/>
          <w:sz w:val="22"/>
          <w:szCs w:val="22"/>
          <w:lang w:val="sr-Latn-RS"/>
        </w:rPr>
        <w:t>j</w:t>
      </w:r>
      <w:r w:rsidRPr="00D21251">
        <w:rPr>
          <w:rFonts w:ascii="Times New Roman" w:hAnsi="Times New Roman" w:cs="Times New Roman"/>
          <w:color w:val="000000"/>
          <w:sz w:val="22"/>
          <w:szCs w:val="22"/>
        </w:rPr>
        <w:t>ednost</w:t>
      </w:r>
      <w:r w:rsidRPr="00D21251">
        <w:rPr>
          <w:rFonts w:ascii="Times New Roman" w:hAnsi="Times New Roman" w:cs="Times New Roman"/>
          <w:color w:val="000000"/>
          <w:sz w:val="22"/>
          <w:szCs w:val="22"/>
          <w:lang w:val="sr-Latn-CS"/>
        </w:rPr>
        <w:t xml:space="preserve"> </w:t>
      </w:r>
      <w:r w:rsidRPr="00D21251">
        <w:rPr>
          <w:rFonts w:ascii="Times New Roman" w:hAnsi="Times New Roman" w:cs="Times New Roman"/>
          <w:color w:val="000000"/>
          <w:sz w:val="22"/>
          <w:szCs w:val="22"/>
        </w:rPr>
        <w:t>deferasiroks</w:t>
      </w:r>
      <w:r w:rsidRPr="00D21251">
        <w:rPr>
          <w:rFonts w:ascii="Times New Roman" w:hAnsi="Times New Roman" w:cs="Times New Roman"/>
          <w:color w:val="000000"/>
          <w:sz w:val="22"/>
          <w:szCs w:val="22"/>
          <w:lang w:val="sr-Latn-CS"/>
        </w:rPr>
        <w:t xml:space="preserve"> </w:t>
      </w:r>
      <w:r w:rsidRPr="00D21251">
        <w:rPr>
          <w:rFonts w:ascii="Times New Roman" w:hAnsi="Times New Roman" w:cs="Times New Roman"/>
          <w:color w:val="000000"/>
          <w:sz w:val="22"/>
          <w:szCs w:val="22"/>
        </w:rPr>
        <w:t>film</w:t>
      </w:r>
      <w:r w:rsidRPr="00D21251">
        <w:rPr>
          <w:rFonts w:ascii="Times New Roman" w:hAnsi="Times New Roman" w:cs="Times New Roman"/>
          <w:color w:val="000000"/>
          <w:sz w:val="22"/>
          <w:szCs w:val="22"/>
          <w:lang w:val="sr-Latn-CS"/>
        </w:rPr>
        <w:t xml:space="preserve"> </w:t>
      </w:r>
      <w:r w:rsidRPr="00D21251">
        <w:rPr>
          <w:rFonts w:ascii="Times New Roman" w:hAnsi="Times New Roman" w:cs="Times New Roman"/>
          <w:color w:val="000000"/>
          <w:sz w:val="22"/>
          <w:szCs w:val="22"/>
        </w:rPr>
        <w:t>tableta</w:t>
      </w:r>
      <w:r w:rsidRPr="00D21251">
        <w:rPr>
          <w:rFonts w:ascii="Times New Roman" w:hAnsi="Times New Roman" w:cs="Times New Roman"/>
          <w:color w:val="000000"/>
          <w:sz w:val="22"/>
          <w:szCs w:val="22"/>
          <w:lang w:val="sr-Latn-CS"/>
        </w:rPr>
        <w:t xml:space="preserve"> </w:t>
      </w:r>
      <w:r w:rsidRPr="00D21251">
        <w:rPr>
          <w:rFonts w:ascii="Times New Roman" w:hAnsi="Times New Roman" w:cs="Times New Roman"/>
          <w:color w:val="000000"/>
          <w:sz w:val="22"/>
          <w:szCs w:val="22"/>
        </w:rPr>
        <w:t>i</w:t>
      </w:r>
      <w:r w:rsidRPr="00D21251">
        <w:rPr>
          <w:rFonts w:ascii="Times New Roman" w:hAnsi="Times New Roman" w:cs="Times New Roman"/>
          <w:color w:val="000000"/>
          <w:sz w:val="22"/>
          <w:szCs w:val="22"/>
          <w:lang w:val="sr-Latn-CS"/>
        </w:rPr>
        <w:t xml:space="preserve"> </w:t>
      </w:r>
      <w:r w:rsidRPr="00D21251">
        <w:rPr>
          <w:rFonts w:ascii="Times New Roman" w:hAnsi="Times New Roman" w:cs="Times New Roman"/>
          <w:bCs/>
          <w:sz w:val="22"/>
          <w:szCs w:val="22"/>
          <w:lang w:val="es-ES"/>
        </w:rPr>
        <w:t>disperzibilnih</w:t>
      </w:r>
      <w:r w:rsidRPr="00D21251">
        <w:rPr>
          <w:rFonts w:ascii="Times New Roman" w:hAnsi="Times New Roman" w:cs="Times New Roman"/>
          <w:bCs/>
          <w:sz w:val="22"/>
          <w:szCs w:val="22"/>
          <w:lang w:val="sr-Latn-CS"/>
        </w:rPr>
        <w:t xml:space="preserve"> </w:t>
      </w:r>
      <w:r w:rsidRPr="00D21251">
        <w:rPr>
          <w:rFonts w:ascii="Times New Roman" w:hAnsi="Times New Roman" w:cs="Times New Roman"/>
          <w:bCs/>
          <w:sz w:val="22"/>
          <w:szCs w:val="22"/>
          <w:lang w:val="es-ES"/>
        </w:rPr>
        <w:t>tableta</w:t>
      </w:r>
      <w:r w:rsidR="002A2318">
        <w:rPr>
          <w:rFonts w:ascii="Times New Roman" w:hAnsi="Times New Roman" w:cs="Times New Roman"/>
          <w:bCs/>
          <w:sz w:val="22"/>
          <w:szCs w:val="22"/>
          <w:lang w:val="es-ES"/>
        </w:rPr>
        <w:t>,</w:t>
      </w:r>
      <w:r w:rsidRPr="00D21251">
        <w:rPr>
          <w:rFonts w:ascii="Times New Roman" w:hAnsi="Times New Roman" w:cs="Times New Roman"/>
          <w:color w:val="000000"/>
          <w:sz w:val="22"/>
          <w:szCs w:val="22"/>
          <w:lang w:val="sr-Latn-CS"/>
        </w:rPr>
        <w:t xml:space="preserve"> 173 </w:t>
      </w:r>
      <w:r w:rsidRPr="00D21251">
        <w:rPr>
          <w:rFonts w:ascii="Times New Roman" w:hAnsi="Times New Roman" w:cs="Times New Roman"/>
          <w:color w:val="000000"/>
          <w:sz w:val="22"/>
          <w:szCs w:val="22"/>
        </w:rPr>
        <w:t>odrasla</w:t>
      </w:r>
      <w:r w:rsidRPr="00D21251">
        <w:rPr>
          <w:rFonts w:ascii="Times New Roman" w:hAnsi="Times New Roman" w:cs="Times New Roman"/>
          <w:color w:val="000000"/>
          <w:sz w:val="22"/>
          <w:szCs w:val="22"/>
          <w:lang w:val="sr-Latn-CS"/>
        </w:rPr>
        <w:t xml:space="preserve"> </w:t>
      </w:r>
      <w:r w:rsidRPr="00D21251">
        <w:rPr>
          <w:rFonts w:ascii="Times New Roman" w:hAnsi="Times New Roman" w:cs="Times New Roman"/>
          <w:color w:val="000000"/>
          <w:sz w:val="22"/>
          <w:szCs w:val="22"/>
        </w:rPr>
        <w:t>i</w:t>
      </w:r>
      <w:r w:rsidRPr="00D21251">
        <w:rPr>
          <w:rFonts w:ascii="Times New Roman" w:hAnsi="Times New Roman" w:cs="Times New Roman"/>
          <w:color w:val="000000"/>
          <w:sz w:val="22"/>
          <w:szCs w:val="22"/>
          <w:lang w:val="sr-Latn-CS"/>
        </w:rPr>
        <w:t xml:space="preserve"> </w:t>
      </w:r>
      <w:r w:rsidRPr="00D21251">
        <w:rPr>
          <w:rFonts w:ascii="Times New Roman" w:hAnsi="Times New Roman" w:cs="Times New Roman"/>
          <w:color w:val="000000"/>
          <w:sz w:val="22"/>
          <w:szCs w:val="22"/>
        </w:rPr>
        <w:t>pedijatrijska</w:t>
      </w:r>
      <w:r w:rsidRPr="00D21251">
        <w:rPr>
          <w:rFonts w:ascii="Times New Roman" w:hAnsi="Times New Roman" w:cs="Times New Roman"/>
          <w:color w:val="000000"/>
          <w:sz w:val="22"/>
          <w:szCs w:val="22"/>
          <w:lang w:val="sr-Latn-CS"/>
        </w:rPr>
        <w:t xml:space="preserve"> </w:t>
      </w:r>
      <w:r w:rsidRPr="00D21251">
        <w:rPr>
          <w:rFonts w:ascii="Times New Roman" w:hAnsi="Times New Roman" w:cs="Times New Roman"/>
          <w:color w:val="000000"/>
          <w:sz w:val="22"/>
          <w:szCs w:val="22"/>
        </w:rPr>
        <w:t>pacijenta</w:t>
      </w:r>
      <w:r w:rsidRPr="00D21251">
        <w:rPr>
          <w:rFonts w:ascii="Times New Roman" w:hAnsi="Times New Roman" w:cs="Times New Roman"/>
          <w:color w:val="000000"/>
          <w:sz w:val="22"/>
          <w:szCs w:val="22"/>
          <w:lang w:val="sr-Latn-CS"/>
        </w:rPr>
        <w:t xml:space="preserve"> </w:t>
      </w:r>
      <w:r w:rsidRPr="00D21251">
        <w:rPr>
          <w:rFonts w:ascii="Times New Roman" w:hAnsi="Times New Roman" w:cs="Times New Roman"/>
          <w:color w:val="000000"/>
          <w:sz w:val="22"/>
          <w:szCs w:val="22"/>
        </w:rPr>
        <w:t>sa</w:t>
      </w:r>
      <w:r w:rsidRPr="00D21251">
        <w:rPr>
          <w:rFonts w:ascii="Times New Roman" w:hAnsi="Times New Roman" w:cs="Times New Roman"/>
          <w:color w:val="000000"/>
          <w:sz w:val="22"/>
          <w:szCs w:val="22"/>
          <w:lang w:val="sr-Latn-CS"/>
        </w:rPr>
        <w:t xml:space="preserve"> </w:t>
      </w:r>
      <w:r w:rsidRPr="00D21251">
        <w:rPr>
          <w:rFonts w:ascii="Times New Roman" w:hAnsi="Times New Roman" w:cs="Times New Roman"/>
          <w:sz w:val="22"/>
          <w:szCs w:val="22"/>
          <w:lang w:val="sr-Latn-CS"/>
        </w:rPr>
        <w:t>talasemijom koja je zavisna od transfuzije krvi ili sa mijelodisplastičnim sindromom, bili su l</w:t>
      </w:r>
      <w:r w:rsidR="009A2ACE">
        <w:rPr>
          <w:rFonts w:ascii="Times New Roman" w:hAnsi="Times New Roman" w:cs="Times New Roman"/>
          <w:sz w:val="22"/>
          <w:szCs w:val="22"/>
          <w:lang w:val="sr-Latn-CS"/>
        </w:rPr>
        <w:t>ij</w:t>
      </w:r>
      <w:r w:rsidRPr="00D21251">
        <w:rPr>
          <w:rFonts w:ascii="Times New Roman" w:hAnsi="Times New Roman" w:cs="Times New Roman"/>
          <w:sz w:val="22"/>
          <w:szCs w:val="22"/>
          <w:lang w:val="sr-Latn-CS"/>
        </w:rPr>
        <w:t>e</w:t>
      </w:r>
      <w:r w:rsidRPr="00D21251">
        <w:rPr>
          <w:rFonts w:ascii="Times New Roman" w:hAnsi="Times New Roman" w:cs="Times New Roman"/>
          <w:sz w:val="22"/>
          <w:szCs w:val="22"/>
        </w:rPr>
        <w:t>čeni</w:t>
      </w:r>
      <w:r w:rsidRPr="00D21251">
        <w:rPr>
          <w:rFonts w:ascii="Times New Roman" w:hAnsi="Times New Roman" w:cs="Times New Roman"/>
          <w:sz w:val="22"/>
          <w:szCs w:val="22"/>
          <w:lang w:val="sr-Latn-CS"/>
        </w:rPr>
        <w:t xml:space="preserve"> 24 ned</w:t>
      </w:r>
      <w:r w:rsidR="006C19D8">
        <w:rPr>
          <w:rFonts w:ascii="Times New Roman" w:hAnsi="Times New Roman" w:cs="Times New Roman"/>
          <w:sz w:val="22"/>
          <w:szCs w:val="22"/>
          <w:lang w:val="sr-Latn-CS"/>
        </w:rPr>
        <w:t>j</w:t>
      </w:r>
      <w:r w:rsidRPr="00D21251">
        <w:rPr>
          <w:rFonts w:ascii="Times New Roman" w:hAnsi="Times New Roman" w:cs="Times New Roman"/>
          <w:sz w:val="22"/>
          <w:szCs w:val="22"/>
          <w:lang w:val="sr-Latn-CS"/>
        </w:rPr>
        <w:t>elje. Uporediv bezb</w:t>
      </w:r>
      <w:r w:rsidR="000F5050">
        <w:rPr>
          <w:rFonts w:ascii="Times New Roman" w:hAnsi="Times New Roman" w:cs="Times New Roman"/>
          <w:sz w:val="22"/>
          <w:szCs w:val="22"/>
          <w:lang w:val="sr-Latn-CS"/>
        </w:rPr>
        <w:t>j</w:t>
      </w:r>
      <w:r w:rsidRPr="00D21251">
        <w:rPr>
          <w:rFonts w:ascii="Times New Roman" w:hAnsi="Times New Roman" w:cs="Times New Roman"/>
          <w:sz w:val="22"/>
          <w:szCs w:val="22"/>
          <w:lang w:val="sr-Latn-CS"/>
        </w:rPr>
        <w:t xml:space="preserve">ednosni profil uočen je kod film tableta i </w:t>
      </w:r>
      <w:r w:rsidRPr="00D21251">
        <w:rPr>
          <w:rFonts w:ascii="Times New Roman" w:hAnsi="Times New Roman" w:cs="Times New Roman"/>
          <w:bCs/>
          <w:sz w:val="22"/>
          <w:szCs w:val="22"/>
          <w:lang w:val="es-ES"/>
        </w:rPr>
        <w:t>disperzibilnih</w:t>
      </w:r>
      <w:r w:rsidRPr="00D21251">
        <w:rPr>
          <w:rFonts w:ascii="Times New Roman" w:hAnsi="Times New Roman" w:cs="Times New Roman"/>
          <w:bCs/>
          <w:sz w:val="22"/>
          <w:szCs w:val="22"/>
          <w:lang w:val="sr-Latn-CS"/>
        </w:rPr>
        <w:t xml:space="preserve"> </w:t>
      </w:r>
      <w:r w:rsidRPr="00D21251">
        <w:rPr>
          <w:rFonts w:ascii="Times New Roman" w:hAnsi="Times New Roman" w:cs="Times New Roman"/>
          <w:bCs/>
          <w:sz w:val="22"/>
          <w:szCs w:val="22"/>
          <w:lang w:val="es-ES"/>
        </w:rPr>
        <w:t>tableta</w:t>
      </w:r>
      <w:r w:rsidRPr="00D21251">
        <w:rPr>
          <w:rFonts w:ascii="Times New Roman" w:hAnsi="Times New Roman" w:cs="Times New Roman"/>
          <w:bCs/>
          <w:sz w:val="22"/>
          <w:szCs w:val="22"/>
          <w:lang w:val="sr-Latn-CS"/>
        </w:rPr>
        <w:t>.</w:t>
      </w:r>
    </w:p>
    <w:p w14:paraId="595FDE48" w14:textId="77777777" w:rsidR="00941179" w:rsidRPr="00941179" w:rsidRDefault="00941179" w:rsidP="00941179">
      <w:pPr>
        <w:pStyle w:val="Header"/>
        <w:jc w:val="both"/>
        <w:rPr>
          <w:sz w:val="22"/>
          <w:szCs w:val="22"/>
          <w:lang w:val="sr-Latn-CS"/>
        </w:rPr>
      </w:pPr>
    </w:p>
    <w:p w14:paraId="4DDF6678" w14:textId="13A36DA9" w:rsidR="0058338A" w:rsidRDefault="00941179" w:rsidP="00941179">
      <w:pPr>
        <w:pStyle w:val="Header"/>
        <w:jc w:val="both"/>
        <w:rPr>
          <w:sz w:val="22"/>
          <w:szCs w:val="22"/>
          <w:lang w:val="sr-Latn-CS"/>
        </w:rPr>
      </w:pPr>
      <w:r w:rsidRPr="00941179">
        <w:rPr>
          <w:sz w:val="22"/>
          <w:szCs w:val="22"/>
          <w:lang w:val="sr-Latn-CS"/>
        </w:rPr>
        <w:t>Otvorena randomizovana 1:1 studija sprovedena je kod 224 pedijatrijska pacijenta uzrasta od 2 do &lt;18 godina sa anemijom zavisnom od transfuzije i preopterećenjem gvožđem za proc</w:t>
      </w:r>
      <w:r>
        <w:rPr>
          <w:sz w:val="22"/>
          <w:szCs w:val="22"/>
          <w:lang w:val="sr-Latn-CS"/>
        </w:rPr>
        <w:t>j</w:t>
      </w:r>
      <w:r w:rsidRPr="00941179">
        <w:rPr>
          <w:sz w:val="22"/>
          <w:szCs w:val="22"/>
          <w:lang w:val="sr-Latn-CS"/>
        </w:rPr>
        <w:t>enu terapijske komp</w:t>
      </w:r>
      <w:r>
        <w:rPr>
          <w:sz w:val="22"/>
          <w:szCs w:val="22"/>
          <w:lang w:val="sr-Latn-CS"/>
        </w:rPr>
        <w:t>l</w:t>
      </w:r>
      <w:r w:rsidRPr="00941179">
        <w:rPr>
          <w:sz w:val="22"/>
          <w:szCs w:val="22"/>
          <w:lang w:val="sr-Latn-CS"/>
        </w:rPr>
        <w:t>ijanse, efikasnosti i bezb</w:t>
      </w:r>
      <w:r>
        <w:rPr>
          <w:sz w:val="22"/>
          <w:szCs w:val="22"/>
          <w:lang w:val="sr-Latn-CS"/>
        </w:rPr>
        <w:t>j</w:t>
      </w:r>
      <w:r w:rsidRPr="00941179">
        <w:rPr>
          <w:sz w:val="22"/>
          <w:szCs w:val="22"/>
          <w:lang w:val="sr-Latn-CS"/>
        </w:rPr>
        <w:t xml:space="preserve">ednosti formulacije deferasiroks granula u poređenju sa formulacijom disperzibilnih tableta. Većina pacijenata u studiji (142, 63,4%) imala je beta talasemiju major, 108 (48,2%) pacijenata su bili bez prethodne terapije helatorima gvožđa (engl. </w:t>
      </w:r>
      <w:r w:rsidRPr="00C85663">
        <w:rPr>
          <w:i/>
          <w:sz w:val="22"/>
          <w:szCs w:val="22"/>
          <w:lang w:val="sr-Latn-CS"/>
        </w:rPr>
        <w:t>iron chelation therapy</w:t>
      </w:r>
      <w:r w:rsidRPr="00941179">
        <w:rPr>
          <w:sz w:val="22"/>
          <w:szCs w:val="22"/>
          <w:lang w:val="sr-Latn-CS"/>
        </w:rPr>
        <w:t xml:space="preserve"> - ICT) (medijana uzrasta 2 godine, 92,6% uzrasta 2 do &lt;10 godina) i 116 (51,8%) je bilo sa ranijom ICT terapijom (medijana uzrasta 7.5 godina, 71,6% uzrasta 2 do &lt;10 godina) od toga je 68,1% ranije primalo deferasiroks. U primarnoj analizi sprovedenoj kod pacijenata bez prethodne ICT terapije nakon 24 ned</w:t>
      </w:r>
      <w:r>
        <w:rPr>
          <w:sz w:val="22"/>
          <w:szCs w:val="22"/>
          <w:lang w:val="sr-Latn-CS"/>
        </w:rPr>
        <w:t>j</w:t>
      </w:r>
      <w:r w:rsidRPr="00941179">
        <w:rPr>
          <w:sz w:val="22"/>
          <w:szCs w:val="22"/>
          <w:lang w:val="sr-Latn-CS"/>
        </w:rPr>
        <w:t>elja l</w:t>
      </w:r>
      <w:r>
        <w:rPr>
          <w:sz w:val="22"/>
          <w:szCs w:val="22"/>
          <w:lang w:val="sr-Latn-CS"/>
        </w:rPr>
        <w:t>iječenja, stopa komplijans</w:t>
      </w:r>
      <w:r w:rsidRPr="00941179">
        <w:rPr>
          <w:sz w:val="22"/>
          <w:szCs w:val="22"/>
          <w:lang w:val="sr-Latn-CS"/>
        </w:rPr>
        <w:t xml:space="preserve">e bila je 84,26% i 86,84% u grupi koja je primala deferasiroks disperzibilne tablete i u grupi koja je primala deferasiroks </w:t>
      </w:r>
      <w:r>
        <w:rPr>
          <w:sz w:val="22"/>
          <w:szCs w:val="22"/>
          <w:lang w:val="sr-Latn-CS"/>
        </w:rPr>
        <w:t>granule, bez statistički značaj</w:t>
      </w:r>
      <w:r w:rsidRPr="00941179">
        <w:rPr>
          <w:sz w:val="22"/>
          <w:szCs w:val="22"/>
          <w:lang w:val="sr-Latn-CS"/>
        </w:rPr>
        <w:t>n</w:t>
      </w:r>
      <w:r>
        <w:rPr>
          <w:sz w:val="22"/>
          <w:szCs w:val="22"/>
          <w:lang w:val="sr-Latn-CS"/>
        </w:rPr>
        <w:t>e</w:t>
      </w:r>
      <w:r w:rsidRPr="00941179">
        <w:rPr>
          <w:sz w:val="22"/>
          <w:szCs w:val="22"/>
          <w:lang w:val="sr-Latn-CS"/>
        </w:rPr>
        <w:t xml:space="preserve"> razlike. Slično, nije bilo statistički značajne razlike u prom</w:t>
      </w:r>
      <w:r>
        <w:rPr>
          <w:sz w:val="22"/>
          <w:szCs w:val="22"/>
          <w:lang w:val="sr-Latn-CS"/>
        </w:rPr>
        <w:t>j</w:t>
      </w:r>
      <w:r w:rsidRPr="00941179">
        <w:rPr>
          <w:sz w:val="22"/>
          <w:szCs w:val="22"/>
          <w:lang w:val="sr-Latn-CS"/>
        </w:rPr>
        <w:t>enama srednjih vr</w:t>
      </w:r>
      <w:r>
        <w:rPr>
          <w:sz w:val="22"/>
          <w:szCs w:val="22"/>
          <w:lang w:val="sr-Latn-CS"/>
        </w:rPr>
        <w:t>ij</w:t>
      </w:r>
      <w:r w:rsidRPr="00941179">
        <w:rPr>
          <w:sz w:val="22"/>
          <w:szCs w:val="22"/>
          <w:lang w:val="sr-Latn-CS"/>
        </w:rPr>
        <w:t>ednosti u odnosu na osnovne vr</w:t>
      </w:r>
      <w:r>
        <w:rPr>
          <w:sz w:val="22"/>
          <w:szCs w:val="22"/>
          <w:lang w:val="sr-Latn-CS"/>
        </w:rPr>
        <w:t>ij</w:t>
      </w:r>
      <w:r w:rsidRPr="00941179">
        <w:rPr>
          <w:sz w:val="22"/>
          <w:szCs w:val="22"/>
          <w:lang w:val="sr-Latn-CS"/>
        </w:rPr>
        <w:t>ednosti serumskog feritina (SF) između dv</w:t>
      </w:r>
      <w:r>
        <w:rPr>
          <w:sz w:val="22"/>
          <w:szCs w:val="22"/>
          <w:lang w:val="sr-Latn-CS"/>
        </w:rPr>
        <w:t>ij</w:t>
      </w:r>
      <w:r w:rsidRPr="00941179">
        <w:rPr>
          <w:sz w:val="22"/>
          <w:szCs w:val="22"/>
          <w:lang w:val="sr-Latn-CS"/>
        </w:rPr>
        <w:t>e grupe (</w:t>
      </w:r>
      <w:r w:rsidR="00A02DB1">
        <w:rPr>
          <w:sz w:val="22"/>
          <w:szCs w:val="22"/>
          <w:lang w:val="sr-Latn-CS"/>
        </w:rPr>
        <w:t>-</w:t>
      </w:r>
      <w:r w:rsidRPr="00941179">
        <w:rPr>
          <w:sz w:val="22"/>
          <w:szCs w:val="22"/>
          <w:lang w:val="sr-Latn-CS"/>
        </w:rPr>
        <w:t xml:space="preserve">171,52 μg/l [95% CI: </w:t>
      </w:r>
      <w:r w:rsidR="00A02DB1">
        <w:rPr>
          <w:sz w:val="22"/>
          <w:szCs w:val="22"/>
          <w:lang w:val="sr-Latn-CS"/>
        </w:rPr>
        <w:t>-</w:t>
      </w:r>
      <w:r w:rsidRPr="00941179">
        <w:rPr>
          <w:sz w:val="22"/>
          <w:szCs w:val="22"/>
          <w:lang w:val="sr-Latn-CS"/>
        </w:rPr>
        <w:t xml:space="preserve">517,40; 174,36] za formulaciju disperzibilnih tableta [DT] i 4,84 μg/l [95% CI:  </w:t>
      </w:r>
      <w:r w:rsidR="00A02DB1">
        <w:rPr>
          <w:sz w:val="22"/>
          <w:szCs w:val="22"/>
          <w:lang w:val="sr-Latn-CS"/>
        </w:rPr>
        <w:t>-</w:t>
      </w:r>
      <w:r w:rsidRPr="00941179">
        <w:rPr>
          <w:sz w:val="22"/>
          <w:szCs w:val="22"/>
          <w:lang w:val="sr-Latn-CS"/>
        </w:rPr>
        <w:t>333,58; 343,27] za granule, razlike između srednjih vr</w:t>
      </w:r>
      <w:r>
        <w:rPr>
          <w:sz w:val="22"/>
          <w:szCs w:val="22"/>
          <w:lang w:val="sr-Latn-CS"/>
        </w:rPr>
        <w:t>ij</w:t>
      </w:r>
      <w:r w:rsidRPr="00941179">
        <w:rPr>
          <w:sz w:val="22"/>
          <w:szCs w:val="22"/>
          <w:lang w:val="sr-Latn-CS"/>
        </w:rPr>
        <w:t xml:space="preserve">ednosti [granule – DT] 176,36 μg/l [95% CI:  </w:t>
      </w:r>
      <w:r w:rsidR="00A02DB1">
        <w:rPr>
          <w:sz w:val="22"/>
          <w:szCs w:val="22"/>
          <w:lang w:val="sr-Latn-CS"/>
        </w:rPr>
        <w:t>-</w:t>
      </w:r>
      <w:r w:rsidRPr="00941179">
        <w:rPr>
          <w:sz w:val="22"/>
          <w:szCs w:val="22"/>
          <w:lang w:val="sr-Latn-CS"/>
        </w:rPr>
        <w:t>129,00; 481,72], dvostrana p-vr</w:t>
      </w:r>
      <w:r>
        <w:rPr>
          <w:sz w:val="22"/>
          <w:szCs w:val="22"/>
          <w:lang w:val="sr-Latn-CS"/>
        </w:rPr>
        <w:t>ij</w:t>
      </w:r>
      <w:r w:rsidRPr="00941179">
        <w:rPr>
          <w:sz w:val="22"/>
          <w:szCs w:val="22"/>
          <w:lang w:val="sr-Latn-CS"/>
        </w:rPr>
        <w:t>ednost = 0,25). Studija je zaključila da nema razlike u terapijskoj komplijansi i efikasnosti između grupa pacijenata sa deferasiroks granulama i deferasiroks disperzibilnim tabletama u različitim vremenskim tačkama (24 i 48 ne</w:t>
      </w:r>
      <w:r w:rsidR="000C4409">
        <w:rPr>
          <w:sz w:val="22"/>
          <w:szCs w:val="22"/>
          <w:lang w:val="sr-Latn-CS"/>
        </w:rPr>
        <w:t>dj</w:t>
      </w:r>
      <w:r w:rsidRPr="00941179">
        <w:rPr>
          <w:sz w:val="22"/>
          <w:szCs w:val="22"/>
          <w:lang w:val="sr-Latn-CS"/>
        </w:rPr>
        <w:t>elje). Bezb</w:t>
      </w:r>
      <w:r>
        <w:rPr>
          <w:sz w:val="22"/>
          <w:szCs w:val="22"/>
          <w:lang w:val="sr-Latn-CS"/>
        </w:rPr>
        <w:t>j</w:t>
      </w:r>
      <w:r w:rsidRPr="00941179">
        <w:rPr>
          <w:sz w:val="22"/>
          <w:szCs w:val="22"/>
          <w:lang w:val="sr-Latn-CS"/>
        </w:rPr>
        <w:t>ednosni profil između formulacija granula i disperzibilnih tableta sveukupno je uporediv.</w:t>
      </w:r>
    </w:p>
    <w:p w14:paraId="0E6ADC2B" w14:textId="77777777" w:rsidR="00941179" w:rsidRPr="00D21251" w:rsidRDefault="00941179" w:rsidP="00941179">
      <w:pPr>
        <w:pStyle w:val="Header"/>
        <w:jc w:val="both"/>
        <w:rPr>
          <w:sz w:val="22"/>
          <w:szCs w:val="22"/>
          <w:lang w:val="sr-Latn-CS"/>
        </w:rPr>
      </w:pPr>
    </w:p>
    <w:p w14:paraId="348D178B" w14:textId="77777777" w:rsidR="0058338A" w:rsidRPr="00D21251" w:rsidRDefault="0058338A" w:rsidP="00531B03">
      <w:pPr>
        <w:pStyle w:val="Header"/>
        <w:jc w:val="both"/>
        <w:rPr>
          <w:sz w:val="22"/>
          <w:szCs w:val="22"/>
          <w:lang w:val="sr-Latn-CS"/>
        </w:rPr>
      </w:pPr>
      <w:r w:rsidRPr="00D21251">
        <w:rPr>
          <w:sz w:val="22"/>
          <w:szCs w:val="22"/>
          <w:lang w:val="sr-Latn-CS"/>
        </w:rPr>
        <w:t>Kod pacijenata sa talasemijskim sindromima koji ne zavise od transfuzije krvi i preoterećenjem gvožđem, l</w:t>
      </w:r>
      <w:r w:rsidR="000F5050">
        <w:rPr>
          <w:sz w:val="22"/>
          <w:szCs w:val="22"/>
          <w:lang w:val="sr-Latn-CS"/>
        </w:rPr>
        <w:t>ij</w:t>
      </w:r>
      <w:r w:rsidRPr="00D21251">
        <w:rPr>
          <w:sz w:val="22"/>
          <w:szCs w:val="22"/>
          <w:lang w:val="sr-Latn-CS"/>
        </w:rPr>
        <w:t xml:space="preserve">ečenje deferasiroks disperzibilnim tabletama je </w:t>
      </w:r>
      <w:r w:rsidR="000F5050">
        <w:rPr>
          <w:sz w:val="22"/>
          <w:szCs w:val="22"/>
          <w:lang w:val="sr-Latn-CS"/>
        </w:rPr>
        <w:t>procjen</w:t>
      </w:r>
      <w:r w:rsidRPr="00D21251">
        <w:rPr>
          <w:sz w:val="22"/>
          <w:szCs w:val="22"/>
          <w:lang w:val="sr-Latn-CS"/>
        </w:rPr>
        <w:t xml:space="preserve">jivano u randomizovanoj, dvostruko </w:t>
      </w:r>
      <w:r w:rsidRPr="00D21251">
        <w:rPr>
          <w:sz w:val="22"/>
          <w:szCs w:val="22"/>
          <w:lang w:val="sr-Latn-CS"/>
        </w:rPr>
        <w:lastRenderedPageBreak/>
        <w:t>sl</w:t>
      </w:r>
      <w:r w:rsidR="00C7666E">
        <w:rPr>
          <w:sz w:val="22"/>
          <w:szCs w:val="22"/>
          <w:lang w:val="sr-Latn-CS"/>
        </w:rPr>
        <w:t>ij</w:t>
      </w:r>
      <w:r w:rsidRPr="00D21251">
        <w:rPr>
          <w:sz w:val="22"/>
          <w:szCs w:val="22"/>
          <w:lang w:val="sr-Latn-CS"/>
        </w:rPr>
        <w:t>epoj, placebom kontrolisanoj studiji u trajanju od jedne godine. U studiji je poređena efikasnost dva različita režima doziranja deferasiroks disperzibilnih tableta (početne doze od 5 i 10 mg/kg/dan, sa 55 pacijenata u svakoj grupi) i odgovarajućeg placeba (56 pacijen</w:t>
      </w:r>
      <w:r w:rsidR="00C7666E">
        <w:rPr>
          <w:sz w:val="22"/>
          <w:szCs w:val="22"/>
          <w:lang w:val="sr-Latn-CS"/>
        </w:rPr>
        <w:t>a</w:t>
      </w:r>
      <w:r w:rsidRPr="00D21251">
        <w:rPr>
          <w:sz w:val="22"/>
          <w:szCs w:val="22"/>
          <w:lang w:val="sr-Latn-CS"/>
        </w:rPr>
        <w:t>ta). Studija je uključi</w:t>
      </w:r>
      <w:r w:rsidR="00C7666E">
        <w:rPr>
          <w:sz w:val="22"/>
          <w:szCs w:val="22"/>
          <w:lang w:val="sr-Latn-CS"/>
        </w:rPr>
        <w:t>vala</w:t>
      </w:r>
      <w:r w:rsidRPr="00D21251">
        <w:rPr>
          <w:sz w:val="22"/>
          <w:szCs w:val="22"/>
          <w:lang w:val="sr-Latn-CS"/>
        </w:rPr>
        <w:t xml:space="preserve"> 145 odraslih i 21 pedijatrijskog pacijenta. Primarni parametar efikasnosti je bila </w:t>
      </w:r>
      <w:r w:rsidR="00F90136">
        <w:rPr>
          <w:sz w:val="22"/>
          <w:szCs w:val="22"/>
          <w:lang w:val="sr-Latn-CS"/>
        </w:rPr>
        <w:t>promjen</w:t>
      </w:r>
      <w:r w:rsidRPr="00D21251">
        <w:rPr>
          <w:sz w:val="22"/>
          <w:szCs w:val="22"/>
          <w:lang w:val="sr-Latn-CS"/>
        </w:rPr>
        <w:t xml:space="preserve">a u koncentraciji gvožđa u jetri (LIC) od početne </w:t>
      </w:r>
      <w:r w:rsidR="0071118F">
        <w:rPr>
          <w:sz w:val="22"/>
          <w:szCs w:val="22"/>
          <w:lang w:val="sr-Latn-CS"/>
        </w:rPr>
        <w:t>vrijednost</w:t>
      </w:r>
      <w:r w:rsidRPr="00D21251">
        <w:rPr>
          <w:sz w:val="22"/>
          <w:szCs w:val="22"/>
          <w:lang w:val="sr-Latn-CS"/>
        </w:rPr>
        <w:t xml:space="preserve">i nakon 12 </w:t>
      </w:r>
      <w:r w:rsidR="0071118F">
        <w:rPr>
          <w:sz w:val="22"/>
          <w:szCs w:val="22"/>
          <w:lang w:val="sr-Latn-CS"/>
        </w:rPr>
        <w:t>mjesec</w:t>
      </w:r>
      <w:r w:rsidRPr="00D21251">
        <w:rPr>
          <w:sz w:val="22"/>
          <w:szCs w:val="22"/>
          <w:lang w:val="sr-Latn-CS"/>
        </w:rPr>
        <w:t xml:space="preserve">i terapije. Jedan od sekundarnih parametara efikasnosti je bila </w:t>
      </w:r>
      <w:r w:rsidR="00F90136">
        <w:rPr>
          <w:sz w:val="22"/>
          <w:szCs w:val="22"/>
          <w:lang w:val="sr-Latn-CS"/>
        </w:rPr>
        <w:t>promjen</w:t>
      </w:r>
      <w:r w:rsidRPr="00D21251">
        <w:rPr>
          <w:sz w:val="22"/>
          <w:szCs w:val="22"/>
          <w:lang w:val="sr-Latn-CS"/>
        </w:rPr>
        <w:t xml:space="preserve">a koncentracije serumskog feritina između početne </w:t>
      </w:r>
      <w:r w:rsidR="0071118F">
        <w:rPr>
          <w:sz w:val="22"/>
          <w:szCs w:val="22"/>
          <w:lang w:val="sr-Latn-CS"/>
        </w:rPr>
        <w:t>vrijednost</w:t>
      </w:r>
      <w:r w:rsidRPr="00D21251">
        <w:rPr>
          <w:sz w:val="22"/>
          <w:szCs w:val="22"/>
          <w:lang w:val="sr-Latn-CS"/>
        </w:rPr>
        <w:t>i i četvrtog kvartala. Pri početnoj dozi od 10 mg/kg/dan, prim</w:t>
      </w:r>
      <w:r w:rsidR="00344FF6">
        <w:rPr>
          <w:sz w:val="22"/>
          <w:szCs w:val="22"/>
          <w:lang w:val="sr-Latn-CS"/>
        </w:rPr>
        <w:t>j</w:t>
      </w:r>
      <w:r w:rsidRPr="00D21251">
        <w:rPr>
          <w:sz w:val="22"/>
          <w:szCs w:val="22"/>
          <w:lang w:val="sr-Latn-CS"/>
        </w:rPr>
        <w:t>ena deferasiroks disperzibilnih tableta je dovela do smanjenja indikatora ukupnog gvožđa u organizmu. Pros</w:t>
      </w:r>
      <w:r w:rsidR="0065396C">
        <w:rPr>
          <w:sz w:val="22"/>
          <w:szCs w:val="22"/>
          <w:lang w:val="sr-Latn-CS"/>
        </w:rPr>
        <w:t>j</w:t>
      </w:r>
      <w:r w:rsidRPr="00D21251">
        <w:rPr>
          <w:sz w:val="22"/>
          <w:szCs w:val="22"/>
          <w:lang w:val="sr-Latn-CS"/>
        </w:rPr>
        <w:t>ečno, koncentracije gvožđa u jetri su se smanjile za 3,80 mg Fe/g mase suvog tkiva jetre kod pacijenata l</w:t>
      </w:r>
      <w:r w:rsidR="009A2ACE">
        <w:rPr>
          <w:sz w:val="22"/>
          <w:szCs w:val="22"/>
          <w:lang w:val="sr-Latn-CS"/>
        </w:rPr>
        <w:t>ij</w:t>
      </w:r>
      <w:r w:rsidRPr="00D21251">
        <w:rPr>
          <w:sz w:val="22"/>
          <w:szCs w:val="22"/>
          <w:lang w:val="sr-Latn-CS"/>
        </w:rPr>
        <w:t>ečenih deferasiroks disperzibilnim tabletama (početna doza 10 mg/kg/dan) i porasle za 0,38 mg Fe/g mase suvog tkiva jetre kod pacijenata l</w:t>
      </w:r>
      <w:r w:rsidR="009A2ACE">
        <w:rPr>
          <w:sz w:val="22"/>
          <w:szCs w:val="22"/>
          <w:lang w:val="sr-Latn-CS"/>
        </w:rPr>
        <w:t>ij</w:t>
      </w:r>
      <w:r w:rsidRPr="00D21251">
        <w:rPr>
          <w:sz w:val="22"/>
          <w:szCs w:val="22"/>
          <w:lang w:val="sr-Latn-CS"/>
        </w:rPr>
        <w:t xml:space="preserve">ečenih placebom (p&lt;0,001). </w:t>
      </w:r>
      <w:r w:rsidR="0065396C">
        <w:rPr>
          <w:sz w:val="22"/>
          <w:szCs w:val="22"/>
          <w:lang w:val="sr-Latn-CS"/>
        </w:rPr>
        <w:t>Prosje</w:t>
      </w:r>
      <w:r w:rsidRPr="00D21251">
        <w:rPr>
          <w:sz w:val="22"/>
          <w:szCs w:val="22"/>
          <w:lang w:val="sr-Latn-CS"/>
        </w:rPr>
        <w:t xml:space="preserve">čno, koncentracija serumskog feritina je smanjena za 222,0 </w:t>
      </w:r>
      <w:r w:rsidR="00A02236">
        <w:rPr>
          <w:sz w:val="22"/>
          <w:szCs w:val="22"/>
          <w:lang w:val="sr-Latn-CS"/>
        </w:rPr>
        <w:t>µg</w:t>
      </w:r>
      <w:r w:rsidRPr="00D21251">
        <w:rPr>
          <w:sz w:val="22"/>
          <w:szCs w:val="22"/>
          <w:lang w:val="sr-Latn-CS"/>
        </w:rPr>
        <w:t>/</w:t>
      </w:r>
      <w:r w:rsidR="002A2318">
        <w:rPr>
          <w:sz w:val="22"/>
          <w:szCs w:val="22"/>
          <w:lang w:val="sr-Latn-CS"/>
        </w:rPr>
        <w:t>l</w:t>
      </w:r>
      <w:r w:rsidR="002A2318" w:rsidRPr="00D21251">
        <w:rPr>
          <w:sz w:val="22"/>
          <w:szCs w:val="22"/>
          <w:lang w:val="sr-Latn-CS"/>
        </w:rPr>
        <w:t xml:space="preserve"> </w:t>
      </w:r>
      <w:r w:rsidRPr="00D21251">
        <w:rPr>
          <w:sz w:val="22"/>
          <w:szCs w:val="22"/>
          <w:lang w:val="sr-Latn-CS"/>
        </w:rPr>
        <w:t>kod pacijenata l</w:t>
      </w:r>
      <w:r w:rsidR="009A2ACE">
        <w:rPr>
          <w:sz w:val="22"/>
          <w:szCs w:val="22"/>
          <w:lang w:val="sr-Latn-CS"/>
        </w:rPr>
        <w:t>ij</w:t>
      </w:r>
      <w:r w:rsidRPr="00D21251">
        <w:rPr>
          <w:sz w:val="22"/>
          <w:szCs w:val="22"/>
          <w:lang w:val="sr-Latn-CS"/>
        </w:rPr>
        <w:t xml:space="preserve">ečenih deferasiroks disperzibilnim tabletama (početna doza 10 mg/kg/dan) i povećana za 115 </w:t>
      </w:r>
      <w:r w:rsidR="00A02236" w:rsidRPr="00A02236">
        <w:rPr>
          <w:sz w:val="22"/>
          <w:szCs w:val="22"/>
          <w:lang w:val="sr-Latn-CS"/>
        </w:rPr>
        <w:t>µg</w:t>
      </w:r>
      <w:r w:rsidRPr="00D21251">
        <w:rPr>
          <w:sz w:val="22"/>
          <w:szCs w:val="22"/>
          <w:lang w:val="sr-Latn-CS"/>
        </w:rPr>
        <w:t>/</w:t>
      </w:r>
      <w:r w:rsidR="002A2318">
        <w:rPr>
          <w:sz w:val="22"/>
          <w:szCs w:val="22"/>
          <w:lang w:val="sr-Latn-CS"/>
        </w:rPr>
        <w:t>l</w:t>
      </w:r>
      <w:r w:rsidR="002A2318" w:rsidRPr="00D21251">
        <w:rPr>
          <w:sz w:val="22"/>
          <w:szCs w:val="22"/>
          <w:lang w:val="sr-Latn-CS"/>
        </w:rPr>
        <w:t xml:space="preserve"> </w:t>
      </w:r>
      <w:r w:rsidRPr="00D21251">
        <w:rPr>
          <w:sz w:val="22"/>
          <w:szCs w:val="22"/>
          <w:lang w:val="sr-Latn-CS"/>
        </w:rPr>
        <w:t>kod pacijenata l</w:t>
      </w:r>
      <w:r w:rsidR="009A2ACE">
        <w:rPr>
          <w:sz w:val="22"/>
          <w:szCs w:val="22"/>
          <w:lang w:val="sr-Latn-CS"/>
        </w:rPr>
        <w:t>ij</w:t>
      </w:r>
      <w:r w:rsidRPr="00D21251">
        <w:rPr>
          <w:sz w:val="22"/>
          <w:szCs w:val="22"/>
          <w:lang w:val="sr-Latn-CS"/>
        </w:rPr>
        <w:t>ečenih placebom (p&lt;0,001).</w:t>
      </w:r>
    </w:p>
    <w:p w14:paraId="23CCF2A2" w14:textId="77777777" w:rsidR="002E37A5" w:rsidRPr="00531B03" w:rsidRDefault="002E37A5" w:rsidP="00531B03">
      <w:pPr>
        <w:tabs>
          <w:tab w:val="left" w:pos="540"/>
          <w:tab w:val="left" w:pos="569"/>
        </w:tabs>
        <w:jc w:val="both"/>
        <w:rPr>
          <w:b/>
          <w:bCs/>
          <w:sz w:val="22"/>
          <w:szCs w:val="22"/>
          <w:lang w:val="sr-Latn-CS"/>
        </w:rPr>
      </w:pPr>
    </w:p>
    <w:p w14:paraId="0885011A" w14:textId="77777777" w:rsidR="0072020E" w:rsidRPr="00D21251" w:rsidRDefault="0072020E" w:rsidP="00531B03">
      <w:pPr>
        <w:tabs>
          <w:tab w:val="left" w:pos="540"/>
          <w:tab w:val="left" w:pos="569"/>
        </w:tabs>
        <w:jc w:val="both"/>
        <w:rPr>
          <w:b/>
          <w:bCs/>
          <w:sz w:val="22"/>
          <w:szCs w:val="22"/>
        </w:rPr>
      </w:pPr>
      <w:r w:rsidRPr="00D21251">
        <w:rPr>
          <w:b/>
          <w:bCs/>
          <w:sz w:val="22"/>
          <w:szCs w:val="22"/>
        </w:rPr>
        <w:t xml:space="preserve">5.2. </w:t>
      </w:r>
      <w:r w:rsidR="00480FB1" w:rsidRPr="00D21251">
        <w:rPr>
          <w:b/>
          <w:bCs/>
          <w:sz w:val="22"/>
          <w:szCs w:val="22"/>
        </w:rPr>
        <w:tab/>
      </w:r>
      <w:r w:rsidRPr="00D21251">
        <w:rPr>
          <w:b/>
          <w:bCs/>
          <w:sz w:val="22"/>
          <w:szCs w:val="22"/>
        </w:rPr>
        <w:t>Farmakokinetički podaci</w:t>
      </w:r>
      <w:r w:rsidR="003A7059" w:rsidRPr="00D21251">
        <w:rPr>
          <w:b/>
          <w:bCs/>
          <w:sz w:val="22"/>
          <w:szCs w:val="22"/>
        </w:rPr>
        <w:t xml:space="preserve"> </w:t>
      </w:r>
    </w:p>
    <w:p w14:paraId="71880A86" w14:textId="77777777" w:rsidR="00D21251" w:rsidRDefault="00D21251" w:rsidP="00531B03">
      <w:pPr>
        <w:jc w:val="both"/>
        <w:rPr>
          <w:sz w:val="22"/>
          <w:szCs w:val="22"/>
          <w:lang w:val="sr-Latn-CS"/>
        </w:rPr>
      </w:pPr>
    </w:p>
    <w:p w14:paraId="0B08ACD8" w14:textId="77777777" w:rsidR="0058338A" w:rsidRPr="00531B03" w:rsidRDefault="00344FF6" w:rsidP="002577E8">
      <w:pPr>
        <w:jc w:val="both"/>
        <w:rPr>
          <w:sz w:val="22"/>
          <w:szCs w:val="22"/>
          <w:lang w:val="sr-Latn-CS"/>
        </w:rPr>
      </w:pPr>
      <w:r>
        <w:rPr>
          <w:sz w:val="22"/>
          <w:szCs w:val="22"/>
          <w:lang w:val="sr-Latn-CS"/>
        </w:rPr>
        <w:t>Lijek</w:t>
      </w:r>
      <w:r w:rsidR="0058338A" w:rsidRPr="00D21251">
        <w:rPr>
          <w:sz w:val="22"/>
          <w:szCs w:val="22"/>
          <w:lang w:val="sr-Latn-CS"/>
        </w:rPr>
        <w:t xml:space="preserve"> Exjade, film tablete </w:t>
      </w:r>
      <w:r w:rsidR="002577E8" w:rsidRPr="00D21251">
        <w:rPr>
          <w:sz w:val="22"/>
          <w:szCs w:val="22"/>
          <w:lang w:val="sr-Latn-CS"/>
        </w:rPr>
        <w:t>pokazuj</w:t>
      </w:r>
      <w:r w:rsidR="002577E8">
        <w:rPr>
          <w:sz w:val="22"/>
          <w:szCs w:val="22"/>
          <w:lang w:val="sr-Latn-CS"/>
        </w:rPr>
        <w:t>e</w:t>
      </w:r>
      <w:r w:rsidR="002577E8" w:rsidRPr="00D21251">
        <w:rPr>
          <w:sz w:val="22"/>
          <w:szCs w:val="22"/>
          <w:lang w:val="sr-Latn-CS"/>
        </w:rPr>
        <w:t xml:space="preserve"> </w:t>
      </w:r>
      <w:r w:rsidR="0058338A" w:rsidRPr="00D21251">
        <w:rPr>
          <w:sz w:val="22"/>
          <w:szCs w:val="22"/>
          <w:lang w:val="sr-Latn-CS"/>
        </w:rPr>
        <w:t xml:space="preserve">veću bioraspoloživost u poređenju sa formulacijom </w:t>
      </w:r>
      <w:r>
        <w:rPr>
          <w:sz w:val="22"/>
          <w:szCs w:val="22"/>
          <w:lang w:val="sr-Latn-CS"/>
        </w:rPr>
        <w:t>lijek</w:t>
      </w:r>
      <w:r w:rsidR="0058338A" w:rsidRPr="00D21251">
        <w:rPr>
          <w:sz w:val="22"/>
          <w:szCs w:val="22"/>
          <w:lang w:val="sr-Latn-CS"/>
        </w:rPr>
        <w:t xml:space="preserve">a Exjade, disperzibilne tablete. Nakon prilagođavanja jačine, formulacija film tableta (jačine 360 mg) ekvivalentna je formulaciji disperzibilnih tableta (jačine 500 mg) u odnosu na srednju </w:t>
      </w:r>
      <w:r w:rsidR="0071118F">
        <w:rPr>
          <w:sz w:val="22"/>
          <w:szCs w:val="22"/>
          <w:lang w:val="sr-Latn-CS"/>
        </w:rPr>
        <w:t>vrijednost</w:t>
      </w:r>
      <w:r w:rsidR="0058338A" w:rsidRPr="00D21251">
        <w:rPr>
          <w:sz w:val="22"/>
          <w:szCs w:val="22"/>
          <w:lang w:val="sr-Latn-CS"/>
        </w:rPr>
        <w:t xml:space="preserve"> PIK u stanju gladovanja. </w:t>
      </w:r>
      <w:r w:rsidR="0058338A" w:rsidRPr="00D21251">
        <w:rPr>
          <w:sz w:val="22"/>
          <w:szCs w:val="22"/>
        </w:rPr>
        <w:t>C</w:t>
      </w:r>
      <w:r w:rsidR="0058338A" w:rsidRPr="00D21251">
        <w:rPr>
          <w:sz w:val="22"/>
          <w:szCs w:val="22"/>
          <w:vertAlign w:val="subscript"/>
        </w:rPr>
        <w:t>max</w:t>
      </w:r>
      <w:r w:rsidR="0058338A" w:rsidRPr="00531B03">
        <w:rPr>
          <w:sz w:val="22"/>
          <w:szCs w:val="22"/>
          <w:vertAlign w:val="subscript"/>
          <w:lang w:val="sr-Latn-CS"/>
        </w:rPr>
        <w:t xml:space="preserve"> </w:t>
      </w:r>
      <w:r w:rsidR="0058338A" w:rsidRPr="00D21251">
        <w:rPr>
          <w:sz w:val="22"/>
          <w:szCs w:val="22"/>
        </w:rPr>
        <w:t>je</w:t>
      </w:r>
      <w:r w:rsidR="0058338A" w:rsidRPr="00531B03">
        <w:rPr>
          <w:sz w:val="22"/>
          <w:szCs w:val="22"/>
          <w:lang w:val="sr-Latn-CS"/>
        </w:rPr>
        <w:t xml:space="preserve"> </w:t>
      </w:r>
      <w:r w:rsidR="0058338A" w:rsidRPr="00D21251">
        <w:rPr>
          <w:sz w:val="22"/>
          <w:szCs w:val="22"/>
        </w:rPr>
        <w:t>pove</w:t>
      </w:r>
      <w:r w:rsidR="0058338A" w:rsidRPr="00531B03">
        <w:rPr>
          <w:sz w:val="22"/>
          <w:szCs w:val="22"/>
          <w:lang w:val="sr-Latn-CS"/>
        </w:rPr>
        <w:t>ć</w:t>
      </w:r>
      <w:r w:rsidR="0058338A" w:rsidRPr="00D21251">
        <w:rPr>
          <w:sz w:val="22"/>
          <w:szCs w:val="22"/>
        </w:rPr>
        <w:t>an</w:t>
      </w:r>
      <w:r w:rsidR="0058338A" w:rsidRPr="00531B03">
        <w:rPr>
          <w:sz w:val="22"/>
          <w:szCs w:val="22"/>
          <w:lang w:val="sr-Latn-CS"/>
        </w:rPr>
        <w:t xml:space="preserve"> </w:t>
      </w:r>
      <w:r w:rsidR="0058338A" w:rsidRPr="00D21251">
        <w:rPr>
          <w:sz w:val="22"/>
          <w:szCs w:val="22"/>
        </w:rPr>
        <w:t>za</w:t>
      </w:r>
      <w:r w:rsidR="0058338A" w:rsidRPr="00531B03">
        <w:rPr>
          <w:sz w:val="22"/>
          <w:szCs w:val="22"/>
          <w:lang w:val="sr-Latn-CS"/>
        </w:rPr>
        <w:t xml:space="preserve"> 30% (90% </w:t>
      </w:r>
      <w:r w:rsidR="0058338A" w:rsidRPr="00025570">
        <w:rPr>
          <w:sz w:val="22"/>
          <w:szCs w:val="22"/>
        </w:rPr>
        <w:t>CI</w:t>
      </w:r>
      <w:r w:rsidR="0058338A" w:rsidRPr="00531B03">
        <w:rPr>
          <w:sz w:val="22"/>
          <w:szCs w:val="22"/>
          <w:lang w:val="sr-Latn-CS"/>
        </w:rPr>
        <w:t>: 20</w:t>
      </w:r>
      <w:proofErr w:type="gramStart"/>
      <w:r w:rsidR="002577E8" w:rsidRPr="00531B03">
        <w:rPr>
          <w:sz w:val="22"/>
          <w:szCs w:val="22"/>
          <w:lang w:val="sr-Latn-CS"/>
        </w:rPr>
        <w:t>,</w:t>
      </w:r>
      <w:r w:rsidR="0058338A" w:rsidRPr="00531B03">
        <w:rPr>
          <w:sz w:val="22"/>
          <w:szCs w:val="22"/>
          <w:lang w:val="sr-Latn-CS"/>
        </w:rPr>
        <w:t>3</w:t>
      </w:r>
      <w:proofErr w:type="gramEnd"/>
      <w:r w:rsidR="0058338A" w:rsidRPr="00531B03">
        <w:rPr>
          <w:sz w:val="22"/>
          <w:szCs w:val="22"/>
          <w:lang w:val="sr-Latn-CS"/>
        </w:rPr>
        <w:t xml:space="preserve">% </w:t>
      </w:r>
      <w:r w:rsidR="0058338A" w:rsidRPr="00531B03">
        <w:rPr>
          <w:sz w:val="22"/>
          <w:szCs w:val="22"/>
          <w:lang w:val="sr-Latn-CS"/>
        </w:rPr>
        <w:noBreakHyphen/>
        <w:t xml:space="preserve"> 40</w:t>
      </w:r>
      <w:r w:rsidR="002577E8" w:rsidRPr="00531B03">
        <w:rPr>
          <w:sz w:val="22"/>
          <w:szCs w:val="22"/>
          <w:lang w:val="sr-Latn-CS"/>
        </w:rPr>
        <w:t>,</w:t>
      </w:r>
      <w:r w:rsidR="0058338A" w:rsidRPr="00531B03">
        <w:rPr>
          <w:sz w:val="22"/>
          <w:szCs w:val="22"/>
          <w:lang w:val="sr-Latn-CS"/>
        </w:rPr>
        <w:t xml:space="preserve">0%); </w:t>
      </w:r>
      <w:r w:rsidR="0058338A" w:rsidRPr="00D21251">
        <w:rPr>
          <w:sz w:val="22"/>
          <w:szCs w:val="22"/>
        </w:rPr>
        <w:t>me</w:t>
      </w:r>
      <w:r w:rsidR="0058338A" w:rsidRPr="00531B03">
        <w:rPr>
          <w:sz w:val="22"/>
          <w:szCs w:val="22"/>
          <w:lang w:val="sr-Latn-CS"/>
        </w:rPr>
        <w:t>đ</w:t>
      </w:r>
      <w:r w:rsidR="0058338A" w:rsidRPr="00D21251">
        <w:rPr>
          <w:sz w:val="22"/>
          <w:szCs w:val="22"/>
        </w:rPr>
        <w:t>utim</w:t>
      </w:r>
      <w:r w:rsidR="0058338A" w:rsidRPr="00531B03">
        <w:rPr>
          <w:sz w:val="22"/>
          <w:szCs w:val="22"/>
          <w:lang w:val="sr-Latn-CS"/>
        </w:rPr>
        <w:t xml:space="preserve">, </w:t>
      </w:r>
      <w:r w:rsidR="0058338A" w:rsidRPr="00D21251">
        <w:rPr>
          <w:sz w:val="22"/>
          <w:szCs w:val="22"/>
        </w:rPr>
        <w:t>analiza</w:t>
      </w:r>
      <w:r w:rsidR="0058338A" w:rsidRPr="00531B03">
        <w:rPr>
          <w:sz w:val="22"/>
          <w:szCs w:val="22"/>
          <w:lang w:val="sr-Latn-CS"/>
        </w:rPr>
        <w:t xml:space="preserve"> </w:t>
      </w:r>
      <w:r w:rsidR="0058338A" w:rsidRPr="00D21251">
        <w:rPr>
          <w:sz w:val="22"/>
          <w:szCs w:val="22"/>
        </w:rPr>
        <w:t>klini</w:t>
      </w:r>
      <w:r w:rsidR="0058338A" w:rsidRPr="00531B03">
        <w:rPr>
          <w:sz w:val="22"/>
          <w:szCs w:val="22"/>
          <w:lang w:val="sr-Latn-CS"/>
        </w:rPr>
        <w:t>č</w:t>
      </w:r>
      <w:r w:rsidR="0058338A" w:rsidRPr="00D21251">
        <w:rPr>
          <w:sz w:val="22"/>
          <w:szCs w:val="22"/>
        </w:rPr>
        <w:t>kog</w:t>
      </w:r>
      <w:r w:rsidR="0058338A" w:rsidRPr="00531B03">
        <w:rPr>
          <w:sz w:val="22"/>
          <w:szCs w:val="22"/>
          <w:lang w:val="sr-Latn-CS"/>
        </w:rPr>
        <w:t xml:space="preserve"> </w:t>
      </w:r>
      <w:r w:rsidR="0058338A" w:rsidRPr="00D21251">
        <w:rPr>
          <w:sz w:val="22"/>
          <w:szCs w:val="22"/>
        </w:rPr>
        <w:t>izlaganja</w:t>
      </w:r>
      <w:r w:rsidR="0058338A" w:rsidRPr="00531B03">
        <w:rPr>
          <w:sz w:val="22"/>
          <w:szCs w:val="22"/>
          <w:lang w:val="sr-Latn-CS"/>
        </w:rPr>
        <w:t>/</w:t>
      </w:r>
      <w:r w:rsidR="0058338A" w:rsidRPr="00D21251">
        <w:rPr>
          <w:sz w:val="22"/>
          <w:szCs w:val="22"/>
        </w:rPr>
        <w:t>odgovora</w:t>
      </w:r>
      <w:r w:rsidR="0058338A" w:rsidRPr="00531B03">
        <w:rPr>
          <w:sz w:val="22"/>
          <w:szCs w:val="22"/>
          <w:lang w:val="sr-Latn-CS"/>
        </w:rPr>
        <w:t xml:space="preserve"> </w:t>
      </w:r>
      <w:r w:rsidR="0058338A" w:rsidRPr="00D21251">
        <w:rPr>
          <w:sz w:val="22"/>
          <w:szCs w:val="22"/>
        </w:rPr>
        <w:t>nije</w:t>
      </w:r>
      <w:r w:rsidR="0058338A" w:rsidRPr="00531B03">
        <w:rPr>
          <w:sz w:val="22"/>
          <w:szCs w:val="22"/>
          <w:lang w:val="sr-Latn-CS"/>
        </w:rPr>
        <w:t xml:space="preserve"> </w:t>
      </w:r>
      <w:r w:rsidR="0058338A" w:rsidRPr="00D21251">
        <w:rPr>
          <w:sz w:val="22"/>
          <w:szCs w:val="22"/>
        </w:rPr>
        <w:t>pokazala</w:t>
      </w:r>
      <w:r w:rsidR="0058338A" w:rsidRPr="00531B03">
        <w:rPr>
          <w:sz w:val="22"/>
          <w:szCs w:val="22"/>
          <w:lang w:val="sr-Latn-CS"/>
        </w:rPr>
        <w:t xml:space="preserve"> </w:t>
      </w:r>
      <w:r w:rsidR="0058338A" w:rsidRPr="00D21251">
        <w:rPr>
          <w:sz w:val="22"/>
          <w:szCs w:val="22"/>
        </w:rPr>
        <w:t>dokaz</w:t>
      </w:r>
      <w:r w:rsidR="0058338A" w:rsidRPr="00531B03">
        <w:rPr>
          <w:sz w:val="22"/>
          <w:szCs w:val="22"/>
          <w:lang w:val="sr-Latn-CS"/>
        </w:rPr>
        <w:t xml:space="preserve"> </w:t>
      </w:r>
      <w:r w:rsidR="0058338A" w:rsidRPr="00D21251">
        <w:rPr>
          <w:sz w:val="22"/>
          <w:szCs w:val="22"/>
        </w:rPr>
        <w:t>o</w:t>
      </w:r>
      <w:r w:rsidR="0058338A" w:rsidRPr="00531B03">
        <w:rPr>
          <w:sz w:val="22"/>
          <w:szCs w:val="22"/>
          <w:lang w:val="sr-Latn-CS"/>
        </w:rPr>
        <w:t xml:space="preserve"> </w:t>
      </w:r>
      <w:r w:rsidR="0058338A" w:rsidRPr="00D21251">
        <w:rPr>
          <w:sz w:val="22"/>
          <w:szCs w:val="22"/>
        </w:rPr>
        <w:t>klini</w:t>
      </w:r>
      <w:r w:rsidR="0058338A" w:rsidRPr="00531B03">
        <w:rPr>
          <w:sz w:val="22"/>
          <w:szCs w:val="22"/>
          <w:lang w:val="sr-Latn-CS"/>
        </w:rPr>
        <w:t>č</w:t>
      </w:r>
      <w:r w:rsidR="0058338A" w:rsidRPr="00D21251">
        <w:rPr>
          <w:sz w:val="22"/>
          <w:szCs w:val="22"/>
        </w:rPr>
        <w:t>ki</w:t>
      </w:r>
      <w:r w:rsidR="0058338A" w:rsidRPr="00531B03">
        <w:rPr>
          <w:sz w:val="22"/>
          <w:szCs w:val="22"/>
          <w:lang w:val="sr-Latn-CS"/>
        </w:rPr>
        <w:t xml:space="preserve"> </w:t>
      </w:r>
      <w:r w:rsidR="0058338A" w:rsidRPr="00D21251">
        <w:rPr>
          <w:sz w:val="22"/>
          <w:szCs w:val="22"/>
        </w:rPr>
        <w:t>zna</w:t>
      </w:r>
      <w:r w:rsidR="0058338A" w:rsidRPr="00531B03">
        <w:rPr>
          <w:sz w:val="22"/>
          <w:szCs w:val="22"/>
          <w:lang w:val="sr-Latn-CS"/>
        </w:rPr>
        <w:t>č</w:t>
      </w:r>
      <w:r w:rsidR="0058338A" w:rsidRPr="00D21251">
        <w:rPr>
          <w:sz w:val="22"/>
          <w:szCs w:val="22"/>
        </w:rPr>
        <w:t>ajnim</w:t>
      </w:r>
      <w:r w:rsidR="0058338A" w:rsidRPr="00531B03">
        <w:rPr>
          <w:sz w:val="22"/>
          <w:szCs w:val="22"/>
          <w:lang w:val="sr-Latn-CS"/>
        </w:rPr>
        <w:t xml:space="preserve"> </w:t>
      </w:r>
      <w:r w:rsidR="002577E8" w:rsidRPr="00D21251">
        <w:rPr>
          <w:sz w:val="22"/>
          <w:szCs w:val="22"/>
        </w:rPr>
        <w:t>d</w:t>
      </w:r>
      <w:r w:rsidR="002577E8">
        <w:rPr>
          <w:sz w:val="22"/>
          <w:szCs w:val="22"/>
        </w:rPr>
        <w:t>ejstv</w:t>
      </w:r>
      <w:r w:rsidR="002577E8" w:rsidRPr="00D21251">
        <w:rPr>
          <w:sz w:val="22"/>
          <w:szCs w:val="22"/>
        </w:rPr>
        <w:t>ima</w:t>
      </w:r>
      <w:r w:rsidR="002577E8" w:rsidRPr="00531B03">
        <w:rPr>
          <w:sz w:val="22"/>
          <w:szCs w:val="22"/>
          <w:lang w:val="sr-Latn-CS"/>
        </w:rPr>
        <w:t xml:space="preserve"> </w:t>
      </w:r>
      <w:r w:rsidR="0058338A" w:rsidRPr="00D21251">
        <w:rPr>
          <w:sz w:val="22"/>
          <w:szCs w:val="22"/>
        </w:rPr>
        <w:t>takvog</w:t>
      </w:r>
      <w:r w:rsidR="0058338A" w:rsidRPr="00531B03">
        <w:rPr>
          <w:sz w:val="22"/>
          <w:szCs w:val="22"/>
          <w:lang w:val="sr-Latn-CS"/>
        </w:rPr>
        <w:t xml:space="preserve"> </w:t>
      </w:r>
      <w:r w:rsidR="0058338A" w:rsidRPr="00D21251">
        <w:rPr>
          <w:sz w:val="22"/>
          <w:szCs w:val="22"/>
        </w:rPr>
        <w:t>pove</w:t>
      </w:r>
      <w:r w:rsidR="0058338A" w:rsidRPr="00531B03">
        <w:rPr>
          <w:sz w:val="22"/>
          <w:szCs w:val="22"/>
          <w:lang w:val="sr-Latn-CS"/>
        </w:rPr>
        <w:t>ć</w:t>
      </w:r>
      <w:r w:rsidR="0058338A" w:rsidRPr="00D21251">
        <w:rPr>
          <w:sz w:val="22"/>
          <w:szCs w:val="22"/>
        </w:rPr>
        <w:t>anja</w:t>
      </w:r>
      <w:r w:rsidR="0058338A" w:rsidRPr="00531B03">
        <w:rPr>
          <w:sz w:val="22"/>
          <w:szCs w:val="22"/>
          <w:lang w:val="sr-Latn-CS"/>
        </w:rPr>
        <w:t>.</w:t>
      </w:r>
    </w:p>
    <w:p w14:paraId="66DB9F2D" w14:textId="77777777" w:rsidR="0058338A" w:rsidRPr="00D21251" w:rsidRDefault="0058338A" w:rsidP="00531B03">
      <w:pPr>
        <w:jc w:val="both"/>
        <w:rPr>
          <w:sz w:val="22"/>
          <w:szCs w:val="22"/>
          <w:u w:val="single"/>
          <w:lang w:val="sr-Latn-CS"/>
        </w:rPr>
      </w:pPr>
    </w:p>
    <w:p w14:paraId="127670D8" w14:textId="77777777" w:rsidR="0058338A" w:rsidRPr="00D21251" w:rsidRDefault="0058338A" w:rsidP="00531B03">
      <w:pPr>
        <w:jc w:val="both"/>
        <w:rPr>
          <w:sz w:val="22"/>
          <w:szCs w:val="22"/>
          <w:u w:val="single"/>
          <w:lang w:val="sr-Latn-CS"/>
        </w:rPr>
      </w:pPr>
      <w:r w:rsidRPr="00D21251">
        <w:rPr>
          <w:sz w:val="22"/>
          <w:szCs w:val="22"/>
          <w:u w:val="single"/>
          <w:lang w:val="sr-Latn-CS"/>
        </w:rPr>
        <w:t>Resorpcija</w:t>
      </w:r>
    </w:p>
    <w:p w14:paraId="64D3CCBB" w14:textId="77777777" w:rsidR="0058338A" w:rsidRDefault="0058338A" w:rsidP="00531B03">
      <w:pPr>
        <w:pStyle w:val="Header"/>
        <w:tabs>
          <w:tab w:val="left" w:pos="284"/>
        </w:tabs>
        <w:jc w:val="both"/>
        <w:rPr>
          <w:szCs w:val="22"/>
          <w:lang w:val="sr-Latn-CS"/>
        </w:rPr>
      </w:pPr>
      <w:r w:rsidRPr="00D21251">
        <w:rPr>
          <w:sz w:val="22"/>
          <w:szCs w:val="22"/>
          <w:lang w:val="sr-Latn-CS"/>
        </w:rPr>
        <w:t xml:space="preserve">Deferasiroks (disperzibilna tableta) se resorbuje </w:t>
      </w:r>
      <w:r w:rsidR="00CF7D2F">
        <w:rPr>
          <w:sz w:val="22"/>
          <w:szCs w:val="22"/>
          <w:lang w:val="sr-Latn-CS"/>
        </w:rPr>
        <w:t>poslije</w:t>
      </w:r>
      <w:r w:rsidRPr="00D21251">
        <w:rPr>
          <w:sz w:val="22"/>
          <w:szCs w:val="22"/>
          <w:lang w:val="sr-Latn-CS"/>
        </w:rPr>
        <w:t xml:space="preserve"> oralne prim</w:t>
      </w:r>
      <w:r w:rsidR="00344FF6">
        <w:rPr>
          <w:sz w:val="22"/>
          <w:szCs w:val="22"/>
          <w:lang w:val="sr-Latn-CS"/>
        </w:rPr>
        <w:t>j</w:t>
      </w:r>
      <w:r w:rsidRPr="00D21251">
        <w:rPr>
          <w:sz w:val="22"/>
          <w:szCs w:val="22"/>
          <w:lang w:val="sr-Latn-CS"/>
        </w:rPr>
        <w:t>ene sa medijanom vremena do postizanja maksimalne koncentracije u plazmi (t</w:t>
      </w:r>
      <w:r w:rsidRPr="00D21251">
        <w:rPr>
          <w:sz w:val="22"/>
          <w:szCs w:val="22"/>
          <w:vertAlign w:val="subscript"/>
          <w:lang w:val="sr-Latn-CS"/>
        </w:rPr>
        <w:t>max</w:t>
      </w:r>
      <w:r w:rsidRPr="00D21251">
        <w:rPr>
          <w:sz w:val="22"/>
          <w:szCs w:val="22"/>
          <w:lang w:val="sr-Latn-CS"/>
        </w:rPr>
        <w:t xml:space="preserve">) oko 1,5 do 4 sata. Apsolutna bioraspoloživost (PIK) deferasiroksa (disperzibilna tableta) iznosi oko 70% u poređenju sa intravenskom dozom. Apsolutna bioraspoloživost formulacije film tableta nije utvrđena. Bioraspoloživost deferasiroks film tableta bila </w:t>
      </w:r>
      <w:r w:rsidRPr="00025570">
        <w:rPr>
          <w:sz w:val="22"/>
          <w:szCs w:val="22"/>
          <w:lang w:val="sr-Latn-CS"/>
        </w:rPr>
        <w:t>je 36%</w:t>
      </w:r>
      <w:r w:rsidRPr="00D21251">
        <w:rPr>
          <w:sz w:val="22"/>
          <w:szCs w:val="22"/>
          <w:lang w:val="sr-Latn-CS"/>
        </w:rPr>
        <w:t xml:space="preserve"> veća od bioraspoloživosti disperzibilnih</w:t>
      </w:r>
      <w:r>
        <w:rPr>
          <w:szCs w:val="22"/>
          <w:lang w:val="sr-Latn-CS"/>
        </w:rPr>
        <w:t xml:space="preserve"> tableta.</w:t>
      </w:r>
    </w:p>
    <w:p w14:paraId="2C621FF7" w14:textId="77777777" w:rsidR="0058338A" w:rsidRDefault="0058338A" w:rsidP="00531B03">
      <w:pPr>
        <w:pStyle w:val="Header"/>
        <w:tabs>
          <w:tab w:val="left" w:pos="284"/>
        </w:tabs>
        <w:jc w:val="both"/>
        <w:rPr>
          <w:szCs w:val="22"/>
          <w:lang w:val="sr-Latn-CS"/>
        </w:rPr>
      </w:pPr>
    </w:p>
    <w:p w14:paraId="4B710E23" w14:textId="77777777" w:rsidR="0058338A" w:rsidRPr="00D21251" w:rsidRDefault="0058338A" w:rsidP="00531B03">
      <w:pPr>
        <w:pStyle w:val="Header"/>
        <w:tabs>
          <w:tab w:val="left" w:pos="284"/>
        </w:tabs>
        <w:jc w:val="both"/>
        <w:rPr>
          <w:sz w:val="22"/>
          <w:szCs w:val="22"/>
          <w:lang w:val="sr-Latn-CS"/>
        </w:rPr>
      </w:pPr>
      <w:r w:rsidRPr="00D21251">
        <w:rPr>
          <w:sz w:val="22"/>
          <w:szCs w:val="22"/>
          <w:lang w:val="sr-Latn-CS"/>
        </w:rPr>
        <w:t>Studija uticaja hrane obuhvatala je prim</w:t>
      </w:r>
      <w:r w:rsidR="00344FF6">
        <w:rPr>
          <w:sz w:val="22"/>
          <w:szCs w:val="22"/>
          <w:lang w:val="sr-Latn-CS"/>
        </w:rPr>
        <w:t>j</w:t>
      </w:r>
      <w:r w:rsidRPr="00D21251">
        <w:rPr>
          <w:sz w:val="22"/>
          <w:szCs w:val="22"/>
          <w:lang w:val="sr-Latn-CS"/>
        </w:rPr>
        <w:t xml:space="preserve">enu film tableta kod zdravih dobrovoljaca u stanju gladovanja, sa obrocima sa niskim sadržajem masti (sadržaj masti </w:t>
      </w:r>
      <w:r w:rsidRPr="00531B03">
        <w:rPr>
          <w:color w:val="000000"/>
          <w:sz w:val="22"/>
          <w:szCs w:val="22"/>
          <w:lang w:val="sr-Latn-CS"/>
        </w:rPr>
        <w:t xml:space="preserve">&lt;10% </w:t>
      </w:r>
      <w:r w:rsidRPr="00D21251">
        <w:rPr>
          <w:color w:val="000000"/>
          <w:sz w:val="22"/>
          <w:szCs w:val="22"/>
        </w:rPr>
        <w:t>kalorija</w:t>
      </w:r>
      <w:r w:rsidRPr="00531B03">
        <w:rPr>
          <w:color w:val="000000"/>
          <w:sz w:val="22"/>
          <w:szCs w:val="22"/>
          <w:lang w:val="sr-Latn-CS"/>
        </w:rPr>
        <w:t xml:space="preserve">) </w:t>
      </w:r>
      <w:r w:rsidRPr="00D21251">
        <w:rPr>
          <w:color w:val="000000"/>
          <w:sz w:val="22"/>
          <w:szCs w:val="22"/>
        </w:rPr>
        <w:t>ili</w:t>
      </w:r>
      <w:r w:rsidRPr="00531B03">
        <w:rPr>
          <w:color w:val="000000"/>
          <w:sz w:val="22"/>
          <w:szCs w:val="22"/>
          <w:lang w:val="sr-Latn-CS"/>
        </w:rPr>
        <w:t xml:space="preserve"> </w:t>
      </w:r>
      <w:r w:rsidRPr="00D21251">
        <w:rPr>
          <w:color w:val="000000"/>
          <w:sz w:val="22"/>
          <w:szCs w:val="22"/>
        </w:rPr>
        <w:t>obrocima</w:t>
      </w:r>
      <w:r w:rsidRPr="00531B03">
        <w:rPr>
          <w:color w:val="000000"/>
          <w:sz w:val="22"/>
          <w:szCs w:val="22"/>
          <w:lang w:val="sr-Latn-CS"/>
        </w:rPr>
        <w:t xml:space="preserve"> </w:t>
      </w:r>
      <w:r w:rsidRPr="00D21251">
        <w:rPr>
          <w:color w:val="000000"/>
          <w:sz w:val="22"/>
          <w:szCs w:val="22"/>
        </w:rPr>
        <w:t>sa</w:t>
      </w:r>
      <w:r w:rsidRPr="00531B03">
        <w:rPr>
          <w:color w:val="000000"/>
          <w:sz w:val="22"/>
          <w:szCs w:val="22"/>
          <w:lang w:val="sr-Latn-CS"/>
        </w:rPr>
        <w:t xml:space="preserve"> </w:t>
      </w:r>
      <w:r w:rsidRPr="00D21251">
        <w:rPr>
          <w:color w:val="000000"/>
          <w:sz w:val="22"/>
          <w:szCs w:val="22"/>
        </w:rPr>
        <w:t>visokim</w:t>
      </w:r>
      <w:r w:rsidRPr="00531B03">
        <w:rPr>
          <w:color w:val="000000"/>
          <w:sz w:val="22"/>
          <w:szCs w:val="22"/>
          <w:lang w:val="sr-Latn-CS"/>
        </w:rPr>
        <w:t xml:space="preserve"> </w:t>
      </w:r>
      <w:r w:rsidRPr="00D21251">
        <w:rPr>
          <w:color w:val="000000"/>
          <w:sz w:val="22"/>
          <w:szCs w:val="22"/>
        </w:rPr>
        <w:t>sadr</w:t>
      </w:r>
      <w:r w:rsidRPr="00531B03">
        <w:rPr>
          <w:color w:val="000000"/>
          <w:sz w:val="22"/>
          <w:szCs w:val="22"/>
          <w:lang w:val="sr-Latn-CS"/>
        </w:rPr>
        <w:t>ž</w:t>
      </w:r>
      <w:r w:rsidRPr="00D21251">
        <w:rPr>
          <w:color w:val="000000"/>
          <w:sz w:val="22"/>
          <w:szCs w:val="22"/>
        </w:rPr>
        <w:t>ajem</w:t>
      </w:r>
      <w:r w:rsidRPr="00531B03">
        <w:rPr>
          <w:color w:val="000000"/>
          <w:sz w:val="22"/>
          <w:szCs w:val="22"/>
          <w:lang w:val="sr-Latn-CS"/>
        </w:rPr>
        <w:t xml:space="preserve"> </w:t>
      </w:r>
      <w:r w:rsidRPr="00D21251">
        <w:rPr>
          <w:color w:val="000000"/>
          <w:sz w:val="22"/>
          <w:szCs w:val="22"/>
        </w:rPr>
        <w:t>masti</w:t>
      </w:r>
      <w:r w:rsidRPr="00531B03">
        <w:rPr>
          <w:color w:val="000000"/>
          <w:sz w:val="22"/>
          <w:szCs w:val="22"/>
          <w:lang w:val="sr-Latn-CS"/>
        </w:rPr>
        <w:t xml:space="preserve"> </w:t>
      </w:r>
      <w:r w:rsidRPr="00D21251">
        <w:rPr>
          <w:sz w:val="22"/>
          <w:szCs w:val="22"/>
          <w:lang w:val="sr-Latn-CS"/>
        </w:rPr>
        <w:t xml:space="preserve">(sadržaj masti </w:t>
      </w:r>
      <w:r w:rsidRPr="00531B03">
        <w:rPr>
          <w:color w:val="000000"/>
          <w:sz w:val="22"/>
          <w:szCs w:val="22"/>
          <w:lang w:val="sr-Latn-CS"/>
        </w:rPr>
        <w:t>&gt;</w:t>
      </w:r>
      <w:r w:rsidRPr="00D21251">
        <w:rPr>
          <w:sz w:val="22"/>
          <w:szCs w:val="22"/>
          <w:lang w:val="sr-Latn-CS"/>
        </w:rPr>
        <w:t>5</w:t>
      </w:r>
      <w:r w:rsidRPr="00531B03">
        <w:rPr>
          <w:color w:val="000000"/>
          <w:sz w:val="22"/>
          <w:szCs w:val="22"/>
          <w:lang w:val="sr-Latn-CS"/>
        </w:rPr>
        <w:t xml:space="preserve">0% </w:t>
      </w:r>
      <w:r w:rsidRPr="00D21251">
        <w:rPr>
          <w:color w:val="000000"/>
          <w:sz w:val="22"/>
          <w:szCs w:val="22"/>
        </w:rPr>
        <w:t>kalorija</w:t>
      </w:r>
      <w:r w:rsidRPr="00531B03">
        <w:rPr>
          <w:color w:val="000000"/>
          <w:sz w:val="22"/>
          <w:szCs w:val="22"/>
          <w:lang w:val="sr-Latn-CS"/>
        </w:rPr>
        <w:t xml:space="preserve">) </w:t>
      </w:r>
      <w:r w:rsidRPr="00D21251">
        <w:rPr>
          <w:color w:val="000000"/>
          <w:sz w:val="22"/>
          <w:szCs w:val="22"/>
        </w:rPr>
        <w:t>i</w:t>
      </w:r>
      <w:r w:rsidRPr="00531B03">
        <w:rPr>
          <w:color w:val="000000"/>
          <w:sz w:val="22"/>
          <w:szCs w:val="22"/>
          <w:lang w:val="sr-Latn-CS"/>
        </w:rPr>
        <w:t xml:space="preserve"> </w:t>
      </w:r>
      <w:r w:rsidRPr="00D21251">
        <w:rPr>
          <w:color w:val="000000"/>
          <w:sz w:val="22"/>
          <w:szCs w:val="22"/>
        </w:rPr>
        <w:t>pokazala</w:t>
      </w:r>
      <w:r w:rsidRPr="00531B03">
        <w:rPr>
          <w:color w:val="000000"/>
          <w:sz w:val="22"/>
          <w:szCs w:val="22"/>
          <w:lang w:val="sr-Latn-CS"/>
        </w:rPr>
        <w:t xml:space="preserve"> </w:t>
      </w:r>
      <w:r w:rsidRPr="00D21251">
        <w:rPr>
          <w:color w:val="000000"/>
          <w:sz w:val="22"/>
          <w:szCs w:val="22"/>
        </w:rPr>
        <w:t>je</w:t>
      </w:r>
      <w:r w:rsidRPr="00531B03">
        <w:rPr>
          <w:color w:val="000000"/>
          <w:sz w:val="22"/>
          <w:szCs w:val="22"/>
          <w:lang w:val="sr-Latn-CS"/>
        </w:rPr>
        <w:t xml:space="preserve"> </w:t>
      </w:r>
      <w:r w:rsidRPr="00D21251">
        <w:rPr>
          <w:color w:val="000000"/>
          <w:sz w:val="22"/>
          <w:szCs w:val="22"/>
        </w:rPr>
        <w:t>da</w:t>
      </w:r>
      <w:r w:rsidRPr="00531B03">
        <w:rPr>
          <w:color w:val="000000"/>
          <w:sz w:val="22"/>
          <w:szCs w:val="22"/>
          <w:lang w:val="sr-Latn-CS"/>
        </w:rPr>
        <w:t xml:space="preserve"> </w:t>
      </w:r>
      <w:r w:rsidRPr="00D21251">
        <w:rPr>
          <w:color w:val="000000"/>
          <w:sz w:val="22"/>
          <w:szCs w:val="22"/>
        </w:rPr>
        <w:t>su</w:t>
      </w:r>
      <w:r w:rsidRPr="00531B03">
        <w:rPr>
          <w:color w:val="000000"/>
          <w:sz w:val="22"/>
          <w:szCs w:val="22"/>
          <w:lang w:val="sr-Latn-CS"/>
        </w:rPr>
        <w:t xml:space="preserve"> </w:t>
      </w:r>
      <w:r w:rsidRPr="00D21251">
        <w:rPr>
          <w:color w:val="000000"/>
          <w:sz w:val="22"/>
          <w:szCs w:val="22"/>
        </w:rPr>
        <w:t>PIK</w:t>
      </w:r>
      <w:r w:rsidRPr="00531B03">
        <w:rPr>
          <w:color w:val="000000"/>
          <w:sz w:val="22"/>
          <w:szCs w:val="22"/>
          <w:lang w:val="sr-Latn-CS"/>
        </w:rPr>
        <w:t xml:space="preserve"> </w:t>
      </w:r>
      <w:r w:rsidRPr="00D21251">
        <w:rPr>
          <w:color w:val="000000"/>
          <w:sz w:val="22"/>
          <w:szCs w:val="22"/>
        </w:rPr>
        <w:t>i</w:t>
      </w:r>
      <w:r w:rsidRPr="00531B03">
        <w:rPr>
          <w:color w:val="000000"/>
          <w:sz w:val="22"/>
          <w:szCs w:val="22"/>
          <w:lang w:val="sr-Latn-CS"/>
        </w:rPr>
        <w:t xml:space="preserve"> </w:t>
      </w:r>
      <w:r w:rsidRPr="00D21251">
        <w:rPr>
          <w:color w:val="000000"/>
          <w:sz w:val="22"/>
          <w:szCs w:val="22"/>
        </w:rPr>
        <w:t>C</w:t>
      </w:r>
      <w:r w:rsidRPr="00D21251">
        <w:rPr>
          <w:color w:val="000000"/>
          <w:sz w:val="22"/>
          <w:szCs w:val="22"/>
          <w:vertAlign w:val="subscript"/>
        </w:rPr>
        <w:t>max</w:t>
      </w:r>
      <w:r w:rsidRPr="00531B03">
        <w:rPr>
          <w:color w:val="000000"/>
          <w:sz w:val="22"/>
          <w:szCs w:val="22"/>
          <w:lang w:val="sr-Latn-CS"/>
        </w:rPr>
        <w:t xml:space="preserve"> </w:t>
      </w:r>
      <w:r w:rsidRPr="00D21251">
        <w:rPr>
          <w:color w:val="000000"/>
          <w:sz w:val="22"/>
          <w:szCs w:val="22"/>
        </w:rPr>
        <w:t>blago</w:t>
      </w:r>
      <w:r w:rsidRPr="00531B03">
        <w:rPr>
          <w:color w:val="000000"/>
          <w:sz w:val="22"/>
          <w:szCs w:val="22"/>
          <w:lang w:val="sr-Latn-CS"/>
        </w:rPr>
        <w:t xml:space="preserve"> </w:t>
      </w:r>
      <w:r w:rsidRPr="00D21251">
        <w:rPr>
          <w:color w:val="000000"/>
          <w:sz w:val="22"/>
          <w:szCs w:val="22"/>
        </w:rPr>
        <w:t>smanjeni</w:t>
      </w:r>
      <w:r w:rsidRPr="00531B03">
        <w:rPr>
          <w:color w:val="000000"/>
          <w:sz w:val="22"/>
          <w:szCs w:val="22"/>
          <w:lang w:val="sr-Latn-CS"/>
        </w:rPr>
        <w:t xml:space="preserve"> </w:t>
      </w:r>
      <w:r w:rsidRPr="00D21251">
        <w:rPr>
          <w:color w:val="000000"/>
          <w:sz w:val="22"/>
          <w:szCs w:val="22"/>
        </w:rPr>
        <w:t>nakon</w:t>
      </w:r>
      <w:r w:rsidRPr="00531B03">
        <w:rPr>
          <w:color w:val="000000"/>
          <w:sz w:val="22"/>
          <w:szCs w:val="22"/>
          <w:lang w:val="sr-Latn-CS"/>
        </w:rPr>
        <w:t xml:space="preserve"> </w:t>
      </w:r>
      <w:r w:rsidRPr="00D21251">
        <w:rPr>
          <w:color w:val="000000"/>
          <w:sz w:val="22"/>
          <w:szCs w:val="22"/>
        </w:rPr>
        <w:t>obroka</w:t>
      </w:r>
      <w:r w:rsidRPr="00531B03">
        <w:rPr>
          <w:color w:val="000000"/>
          <w:sz w:val="22"/>
          <w:szCs w:val="22"/>
          <w:lang w:val="sr-Latn-CS"/>
        </w:rPr>
        <w:t xml:space="preserve"> </w:t>
      </w:r>
      <w:r w:rsidRPr="00D21251">
        <w:rPr>
          <w:color w:val="000000"/>
          <w:sz w:val="22"/>
          <w:szCs w:val="22"/>
        </w:rPr>
        <w:t>sa</w:t>
      </w:r>
      <w:r w:rsidRPr="00531B03">
        <w:rPr>
          <w:color w:val="000000"/>
          <w:sz w:val="22"/>
          <w:szCs w:val="22"/>
          <w:lang w:val="sr-Latn-CS"/>
        </w:rPr>
        <w:t xml:space="preserve"> </w:t>
      </w:r>
      <w:r w:rsidRPr="00D21251">
        <w:rPr>
          <w:color w:val="000000"/>
          <w:sz w:val="22"/>
          <w:szCs w:val="22"/>
        </w:rPr>
        <w:t>niskim</w:t>
      </w:r>
      <w:r w:rsidRPr="00531B03">
        <w:rPr>
          <w:color w:val="000000"/>
          <w:sz w:val="22"/>
          <w:szCs w:val="22"/>
          <w:lang w:val="sr-Latn-CS"/>
        </w:rPr>
        <w:t xml:space="preserve"> </w:t>
      </w:r>
      <w:r w:rsidRPr="00D21251">
        <w:rPr>
          <w:color w:val="000000"/>
          <w:sz w:val="22"/>
          <w:szCs w:val="22"/>
        </w:rPr>
        <w:t>sadr</w:t>
      </w:r>
      <w:r w:rsidRPr="00531B03">
        <w:rPr>
          <w:color w:val="000000"/>
          <w:sz w:val="22"/>
          <w:szCs w:val="22"/>
          <w:lang w:val="sr-Latn-CS"/>
        </w:rPr>
        <w:t>ž</w:t>
      </w:r>
      <w:r w:rsidRPr="00D21251">
        <w:rPr>
          <w:color w:val="000000"/>
          <w:sz w:val="22"/>
          <w:szCs w:val="22"/>
        </w:rPr>
        <w:t>ajem</w:t>
      </w:r>
      <w:r w:rsidRPr="00531B03">
        <w:rPr>
          <w:color w:val="000000"/>
          <w:sz w:val="22"/>
          <w:szCs w:val="22"/>
          <w:lang w:val="sr-Latn-CS"/>
        </w:rPr>
        <w:t xml:space="preserve"> </w:t>
      </w:r>
      <w:r w:rsidRPr="00D21251">
        <w:rPr>
          <w:color w:val="000000"/>
          <w:sz w:val="22"/>
          <w:szCs w:val="22"/>
        </w:rPr>
        <w:t>masti</w:t>
      </w:r>
      <w:r w:rsidRPr="00531B03">
        <w:rPr>
          <w:color w:val="000000"/>
          <w:sz w:val="22"/>
          <w:szCs w:val="22"/>
          <w:lang w:val="sr-Latn-CS"/>
        </w:rPr>
        <w:t xml:space="preserve"> (</w:t>
      </w:r>
      <w:r w:rsidRPr="00D21251">
        <w:rPr>
          <w:color w:val="000000"/>
          <w:sz w:val="22"/>
          <w:szCs w:val="22"/>
        </w:rPr>
        <w:t>za</w:t>
      </w:r>
      <w:r w:rsidRPr="00531B03">
        <w:rPr>
          <w:color w:val="000000"/>
          <w:sz w:val="22"/>
          <w:szCs w:val="22"/>
          <w:lang w:val="sr-Latn-CS"/>
        </w:rPr>
        <w:t xml:space="preserve"> 11% </w:t>
      </w:r>
      <w:r w:rsidRPr="00D21251">
        <w:rPr>
          <w:color w:val="000000"/>
          <w:sz w:val="22"/>
          <w:szCs w:val="22"/>
        </w:rPr>
        <w:t>i</w:t>
      </w:r>
      <w:r w:rsidRPr="00531B03">
        <w:rPr>
          <w:color w:val="000000"/>
          <w:sz w:val="22"/>
          <w:szCs w:val="22"/>
          <w:lang w:val="sr-Latn-CS"/>
        </w:rPr>
        <w:t xml:space="preserve"> 16%). </w:t>
      </w:r>
      <w:r w:rsidRPr="00D21251">
        <w:rPr>
          <w:color w:val="000000"/>
          <w:sz w:val="22"/>
          <w:szCs w:val="22"/>
        </w:rPr>
        <w:t xml:space="preserve">Nakon obroka </w:t>
      </w:r>
      <w:proofErr w:type="gramStart"/>
      <w:r w:rsidRPr="00D21251">
        <w:rPr>
          <w:color w:val="000000"/>
          <w:sz w:val="22"/>
          <w:szCs w:val="22"/>
        </w:rPr>
        <w:t>sa</w:t>
      </w:r>
      <w:proofErr w:type="gramEnd"/>
      <w:r w:rsidRPr="00D21251">
        <w:rPr>
          <w:color w:val="000000"/>
          <w:sz w:val="22"/>
          <w:szCs w:val="22"/>
        </w:rPr>
        <w:t xml:space="preserve"> visokim sadržajem masti, PIK i C</w:t>
      </w:r>
      <w:r w:rsidRPr="00D21251">
        <w:rPr>
          <w:color w:val="000000"/>
          <w:sz w:val="22"/>
          <w:szCs w:val="22"/>
          <w:vertAlign w:val="subscript"/>
        </w:rPr>
        <w:t>max</w:t>
      </w:r>
      <w:r w:rsidRPr="00D21251">
        <w:rPr>
          <w:color w:val="000000"/>
          <w:sz w:val="22"/>
          <w:szCs w:val="22"/>
        </w:rPr>
        <w:t xml:space="preserve"> su bili povećani (za 18% i 29%). </w:t>
      </w:r>
      <w:r w:rsidRPr="007B063A">
        <w:rPr>
          <w:color w:val="000000"/>
          <w:sz w:val="22"/>
          <w:szCs w:val="22"/>
        </w:rPr>
        <w:t>Povećanja C</w:t>
      </w:r>
      <w:r w:rsidRPr="007B063A">
        <w:rPr>
          <w:color w:val="000000"/>
          <w:sz w:val="22"/>
          <w:szCs w:val="22"/>
          <w:vertAlign w:val="subscript"/>
        </w:rPr>
        <w:t>max</w:t>
      </w:r>
      <w:r w:rsidRPr="007B063A">
        <w:rPr>
          <w:color w:val="000000"/>
          <w:sz w:val="22"/>
          <w:szCs w:val="22"/>
        </w:rPr>
        <w:t xml:space="preserve"> koj</w:t>
      </w:r>
      <w:r w:rsidR="00064E4A" w:rsidRPr="007B063A">
        <w:rPr>
          <w:color w:val="000000"/>
          <w:sz w:val="22"/>
          <w:szCs w:val="22"/>
        </w:rPr>
        <w:t>a</w:t>
      </w:r>
      <w:r w:rsidRPr="00025570">
        <w:rPr>
          <w:color w:val="000000"/>
          <w:sz w:val="22"/>
          <w:szCs w:val="22"/>
        </w:rPr>
        <w:t xml:space="preserve"> </w:t>
      </w:r>
      <w:r w:rsidR="00064E4A" w:rsidRPr="007B063A">
        <w:rPr>
          <w:color w:val="000000"/>
          <w:sz w:val="22"/>
          <w:szCs w:val="22"/>
        </w:rPr>
        <w:t>su</w:t>
      </w:r>
      <w:r w:rsidRPr="007B063A">
        <w:rPr>
          <w:color w:val="000000"/>
          <w:sz w:val="22"/>
          <w:szCs w:val="22"/>
        </w:rPr>
        <w:t xml:space="preserve"> </w:t>
      </w:r>
      <w:r w:rsidR="000F5050" w:rsidRPr="007B063A">
        <w:rPr>
          <w:color w:val="000000"/>
          <w:sz w:val="22"/>
          <w:szCs w:val="22"/>
        </w:rPr>
        <w:t>posljed</w:t>
      </w:r>
      <w:r w:rsidRPr="007B063A">
        <w:rPr>
          <w:color w:val="000000"/>
          <w:sz w:val="22"/>
          <w:szCs w:val="22"/>
        </w:rPr>
        <w:t xml:space="preserve">ica </w:t>
      </w:r>
      <w:r w:rsidR="00F90136" w:rsidRPr="007B063A">
        <w:rPr>
          <w:color w:val="000000"/>
          <w:sz w:val="22"/>
          <w:szCs w:val="22"/>
        </w:rPr>
        <w:t>promjen</w:t>
      </w:r>
      <w:r w:rsidRPr="007B063A">
        <w:rPr>
          <w:color w:val="000000"/>
          <w:sz w:val="22"/>
          <w:szCs w:val="22"/>
        </w:rPr>
        <w:t xml:space="preserve">e formulacije </w:t>
      </w:r>
      <w:r w:rsidR="00344FF6" w:rsidRPr="007B063A">
        <w:rPr>
          <w:color w:val="000000"/>
          <w:sz w:val="22"/>
          <w:szCs w:val="22"/>
        </w:rPr>
        <w:t>lijek</w:t>
      </w:r>
      <w:r w:rsidRPr="007B063A">
        <w:rPr>
          <w:color w:val="000000"/>
          <w:sz w:val="22"/>
          <w:szCs w:val="22"/>
        </w:rPr>
        <w:t xml:space="preserve">a i uzimanja obroka </w:t>
      </w:r>
      <w:proofErr w:type="gramStart"/>
      <w:r w:rsidRPr="007B063A">
        <w:rPr>
          <w:color w:val="000000"/>
          <w:sz w:val="22"/>
          <w:szCs w:val="22"/>
        </w:rPr>
        <w:t>sa</w:t>
      </w:r>
      <w:proofErr w:type="gramEnd"/>
      <w:r w:rsidRPr="007B063A">
        <w:rPr>
          <w:color w:val="000000"/>
          <w:sz w:val="22"/>
          <w:szCs w:val="22"/>
        </w:rPr>
        <w:t xml:space="preserve"> </w:t>
      </w:r>
      <w:r w:rsidR="004E0369">
        <w:rPr>
          <w:color w:val="000000"/>
          <w:sz w:val="22"/>
          <w:szCs w:val="22"/>
        </w:rPr>
        <w:t>viso</w:t>
      </w:r>
      <w:r w:rsidR="004E0369" w:rsidRPr="007B063A">
        <w:rPr>
          <w:color w:val="000000"/>
          <w:sz w:val="22"/>
          <w:szCs w:val="22"/>
        </w:rPr>
        <w:t xml:space="preserve">kim </w:t>
      </w:r>
      <w:r w:rsidRPr="007B063A">
        <w:rPr>
          <w:color w:val="000000"/>
          <w:sz w:val="22"/>
          <w:szCs w:val="22"/>
        </w:rPr>
        <w:t xml:space="preserve">sadržajem masti </w:t>
      </w:r>
      <w:r w:rsidR="004E0369" w:rsidRPr="007B063A">
        <w:rPr>
          <w:color w:val="000000"/>
          <w:sz w:val="22"/>
          <w:szCs w:val="22"/>
        </w:rPr>
        <w:t>mo</w:t>
      </w:r>
      <w:r w:rsidR="004E0369">
        <w:rPr>
          <w:color w:val="000000"/>
          <w:sz w:val="22"/>
          <w:szCs w:val="22"/>
        </w:rPr>
        <w:t>gu</w:t>
      </w:r>
      <w:r w:rsidR="004E0369" w:rsidRPr="007B063A">
        <w:rPr>
          <w:color w:val="000000"/>
          <w:sz w:val="22"/>
          <w:szCs w:val="22"/>
        </w:rPr>
        <w:t xml:space="preserve"> </w:t>
      </w:r>
      <w:r w:rsidRPr="007B063A">
        <w:rPr>
          <w:color w:val="000000"/>
          <w:sz w:val="22"/>
          <w:szCs w:val="22"/>
        </w:rPr>
        <w:t xml:space="preserve">biti </w:t>
      </w:r>
      <w:r w:rsidR="004E0369" w:rsidRPr="007B063A">
        <w:rPr>
          <w:color w:val="000000"/>
          <w:sz w:val="22"/>
          <w:szCs w:val="22"/>
        </w:rPr>
        <w:t>aditivn</w:t>
      </w:r>
      <w:r w:rsidR="004E0369">
        <w:rPr>
          <w:color w:val="000000"/>
          <w:sz w:val="22"/>
          <w:szCs w:val="22"/>
        </w:rPr>
        <w:t>a,</w:t>
      </w:r>
      <w:r w:rsidR="004E0369" w:rsidRPr="007B063A">
        <w:rPr>
          <w:color w:val="000000"/>
          <w:sz w:val="22"/>
          <w:szCs w:val="22"/>
        </w:rPr>
        <w:t xml:space="preserve"> </w:t>
      </w:r>
      <w:r w:rsidRPr="007B063A">
        <w:rPr>
          <w:color w:val="000000"/>
          <w:sz w:val="22"/>
          <w:szCs w:val="22"/>
        </w:rPr>
        <w:t>pa se preporučuje da se film tablete uzimaju ili na prazan stomak ili uz lagan obrok.</w:t>
      </w:r>
    </w:p>
    <w:p w14:paraId="4B383286" w14:textId="77777777" w:rsidR="0058338A" w:rsidRPr="00D21251" w:rsidRDefault="0058338A" w:rsidP="00531B03">
      <w:pPr>
        <w:pStyle w:val="Header"/>
        <w:tabs>
          <w:tab w:val="left" w:pos="284"/>
        </w:tabs>
        <w:jc w:val="both"/>
        <w:rPr>
          <w:sz w:val="22"/>
          <w:szCs w:val="22"/>
          <w:lang w:val="sr-Latn-CS"/>
        </w:rPr>
      </w:pPr>
    </w:p>
    <w:p w14:paraId="45F72867" w14:textId="77777777" w:rsidR="0058338A" w:rsidRPr="00D21251" w:rsidRDefault="0058338A" w:rsidP="00531B03">
      <w:pPr>
        <w:jc w:val="both"/>
        <w:rPr>
          <w:b/>
          <w:sz w:val="22"/>
          <w:szCs w:val="22"/>
          <w:lang w:val="sr-Latn-CS"/>
        </w:rPr>
      </w:pPr>
      <w:r w:rsidRPr="00D21251">
        <w:rPr>
          <w:sz w:val="22"/>
          <w:szCs w:val="22"/>
          <w:u w:val="single"/>
          <w:lang w:val="sr-Latn-CS"/>
        </w:rPr>
        <w:t>Distribucija</w:t>
      </w:r>
    </w:p>
    <w:p w14:paraId="35D5DC92" w14:textId="77777777" w:rsidR="0058338A" w:rsidRPr="00D21251" w:rsidRDefault="0058338A" w:rsidP="00531B03">
      <w:pPr>
        <w:jc w:val="both"/>
        <w:rPr>
          <w:sz w:val="22"/>
          <w:szCs w:val="22"/>
          <w:lang w:val="sr-Latn-CS"/>
        </w:rPr>
      </w:pPr>
      <w:r w:rsidRPr="00D21251">
        <w:rPr>
          <w:sz w:val="22"/>
          <w:szCs w:val="22"/>
          <w:lang w:val="sr-Latn-CS"/>
        </w:rPr>
        <w:t xml:space="preserve">Deferasiroks se u velikoj </w:t>
      </w:r>
      <w:r w:rsidR="003864AD">
        <w:rPr>
          <w:sz w:val="22"/>
          <w:szCs w:val="22"/>
          <w:lang w:val="sr-Latn-CS"/>
        </w:rPr>
        <w:t>mjer</w:t>
      </w:r>
      <w:r w:rsidRPr="00D21251">
        <w:rPr>
          <w:sz w:val="22"/>
          <w:szCs w:val="22"/>
          <w:lang w:val="sr-Latn-CS"/>
        </w:rPr>
        <w:t>i vezuje za proteine plazme (99%)</w:t>
      </w:r>
      <w:r w:rsidR="002577E8">
        <w:rPr>
          <w:sz w:val="22"/>
          <w:szCs w:val="22"/>
          <w:lang w:val="sr-Latn-CS"/>
        </w:rPr>
        <w:t>,</w:t>
      </w:r>
      <w:r w:rsidRPr="00D21251">
        <w:rPr>
          <w:sz w:val="22"/>
          <w:szCs w:val="22"/>
          <w:lang w:val="sr-Latn-CS"/>
        </w:rPr>
        <w:t xml:space="preserve"> i to skoro isključivo za serumski albumin, i ima mali volumen distribucije od oko 14 litara kod odraslih. </w:t>
      </w:r>
    </w:p>
    <w:p w14:paraId="687BAF1E" w14:textId="77777777" w:rsidR="0058338A" w:rsidRPr="00D21251" w:rsidRDefault="0058338A" w:rsidP="00531B03">
      <w:pPr>
        <w:jc w:val="both"/>
        <w:rPr>
          <w:sz w:val="22"/>
          <w:szCs w:val="22"/>
          <w:lang w:val="sr-Latn-CS"/>
        </w:rPr>
      </w:pPr>
    </w:p>
    <w:p w14:paraId="6BFA092F" w14:textId="77777777" w:rsidR="0058338A" w:rsidRPr="00D21251" w:rsidRDefault="0058338A" w:rsidP="00531B03">
      <w:pPr>
        <w:jc w:val="both"/>
        <w:rPr>
          <w:sz w:val="22"/>
          <w:szCs w:val="22"/>
          <w:u w:val="single"/>
          <w:lang w:val="sr-Latn-CS"/>
        </w:rPr>
      </w:pPr>
      <w:r w:rsidRPr="00D21251">
        <w:rPr>
          <w:sz w:val="22"/>
          <w:szCs w:val="22"/>
          <w:u w:val="single"/>
          <w:lang w:val="sr-Latn-CS"/>
        </w:rPr>
        <w:t>Biotransformacija</w:t>
      </w:r>
    </w:p>
    <w:p w14:paraId="723F3081" w14:textId="77777777" w:rsidR="0058338A" w:rsidRPr="00D21251" w:rsidRDefault="0058338A" w:rsidP="00531B03">
      <w:pPr>
        <w:jc w:val="both"/>
        <w:rPr>
          <w:sz w:val="22"/>
          <w:szCs w:val="22"/>
          <w:lang w:val="sr-Latn-CS"/>
        </w:rPr>
      </w:pPr>
      <w:r w:rsidRPr="00D21251">
        <w:rPr>
          <w:sz w:val="22"/>
          <w:szCs w:val="22"/>
          <w:lang w:val="sr-Latn-CS"/>
        </w:rPr>
        <w:t>Glukuronidacija je glavni metabolički put deferasiroksa sa naknadnim izlučivanjem putem žuči. V</w:t>
      </w:r>
      <w:r w:rsidR="00A94FB7">
        <w:rPr>
          <w:sz w:val="22"/>
          <w:szCs w:val="22"/>
          <w:lang w:val="sr-Latn-CS"/>
        </w:rPr>
        <w:t>j</w:t>
      </w:r>
      <w:r w:rsidRPr="00D21251">
        <w:rPr>
          <w:sz w:val="22"/>
          <w:szCs w:val="22"/>
          <w:lang w:val="sr-Latn-CS"/>
        </w:rPr>
        <w:t>erovatno je da se u cr</w:t>
      </w:r>
      <w:r w:rsidR="0065396C">
        <w:rPr>
          <w:sz w:val="22"/>
          <w:szCs w:val="22"/>
          <w:lang w:val="sr-Latn-CS"/>
        </w:rPr>
        <w:t>ij</w:t>
      </w:r>
      <w:r w:rsidRPr="00D21251">
        <w:rPr>
          <w:sz w:val="22"/>
          <w:szCs w:val="22"/>
          <w:lang w:val="sr-Latn-CS"/>
        </w:rPr>
        <w:t xml:space="preserve">evima odvija dekonjugacija glukuronida i naknadna reapsorpcija (enterohepatička recirkulacija): u studiji kod zdravih dobrovoljaca, davanje holestiramina </w:t>
      </w:r>
      <w:r w:rsidR="00CF7D2F">
        <w:rPr>
          <w:sz w:val="22"/>
          <w:szCs w:val="22"/>
          <w:lang w:val="sr-Latn-CS"/>
        </w:rPr>
        <w:t>poslije</w:t>
      </w:r>
      <w:r w:rsidRPr="00D21251">
        <w:rPr>
          <w:sz w:val="22"/>
          <w:szCs w:val="22"/>
          <w:lang w:val="sr-Latn-CS"/>
        </w:rPr>
        <w:t xml:space="preserve"> pojedinačne doze deferoksamina je dovela do smanjenja izloženosti (PIK) deferoksaminu za 45%.</w:t>
      </w:r>
    </w:p>
    <w:p w14:paraId="7D34BC5F" w14:textId="77777777" w:rsidR="0058338A" w:rsidRPr="00D21251" w:rsidRDefault="0058338A" w:rsidP="00531B03">
      <w:pPr>
        <w:jc w:val="both"/>
        <w:rPr>
          <w:sz w:val="22"/>
          <w:szCs w:val="22"/>
          <w:lang w:val="sr-Latn-CS"/>
        </w:rPr>
      </w:pPr>
    </w:p>
    <w:p w14:paraId="6B2B7DEC" w14:textId="77777777" w:rsidR="0058338A" w:rsidRPr="00D21251" w:rsidRDefault="0058338A" w:rsidP="00531B03">
      <w:pPr>
        <w:jc w:val="both"/>
        <w:rPr>
          <w:b/>
          <w:sz w:val="22"/>
          <w:szCs w:val="22"/>
          <w:u w:val="single"/>
          <w:lang w:val="sr-Latn-CS"/>
        </w:rPr>
      </w:pPr>
      <w:r w:rsidRPr="00D21251">
        <w:rPr>
          <w:sz w:val="22"/>
          <w:szCs w:val="22"/>
          <w:lang w:val="sr-Latn-CS"/>
        </w:rPr>
        <w:t xml:space="preserve">Glukuronidacija deferasiroksa uglavnom se odvija pomoću UGT1A1, a u manjoj </w:t>
      </w:r>
      <w:r w:rsidR="003864AD">
        <w:rPr>
          <w:sz w:val="22"/>
          <w:szCs w:val="22"/>
          <w:lang w:val="sr-Latn-CS"/>
        </w:rPr>
        <w:t>mjer</w:t>
      </w:r>
      <w:r w:rsidRPr="00D21251">
        <w:rPr>
          <w:sz w:val="22"/>
          <w:szCs w:val="22"/>
          <w:lang w:val="sr-Latn-CS"/>
        </w:rPr>
        <w:t xml:space="preserve">i pomoću UGT1A3. Metabolizam deferasiroksa (oksidativni) koji je katalizovan CYP450 kod ljudi je izgleda neznatan (oko 8%). Nije opisana </w:t>
      </w:r>
      <w:r w:rsidRPr="00D21251">
        <w:rPr>
          <w:i/>
          <w:sz w:val="22"/>
          <w:szCs w:val="22"/>
          <w:lang w:val="sr-Latn-CS"/>
        </w:rPr>
        <w:t>in vitro</w:t>
      </w:r>
      <w:r w:rsidRPr="00D21251">
        <w:rPr>
          <w:sz w:val="22"/>
          <w:szCs w:val="22"/>
          <w:lang w:val="sr-Latn-CS"/>
        </w:rPr>
        <w:t xml:space="preserve"> inhibicija metabolizma deferasiroksa hidroksiureom</w:t>
      </w:r>
      <w:r w:rsidRPr="00D21251">
        <w:rPr>
          <w:i/>
          <w:sz w:val="22"/>
          <w:szCs w:val="22"/>
          <w:lang w:val="sr-Latn-CS"/>
        </w:rPr>
        <w:t>.</w:t>
      </w:r>
      <w:r w:rsidRPr="00D21251">
        <w:rPr>
          <w:sz w:val="22"/>
          <w:szCs w:val="22"/>
          <w:lang w:val="sr-Latn-CS"/>
        </w:rPr>
        <w:t xml:space="preserve"> </w:t>
      </w:r>
    </w:p>
    <w:p w14:paraId="7E8AB8D9" w14:textId="77777777" w:rsidR="0058338A" w:rsidRPr="00D21251" w:rsidRDefault="0058338A" w:rsidP="00531B03">
      <w:pPr>
        <w:jc w:val="both"/>
        <w:rPr>
          <w:b/>
          <w:sz w:val="22"/>
          <w:szCs w:val="22"/>
          <w:lang w:val="sr-Latn-CS"/>
        </w:rPr>
      </w:pPr>
    </w:p>
    <w:p w14:paraId="2AE24F40" w14:textId="77777777" w:rsidR="0058338A" w:rsidRPr="00D21251" w:rsidRDefault="0058338A" w:rsidP="00531B03">
      <w:pPr>
        <w:jc w:val="both"/>
        <w:rPr>
          <w:sz w:val="22"/>
          <w:szCs w:val="22"/>
          <w:u w:val="single"/>
          <w:lang w:val="sr-Latn-CS"/>
        </w:rPr>
      </w:pPr>
      <w:r w:rsidRPr="00D21251">
        <w:rPr>
          <w:sz w:val="22"/>
          <w:szCs w:val="22"/>
          <w:u w:val="single"/>
          <w:lang w:val="sr-Latn-CS"/>
        </w:rPr>
        <w:t>Eliminacija</w:t>
      </w:r>
    </w:p>
    <w:p w14:paraId="47070BD0" w14:textId="77777777" w:rsidR="0058338A" w:rsidRPr="00D21251" w:rsidRDefault="0058338A" w:rsidP="00531B03">
      <w:pPr>
        <w:jc w:val="both"/>
        <w:rPr>
          <w:sz w:val="22"/>
          <w:szCs w:val="22"/>
          <w:lang w:val="sr-Latn-CS"/>
        </w:rPr>
      </w:pPr>
      <w:r w:rsidRPr="00D21251">
        <w:rPr>
          <w:sz w:val="22"/>
          <w:szCs w:val="22"/>
          <w:lang w:val="sr-Latn-CS"/>
        </w:rPr>
        <w:t xml:space="preserve">Deferasiroks i njegovi metaboliti se prvenstveno izlučuju putem </w:t>
      </w:r>
      <w:r w:rsidR="00D158C9">
        <w:rPr>
          <w:sz w:val="22"/>
          <w:szCs w:val="22"/>
          <w:lang w:val="sr-Latn-CS"/>
        </w:rPr>
        <w:t>fecesa</w:t>
      </w:r>
      <w:r w:rsidR="00D158C9" w:rsidRPr="00D21251">
        <w:rPr>
          <w:sz w:val="22"/>
          <w:szCs w:val="22"/>
          <w:lang w:val="sr-Latn-CS"/>
        </w:rPr>
        <w:t xml:space="preserve"> </w:t>
      </w:r>
      <w:r w:rsidRPr="00D21251">
        <w:rPr>
          <w:sz w:val="22"/>
          <w:szCs w:val="22"/>
          <w:lang w:val="sr-Latn-CS"/>
        </w:rPr>
        <w:t xml:space="preserve">(84% doze). Izlučivanje deferasiroksa i njegovih metabolita putem bubrega je minimalno (8% doze). </w:t>
      </w:r>
      <w:r w:rsidR="0065396C">
        <w:rPr>
          <w:sz w:val="22"/>
          <w:szCs w:val="22"/>
          <w:lang w:val="sr-Latn-CS"/>
        </w:rPr>
        <w:t>Prosje</w:t>
      </w:r>
      <w:r w:rsidRPr="00D21251">
        <w:rPr>
          <w:sz w:val="22"/>
          <w:szCs w:val="22"/>
          <w:lang w:val="sr-Latn-CS"/>
        </w:rPr>
        <w:t>čno poluvr</w:t>
      </w:r>
      <w:r w:rsidR="0065396C">
        <w:rPr>
          <w:sz w:val="22"/>
          <w:szCs w:val="22"/>
          <w:lang w:val="sr-Latn-CS"/>
        </w:rPr>
        <w:t>ij</w:t>
      </w:r>
      <w:r w:rsidRPr="00D21251">
        <w:rPr>
          <w:sz w:val="22"/>
          <w:szCs w:val="22"/>
          <w:lang w:val="sr-Latn-CS"/>
        </w:rPr>
        <w:t>eme eliminacije (t</w:t>
      </w:r>
      <w:r w:rsidRPr="00D21251">
        <w:rPr>
          <w:sz w:val="22"/>
          <w:szCs w:val="22"/>
          <w:vertAlign w:val="subscript"/>
          <w:lang w:val="sr-Latn-CS"/>
        </w:rPr>
        <w:t>1/2</w:t>
      </w:r>
      <w:r w:rsidRPr="00D21251">
        <w:rPr>
          <w:sz w:val="22"/>
          <w:szCs w:val="22"/>
          <w:lang w:val="sr-Latn-CS"/>
        </w:rPr>
        <w:t>) je u opsegu između 8 i 16 sati. Transporteri MRP2 i MXR (BCRP) su uključeni u izlučivanje deferasiroksa putem žuči.</w:t>
      </w:r>
    </w:p>
    <w:p w14:paraId="745D01ED" w14:textId="77777777" w:rsidR="0058338A" w:rsidRPr="00D21251" w:rsidRDefault="0058338A" w:rsidP="00531B03">
      <w:pPr>
        <w:jc w:val="both"/>
        <w:rPr>
          <w:sz w:val="22"/>
          <w:szCs w:val="22"/>
          <w:lang w:val="sr-Latn-CS"/>
        </w:rPr>
      </w:pPr>
    </w:p>
    <w:p w14:paraId="2F1FD95C" w14:textId="77777777" w:rsidR="0058338A" w:rsidRPr="00D21251" w:rsidRDefault="0058338A" w:rsidP="00531B03">
      <w:pPr>
        <w:jc w:val="both"/>
        <w:rPr>
          <w:b/>
          <w:sz w:val="22"/>
          <w:szCs w:val="22"/>
          <w:lang w:val="sr-Latn-CS"/>
        </w:rPr>
      </w:pPr>
      <w:r w:rsidRPr="00D21251">
        <w:rPr>
          <w:sz w:val="22"/>
          <w:szCs w:val="22"/>
          <w:u w:val="single"/>
          <w:lang w:val="sr-Latn-CS"/>
        </w:rPr>
        <w:lastRenderedPageBreak/>
        <w:t>Linearnost/nelinearnost</w:t>
      </w:r>
    </w:p>
    <w:p w14:paraId="73E2666D" w14:textId="77777777" w:rsidR="0058338A" w:rsidRPr="00D21251" w:rsidRDefault="0058338A" w:rsidP="00531B03">
      <w:pPr>
        <w:jc w:val="both"/>
        <w:rPr>
          <w:sz w:val="22"/>
          <w:szCs w:val="22"/>
          <w:lang w:val="sr-Latn-CS"/>
        </w:rPr>
      </w:pPr>
      <w:r w:rsidRPr="00D21251">
        <w:rPr>
          <w:sz w:val="22"/>
          <w:szCs w:val="22"/>
          <w:lang w:val="sr-Latn-CS"/>
        </w:rPr>
        <w:t>Vr</w:t>
      </w:r>
      <w:r w:rsidR="0071118F">
        <w:rPr>
          <w:sz w:val="22"/>
          <w:szCs w:val="22"/>
          <w:lang w:val="sr-Latn-CS"/>
        </w:rPr>
        <w:t>ij</w:t>
      </w:r>
      <w:r w:rsidRPr="00D21251">
        <w:rPr>
          <w:sz w:val="22"/>
          <w:szCs w:val="22"/>
          <w:lang w:val="sr-Latn-CS"/>
        </w:rPr>
        <w:t>ednost</w:t>
      </w:r>
      <w:r w:rsidR="00253D25">
        <w:rPr>
          <w:sz w:val="22"/>
          <w:szCs w:val="22"/>
          <w:lang w:val="sr-Latn-CS"/>
        </w:rPr>
        <w:t>i</w:t>
      </w:r>
      <w:r w:rsidRPr="00D21251">
        <w:rPr>
          <w:sz w:val="22"/>
          <w:szCs w:val="22"/>
          <w:lang w:val="sr-Latn-CS"/>
        </w:rPr>
        <w:t xml:space="preserve"> C</w:t>
      </w:r>
      <w:r w:rsidRPr="00D21251">
        <w:rPr>
          <w:sz w:val="22"/>
          <w:szCs w:val="22"/>
          <w:vertAlign w:val="subscript"/>
          <w:lang w:val="sr-Latn-CS"/>
        </w:rPr>
        <w:t>max</w:t>
      </w:r>
      <w:r w:rsidRPr="00D21251">
        <w:rPr>
          <w:sz w:val="22"/>
          <w:szCs w:val="22"/>
          <w:lang w:val="sr-Latn-CS"/>
        </w:rPr>
        <w:t xml:space="preserve"> i PIK</w:t>
      </w:r>
      <w:r w:rsidRPr="00D21251">
        <w:rPr>
          <w:sz w:val="22"/>
          <w:szCs w:val="22"/>
          <w:vertAlign w:val="subscript"/>
          <w:lang w:val="sr-Latn-CS"/>
        </w:rPr>
        <w:t>0-24h</w:t>
      </w:r>
      <w:r w:rsidRPr="00D21251">
        <w:rPr>
          <w:sz w:val="22"/>
          <w:szCs w:val="22"/>
          <w:lang w:val="sr-Latn-CS"/>
        </w:rPr>
        <w:t xml:space="preserve"> deferasiroksa rast</w:t>
      </w:r>
      <w:r w:rsidR="00253D25">
        <w:rPr>
          <w:sz w:val="22"/>
          <w:szCs w:val="22"/>
          <w:lang w:val="sr-Latn-CS"/>
        </w:rPr>
        <w:t>u</w:t>
      </w:r>
      <w:r w:rsidRPr="00D21251">
        <w:rPr>
          <w:sz w:val="22"/>
          <w:szCs w:val="22"/>
          <w:lang w:val="sr-Latn-CS"/>
        </w:rPr>
        <w:t xml:space="preserve"> približno linearno sa porastom doze u uslovima ravnotežnog stanja. Posl</w:t>
      </w:r>
      <w:r w:rsidR="00CF7D2F">
        <w:rPr>
          <w:sz w:val="22"/>
          <w:szCs w:val="22"/>
          <w:lang w:val="sr-Latn-CS"/>
        </w:rPr>
        <w:t>ij</w:t>
      </w:r>
      <w:r w:rsidRPr="00D21251">
        <w:rPr>
          <w:sz w:val="22"/>
          <w:szCs w:val="22"/>
          <w:lang w:val="sr-Latn-CS"/>
        </w:rPr>
        <w:t>e ponovljene</w:t>
      </w:r>
      <w:r w:rsidRPr="00D21251">
        <w:rPr>
          <w:color w:val="FF0000"/>
          <w:sz w:val="22"/>
          <w:szCs w:val="22"/>
          <w:lang w:val="sr-Latn-CS"/>
        </w:rPr>
        <w:t xml:space="preserve"> </w:t>
      </w:r>
      <w:r w:rsidRPr="00D21251">
        <w:rPr>
          <w:sz w:val="22"/>
          <w:szCs w:val="22"/>
          <w:lang w:val="sr-Latn-CS"/>
        </w:rPr>
        <w:t>prim</w:t>
      </w:r>
      <w:r w:rsidR="00344FF6">
        <w:rPr>
          <w:sz w:val="22"/>
          <w:szCs w:val="22"/>
          <w:lang w:val="sr-Latn-CS"/>
        </w:rPr>
        <w:t>j</w:t>
      </w:r>
      <w:r w:rsidRPr="00D21251">
        <w:rPr>
          <w:sz w:val="22"/>
          <w:szCs w:val="22"/>
          <w:lang w:val="sr-Latn-CS"/>
        </w:rPr>
        <w:t xml:space="preserve">ene </w:t>
      </w:r>
      <w:r w:rsidR="00344FF6">
        <w:rPr>
          <w:sz w:val="22"/>
          <w:szCs w:val="22"/>
          <w:lang w:val="sr-Latn-CS"/>
        </w:rPr>
        <w:t>lijek</w:t>
      </w:r>
      <w:r w:rsidRPr="00D21251">
        <w:rPr>
          <w:sz w:val="22"/>
          <w:szCs w:val="22"/>
          <w:lang w:val="sr-Latn-CS"/>
        </w:rPr>
        <w:t>a</w:t>
      </w:r>
      <w:r w:rsidR="00D158C9">
        <w:rPr>
          <w:sz w:val="22"/>
          <w:szCs w:val="22"/>
          <w:lang w:val="sr-Latn-CS"/>
        </w:rPr>
        <w:t>,</w:t>
      </w:r>
      <w:r w:rsidRPr="00D21251">
        <w:rPr>
          <w:sz w:val="22"/>
          <w:szCs w:val="22"/>
          <w:lang w:val="sr-Latn-CS"/>
        </w:rPr>
        <w:t xml:space="preserve"> izloženost je porasla za faktor akumulacije od 1,3 do 2,3.</w:t>
      </w:r>
    </w:p>
    <w:p w14:paraId="4F8052CA" w14:textId="77777777" w:rsidR="0058338A" w:rsidRPr="00D21251" w:rsidRDefault="0058338A" w:rsidP="00531B03">
      <w:pPr>
        <w:jc w:val="both"/>
        <w:rPr>
          <w:b/>
          <w:sz w:val="22"/>
          <w:szCs w:val="22"/>
          <w:lang w:val="sr-Latn-CS"/>
        </w:rPr>
      </w:pPr>
    </w:p>
    <w:p w14:paraId="08F4FE81" w14:textId="77777777" w:rsidR="0058338A" w:rsidRPr="00D21251" w:rsidRDefault="00064E4A" w:rsidP="00531B03">
      <w:pPr>
        <w:jc w:val="both"/>
        <w:rPr>
          <w:sz w:val="22"/>
          <w:szCs w:val="22"/>
          <w:u w:val="single"/>
          <w:lang w:val="sr-Latn-CS"/>
        </w:rPr>
      </w:pPr>
      <w:r>
        <w:rPr>
          <w:sz w:val="22"/>
          <w:szCs w:val="22"/>
          <w:u w:val="single"/>
          <w:lang w:val="sr-Latn-CS"/>
        </w:rPr>
        <w:t>Posebne populacije</w:t>
      </w:r>
      <w:r w:rsidR="0058338A" w:rsidRPr="00D21251">
        <w:rPr>
          <w:sz w:val="22"/>
          <w:szCs w:val="22"/>
          <w:u w:val="single"/>
          <w:lang w:val="sr-Latn-CS"/>
        </w:rPr>
        <w:t xml:space="preserve"> pacijenata</w:t>
      </w:r>
    </w:p>
    <w:p w14:paraId="39D45CA7" w14:textId="77777777" w:rsidR="0058338A" w:rsidRPr="00D21251" w:rsidRDefault="0058338A" w:rsidP="00531B03">
      <w:pPr>
        <w:pStyle w:val="Header"/>
        <w:tabs>
          <w:tab w:val="left" w:pos="284"/>
        </w:tabs>
        <w:jc w:val="both"/>
        <w:rPr>
          <w:sz w:val="22"/>
          <w:szCs w:val="22"/>
          <w:lang w:val="sr-Latn-CS"/>
        </w:rPr>
      </w:pPr>
    </w:p>
    <w:p w14:paraId="22F33894" w14:textId="77777777" w:rsidR="0058338A" w:rsidRPr="00D21251" w:rsidRDefault="0058338A" w:rsidP="00531B03">
      <w:pPr>
        <w:jc w:val="both"/>
        <w:rPr>
          <w:i/>
          <w:sz w:val="22"/>
          <w:szCs w:val="22"/>
          <w:lang w:val="sr-Latn-CS"/>
        </w:rPr>
      </w:pPr>
      <w:r w:rsidRPr="00D21251">
        <w:rPr>
          <w:i/>
          <w:sz w:val="22"/>
          <w:szCs w:val="22"/>
          <w:lang w:val="sr-Latn-CS"/>
        </w:rPr>
        <w:t>Pedijatrijski pacijenti</w:t>
      </w:r>
    </w:p>
    <w:p w14:paraId="67CE4B4C" w14:textId="77777777" w:rsidR="0058338A" w:rsidRPr="00D21251" w:rsidRDefault="0058338A" w:rsidP="00531B03">
      <w:pPr>
        <w:jc w:val="both"/>
        <w:rPr>
          <w:sz w:val="22"/>
          <w:szCs w:val="22"/>
          <w:lang w:val="sr-Latn-CS"/>
        </w:rPr>
      </w:pPr>
      <w:r w:rsidRPr="00D21251">
        <w:rPr>
          <w:sz w:val="22"/>
          <w:szCs w:val="22"/>
          <w:lang w:val="sr-Latn-CS"/>
        </w:rPr>
        <w:t xml:space="preserve">Ukupna izloženost </w:t>
      </w:r>
      <w:r w:rsidR="00253D25" w:rsidRPr="00253D25">
        <w:rPr>
          <w:sz w:val="22"/>
          <w:szCs w:val="22"/>
        </w:rPr>
        <w:t>deferasiroksu</w:t>
      </w:r>
      <w:r w:rsidR="00253D25" w:rsidRPr="00531B03">
        <w:rPr>
          <w:sz w:val="22"/>
          <w:szCs w:val="22"/>
          <w:lang w:val="sr-Latn-CS"/>
        </w:rPr>
        <w:t xml:space="preserve"> </w:t>
      </w:r>
      <w:r w:rsidRPr="00D21251">
        <w:rPr>
          <w:sz w:val="22"/>
          <w:szCs w:val="22"/>
          <w:lang w:val="sr-Latn-CS"/>
        </w:rPr>
        <w:t xml:space="preserve">adolescenata (uzrasta 12 do </w:t>
      </w:r>
      <w:r w:rsidRPr="00531B03">
        <w:rPr>
          <w:color w:val="000000"/>
          <w:sz w:val="22"/>
          <w:szCs w:val="22"/>
          <w:lang w:val="sr-Latn-CS"/>
        </w:rPr>
        <w:t>≤</w:t>
      </w:r>
      <w:r w:rsidRPr="00D21251">
        <w:rPr>
          <w:sz w:val="22"/>
          <w:szCs w:val="22"/>
          <w:lang w:val="sr-Latn-CS"/>
        </w:rPr>
        <w:t>17 godina) i d</w:t>
      </w:r>
      <w:r w:rsidR="009A2ACE">
        <w:rPr>
          <w:sz w:val="22"/>
          <w:szCs w:val="22"/>
          <w:lang w:val="sr-Latn-CS"/>
        </w:rPr>
        <w:t>j</w:t>
      </w:r>
      <w:r w:rsidRPr="00D21251">
        <w:rPr>
          <w:sz w:val="22"/>
          <w:szCs w:val="22"/>
          <w:lang w:val="sr-Latn-CS"/>
        </w:rPr>
        <w:t xml:space="preserve">ece (uzrasta 2 do &lt;12 godina) </w:t>
      </w:r>
      <w:r w:rsidR="00CF7D2F">
        <w:rPr>
          <w:sz w:val="22"/>
          <w:szCs w:val="22"/>
          <w:lang w:val="sr-Latn-CS"/>
        </w:rPr>
        <w:t>poslije</w:t>
      </w:r>
      <w:r w:rsidRPr="00D21251">
        <w:rPr>
          <w:sz w:val="22"/>
          <w:szCs w:val="22"/>
          <w:lang w:val="sr-Latn-CS"/>
        </w:rPr>
        <w:t xml:space="preserve"> pojedinačne i ponovljenih doza niža je nego kod odraslih pacijenata. Kod d</w:t>
      </w:r>
      <w:r w:rsidR="009A2ACE">
        <w:rPr>
          <w:sz w:val="22"/>
          <w:szCs w:val="22"/>
          <w:lang w:val="sr-Latn-CS"/>
        </w:rPr>
        <w:t>j</w:t>
      </w:r>
      <w:r w:rsidRPr="00D21251">
        <w:rPr>
          <w:sz w:val="22"/>
          <w:szCs w:val="22"/>
          <w:lang w:val="sr-Latn-CS"/>
        </w:rPr>
        <w:t>ece mlađe od 6 godina</w:t>
      </w:r>
      <w:r w:rsidR="00D158C9">
        <w:rPr>
          <w:sz w:val="22"/>
          <w:szCs w:val="22"/>
          <w:lang w:val="sr-Latn-CS"/>
        </w:rPr>
        <w:t>,</w:t>
      </w:r>
      <w:r w:rsidRPr="00D21251">
        <w:rPr>
          <w:sz w:val="22"/>
          <w:szCs w:val="22"/>
          <w:lang w:val="sr-Latn-CS"/>
        </w:rPr>
        <w:t xml:space="preserve"> izloženost je bila za oko 50% niža nego kod odraslih. Ne očekuju se kliničke </w:t>
      </w:r>
      <w:r w:rsidR="000F5050">
        <w:rPr>
          <w:sz w:val="22"/>
          <w:szCs w:val="22"/>
          <w:lang w:val="sr-Latn-CS"/>
        </w:rPr>
        <w:t>posljed</w:t>
      </w:r>
      <w:r w:rsidRPr="00D21251">
        <w:rPr>
          <w:sz w:val="22"/>
          <w:szCs w:val="22"/>
          <w:lang w:val="sr-Latn-CS"/>
        </w:rPr>
        <w:t>ice</w:t>
      </w:r>
      <w:r w:rsidR="00D158C9">
        <w:rPr>
          <w:sz w:val="22"/>
          <w:szCs w:val="22"/>
          <w:lang w:val="sr-Latn-CS"/>
        </w:rPr>
        <w:t>,</w:t>
      </w:r>
      <w:r w:rsidRPr="00D21251">
        <w:rPr>
          <w:sz w:val="22"/>
          <w:szCs w:val="22"/>
          <w:lang w:val="sr-Latn-CS"/>
        </w:rPr>
        <w:t xml:space="preserve"> pošto je doziranje individualno prilagođeno u zavisnosti od odgovora.</w:t>
      </w:r>
    </w:p>
    <w:p w14:paraId="702B9206" w14:textId="77777777" w:rsidR="0058338A" w:rsidRPr="00D21251" w:rsidRDefault="0058338A" w:rsidP="00531B03">
      <w:pPr>
        <w:jc w:val="both"/>
        <w:rPr>
          <w:b/>
          <w:sz w:val="22"/>
          <w:szCs w:val="22"/>
          <w:lang w:val="sr-Latn-CS"/>
        </w:rPr>
      </w:pPr>
    </w:p>
    <w:p w14:paraId="528DF434" w14:textId="77777777" w:rsidR="0058338A" w:rsidRPr="00D21251" w:rsidRDefault="0058338A" w:rsidP="00531B03">
      <w:pPr>
        <w:jc w:val="both"/>
        <w:rPr>
          <w:b/>
          <w:sz w:val="22"/>
          <w:szCs w:val="22"/>
          <w:lang w:val="sr-Latn-CS"/>
        </w:rPr>
      </w:pPr>
      <w:r w:rsidRPr="00D21251">
        <w:rPr>
          <w:i/>
          <w:sz w:val="22"/>
          <w:szCs w:val="22"/>
          <w:lang w:val="sr-Latn-CS"/>
        </w:rPr>
        <w:t xml:space="preserve">Pol </w:t>
      </w:r>
    </w:p>
    <w:p w14:paraId="2ADE4AD4" w14:textId="77777777" w:rsidR="0058338A" w:rsidRPr="00D21251" w:rsidRDefault="0058338A" w:rsidP="00531B03">
      <w:pPr>
        <w:jc w:val="both"/>
        <w:rPr>
          <w:sz w:val="22"/>
          <w:szCs w:val="22"/>
          <w:lang w:val="sr-Latn-CS"/>
        </w:rPr>
      </w:pPr>
      <w:r w:rsidRPr="00D21251">
        <w:rPr>
          <w:sz w:val="22"/>
          <w:szCs w:val="22"/>
          <w:lang w:val="sr-Latn-CS"/>
        </w:rPr>
        <w:t xml:space="preserve">Osobe ženskog pola imaju nešto niži klirens deferasiroksa (za 17,5%) u odnosu na muškarce. Ne očekuju se kliničke </w:t>
      </w:r>
      <w:r w:rsidR="000F5050">
        <w:rPr>
          <w:sz w:val="22"/>
          <w:szCs w:val="22"/>
          <w:lang w:val="sr-Latn-CS"/>
        </w:rPr>
        <w:t>posljed</w:t>
      </w:r>
      <w:r w:rsidRPr="00D21251">
        <w:rPr>
          <w:sz w:val="22"/>
          <w:szCs w:val="22"/>
          <w:lang w:val="sr-Latn-CS"/>
        </w:rPr>
        <w:t>ice</w:t>
      </w:r>
      <w:r w:rsidR="00D158C9">
        <w:rPr>
          <w:sz w:val="22"/>
          <w:szCs w:val="22"/>
          <w:lang w:val="sr-Latn-CS"/>
        </w:rPr>
        <w:t>,</w:t>
      </w:r>
      <w:r w:rsidRPr="00D21251">
        <w:rPr>
          <w:sz w:val="22"/>
          <w:szCs w:val="22"/>
          <w:lang w:val="sr-Latn-CS"/>
        </w:rPr>
        <w:t xml:space="preserve"> pošto je doziranje individualno prilagođeno u zavisnosti od odgovora.</w:t>
      </w:r>
    </w:p>
    <w:p w14:paraId="2CE97BFC" w14:textId="77777777" w:rsidR="0058338A" w:rsidRPr="00D21251" w:rsidRDefault="0058338A" w:rsidP="00531B03">
      <w:pPr>
        <w:jc w:val="both"/>
        <w:rPr>
          <w:sz w:val="22"/>
          <w:szCs w:val="22"/>
          <w:lang w:val="sr-Latn-CS"/>
        </w:rPr>
      </w:pPr>
    </w:p>
    <w:p w14:paraId="14464BA4" w14:textId="77777777" w:rsidR="0058338A" w:rsidRPr="00D21251" w:rsidRDefault="0058338A" w:rsidP="00531B03">
      <w:pPr>
        <w:jc w:val="both"/>
        <w:rPr>
          <w:b/>
          <w:sz w:val="22"/>
          <w:szCs w:val="22"/>
          <w:lang w:val="sr-Latn-CS"/>
        </w:rPr>
      </w:pPr>
      <w:r w:rsidRPr="00D21251">
        <w:rPr>
          <w:i/>
          <w:sz w:val="22"/>
          <w:szCs w:val="22"/>
          <w:lang w:val="sr-Latn-CS"/>
        </w:rPr>
        <w:t>Stariji pacijenti</w:t>
      </w:r>
    </w:p>
    <w:p w14:paraId="67D084EE" w14:textId="77777777" w:rsidR="0058338A" w:rsidRPr="00D21251" w:rsidRDefault="0058338A" w:rsidP="00531B03">
      <w:pPr>
        <w:jc w:val="both"/>
        <w:rPr>
          <w:sz w:val="22"/>
          <w:szCs w:val="22"/>
          <w:lang w:val="sr-Latn-CS"/>
        </w:rPr>
      </w:pPr>
      <w:r w:rsidRPr="00D21251">
        <w:rPr>
          <w:sz w:val="22"/>
          <w:szCs w:val="22"/>
          <w:lang w:val="sr-Latn-CS"/>
        </w:rPr>
        <w:t>Farmakokinetika deferasiroksa nije ispitivana kod starijih pacijenata (starosti 65 godina i starijih).</w:t>
      </w:r>
    </w:p>
    <w:p w14:paraId="45887AB3" w14:textId="77777777" w:rsidR="0058338A" w:rsidRPr="00D21251" w:rsidRDefault="0058338A" w:rsidP="00531B03">
      <w:pPr>
        <w:jc w:val="both"/>
        <w:rPr>
          <w:sz w:val="22"/>
          <w:szCs w:val="22"/>
          <w:lang w:val="sr-Latn-CS"/>
        </w:rPr>
      </w:pPr>
    </w:p>
    <w:p w14:paraId="1FD7EF82" w14:textId="77777777" w:rsidR="0058338A" w:rsidRPr="00D21251" w:rsidRDefault="00064E4A" w:rsidP="00531B03">
      <w:pPr>
        <w:jc w:val="both"/>
        <w:rPr>
          <w:b/>
          <w:sz w:val="22"/>
          <w:szCs w:val="22"/>
          <w:lang w:val="sr-Latn-CS"/>
        </w:rPr>
      </w:pPr>
      <w:r>
        <w:rPr>
          <w:i/>
          <w:sz w:val="22"/>
          <w:szCs w:val="22"/>
          <w:lang w:val="sr-Latn-CS"/>
        </w:rPr>
        <w:t>Oštećenje</w:t>
      </w:r>
      <w:r w:rsidR="0058338A" w:rsidRPr="00D21251">
        <w:rPr>
          <w:i/>
          <w:sz w:val="22"/>
          <w:szCs w:val="22"/>
          <w:lang w:val="sr-Latn-CS"/>
        </w:rPr>
        <w:t xml:space="preserve"> funkcije bubrega ili jetre</w:t>
      </w:r>
    </w:p>
    <w:p w14:paraId="3A0C16D5" w14:textId="77777777" w:rsidR="0058338A" w:rsidRPr="00D21251" w:rsidRDefault="0058338A" w:rsidP="00531B03">
      <w:pPr>
        <w:jc w:val="both"/>
        <w:rPr>
          <w:sz w:val="22"/>
          <w:szCs w:val="22"/>
          <w:lang w:val="sr-Latn-CS"/>
        </w:rPr>
      </w:pPr>
      <w:r w:rsidRPr="00D21251">
        <w:rPr>
          <w:sz w:val="22"/>
          <w:szCs w:val="22"/>
          <w:lang w:val="sr-Latn-CS"/>
        </w:rPr>
        <w:t>Farmakokinetika deferasiroksa nije ispitivana kod pacijenata sa poremećajem funkcije bubrega.</w:t>
      </w:r>
    </w:p>
    <w:p w14:paraId="7CD4C397" w14:textId="77777777" w:rsidR="0058338A" w:rsidRPr="00D21251" w:rsidRDefault="0058338A" w:rsidP="00531B03">
      <w:pPr>
        <w:jc w:val="both"/>
        <w:rPr>
          <w:sz w:val="22"/>
          <w:szCs w:val="22"/>
          <w:lang w:val="sr-Latn-CS"/>
        </w:rPr>
      </w:pPr>
      <w:r w:rsidRPr="00D21251">
        <w:rPr>
          <w:sz w:val="22"/>
          <w:szCs w:val="22"/>
          <w:lang w:val="sr-Latn-CS"/>
        </w:rPr>
        <w:t xml:space="preserve">Povećanje </w:t>
      </w:r>
      <w:r w:rsidR="0071118F">
        <w:rPr>
          <w:sz w:val="22"/>
          <w:szCs w:val="22"/>
          <w:lang w:val="sr-Latn-CS"/>
        </w:rPr>
        <w:t>vrijednost</w:t>
      </w:r>
      <w:r w:rsidRPr="00D21251">
        <w:rPr>
          <w:sz w:val="22"/>
          <w:szCs w:val="22"/>
          <w:lang w:val="sr-Latn-CS"/>
        </w:rPr>
        <w:t xml:space="preserve">i transaminaza jetre do 5 puta u odnosu na gornju granicu normalne </w:t>
      </w:r>
      <w:r w:rsidR="0071118F">
        <w:rPr>
          <w:sz w:val="22"/>
          <w:szCs w:val="22"/>
          <w:lang w:val="sr-Latn-CS"/>
        </w:rPr>
        <w:t>vrijednost</w:t>
      </w:r>
      <w:r w:rsidRPr="00D21251">
        <w:rPr>
          <w:sz w:val="22"/>
          <w:szCs w:val="22"/>
          <w:lang w:val="sr-Latn-CS"/>
        </w:rPr>
        <w:t>i nije uticalo na farmakokinetiku deferasiroksa.</w:t>
      </w:r>
    </w:p>
    <w:p w14:paraId="09606C5F" w14:textId="77777777" w:rsidR="0058338A" w:rsidRPr="00D21251" w:rsidRDefault="0058338A" w:rsidP="00531B03">
      <w:pPr>
        <w:jc w:val="both"/>
        <w:rPr>
          <w:sz w:val="22"/>
          <w:szCs w:val="22"/>
          <w:lang w:val="sr-Latn-CS"/>
        </w:rPr>
      </w:pPr>
    </w:p>
    <w:p w14:paraId="532A3D5F" w14:textId="77777777" w:rsidR="0058338A" w:rsidRPr="00D21251" w:rsidRDefault="0058338A" w:rsidP="00531B03">
      <w:pPr>
        <w:jc w:val="both"/>
        <w:rPr>
          <w:sz w:val="22"/>
          <w:szCs w:val="22"/>
          <w:lang w:val="sr-Latn-CS"/>
        </w:rPr>
      </w:pPr>
      <w:r w:rsidRPr="00D21251">
        <w:rPr>
          <w:sz w:val="22"/>
          <w:szCs w:val="22"/>
          <w:lang w:val="sr-Latn-CS"/>
        </w:rPr>
        <w:t xml:space="preserve">U kliničkoj studiji sa pojedinačnom dozom od 20 mg/kg deferasiroks disperzibilnih tableta, </w:t>
      </w:r>
      <w:r w:rsidR="0065396C">
        <w:rPr>
          <w:sz w:val="22"/>
          <w:szCs w:val="22"/>
          <w:lang w:val="sr-Latn-CS"/>
        </w:rPr>
        <w:t>prosje</w:t>
      </w:r>
      <w:r w:rsidRPr="00D21251">
        <w:rPr>
          <w:sz w:val="22"/>
          <w:szCs w:val="22"/>
          <w:lang w:val="sr-Latn-CS"/>
        </w:rPr>
        <w:t>čna izloženost je povećana za 16% kod ispitanika sa blagim poremećajem funkcije jetre (</w:t>
      </w:r>
      <w:r w:rsidRPr="00531B03">
        <w:rPr>
          <w:i/>
          <w:sz w:val="22"/>
          <w:szCs w:val="22"/>
          <w:lang w:val="sr-Latn-CS"/>
        </w:rPr>
        <w:t>Child-Pugh</w:t>
      </w:r>
      <w:r w:rsidRPr="00D21251">
        <w:rPr>
          <w:sz w:val="22"/>
          <w:szCs w:val="22"/>
          <w:lang w:val="sr-Latn-CS"/>
        </w:rPr>
        <w:t xml:space="preserve"> klasa A) i za 76% kod ispitanika sa um</w:t>
      </w:r>
      <w:r w:rsidR="009A2ACE">
        <w:rPr>
          <w:sz w:val="22"/>
          <w:szCs w:val="22"/>
          <w:lang w:val="sr-Latn-CS"/>
        </w:rPr>
        <w:t>j</w:t>
      </w:r>
      <w:r w:rsidRPr="00D21251">
        <w:rPr>
          <w:sz w:val="22"/>
          <w:szCs w:val="22"/>
          <w:lang w:val="sr-Latn-CS"/>
        </w:rPr>
        <w:t>erenim poremećajem funkcije jetre (</w:t>
      </w:r>
      <w:r w:rsidRPr="00531B03">
        <w:rPr>
          <w:i/>
          <w:sz w:val="22"/>
          <w:szCs w:val="22"/>
          <w:lang w:val="sr-Latn-CS"/>
        </w:rPr>
        <w:t>Child-Pugh</w:t>
      </w:r>
      <w:r w:rsidRPr="00D21251">
        <w:rPr>
          <w:sz w:val="22"/>
          <w:szCs w:val="22"/>
          <w:lang w:val="sr-Latn-CS"/>
        </w:rPr>
        <w:t xml:space="preserve"> klasa B) u poređenju sa ispitanicima sa normalnom funkcijom jetre. </w:t>
      </w:r>
      <w:r w:rsidR="0065396C">
        <w:rPr>
          <w:sz w:val="22"/>
          <w:szCs w:val="22"/>
          <w:lang w:val="sr-Latn-CS"/>
        </w:rPr>
        <w:t>Prosje</w:t>
      </w:r>
      <w:r w:rsidRPr="00D21251">
        <w:rPr>
          <w:sz w:val="22"/>
          <w:szCs w:val="22"/>
          <w:lang w:val="sr-Latn-CS"/>
        </w:rPr>
        <w:t>čna C</w:t>
      </w:r>
      <w:r w:rsidRPr="00D21251">
        <w:rPr>
          <w:sz w:val="22"/>
          <w:szCs w:val="22"/>
          <w:vertAlign w:val="subscript"/>
          <w:lang w:val="sr-Latn-CS"/>
        </w:rPr>
        <w:t>max</w:t>
      </w:r>
      <w:r w:rsidRPr="00D21251">
        <w:rPr>
          <w:sz w:val="22"/>
          <w:szCs w:val="22"/>
          <w:lang w:val="sr-Latn-CS"/>
        </w:rPr>
        <w:t xml:space="preserve"> deferasiroksa kod ispitanika sa blagim </w:t>
      </w:r>
      <w:r w:rsidR="00D158C9">
        <w:rPr>
          <w:sz w:val="22"/>
          <w:szCs w:val="22"/>
          <w:lang w:val="sr-Latn-CS"/>
        </w:rPr>
        <w:t>ili</w:t>
      </w:r>
      <w:r w:rsidR="00D158C9" w:rsidRPr="00D21251">
        <w:rPr>
          <w:sz w:val="22"/>
          <w:szCs w:val="22"/>
          <w:lang w:val="sr-Latn-CS"/>
        </w:rPr>
        <w:t xml:space="preserve"> </w:t>
      </w:r>
      <w:r w:rsidRPr="00D21251">
        <w:rPr>
          <w:sz w:val="22"/>
          <w:szCs w:val="22"/>
          <w:lang w:val="sr-Latn-CS"/>
        </w:rPr>
        <w:t>um</w:t>
      </w:r>
      <w:r w:rsidR="009A2ACE">
        <w:rPr>
          <w:sz w:val="22"/>
          <w:szCs w:val="22"/>
          <w:lang w:val="sr-Latn-CS"/>
        </w:rPr>
        <w:t>j</w:t>
      </w:r>
      <w:r w:rsidRPr="00D21251">
        <w:rPr>
          <w:sz w:val="22"/>
          <w:szCs w:val="22"/>
          <w:lang w:val="sr-Latn-CS"/>
        </w:rPr>
        <w:t>erenim poremećajem funkcije jetre je bila povećana za 22%. Izloženost je bila povećana 2,8 puta kod jednog ispitanika sa teškim poremećajem funkcije jetre (</w:t>
      </w:r>
      <w:r w:rsidRPr="00531B03">
        <w:rPr>
          <w:i/>
          <w:sz w:val="22"/>
          <w:szCs w:val="22"/>
          <w:lang w:val="sr-Latn-CS"/>
        </w:rPr>
        <w:t>Child-Pugh</w:t>
      </w:r>
      <w:r w:rsidRPr="00D21251">
        <w:rPr>
          <w:sz w:val="22"/>
          <w:szCs w:val="22"/>
          <w:lang w:val="sr-Latn-CS"/>
        </w:rPr>
        <w:t xml:space="preserve"> klasa C) (vid</w:t>
      </w:r>
      <w:r w:rsidR="00F90136">
        <w:rPr>
          <w:sz w:val="22"/>
          <w:szCs w:val="22"/>
          <w:lang w:val="sr-Latn-CS"/>
        </w:rPr>
        <w:t>j</w:t>
      </w:r>
      <w:r w:rsidRPr="00D21251">
        <w:rPr>
          <w:sz w:val="22"/>
          <w:szCs w:val="22"/>
          <w:lang w:val="sr-Latn-CS"/>
        </w:rPr>
        <w:t xml:space="preserve">eti </w:t>
      </w:r>
      <w:r w:rsidR="00862731">
        <w:rPr>
          <w:sz w:val="22"/>
          <w:szCs w:val="22"/>
          <w:lang w:val="sr-Latn-CS"/>
        </w:rPr>
        <w:t>djelove</w:t>
      </w:r>
      <w:r w:rsidR="00862731" w:rsidRPr="00D21251">
        <w:rPr>
          <w:sz w:val="22"/>
          <w:szCs w:val="22"/>
          <w:lang w:val="sr-Latn-CS"/>
        </w:rPr>
        <w:t xml:space="preserve"> </w:t>
      </w:r>
      <w:r w:rsidRPr="00D21251">
        <w:rPr>
          <w:sz w:val="22"/>
          <w:szCs w:val="22"/>
          <w:lang w:val="sr-Latn-CS"/>
        </w:rPr>
        <w:t>4.2 i 4.4).</w:t>
      </w:r>
    </w:p>
    <w:p w14:paraId="16813C95" w14:textId="77777777" w:rsidR="0072020E" w:rsidRPr="00531B03" w:rsidRDefault="0072020E" w:rsidP="00531B03">
      <w:pPr>
        <w:tabs>
          <w:tab w:val="left" w:pos="540"/>
          <w:tab w:val="left" w:pos="569"/>
        </w:tabs>
        <w:jc w:val="both"/>
        <w:rPr>
          <w:bCs/>
          <w:sz w:val="22"/>
          <w:szCs w:val="22"/>
          <w:lang w:val="sr-Latn-CS"/>
        </w:rPr>
      </w:pPr>
    </w:p>
    <w:p w14:paraId="76FDD626" w14:textId="77777777" w:rsidR="0072020E" w:rsidRPr="00786071" w:rsidRDefault="0072020E" w:rsidP="00531B03">
      <w:pPr>
        <w:tabs>
          <w:tab w:val="left" w:pos="540"/>
          <w:tab w:val="left" w:pos="569"/>
        </w:tabs>
        <w:jc w:val="both"/>
        <w:rPr>
          <w:b/>
          <w:bCs/>
          <w:sz w:val="22"/>
          <w:szCs w:val="22"/>
        </w:rPr>
      </w:pPr>
      <w:r w:rsidRPr="00786071">
        <w:rPr>
          <w:b/>
          <w:bCs/>
          <w:sz w:val="22"/>
          <w:szCs w:val="22"/>
        </w:rPr>
        <w:t xml:space="preserve">5.3. </w:t>
      </w:r>
      <w:r w:rsidR="00480FB1" w:rsidRPr="00786071">
        <w:rPr>
          <w:b/>
          <w:bCs/>
          <w:sz w:val="22"/>
          <w:szCs w:val="22"/>
        </w:rPr>
        <w:tab/>
      </w:r>
      <w:r w:rsidRPr="00786071">
        <w:rPr>
          <w:b/>
          <w:bCs/>
          <w:sz w:val="22"/>
          <w:szCs w:val="22"/>
        </w:rPr>
        <w:t xml:space="preserve">Pretklinički podaci o bezbjednosti </w:t>
      </w:r>
    </w:p>
    <w:p w14:paraId="030D6E96" w14:textId="77777777" w:rsidR="00836B35" w:rsidRPr="00786071" w:rsidRDefault="00836B35" w:rsidP="00531B03">
      <w:pPr>
        <w:tabs>
          <w:tab w:val="left" w:pos="540"/>
          <w:tab w:val="left" w:pos="569"/>
        </w:tabs>
        <w:jc w:val="both"/>
        <w:rPr>
          <w:bCs/>
          <w:sz w:val="22"/>
          <w:szCs w:val="22"/>
        </w:rPr>
      </w:pPr>
    </w:p>
    <w:p w14:paraId="355830DB" w14:textId="3B462EF1" w:rsidR="0058338A" w:rsidRPr="00D21251" w:rsidRDefault="0058338A" w:rsidP="00531B03">
      <w:pPr>
        <w:jc w:val="both"/>
        <w:rPr>
          <w:rFonts w:eastAsia="ZWAdobeF"/>
          <w:sz w:val="22"/>
          <w:szCs w:val="22"/>
          <w:lang w:val="sr-Latn-CS"/>
        </w:rPr>
      </w:pPr>
      <w:r w:rsidRPr="00D21251">
        <w:rPr>
          <w:rFonts w:eastAsia="ZWAdobeF"/>
          <w:sz w:val="22"/>
          <w:szCs w:val="22"/>
          <w:lang w:val="sr-Latn-CS"/>
        </w:rPr>
        <w:t>Pretklinički podaci zasnovani na konvencionalnim studijama bezb</w:t>
      </w:r>
      <w:r w:rsidR="000F5050">
        <w:rPr>
          <w:rFonts w:eastAsia="ZWAdobeF"/>
          <w:sz w:val="22"/>
          <w:szCs w:val="22"/>
          <w:lang w:val="sr-Latn-CS"/>
        </w:rPr>
        <w:t>j</w:t>
      </w:r>
      <w:r w:rsidRPr="00D21251">
        <w:rPr>
          <w:rFonts w:eastAsia="ZWAdobeF"/>
          <w:sz w:val="22"/>
          <w:szCs w:val="22"/>
          <w:lang w:val="sr-Latn-CS"/>
        </w:rPr>
        <w:t>ednosne farmakologije, toksičnosti ponovljenih doza, genotoksičnosti i karcinogenog potencijala ni</w:t>
      </w:r>
      <w:r w:rsidR="000C4409">
        <w:rPr>
          <w:rFonts w:eastAsia="ZWAdobeF"/>
          <w:sz w:val="22"/>
          <w:szCs w:val="22"/>
          <w:lang w:val="sr-Latn-CS"/>
        </w:rPr>
        <w:t>je</w:t>
      </w:r>
      <w:r w:rsidRPr="00D21251">
        <w:rPr>
          <w:rFonts w:eastAsia="ZWAdobeF"/>
          <w:sz w:val="22"/>
          <w:szCs w:val="22"/>
          <w:lang w:val="sr-Latn-CS"/>
        </w:rPr>
        <w:t>su otkrili poseban rizik za ljude.</w:t>
      </w:r>
    </w:p>
    <w:p w14:paraId="13571C87" w14:textId="49828C40" w:rsidR="0058338A" w:rsidRPr="00D21251" w:rsidRDefault="0058338A" w:rsidP="00531B03">
      <w:pPr>
        <w:jc w:val="both"/>
        <w:rPr>
          <w:sz w:val="22"/>
          <w:szCs w:val="22"/>
          <w:lang w:val="sr-Latn-CS"/>
        </w:rPr>
      </w:pPr>
      <w:r w:rsidRPr="00D21251">
        <w:rPr>
          <w:sz w:val="22"/>
          <w:szCs w:val="22"/>
          <w:lang w:val="sr-Latn-CS"/>
        </w:rPr>
        <w:t xml:space="preserve">Glavni nalazi </w:t>
      </w:r>
      <w:r w:rsidR="008263AA">
        <w:rPr>
          <w:sz w:val="22"/>
          <w:szCs w:val="22"/>
          <w:lang w:val="sr-Latn-CS"/>
        </w:rPr>
        <w:t xml:space="preserve">su </w:t>
      </w:r>
      <w:r w:rsidRPr="00D21251">
        <w:rPr>
          <w:sz w:val="22"/>
          <w:szCs w:val="22"/>
          <w:lang w:val="sr-Latn-CS"/>
        </w:rPr>
        <w:t xml:space="preserve">bili bubrežna toksičnost i zamućenje sočiva (katarakta). Slični nalazi </w:t>
      </w:r>
      <w:r w:rsidR="008263AA">
        <w:rPr>
          <w:sz w:val="22"/>
          <w:szCs w:val="22"/>
          <w:lang w:val="sr-Latn-CS"/>
        </w:rPr>
        <w:t xml:space="preserve">su </w:t>
      </w:r>
      <w:r w:rsidR="00F90136">
        <w:rPr>
          <w:sz w:val="22"/>
          <w:szCs w:val="22"/>
          <w:lang w:val="sr-Latn-CS"/>
        </w:rPr>
        <w:t>zabilježen</w:t>
      </w:r>
      <w:r w:rsidRPr="00D21251">
        <w:rPr>
          <w:sz w:val="22"/>
          <w:szCs w:val="22"/>
          <w:lang w:val="sr-Latn-CS"/>
        </w:rPr>
        <w:t xml:space="preserve">i kod novorođenih i mladih životinja. Bubrežna toksičnost </w:t>
      </w:r>
      <w:r w:rsidR="008263AA">
        <w:rPr>
          <w:sz w:val="22"/>
          <w:szCs w:val="22"/>
          <w:lang w:val="sr-Latn-CS"/>
        </w:rPr>
        <w:t xml:space="preserve">se </w:t>
      </w:r>
      <w:r w:rsidRPr="00D21251">
        <w:rPr>
          <w:sz w:val="22"/>
          <w:szCs w:val="22"/>
          <w:lang w:val="sr-Latn-CS"/>
        </w:rPr>
        <w:t xml:space="preserve">smatra uglavnom </w:t>
      </w:r>
      <w:r w:rsidR="000F5050">
        <w:rPr>
          <w:sz w:val="22"/>
          <w:szCs w:val="22"/>
          <w:lang w:val="sr-Latn-CS"/>
        </w:rPr>
        <w:t>posljed</w:t>
      </w:r>
      <w:r w:rsidRPr="00D21251">
        <w:rPr>
          <w:sz w:val="22"/>
          <w:szCs w:val="22"/>
          <w:lang w:val="sr-Latn-CS"/>
        </w:rPr>
        <w:t>icom gubitka gvožđa kod životinja koje prethodno ni</w:t>
      </w:r>
      <w:r w:rsidR="000C4409">
        <w:rPr>
          <w:sz w:val="22"/>
          <w:szCs w:val="22"/>
          <w:lang w:val="sr-Latn-CS"/>
        </w:rPr>
        <w:t>je</w:t>
      </w:r>
      <w:r w:rsidRPr="00D21251">
        <w:rPr>
          <w:sz w:val="22"/>
          <w:szCs w:val="22"/>
          <w:lang w:val="sr-Latn-CS"/>
        </w:rPr>
        <w:t>su bile preopterećene gvožđem.</w:t>
      </w:r>
    </w:p>
    <w:p w14:paraId="0FEE1ECB" w14:textId="77777777" w:rsidR="0058338A" w:rsidRPr="00D21251" w:rsidRDefault="0058338A" w:rsidP="00531B03">
      <w:pPr>
        <w:jc w:val="both"/>
        <w:rPr>
          <w:sz w:val="22"/>
          <w:szCs w:val="22"/>
          <w:lang w:val="sr-Latn-CS"/>
        </w:rPr>
      </w:pPr>
    </w:p>
    <w:p w14:paraId="3D200A9E" w14:textId="138EBD4F" w:rsidR="0058338A" w:rsidRPr="00D21251" w:rsidRDefault="0058338A" w:rsidP="00531B03">
      <w:pPr>
        <w:jc w:val="both"/>
        <w:rPr>
          <w:sz w:val="22"/>
          <w:szCs w:val="22"/>
          <w:lang w:val="sr-Latn-CS"/>
        </w:rPr>
      </w:pPr>
      <w:r w:rsidRPr="00D21251">
        <w:rPr>
          <w:sz w:val="22"/>
          <w:szCs w:val="22"/>
          <w:lang w:val="sr-Latn-CS"/>
        </w:rPr>
        <w:t xml:space="preserve">Testovi genotoksičnosti </w:t>
      </w:r>
      <w:r w:rsidRPr="00D21251">
        <w:rPr>
          <w:i/>
          <w:sz w:val="22"/>
          <w:szCs w:val="22"/>
          <w:lang w:val="sr-Latn-CS"/>
        </w:rPr>
        <w:t xml:space="preserve">in vitro </w:t>
      </w:r>
      <w:r w:rsidRPr="00D21251">
        <w:rPr>
          <w:sz w:val="22"/>
          <w:szCs w:val="22"/>
          <w:lang w:val="sr-Latn-CS"/>
        </w:rPr>
        <w:t>su bili negativni (</w:t>
      </w:r>
      <w:r w:rsidRPr="006B5E2B">
        <w:rPr>
          <w:i/>
          <w:sz w:val="22"/>
          <w:szCs w:val="22"/>
          <w:lang w:val="sr-Latn-CS"/>
        </w:rPr>
        <w:t>Ames</w:t>
      </w:r>
      <w:r w:rsidRPr="00D21251">
        <w:rPr>
          <w:sz w:val="22"/>
          <w:szCs w:val="22"/>
          <w:lang w:val="sr-Latn-CS"/>
        </w:rPr>
        <w:t>-ov test, test hromozomskih aberacija), dok je deferasiroks u letalnim dozama kod pacova koji ni</w:t>
      </w:r>
      <w:r w:rsidR="000C4409">
        <w:rPr>
          <w:sz w:val="22"/>
          <w:szCs w:val="22"/>
          <w:lang w:val="sr-Latn-CS"/>
        </w:rPr>
        <w:t>je</w:t>
      </w:r>
      <w:r w:rsidRPr="00D21251">
        <w:rPr>
          <w:sz w:val="22"/>
          <w:szCs w:val="22"/>
          <w:lang w:val="sr-Latn-CS"/>
        </w:rPr>
        <w:t xml:space="preserve">su </w:t>
      </w:r>
      <w:r w:rsidR="006F473E">
        <w:rPr>
          <w:sz w:val="22"/>
          <w:szCs w:val="22"/>
          <w:lang w:val="sr-Latn-CS"/>
        </w:rPr>
        <w:t xml:space="preserve">bili </w:t>
      </w:r>
      <w:r w:rsidRPr="00D21251">
        <w:rPr>
          <w:sz w:val="22"/>
          <w:szCs w:val="22"/>
          <w:lang w:val="sr-Latn-CS"/>
        </w:rPr>
        <w:t xml:space="preserve">preopterećeni gvožđem prouzrokovao formaciju mikronukleusa </w:t>
      </w:r>
      <w:r w:rsidRPr="00D21251">
        <w:rPr>
          <w:i/>
          <w:sz w:val="22"/>
          <w:szCs w:val="22"/>
          <w:lang w:val="sr-Latn-CS"/>
        </w:rPr>
        <w:t>in vivo</w:t>
      </w:r>
      <w:r w:rsidRPr="00D21251">
        <w:rPr>
          <w:sz w:val="22"/>
          <w:szCs w:val="22"/>
          <w:lang w:val="sr-Latn-CS"/>
        </w:rPr>
        <w:t xml:space="preserve"> u </w:t>
      </w:r>
      <w:r w:rsidR="008263AA" w:rsidRPr="00D21251">
        <w:rPr>
          <w:sz w:val="22"/>
          <w:szCs w:val="22"/>
          <w:lang w:val="sr-Latn-CS"/>
        </w:rPr>
        <w:t>ko</w:t>
      </w:r>
      <w:r w:rsidR="008263AA">
        <w:rPr>
          <w:sz w:val="22"/>
          <w:szCs w:val="22"/>
          <w:lang w:val="sr-Latn-CS"/>
        </w:rPr>
        <w:t>st</w:t>
      </w:r>
      <w:r w:rsidR="008263AA" w:rsidRPr="00D21251">
        <w:rPr>
          <w:sz w:val="22"/>
          <w:szCs w:val="22"/>
          <w:lang w:val="sr-Latn-CS"/>
        </w:rPr>
        <w:t xml:space="preserve">noj </w:t>
      </w:r>
      <w:r w:rsidRPr="00D21251">
        <w:rPr>
          <w:sz w:val="22"/>
          <w:szCs w:val="22"/>
          <w:lang w:val="sr-Latn-CS"/>
        </w:rPr>
        <w:t xml:space="preserve">srži, ali ne i u jetri. Ovakav efekat nije </w:t>
      </w:r>
      <w:r w:rsidR="00F90136">
        <w:rPr>
          <w:sz w:val="22"/>
          <w:szCs w:val="22"/>
          <w:lang w:val="sr-Latn-CS"/>
        </w:rPr>
        <w:t>zabilježen</w:t>
      </w:r>
      <w:r w:rsidRPr="00D21251">
        <w:rPr>
          <w:sz w:val="22"/>
          <w:szCs w:val="22"/>
          <w:lang w:val="sr-Latn-CS"/>
        </w:rPr>
        <w:t xml:space="preserve"> kod pacova sa preopterećenjem gvožđem. Deferasiroks nije pokazao </w:t>
      </w:r>
      <w:r w:rsidR="00064E4A">
        <w:rPr>
          <w:sz w:val="22"/>
          <w:szCs w:val="22"/>
          <w:lang w:val="sr-Latn-CS"/>
        </w:rPr>
        <w:t>karcinogenost</w:t>
      </w:r>
      <w:r w:rsidRPr="00D21251">
        <w:rPr>
          <w:sz w:val="22"/>
          <w:szCs w:val="22"/>
          <w:lang w:val="sr-Latn-CS"/>
        </w:rPr>
        <w:t xml:space="preserve"> kada je davan pacovima tokom 2-godišnje studije i transgenim p53+/-heterozigotnim</w:t>
      </w:r>
      <w:r w:rsidR="006F473E">
        <w:rPr>
          <w:sz w:val="22"/>
          <w:szCs w:val="22"/>
          <w:lang w:val="sr-Latn-CS"/>
        </w:rPr>
        <w:t xml:space="preserve"> miševima</w:t>
      </w:r>
      <w:r w:rsidRPr="00D21251">
        <w:rPr>
          <w:sz w:val="22"/>
          <w:szCs w:val="22"/>
          <w:lang w:val="sr-Latn-CS"/>
        </w:rPr>
        <w:t xml:space="preserve"> tokom 6-</w:t>
      </w:r>
      <w:r w:rsidR="00B00CF2">
        <w:rPr>
          <w:sz w:val="22"/>
          <w:szCs w:val="22"/>
          <w:lang w:val="sr-Latn-CS"/>
        </w:rPr>
        <w:t>mjeseč</w:t>
      </w:r>
      <w:r w:rsidRPr="00D21251">
        <w:rPr>
          <w:sz w:val="22"/>
          <w:szCs w:val="22"/>
          <w:lang w:val="sr-Latn-CS"/>
        </w:rPr>
        <w:t>ne studije.</w:t>
      </w:r>
    </w:p>
    <w:p w14:paraId="11442412" w14:textId="77777777" w:rsidR="0058338A" w:rsidRPr="00D21251" w:rsidRDefault="0058338A" w:rsidP="00531B03">
      <w:pPr>
        <w:jc w:val="both"/>
        <w:rPr>
          <w:sz w:val="22"/>
          <w:szCs w:val="22"/>
          <w:lang w:val="sr-Latn-CS"/>
        </w:rPr>
      </w:pPr>
    </w:p>
    <w:p w14:paraId="7E2883C1" w14:textId="3D19537F" w:rsidR="0058338A" w:rsidRDefault="0058338A" w:rsidP="00531B03">
      <w:pPr>
        <w:pStyle w:val="Header"/>
        <w:tabs>
          <w:tab w:val="left" w:pos="284"/>
        </w:tabs>
        <w:jc w:val="both"/>
        <w:rPr>
          <w:sz w:val="22"/>
          <w:szCs w:val="22"/>
          <w:lang w:val="sr-Latn-CS"/>
        </w:rPr>
      </w:pPr>
      <w:r w:rsidRPr="00D21251">
        <w:rPr>
          <w:sz w:val="22"/>
          <w:szCs w:val="22"/>
          <w:lang w:val="sr-Latn-CS"/>
        </w:rPr>
        <w:t xml:space="preserve">Potencijalna reproduktivna toksičnost </w:t>
      </w:r>
      <w:r w:rsidR="000F5050">
        <w:rPr>
          <w:sz w:val="22"/>
          <w:szCs w:val="22"/>
          <w:lang w:val="sr-Latn-CS"/>
        </w:rPr>
        <w:t>proc</w:t>
      </w:r>
      <w:r w:rsidR="00F90136">
        <w:rPr>
          <w:sz w:val="22"/>
          <w:szCs w:val="22"/>
          <w:lang w:val="sr-Latn-CS"/>
        </w:rPr>
        <w:t>i</w:t>
      </w:r>
      <w:r w:rsidR="000F5050">
        <w:rPr>
          <w:sz w:val="22"/>
          <w:szCs w:val="22"/>
          <w:lang w:val="sr-Latn-CS"/>
        </w:rPr>
        <w:t>jen</w:t>
      </w:r>
      <w:r w:rsidRPr="00D21251">
        <w:rPr>
          <w:sz w:val="22"/>
          <w:szCs w:val="22"/>
          <w:lang w:val="sr-Latn-CS"/>
        </w:rPr>
        <w:t>jena je kod pacova i kunića. Deferasiroks nije teratogen, ali izaziva povećanje učestalosti skeletnih varijacija i mrtvorođenih mladunaca pacova pri visokim dozama</w:t>
      </w:r>
      <w:r w:rsidR="008263AA">
        <w:rPr>
          <w:sz w:val="22"/>
          <w:szCs w:val="22"/>
          <w:lang w:val="sr-Latn-CS"/>
        </w:rPr>
        <w:t>,</w:t>
      </w:r>
      <w:r w:rsidRPr="00D21251">
        <w:rPr>
          <w:sz w:val="22"/>
          <w:szCs w:val="22"/>
          <w:lang w:val="sr-Latn-CS"/>
        </w:rPr>
        <w:t xml:space="preserve"> koje su bile veoma toksične za majke koje ni</w:t>
      </w:r>
      <w:r w:rsidR="000C4409">
        <w:rPr>
          <w:sz w:val="22"/>
          <w:szCs w:val="22"/>
          <w:lang w:val="sr-Latn-CS"/>
        </w:rPr>
        <w:t>je</w:t>
      </w:r>
      <w:r w:rsidRPr="00D21251">
        <w:rPr>
          <w:sz w:val="22"/>
          <w:szCs w:val="22"/>
          <w:lang w:val="sr-Latn-CS"/>
        </w:rPr>
        <w:t>su bile preopterećene gvožđem. Deferasiroks nije izazvao druge efekte na fertilitet ili na reprodukciju.</w:t>
      </w:r>
    </w:p>
    <w:p w14:paraId="73536C4F" w14:textId="77777777" w:rsidR="00742B27" w:rsidRPr="00D21251" w:rsidRDefault="00742B27" w:rsidP="00531B03">
      <w:pPr>
        <w:pStyle w:val="Header"/>
        <w:tabs>
          <w:tab w:val="left" w:pos="284"/>
        </w:tabs>
        <w:jc w:val="both"/>
        <w:rPr>
          <w:sz w:val="22"/>
          <w:szCs w:val="22"/>
          <w:lang w:val="sr-Latn-CS"/>
        </w:rPr>
      </w:pPr>
    </w:p>
    <w:p w14:paraId="626F13CD" w14:textId="77777777" w:rsidR="00396DFD" w:rsidRPr="00786071" w:rsidRDefault="00396DFD" w:rsidP="00480FB1">
      <w:pPr>
        <w:tabs>
          <w:tab w:val="left" w:pos="540"/>
          <w:tab w:val="left" w:pos="569"/>
        </w:tabs>
        <w:rPr>
          <w:b/>
          <w:bCs/>
          <w:sz w:val="22"/>
          <w:szCs w:val="22"/>
        </w:rPr>
      </w:pPr>
    </w:p>
    <w:p w14:paraId="5A57781D" w14:textId="77777777" w:rsidR="0072020E" w:rsidRPr="00786071" w:rsidRDefault="0072020E" w:rsidP="00480FB1">
      <w:pPr>
        <w:tabs>
          <w:tab w:val="left" w:pos="540"/>
          <w:tab w:val="left" w:pos="569"/>
        </w:tabs>
        <w:rPr>
          <w:b/>
          <w:bCs/>
          <w:sz w:val="22"/>
          <w:szCs w:val="22"/>
        </w:rPr>
      </w:pPr>
      <w:r w:rsidRPr="00786071">
        <w:rPr>
          <w:b/>
          <w:bCs/>
          <w:sz w:val="22"/>
          <w:szCs w:val="22"/>
        </w:rPr>
        <w:t xml:space="preserve">6. </w:t>
      </w:r>
      <w:r w:rsidR="00480FB1" w:rsidRPr="00786071">
        <w:rPr>
          <w:b/>
          <w:bCs/>
          <w:sz w:val="22"/>
          <w:szCs w:val="22"/>
        </w:rPr>
        <w:tab/>
      </w:r>
      <w:r w:rsidRPr="00786071">
        <w:rPr>
          <w:b/>
          <w:bCs/>
          <w:sz w:val="22"/>
          <w:szCs w:val="22"/>
        </w:rPr>
        <w:t>FARMACEUTSKI PODACI</w:t>
      </w:r>
    </w:p>
    <w:p w14:paraId="68A7C5CD" w14:textId="77777777" w:rsidR="00836B35" w:rsidRPr="00786071" w:rsidRDefault="00836B35" w:rsidP="00480FB1">
      <w:pPr>
        <w:tabs>
          <w:tab w:val="left" w:pos="540"/>
          <w:tab w:val="left" w:pos="569"/>
        </w:tabs>
        <w:rPr>
          <w:bCs/>
          <w:sz w:val="22"/>
          <w:szCs w:val="22"/>
        </w:rPr>
      </w:pPr>
    </w:p>
    <w:p w14:paraId="075C3E71" w14:textId="77777777" w:rsidR="0072020E" w:rsidRPr="00786071" w:rsidRDefault="0072020E" w:rsidP="00480FB1">
      <w:pPr>
        <w:tabs>
          <w:tab w:val="left" w:pos="540"/>
          <w:tab w:val="left" w:pos="569"/>
        </w:tabs>
        <w:rPr>
          <w:b/>
          <w:bCs/>
          <w:sz w:val="22"/>
          <w:szCs w:val="22"/>
        </w:rPr>
      </w:pPr>
      <w:r w:rsidRPr="00786071">
        <w:rPr>
          <w:b/>
          <w:bCs/>
          <w:sz w:val="22"/>
          <w:szCs w:val="22"/>
        </w:rPr>
        <w:t xml:space="preserve">6.1. </w:t>
      </w:r>
      <w:r w:rsidR="00480FB1" w:rsidRPr="00786071">
        <w:rPr>
          <w:b/>
          <w:bCs/>
          <w:sz w:val="22"/>
          <w:szCs w:val="22"/>
        </w:rPr>
        <w:tab/>
      </w:r>
      <w:r w:rsidRPr="00786071">
        <w:rPr>
          <w:b/>
          <w:bCs/>
          <w:sz w:val="22"/>
          <w:szCs w:val="22"/>
        </w:rPr>
        <w:t>Lista pomoćnih supstanci</w:t>
      </w:r>
      <w:r w:rsidR="002E0135" w:rsidRPr="00786071">
        <w:rPr>
          <w:b/>
          <w:bCs/>
          <w:sz w:val="22"/>
          <w:szCs w:val="22"/>
        </w:rPr>
        <w:t xml:space="preserve"> (ekscipijenasa)</w:t>
      </w:r>
    </w:p>
    <w:p w14:paraId="78D416EA" w14:textId="77777777" w:rsidR="00D21251" w:rsidRDefault="00D21251" w:rsidP="0058338A">
      <w:pPr>
        <w:rPr>
          <w:szCs w:val="22"/>
          <w:lang w:val="sr-Latn-CS"/>
        </w:rPr>
      </w:pPr>
    </w:p>
    <w:p w14:paraId="7B80131A" w14:textId="7FB2A928" w:rsidR="0058338A" w:rsidRPr="00D21251" w:rsidRDefault="003220B0" w:rsidP="0058338A">
      <w:pPr>
        <w:rPr>
          <w:sz w:val="22"/>
          <w:szCs w:val="22"/>
          <w:lang w:val="sr-Latn-CS"/>
        </w:rPr>
      </w:pPr>
      <w:r w:rsidRPr="00C85663">
        <w:rPr>
          <w:sz w:val="22"/>
          <w:szCs w:val="22"/>
          <w:u w:val="single"/>
          <w:lang w:val="sr-Latn-CS"/>
        </w:rPr>
        <w:lastRenderedPageBreak/>
        <w:t>-j</w:t>
      </w:r>
      <w:r w:rsidR="0058338A" w:rsidRPr="00C85663">
        <w:rPr>
          <w:sz w:val="22"/>
          <w:szCs w:val="22"/>
          <w:u w:val="single"/>
          <w:lang w:val="sr-Latn-CS"/>
        </w:rPr>
        <w:t>ezgro tablete:</w:t>
      </w:r>
    </w:p>
    <w:p w14:paraId="7B69D5A3" w14:textId="04106FA7" w:rsidR="0058338A" w:rsidRPr="00D21251" w:rsidRDefault="003220B0" w:rsidP="0058338A">
      <w:pPr>
        <w:rPr>
          <w:sz w:val="22"/>
          <w:szCs w:val="22"/>
          <w:lang w:val="sr-Latn-CS"/>
        </w:rPr>
      </w:pPr>
      <w:r>
        <w:rPr>
          <w:sz w:val="22"/>
          <w:szCs w:val="22"/>
          <w:lang w:val="sr-Latn-CS"/>
        </w:rPr>
        <w:t>-c</w:t>
      </w:r>
      <w:r w:rsidR="0058338A" w:rsidRPr="00D21251">
        <w:rPr>
          <w:sz w:val="22"/>
          <w:szCs w:val="22"/>
          <w:lang w:val="sr-Latn-CS"/>
        </w:rPr>
        <w:t>eluloza, mikrokristalna;</w:t>
      </w:r>
    </w:p>
    <w:p w14:paraId="2635BE89" w14:textId="0598008F" w:rsidR="0058338A" w:rsidRPr="00D21251" w:rsidRDefault="003220B0" w:rsidP="0058338A">
      <w:pPr>
        <w:rPr>
          <w:sz w:val="22"/>
          <w:szCs w:val="22"/>
          <w:lang w:val="sr-Latn-CS"/>
        </w:rPr>
      </w:pPr>
      <w:r>
        <w:rPr>
          <w:sz w:val="22"/>
          <w:szCs w:val="22"/>
          <w:lang w:val="sr-Latn-CS"/>
        </w:rPr>
        <w:t>-k</w:t>
      </w:r>
      <w:r w:rsidR="0058338A" w:rsidRPr="00D21251">
        <w:rPr>
          <w:sz w:val="22"/>
          <w:szCs w:val="22"/>
          <w:lang w:val="sr-Latn-CS"/>
        </w:rPr>
        <w:t>rospovidon;</w:t>
      </w:r>
    </w:p>
    <w:p w14:paraId="76DB4C08" w14:textId="335A2BD7" w:rsidR="0058338A" w:rsidRPr="00D21251" w:rsidRDefault="003220B0" w:rsidP="0058338A">
      <w:pPr>
        <w:rPr>
          <w:sz w:val="22"/>
          <w:szCs w:val="22"/>
          <w:lang w:val="sr-Latn-CS"/>
        </w:rPr>
      </w:pPr>
      <w:r>
        <w:rPr>
          <w:sz w:val="22"/>
          <w:szCs w:val="22"/>
          <w:lang w:val="sr-Latn-CS"/>
        </w:rPr>
        <w:t>-p</w:t>
      </w:r>
      <w:r w:rsidR="0058338A" w:rsidRPr="00D21251">
        <w:rPr>
          <w:sz w:val="22"/>
          <w:szCs w:val="22"/>
          <w:lang w:val="sr-Latn-CS"/>
        </w:rPr>
        <w:t>ovidon;</w:t>
      </w:r>
    </w:p>
    <w:p w14:paraId="5600CCEF" w14:textId="2550B24C" w:rsidR="0058338A" w:rsidRPr="00D21251" w:rsidRDefault="003220B0" w:rsidP="0058338A">
      <w:pPr>
        <w:rPr>
          <w:sz w:val="22"/>
          <w:szCs w:val="22"/>
          <w:lang w:val="sr-Latn-CS"/>
        </w:rPr>
      </w:pPr>
      <w:r>
        <w:rPr>
          <w:sz w:val="22"/>
          <w:szCs w:val="22"/>
          <w:lang w:val="sr-Latn-CS"/>
        </w:rPr>
        <w:t>-m</w:t>
      </w:r>
      <w:r w:rsidR="0058338A" w:rsidRPr="00D21251">
        <w:rPr>
          <w:sz w:val="22"/>
          <w:szCs w:val="22"/>
          <w:lang w:val="sr-Latn-CS"/>
        </w:rPr>
        <w:t>agnezijum</w:t>
      </w:r>
      <w:r w:rsidR="00584DC6">
        <w:rPr>
          <w:sz w:val="22"/>
          <w:szCs w:val="22"/>
          <w:lang w:val="sr-Latn-CS"/>
        </w:rPr>
        <w:t xml:space="preserve"> </w:t>
      </w:r>
      <w:r w:rsidR="0058338A" w:rsidRPr="00D21251">
        <w:rPr>
          <w:sz w:val="22"/>
          <w:szCs w:val="22"/>
          <w:lang w:val="sr-Latn-CS"/>
        </w:rPr>
        <w:t xml:space="preserve">stearat; </w:t>
      </w:r>
    </w:p>
    <w:p w14:paraId="77C2DABE" w14:textId="23D4C343" w:rsidR="0058338A" w:rsidRPr="00D21251" w:rsidRDefault="003220B0" w:rsidP="0058338A">
      <w:pPr>
        <w:rPr>
          <w:sz w:val="22"/>
          <w:szCs w:val="22"/>
          <w:lang w:val="sr-Latn-CS"/>
        </w:rPr>
      </w:pPr>
      <w:r>
        <w:rPr>
          <w:sz w:val="22"/>
          <w:szCs w:val="22"/>
          <w:lang w:val="sr-Latn-CS"/>
        </w:rPr>
        <w:t>-s</w:t>
      </w:r>
      <w:r w:rsidR="0058338A" w:rsidRPr="00D21251">
        <w:rPr>
          <w:sz w:val="22"/>
          <w:szCs w:val="22"/>
          <w:lang w:val="sr-Latn-CS"/>
        </w:rPr>
        <w:t>ilicijum</w:t>
      </w:r>
      <w:r w:rsidR="00584DC6">
        <w:rPr>
          <w:sz w:val="22"/>
          <w:szCs w:val="22"/>
          <w:lang w:val="sr-Latn-CS"/>
        </w:rPr>
        <w:t xml:space="preserve"> </w:t>
      </w:r>
      <w:r w:rsidR="0058338A" w:rsidRPr="00D21251">
        <w:rPr>
          <w:sz w:val="22"/>
          <w:szCs w:val="22"/>
          <w:lang w:val="sr-Latn-CS"/>
        </w:rPr>
        <w:t>dioksid, koloidni, bezvodni;</w:t>
      </w:r>
    </w:p>
    <w:p w14:paraId="094E96C6" w14:textId="345396EA" w:rsidR="0058338A" w:rsidRPr="00D21251" w:rsidRDefault="003220B0" w:rsidP="0058338A">
      <w:pPr>
        <w:rPr>
          <w:sz w:val="22"/>
          <w:szCs w:val="22"/>
          <w:lang w:val="sr-Latn-CS"/>
        </w:rPr>
      </w:pPr>
      <w:r>
        <w:rPr>
          <w:sz w:val="22"/>
          <w:szCs w:val="22"/>
          <w:lang w:val="sr-Latn-CS"/>
        </w:rPr>
        <w:t>-p</w:t>
      </w:r>
      <w:r w:rsidR="0058338A" w:rsidRPr="00D21251">
        <w:rPr>
          <w:sz w:val="22"/>
          <w:szCs w:val="22"/>
          <w:lang w:val="sr-Latn-CS"/>
        </w:rPr>
        <w:t>oloksamer.</w:t>
      </w:r>
    </w:p>
    <w:p w14:paraId="26FAE533" w14:textId="77777777" w:rsidR="0058338A" w:rsidRPr="00D21251" w:rsidRDefault="0058338A" w:rsidP="0058338A">
      <w:pPr>
        <w:rPr>
          <w:sz w:val="22"/>
          <w:szCs w:val="22"/>
          <w:lang w:val="sr-Latn-CS"/>
        </w:rPr>
      </w:pPr>
    </w:p>
    <w:p w14:paraId="0237A302" w14:textId="05D163FB" w:rsidR="0058338A" w:rsidRPr="00C85663" w:rsidRDefault="003220B0" w:rsidP="0058338A">
      <w:pPr>
        <w:rPr>
          <w:sz w:val="22"/>
          <w:szCs w:val="22"/>
          <w:u w:val="single"/>
          <w:lang w:val="sr-Latn-CS"/>
        </w:rPr>
      </w:pPr>
      <w:r w:rsidRPr="00C85663">
        <w:rPr>
          <w:sz w:val="22"/>
          <w:szCs w:val="22"/>
          <w:u w:val="single"/>
          <w:lang w:val="sr-Latn-CS"/>
        </w:rPr>
        <w:t>F</w:t>
      </w:r>
      <w:r w:rsidR="0058338A" w:rsidRPr="00C85663">
        <w:rPr>
          <w:sz w:val="22"/>
          <w:szCs w:val="22"/>
          <w:u w:val="single"/>
          <w:lang w:val="sr-Latn-CS"/>
        </w:rPr>
        <w:t>ilm tablete:</w:t>
      </w:r>
    </w:p>
    <w:p w14:paraId="2B753029" w14:textId="4CF546E9" w:rsidR="0058338A" w:rsidRPr="00D21251" w:rsidRDefault="003220B0" w:rsidP="0058338A">
      <w:pPr>
        <w:rPr>
          <w:sz w:val="22"/>
          <w:szCs w:val="22"/>
          <w:lang w:val="sr-Latn-CS"/>
        </w:rPr>
      </w:pPr>
      <w:r>
        <w:rPr>
          <w:sz w:val="22"/>
          <w:szCs w:val="22"/>
          <w:lang w:val="sr-Latn-CS"/>
        </w:rPr>
        <w:t>-h</w:t>
      </w:r>
      <w:r w:rsidR="0058338A" w:rsidRPr="00D21251">
        <w:rPr>
          <w:sz w:val="22"/>
          <w:szCs w:val="22"/>
          <w:lang w:val="sr-Latn-CS"/>
        </w:rPr>
        <w:t>ipromeloza</w:t>
      </w:r>
    </w:p>
    <w:p w14:paraId="49C563B9" w14:textId="78AE315B" w:rsidR="0058338A" w:rsidRPr="00D21251" w:rsidRDefault="003220B0" w:rsidP="0058338A">
      <w:pPr>
        <w:rPr>
          <w:sz w:val="22"/>
          <w:szCs w:val="22"/>
          <w:lang w:val="sr-Latn-CS"/>
        </w:rPr>
      </w:pPr>
      <w:r>
        <w:rPr>
          <w:sz w:val="22"/>
          <w:szCs w:val="22"/>
          <w:lang w:val="sr-Latn-CS"/>
        </w:rPr>
        <w:t>-t</w:t>
      </w:r>
      <w:r w:rsidR="0058338A" w:rsidRPr="00D21251">
        <w:rPr>
          <w:sz w:val="22"/>
          <w:szCs w:val="22"/>
          <w:lang w:val="sr-Latn-CS"/>
        </w:rPr>
        <w:t>itan</w:t>
      </w:r>
      <w:r w:rsidR="00584DC6">
        <w:rPr>
          <w:sz w:val="22"/>
          <w:szCs w:val="22"/>
          <w:lang w:val="sr-Latn-CS"/>
        </w:rPr>
        <w:t xml:space="preserve"> </w:t>
      </w:r>
      <w:r w:rsidR="0058338A" w:rsidRPr="00D21251">
        <w:rPr>
          <w:sz w:val="22"/>
          <w:szCs w:val="22"/>
          <w:lang w:val="sr-Latn-CS"/>
        </w:rPr>
        <w:t>dioksid (E 171)</w:t>
      </w:r>
    </w:p>
    <w:p w14:paraId="348F7DFC" w14:textId="4DA872A8" w:rsidR="0058338A" w:rsidRPr="00D21251" w:rsidRDefault="003220B0" w:rsidP="0058338A">
      <w:pPr>
        <w:rPr>
          <w:sz w:val="22"/>
          <w:szCs w:val="22"/>
          <w:lang w:val="sr-Latn-CS"/>
        </w:rPr>
      </w:pPr>
      <w:r>
        <w:rPr>
          <w:sz w:val="22"/>
          <w:szCs w:val="22"/>
          <w:lang w:val="sr-Latn-CS"/>
        </w:rPr>
        <w:t>-m</w:t>
      </w:r>
      <w:r w:rsidR="0058338A" w:rsidRPr="00D21251">
        <w:rPr>
          <w:sz w:val="22"/>
          <w:szCs w:val="22"/>
          <w:lang w:val="sr-Latn-CS"/>
        </w:rPr>
        <w:t xml:space="preserve">akrogol </w:t>
      </w:r>
      <w:r w:rsidR="00584DC6">
        <w:rPr>
          <w:sz w:val="22"/>
          <w:szCs w:val="22"/>
          <w:lang w:val="sr-Latn-CS"/>
        </w:rPr>
        <w:t>4000</w:t>
      </w:r>
    </w:p>
    <w:p w14:paraId="7FE0F4D9" w14:textId="524387F3" w:rsidR="0058338A" w:rsidRPr="00D21251" w:rsidRDefault="003220B0" w:rsidP="0058338A">
      <w:pPr>
        <w:rPr>
          <w:sz w:val="22"/>
          <w:szCs w:val="22"/>
          <w:lang w:val="sr-Latn-CS"/>
        </w:rPr>
      </w:pPr>
      <w:r>
        <w:rPr>
          <w:sz w:val="22"/>
          <w:szCs w:val="22"/>
          <w:lang w:val="sr-Latn-CS"/>
        </w:rPr>
        <w:t>-t</w:t>
      </w:r>
      <w:r w:rsidR="0058338A" w:rsidRPr="00D21251">
        <w:rPr>
          <w:sz w:val="22"/>
          <w:szCs w:val="22"/>
          <w:lang w:val="sr-Latn-CS"/>
        </w:rPr>
        <w:t>alk</w:t>
      </w:r>
    </w:p>
    <w:p w14:paraId="741E33E5" w14:textId="03C344DB" w:rsidR="0058338A" w:rsidRPr="00D21251" w:rsidRDefault="003220B0" w:rsidP="0058338A">
      <w:pPr>
        <w:rPr>
          <w:sz w:val="22"/>
          <w:szCs w:val="22"/>
          <w:lang w:val="sr-Latn-CS"/>
        </w:rPr>
      </w:pPr>
      <w:r>
        <w:rPr>
          <w:sz w:val="22"/>
          <w:szCs w:val="22"/>
          <w:lang w:val="sr-Latn-CS"/>
        </w:rPr>
        <w:t>-i</w:t>
      </w:r>
      <w:r w:rsidR="0058338A" w:rsidRPr="00D21251">
        <w:rPr>
          <w:sz w:val="22"/>
          <w:szCs w:val="22"/>
          <w:lang w:val="sr-Latn-CS"/>
        </w:rPr>
        <w:t>ndigo karmin (E132)</w:t>
      </w:r>
    </w:p>
    <w:p w14:paraId="45B9DD30" w14:textId="77777777" w:rsidR="0072020E" w:rsidRPr="00786071" w:rsidRDefault="0072020E" w:rsidP="00480FB1">
      <w:pPr>
        <w:tabs>
          <w:tab w:val="left" w:pos="540"/>
          <w:tab w:val="left" w:pos="569"/>
        </w:tabs>
        <w:rPr>
          <w:bCs/>
          <w:sz w:val="22"/>
          <w:szCs w:val="22"/>
        </w:rPr>
      </w:pPr>
    </w:p>
    <w:p w14:paraId="0667642A" w14:textId="77777777" w:rsidR="0072020E" w:rsidRPr="00D21251" w:rsidRDefault="0072020E" w:rsidP="00480FB1">
      <w:pPr>
        <w:tabs>
          <w:tab w:val="left" w:pos="540"/>
          <w:tab w:val="left" w:pos="569"/>
        </w:tabs>
        <w:rPr>
          <w:b/>
          <w:bCs/>
          <w:sz w:val="22"/>
          <w:szCs w:val="22"/>
        </w:rPr>
      </w:pPr>
      <w:r w:rsidRPr="00786071">
        <w:rPr>
          <w:b/>
          <w:bCs/>
          <w:sz w:val="22"/>
          <w:szCs w:val="22"/>
        </w:rPr>
        <w:t>6</w:t>
      </w:r>
      <w:r w:rsidRPr="00D21251">
        <w:rPr>
          <w:b/>
          <w:bCs/>
          <w:sz w:val="22"/>
          <w:szCs w:val="22"/>
        </w:rPr>
        <w:t xml:space="preserve">.2. </w:t>
      </w:r>
      <w:r w:rsidR="00480FB1" w:rsidRPr="00D21251">
        <w:rPr>
          <w:b/>
          <w:bCs/>
          <w:sz w:val="22"/>
          <w:szCs w:val="22"/>
        </w:rPr>
        <w:tab/>
      </w:r>
      <w:r w:rsidRPr="00D21251">
        <w:rPr>
          <w:b/>
          <w:bCs/>
          <w:sz w:val="22"/>
          <w:szCs w:val="22"/>
        </w:rPr>
        <w:t>Inkompatibilnost</w:t>
      </w:r>
      <w:r w:rsidR="002846DB" w:rsidRPr="00D21251">
        <w:rPr>
          <w:b/>
          <w:bCs/>
          <w:sz w:val="22"/>
          <w:szCs w:val="22"/>
        </w:rPr>
        <w:t>i</w:t>
      </w:r>
    </w:p>
    <w:p w14:paraId="477A5E0C" w14:textId="77777777" w:rsidR="00290B5E" w:rsidRDefault="00290B5E" w:rsidP="0058338A">
      <w:pPr>
        <w:rPr>
          <w:sz w:val="22"/>
          <w:szCs w:val="22"/>
          <w:lang w:val="sr-Latn-CS"/>
        </w:rPr>
      </w:pPr>
    </w:p>
    <w:p w14:paraId="3C76D471" w14:textId="77777777" w:rsidR="0058338A" w:rsidRPr="00D21251" w:rsidRDefault="0058338A" w:rsidP="0058338A">
      <w:pPr>
        <w:rPr>
          <w:sz w:val="22"/>
          <w:szCs w:val="22"/>
          <w:lang w:val="sr-Latn-CS"/>
        </w:rPr>
      </w:pPr>
      <w:r w:rsidRPr="00D21251">
        <w:rPr>
          <w:sz w:val="22"/>
          <w:szCs w:val="22"/>
          <w:lang w:val="sr-Latn-CS"/>
        </w:rPr>
        <w:t>Nije prim</w:t>
      </w:r>
      <w:r w:rsidR="00344FF6">
        <w:rPr>
          <w:sz w:val="22"/>
          <w:szCs w:val="22"/>
          <w:lang w:val="sr-Latn-CS"/>
        </w:rPr>
        <w:t>ij</w:t>
      </w:r>
      <w:r w:rsidRPr="00D21251">
        <w:rPr>
          <w:sz w:val="22"/>
          <w:szCs w:val="22"/>
          <w:lang w:val="sr-Latn-CS"/>
        </w:rPr>
        <w:t>enljivo.</w:t>
      </w:r>
    </w:p>
    <w:p w14:paraId="35C0C3F9" w14:textId="77777777" w:rsidR="0072020E" w:rsidRPr="00D21251" w:rsidRDefault="0072020E" w:rsidP="00480FB1">
      <w:pPr>
        <w:tabs>
          <w:tab w:val="left" w:pos="540"/>
          <w:tab w:val="left" w:pos="569"/>
        </w:tabs>
        <w:rPr>
          <w:bCs/>
          <w:sz w:val="22"/>
          <w:szCs w:val="22"/>
        </w:rPr>
      </w:pPr>
    </w:p>
    <w:p w14:paraId="3F2B07E4" w14:textId="77777777" w:rsidR="0072020E" w:rsidRPr="00D21251" w:rsidRDefault="0072020E" w:rsidP="00480FB1">
      <w:pPr>
        <w:tabs>
          <w:tab w:val="left" w:pos="540"/>
          <w:tab w:val="left" w:pos="569"/>
        </w:tabs>
        <w:rPr>
          <w:b/>
          <w:bCs/>
          <w:sz w:val="22"/>
          <w:szCs w:val="22"/>
        </w:rPr>
      </w:pPr>
      <w:r w:rsidRPr="00D21251">
        <w:rPr>
          <w:b/>
          <w:bCs/>
          <w:sz w:val="22"/>
          <w:szCs w:val="22"/>
        </w:rPr>
        <w:t>6.3.</w:t>
      </w:r>
      <w:r w:rsidR="00C05DF8" w:rsidRPr="00D21251">
        <w:rPr>
          <w:b/>
          <w:bCs/>
          <w:sz w:val="22"/>
          <w:szCs w:val="22"/>
        </w:rPr>
        <w:t xml:space="preserve"> </w:t>
      </w:r>
      <w:r w:rsidR="00480FB1" w:rsidRPr="00D21251">
        <w:rPr>
          <w:b/>
          <w:bCs/>
          <w:sz w:val="22"/>
          <w:szCs w:val="22"/>
        </w:rPr>
        <w:tab/>
      </w:r>
      <w:r w:rsidRPr="00D21251">
        <w:rPr>
          <w:b/>
          <w:bCs/>
          <w:sz w:val="22"/>
          <w:szCs w:val="22"/>
        </w:rPr>
        <w:t>Rok upotrebe</w:t>
      </w:r>
    </w:p>
    <w:p w14:paraId="70DA86E6" w14:textId="77777777" w:rsidR="00290B5E" w:rsidRDefault="00290B5E" w:rsidP="0058338A">
      <w:pPr>
        <w:pStyle w:val="Header"/>
        <w:tabs>
          <w:tab w:val="left" w:pos="284"/>
        </w:tabs>
        <w:rPr>
          <w:sz w:val="22"/>
          <w:szCs w:val="22"/>
          <w:lang w:val="it-IT"/>
        </w:rPr>
      </w:pPr>
    </w:p>
    <w:p w14:paraId="0A7613ED" w14:textId="77777777" w:rsidR="0058338A" w:rsidRPr="00D21251" w:rsidRDefault="0058338A" w:rsidP="0058338A">
      <w:pPr>
        <w:pStyle w:val="Header"/>
        <w:tabs>
          <w:tab w:val="left" w:pos="284"/>
        </w:tabs>
        <w:rPr>
          <w:sz w:val="22"/>
          <w:szCs w:val="22"/>
          <w:lang w:val="it-IT"/>
        </w:rPr>
      </w:pPr>
      <w:r w:rsidRPr="00D21251">
        <w:rPr>
          <w:sz w:val="22"/>
          <w:szCs w:val="22"/>
          <w:lang w:val="it-IT"/>
        </w:rPr>
        <w:t>3 godine.</w:t>
      </w:r>
    </w:p>
    <w:p w14:paraId="6EE73400" w14:textId="77777777" w:rsidR="0072020E" w:rsidRPr="00D21251" w:rsidRDefault="0072020E" w:rsidP="00480FB1">
      <w:pPr>
        <w:tabs>
          <w:tab w:val="left" w:pos="540"/>
          <w:tab w:val="left" w:pos="569"/>
        </w:tabs>
        <w:rPr>
          <w:bCs/>
          <w:sz w:val="22"/>
          <w:szCs w:val="22"/>
        </w:rPr>
      </w:pPr>
    </w:p>
    <w:p w14:paraId="36C2DA16" w14:textId="77777777" w:rsidR="0072020E" w:rsidRPr="00D21251" w:rsidRDefault="0072020E" w:rsidP="00480FB1">
      <w:pPr>
        <w:tabs>
          <w:tab w:val="left" w:pos="540"/>
          <w:tab w:val="left" w:pos="569"/>
        </w:tabs>
        <w:rPr>
          <w:b/>
          <w:bCs/>
          <w:sz w:val="22"/>
          <w:szCs w:val="22"/>
        </w:rPr>
      </w:pPr>
      <w:r w:rsidRPr="00D21251">
        <w:rPr>
          <w:b/>
          <w:bCs/>
          <w:sz w:val="22"/>
          <w:szCs w:val="22"/>
        </w:rPr>
        <w:t xml:space="preserve">6.4. </w:t>
      </w:r>
      <w:r w:rsidR="00480FB1" w:rsidRPr="00D21251">
        <w:rPr>
          <w:b/>
          <w:bCs/>
          <w:sz w:val="22"/>
          <w:szCs w:val="22"/>
        </w:rPr>
        <w:tab/>
      </w:r>
      <w:r w:rsidRPr="00D21251">
        <w:rPr>
          <w:b/>
          <w:bCs/>
          <w:sz w:val="22"/>
          <w:szCs w:val="22"/>
        </w:rPr>
        <w:t>Posebne mjere upozorenja pri čuvanju</w:t>
      </w:r>
      <w:r w:rsidR="00F8570A" w:rsidRPr="00D21251">
        <w:rPr>
          <w:b/>
          <w:bCs/>
          <w:sz w:val="22"/>
          <w:szCs w:val="22"/>
        </w:rPr>
        <w:t xml:space="preserve"> lijeka</w:t>
      </w:r>
    </w:p>
    <w:p w14:paraId="6C356205" w14:textId="77777777" w:rsidR="00290B5E" w:rsidRDefault="00290B5E" w:rsidP="0058338A">
      <w:pPr>
        <w:pStyle w:val="BodyText"/>
        <w:tabs>
          <w:tab w:val="clear" w:pos="284"/>
        </w:tabs>
        <w:spacing w:before="0" w:after="0"/>
        <w:jc w:val="left"/>
        <w:rPr>
          <w:rFonts w:ascii="Times New Roman" w:hAnsi="Times New Roman" w:cs="Times New Roman"/>
          <w:i w:val="0"/>
          <w:sz w:val="22"/>
          <w:szCs w:val="22"/>
          <w:lang w:val="hr-HR"/>
        </w:rPr>
      </w:pPr>
    </w:p>
    <w:p w14:paraId="56FE4676" w14:textId="77777777" w:rsidR="0058338A" w:rsidRPr="00D21251" w:rsidRDefault="0058338A" w:rsidP="0058338A">
      <w:pPr>
        <w:pStyle w:val="BodyText"/>
        <w:tabs>
          <w:tab w:val="clear" w:pos="284"/>
        </w:tabs>
        <w:spacing w:before="0" w:after="0"/>
        <w:jc w:val="left"/>
        <w:rPr>
          <w:rFonts w:ascii="Times New Roman" w:hAnsi="Times New Roman" w:cs="Times New Roman"/>
          <w:i w:val="0"/>
          <w:sz w:val="22"/>
          <w:szCs w:val="22"/>
          <w:lang w:val="hr-HR"/>
        </w:rPr>
      </w:pPr>
      <w:r w:rsidRPr="00D21251">
        <w:rPr>
          <w:rFonts w:ascii="Times New Roman" w:hAnsi="Times New Roman" w:cs="Times New Roman"/>
          <w:i w:val="0"/>
          <w:sz w:val="22"/>
          <w:szCs w:val="22"/>
          <w:lang w:val="hr-HR"/>
        </w:rPr>
        <w:t xml:space="preserve">Ovaj </w:t>
      </w:r>
      <w:r w:rsidR="00344FF6">
        <w:rPr>
          <w:rFonts w:ascii="Times New Roman" w:hAnsi="Times New Roman" w:cs="Times New Roman"/>
          <w:i w:val="0"/>
          <w:sz w:val="22"/>
          <w:szCs w:val="22"/>
          <w:lang w:val="hr-HR"/>
        </w:rPr>
        <w:t>lijek</w:t>
      </w:r>
      <w:r w:rsidRPr="00D21251">
        <w:rPr>
          <w:rFonts w:ascii="Times New Roman" w:hAnsi="Times New Roman" w:cs="Times New Roman"/>
          <w:i w:val="0"/>
          <w:sz w:val="22"/>
          <w:szCs w:val="22"/>
          <w:lang w:val="hr-HR"/>
        </w:rPr>
        <w:t xml:space="preserve"> ne zaht</w:t>
      </w:r>
      <w:r w:rsidR="00344FF6">
        <w:rPr>
          <w:rFonts w:ascii="Times New Roman" w:hAnsi="Times New Roman" w:cs="Times New Roman"/>
          <w:i w:val="0"/>
          <w:sz w:val="22"/>
          <w:szCs w:val="22"/>
          <w:lang w:val="hr-HR"/>
        </w:rPr>
        <w:t>j</w:t>
      </w:r>
      <w:r w:rsidRPr="00D21251">
        <w:rPr>
          <w:rFonts w:ascii="Times New Roman" w:hAnsi="Times New Roman" w:cs="Times New Roman"/>
          <w:i w:val="0"/>
          <w:sz w:val="22"/>
          <w:szCs w:val="22"/>
          <w:lang w:val="hr-HR"/>
        </w:rPr>
        <w:t>eva posebne uslove čuvanja.</w:t>
      </w:r>
    </w:p>
    <w:p w14:paraId="73E20564" w14:textId="77777777" w:rsidR="00EC2532" w:rsidRPr="00D21251" w:rsidRDefault="00EC2532" w:rsidP="00480FB1">
      <w:pPr>
        <w:tabs>
          <w:tab w:val="left" w:pos="540"/>
          <w:tab w:val="left" w:pos="569"/>
        </w:tabs>
        <w:rPr>
          <w:bCs/>
          <w:sz w:val="22"/>
          <w:szCs w:val="22"/>
        </w:rPr>
      </w:pPr>
    </w:p>
    <w:p w14:paraId="40F5B614" w14:textId="77777777" w:rsidR="00742B27" w:rsidRDefault="00742B27" w:rsidP="00480FB1">
      <w:pPr>
        <w:tabs>
          <w:tab w:val="left" w:pos="540"/>
          <w:tab w:val="left" w:pos="569"/>
        </w:tabs>
        <w:rPr>
          <w:b/>
          <w:bCs/>
          <w:sz w:val="22"/>
          <w:szCs w:val="22"/>
        </w:rPr>
      </w:pPr>
    </w:p>
    <w:p w14:paraId="2D56F4B5" w14:textId="77777777" w:rsidR="00742B27" w:rsidRDefault="00742B27" w:rsidP="00480FB1">
      <w:pPr>
        <w:tabs>
          <w:tab w:val="left" w:pos="540"/>
          <w:tab w:val="left" w:pos="569"/>
        </w:tabs>
        <w:rPr>
          <w:b/>
          <w:bCs/>
          <w:sz w:val="22"/>
          <w:szCs w:val="22"/>
        </w:rPr>
      </w:pPr>
    </w:p>
    <w:p w14:paraId="7BF69C9E" w14:textId="77777777" w:rsidR="0072020E" w:rsidRPr="00D21251" w:rsidRDefault="0072020E" w:rsidP="00480FB1">
      <w:pPr>
        <w:tabs>
          <w:tab w:val="left" w:pos="540"/>
          <w:tab w:val="left" w:pos="569"/>
        </w:tabs>
        <w:rPr>
          <w:b/>
          <w:bCs/>
          <w:sz w:val="22"/>
          <w:szCs w:val="22"/>
        </w:rPr>
      </w:pPr>
      <w:r w:rsidRPr="00D21251">
        <w:rPr>
          <w:b/>
          <w:bCs/>
          <w:sz w:val="22"/>
          <w:szCs w:val="22"/>
        </w:rPr>
        <w:t xml:space="preserve">6.5. </w:t>
      </w:r>
      <w:r w:rsidR="00480FB1" w:rsidRPr="00D21251">
        <w:rPr>
          <w:b/>
          <w:bCs/>
          <w:sz w:val="22"/>
          <w:szCs w:val="22"/>
        </w:rPr>
        <w:tab/>
      </w:r>
      <w:r w:rsidR="002846DB" w:rsidRPr="00D21251">
        <w:rPr>
          <w:b/>
          <w:bCs/>
          <w:sz w:val="22"/>
          <w:szCs w:val="22"/>
        </w:rPr>
        <w:t xml:space="preserve">Vrsta i sadržaj </w:t>
      </w:r>
      <w:r w:rsidR="00F8570A" w:rsidRPr="00D21251">
        <w:rPr>
          <w:b/>
          <w:bCs/>
          <w:sz w:val="22"/>
          <w:szCs w:val="22"/>
        </w:rPr>
        <w:t>pakovanja</w:t>
      </w:r>
      <w:r w:rsidR="00C06864" w:rsidRPr="00D21251">
        <w:rPr>
          <w:b/>
          <w:bCs/>
          <w:sz w:val="22"/>
          <w:szCs w:val="22"/>
        </w:rPr>
        <w:t xml:space="preserve"> </w:t>
      </w:r>
    </w:p>
    <w:p w14:paraId="3EE34392" w14:textId="77777777" w:rsidR="009A2ACE" w:rsidRDefault="009A2ACE" w:rsidP="0058338A">
      <w:pPr>
        <w:rPr>
          <w:sz w:val="22"/>
          <w:szCs w:val="22"/>
          <w:lang w:val="sr-Latn-CS"/>
        </w:rPr>
      </w:pPr>
    </w:p>
    <w:p w14:paraId="2FA420B7" w14:textId="77777777" w:rsidR="0058338A" w:rsidRPr="00D21251" w:rsidRDefault="00290B5E" w:rsidP="0058338A">
      <w:pPr>
        <w:rPr>
          <w:sz w:val="22"/>
          <w:szCs w:val="22"/>
          <w:lang w:val="sr-Latn-CS"/>
        </w:rPr>
      </w:pPr>
      <w:r>
        <w:rPr>
          <w:sz w:val="22"/>
          <w:szCs w:val="22"/>
          <w:lang w:val="sr-Latn-CS"/>
        </w:rPr>
        <w:t>Pakovanje od 30 film tableta sadrži 3</w:t>
      </w:r>
      <w:r w:rsidR="0058338A" w:rsidRPr="00D21251">
        <w:rPr>
          <w:sz w:val="22"/>
          <w:szCs w:val="22"/>
          <w:lang w:val="sr-Latn-CS"/>
        </w:rPr>
        <w:t xml:space="preserve"> PVC/PVDC/Al blister</w:t>
      </w:r>
      <w:r>
        <w:rPr>
          <w:sz w:val="22"/>
          <w:szCs w:val="22"/>
          <w:lang w:val="sr-Latn-CS"/>
        </w:rPr>
        <w:t>a sa po</w:t>
      </w:r>
      <w:r w:rsidR="0058338A" w:rsidRPr="00D21251">
        <w:rPr>
          <w:sz w:val="22"/>
          <w:szCs w:val="22"/>
          <w:lang w:val="sr-Latn-CS"/>
        </w:rPr>
        <w:t xml:space="preserve"> 10 film tabl</w:t>
      </w:r>
      <w:r>
        <w:rPr>
          <w:sz w:val="22"/>
          <w:szCs w:val="22"/>
          <w:lang w:val="sr-Latn-CS"/>
        </w:rPr>
        <w:t xml:space="preserve">eta </w:t>
      </w:r>
      <w:r w:rsidR="0058338A" w:rsidRPr="00D21251">
        <w:rPr>
          <w:sz w:val="22"/>
          <w:szCs w:val="22"/>
          <w:lang w:val="sr-Latn-CS"/>
        </w:rPr>
        <w:t xml:space="preserve">i Uputstvo za </w:t>
      </w:r>
      <w:r w:rsidR="00344FF6">
        <w:rPr>
          <w:sz w:val="22"/>
          <w:szCs w:val="22"/>
          <w:lang w:val="sr-Latn-CS"/>
        </w:rPr>
        <w:t>lijek</w:t>
      </w:r>
      <w:r w:rsidR="0058338A" w:rsidRPr="00D21251">
        <w:rPr>
          <w:sz w:val="22"/>
          <w:szCs w:val="22"/>
          <w:lang w:val="sr-Latn-CS"/>
        </w:rPr>
        <w:t>.</w:t>
      </w:r>
    </w:p>
    <w:p w14:paraId="4687DCCE" w14:textId="77777777" w:rsidR="0072020E" w:rsidRPr="00D21251" w:rsidRDefault="0072020E" w:rsidP="00480FB1">
      <w:pPr>
        <w:tabs>
          <w:tab w:val="left" w:pos="540"/>
          <w:tab w:val="left" w:pos="569"/>
        </w:tabs>
        <w:rPr>
          <w:bCs/>
          <w:sz w:val="22"/>
          <w:szCs w:val="22"/>
        </w:rPr>
      </w:pPr>
    </w:p>
    <w:p w14:paraId="652E99E2" w14:textId="77777777" w:rsidR="00494C15" w:rsidRDefault="00494C15" w:rsidP="00480FB1">
      <w:pPr>
        <w:tabs>
          <w:tab w:val="left" w:pos="540"/>
          <w:tab w:val="left" w:pos="569"/>
        </w:tabs>
        <w:rPr>
          <w:b/>
          <w:bCs/>
          <w:sz w:val="22"/>
          <w:szCs w:val="22"/>
        </w:rPr>
      </w:pPr>
    </w:p>
    <w:p w14:paraId="47D26524" w14:textId="77777777" w:rsidR="002846DB" w:rsidRPr="00D21251" w:rsidRDefault="0072020E" w:rsidP="00480FB1">
      <w:pPr>
        <w:tabs>
          <w:tab w:val="left" w:pos="540"/>
          <w:tab w:val="left" w:pos="569"/>
        </w:tabs>
        <w:rPr>
          <w:b/>
          <w:bCs/>
          <w:sz w:val="22"/>
          <w:szCs w:val="22"/>
        </w:rPr>
      </w:pPr>
      <w:r w:rsidRPr="00D21251">
        <w:rPr>
          <w:b/>
          <w:bCs/>
          <w:sz w:val="22"/>
          <w:szCs w:val="22"/>
        </w:rPr>
        <w:t xml:space="preserve">6.6. </w:t>
      </w:r>
      <w:r w:rsidR="00480FB1" w:rsidRPr="00D21251">
        <w:rPr>
          <w:b/>
          <w:bCs/>
          <w:sz w:val="22"/>
          <w:szCs w:val="22"/>
        </w:rPr>
        <w:tab/>
      </w:r>
      <w:r w:rsidRPr="00D21251">
        <w:rPr>
          <w:b/>
          <w:bCs/>
          <w:color w:val="000000"/>
          <w:sz w:val="22"/>
          <w:szCs w:val="22"/>
        </w:rPr>
        <w:t>Posebne mjere opreza pri odlaganju materijala koji treba odbaciti nakon primjene lijeka</w:t>
      </w:r>
      <w:r w:rsidRPr="00D21251">
        <w:rPr>
          <w:b/>
          <w:bCs/>
          <w:sz w:val="22"/>
          <w:szCs w:val="22"/>
        </w:rPr>
        <w:t xml:space="preserve"> </w:t>
      </w:r>
      <w:r w:rsidR="00310F03" w:rsidRPr="00D21251">
        <w:rPr>
          <w:b/>
          <w:bCs/>
          <w:sz w:val="22"/>
          <w:szCs w:val="22"/>
        </w:rPr>
        <w:t>(i druga uputs</w:t>
      </w:r>
      <w:r w:rsidR="00494C15">
        <w:rPr>
          <w:b/>
          <w:bCs/>
          <w:sz w:val="22"/>
          <w:szCs w:val="22"/>
        </w:rPr>
        <w:t>t</w:t>
      </w:r>
      <w:r w:rsidR="00310F03" w:rsidRPr="00D21251">
        <w:rPr>
          <w:b/>
          <w:bCs/>
          <w:sz w:val="22"/>
          <w:szCs w:val="22"/>
        </w:rPr>
        <w:t xml:space="preserve">va za rukovanje lijekom) </w:t>
      </w:r>
    </w:p>
    <w:p w14:paraId="6D7F0173" w14:textId="77777777" w:rsidR="009A2ACE" w:rsidRDefault="009A2ACE" w:rsidP="009A2ACE">
      <w:pPr>
        <w:rPr>
          <w:sz w:val="22"/>
          <w:szCs w:val="22"/>
          <w:lang w:val="pt-BR"/>
        </w:rPr>
      </w:pPr>
    </w:p>
    <w:p w14:paraId="3C677DC8" w14:textId="77777777" w:rsidR="009A2ACE" w:rsidRPr="00832143" w:rsidRDefault="009A2ACE" w:rsidP="009A2ACE">
      <w:pPr>
        <w:rPr>
          <w:sz w:val="22"/>
          <w:szCs w:val="22"/>
        </w:rPr>
      </w:pPr>
      <w:r w:rsidRPr="00832143">
        <w:rPr>
          <w:sz w:val="22"/>
          <w:szCs w:val="22"/>
          <w:lang w:val="pt-BR"/>
        </w:rPr>
        <w:t>Neupotrebljeni l</w:t>
      </w:r>
      <w:r>
        <w:rPr>
          <w:sz w:val="22"/>
          <w:szCs w:val="22"/>
          <w:lang w:val="pt-BR"/>
        </w:rPr>
        <w:t>ij</w:t>
      </w:r>
      <w:r w:rsidRPr="00832143">
        <w:rPr>
          <w:sz w:val="22"/>
          <w:szCs w:val="22"/>
          <w:lang w:val="pt-BR"/>
        </w:rPr>
        <w:t>ek se uništava u skladu sa važećim propisima.</w:t>
      </w:r>
    </w:p>
    <w:p w14:paraId="695135CC" w14:textId="77777777" w:rsidR="00B66A70" w:rsidRDefault="00B66A70" w:rsidP="00480FB1">
      <w:pPr>
        <w:tabs>
          <w:tab w:val="left" w:pos="540"/>
          <w:tab w:val="left" w:pos="569"/>
        </w:tabs>
        <w:rPr>
          <w:b/>
          <w:bCs/>
          <w:sz w:val="22"/>
          <w:szCs w:val="22"/>
        </w:rPr>
      </w:pPr>
    </w:p>
    <w:p w14:paraId="6B89D2A3" w14:textId="77777777" w:rsidR="0072020E" w:rsidRPr="00786071" w:rsidRDefault="0072020E" w:rsidP="00480FB1">
      <w:pPr>
        <w:tabs>
          <w:tab w:val="left" w:pos="540"/>
          <w:tab w:val="left" w:pos="569"/>
        </w:tabs>
        <w:rPr>
          <w:bCs/>
          <w:sz w:val="22"/>
          <w:szCs w:val="22"/>
        </w:rPr>
      </w:pPr>
    </w:p>
    <w:p w14:paraId="216296E7" w14:textId="77777777" w:rsidR="00F8570A" w:rsidRPr="00786071" w:rsidRDefault="0072020E" w:rsidP="00480FB1">
      <w:pPr>
        <w:tabs>
          <w:tab w:val="left" w:pos="540"/>
          <w:tab w:val="left" w:pos="569"/>
        </w:tabs>
        <w:rPr>
          <w:b/>
          <w:bCs/>
          <w:sz w:val="22"/>
          <w:szCs w:val="22"/>
        </w:rPr>
      </w:pPr>
      <w:r w:rsidRPr="00786071">
        <w:rPr>
          <w:b/>
          <w:bCs/>
          <w:sz w:val="22"/>
          <w:szCs w:val="22"/>
        </w:rPr>
        <w:t xml:space="preserve">7. </w:t>
      </w:r>
      <w:r w:rsidR="00480FB1" w:rsidRPr="00786071">
        <w:rPr>
          <w:b/>
          <w:bCs/>
          <w:sz w:val="22"/>
          <w:szCs w:val="22"/>
        </w:rPr>
        <w:tab/>
      </w:r>
      <w:r w:rsidRPr="00786071">
        <w:rPr>
          <w:b/>
          <w:bCs/>
          <w:sz w:val="22"/>
          <w:szCs w:val="22"/>
        </w:rPr>
        <w:t>NOSILAC DOZVOLE</w:t>
      </w:r>
      <w:r w:rsidR="00483928" w:rsidRPr="00786071">
        <w:rPr>
          <w:b/>
          <w:bCs/>
          <w:sz w:val="22"/>
          <w:szCs w:val="22"/>
        </w:rPr>
        <w:t xml:space="preserve"> </w:t>
      </w:r>
    </w:p>
    <w:p w14:paraId="5E43CDBE" w14:textId="77777777" w:rsidR="009A2ACE" w:rsidRDefault="009A2ACE" w:rsidP="009A2ACE">
      <w:pPr>
        <w:tabs>
          <w:tab w:val="left" w:pos="540"/>
          <w:tab w:val="left" w:pos="569"/>
        </w:tabs>
        <w:rPr>
          <w:bCs/>
          <w:sz w:val="22"/>
          <w:szCs w:val="22"/>
        </w:rPr>
      </w:pPr>
    </w:p>
    <w:p w14:paraId="6A38EA35" w14:textId="77777777" w:rsidR="009A2ACE" w:rsidRPr="00832143" w:rsidRDefault="009A2ACE" w:rsidP="009A2ACE">
      <w:pPr>
        <w:tabs>
          <w:tab w:val="left" w:pos="540"/>
          <w:tab w:val="left" w:pos="569"/>
        </w:tabs>
        <w:rPr>
          <w:bCs/>
          <w:sz w:val="22"/>
          <w:szCs w:val="22"/>
        </w:rPr>
      </w:pPr>
      <w:r w:rsidRPr="00832143">
        <w:rPr>
          <w:bCs/>
          <w:sz w:val="22"/>
          <w:szCs w:val="22"/>
        </w:rPr>
        <w:t>“Novartis Pharma Services AG” dio stranog društva Podgorica</w:t>
      </w:r>
    </w:p>
    <w:p w14:paraId="247DDA95" w14:textId="77777777" w:rsidR="009A2ACE" w:rsidRPr="00832143" w:rsidRDefault="009A2ACE" w:rsidP="009A2ACE">
      <w:pPr>
        <w:tabs>
          <w:tab w:val="left" w:pos="540"/>
          <w:tab w:val="left" w:pos="569"/>
        </w:tabs>
        <w:rPr>
          <w:bCs/>
          <w:sz w:val="22"/>
          <w:szCs w:val="22"/>
        </w:rPr>
      </w:pPr>
      <w:proofErr w:type="gramStart"/>
      <w:r w:rsidRPr="00832143">
        <w:rPr>
          <w:bCs/>
          <w:sz w:val="22"/>
          <w:szCs w:val="22"/>
        </w:rPr>
        <w:t>ul</w:t>
      </w:r>
      <w:proofErr w:type="gramEnd"/>
      <w:r w:rsidRPr="00832143">
        <w:rPr>
          <w:bCs/>
          <w:sz w:val="22"/>
          <w:szCs w:val="22"/>
        </w:rPr>
        <w:t>. Svetlane Kane Radević br</w:t>
      </w:r>
      <w:r w:rsidR="00742B27">
        <w:rPr>
          <w:bCs/>
          <w:sz w:val="22"/>
          <w:szCs w:val="22"/>
        </w:rPr>
        <w:t>.</w:t>
      </w:r>
      <w:r w:rsidRPr="00832143">
        <w:rPr>
          <w:bCs/>
          <w:sz w:val="22"/>
          <w:szCs w:val="22"/>
        </w:rPr>
        <w:t xml:space="preserve"> 3, Podgorica</w:t>
      </w:r>
      <w:r w:rsidR="00742B27">
        <w:rPr>
          <w:bCs/>
          <w:sz w:val="22"/>
          <w:szCs w:val="22"/>
        </w:rPr>
        <w:t>, Crna Gora</w:t>
      </w:r>
    </w:p>
    <w:p w14:paraId="0B374C1E" w14:textId="77777777" w:rsidR="00C61BE0" w:rsidRDefault="00C61BE0" w:rsidP="00480FB1">
      <w:pPr>
        <w:tabs>
          <w:tab w:val="left" w:pos="540"/>
          <w:tab w:val="left" w:pos="569"/>
        </w:tabs>
        <w:rPr>
          <w:bCs/>
          <w:sz w:val="22"/>
          <w:szCs w:val="22"/>
        </w:rPr>
      </w:pPr>
    </w:p>
    <w:p w14:paraId="636FC109" w14:textId="77777777" w:rsidR="00C37FD7" w:rsidRPr="00786071" w:rsidRDefault="00C37FD7" w:rsidP="00480FB1">
      <w:pPr>
        <w:tabs>
          <w:tab w:val="left" w:pos="540"/>
          <w:tab w:val="left" w:pos="569"/>
        </w:tabs>
        <w:rPr>
          <w:bCs/>
          <w:sz w:val="22"/>
          <w:szCs w:val="22"/>
        </w:rPr>
      </w:pPr>
    </w:p>
    <w:p w14:paraId="514D6191" w14:textId="77777777" w:rsidR="0072020E" w:rsidRPr="00786071" w:rsidRDefault="0072020E" w:rsidP="00480FB1">
      <w:pPr>
        <w:tabs>
          <w:tab w:val="left" w:pos="540"/>
          <w:tab w:val="left" w:pos="569"/>
        </w:tabs>
        <w:rPr>
          <w:b/>
          <w:bCs/>
          <w:sz w:val="22"/>
          <w:szCs w:val="22"/>
        </w:rPr>
      </w:pPr>
      <w:r w:rsidRPr="00786071">
        <w:rPr>
          <w:b/>
          <w:bCs/>
          <w:sz w:val="22"/>
          <w:szCs w:val="22"/>
        </w:rPr>
        <w:t xml:space="preserve">8. </w:t>
      </w:r>
      <w:r w:rsidR="00480FB1" w:rsidRPr="00786071">
        <w:rPr>
          <w:b/>
          <w:bCs/>
          <w:sz w:val="22"/>
          <w:szCs w:val="22"/>
        </w:rPr>
        <w:tab/>
      </w:r>
      <w:r w:rsidRPr="00786071">
        <w:rPr>
          <w:b/>
          <w:bCs/>
          <w:sz w:val="22"/>
          <w:szCs w:val="22"/>
        </w:rPr>
        <w:t>BROJ DOZVOLE</w:t>
      </w:r>
      <w:r w:rsidR="008A6D43">
        <w:rPr>
          <w:b/>
          <w:bCs/>
          <w:sz w:val="22"/>
          <w:szCs w:val="22"/>
        </w:rPr>
        <w:t xml:space="preserve"> ZA STAVLJANJE LIJEKA U PROMET</w:t>
      </w:r>
    </w:p>
    <w:p w14:paraId="20A4D5B7" w14:textId="77777777" w:rsidR="0072020E" w:rsidRPr="00786071" w:rsidRDefault="0072020E" w:rsidP="00480FB1">
      <w:pPr>
        <w:tabs>
          <w:tab w:val="left" w:pos="540"/>
          <w:tab w:val="left" w:pos="569"/>
        </w:tabs>
        <w:rPr>
          <w:bCs/>
          <w:sz w:val="22"/>
          <w:szCs w:val="22"/>
        </w:rPr>
      </w:pPr>
    </w:p>
    <w:p w14:paraId="6EA77F61" w14:textId="75353549" w:rsidR="006D126F" w:rsidRPr="006B5E2B" w:rsidRDefault="006D126F" w:rsidP="006D126F">
      <w:pPr>
        <w:rPr>
          <w:bCs/>
          <w:sz w:val="22"/>
          <w:szCs w:val="22"/>
          <w:lang w:val="sr-Latn-CS"/>
        </w:rPr>
      </w:pPr>
      <w:r w:rsidRPr="006B5E2B">
        <w:rPr>
          <w:bCs/>
          <w:sz w:val="22"/>
          <w:szCs w:val="22"/>
          <w:lang w:val="sr-Latn-CS"/>
        </w:rPr>
        <w:t xml:space="preserve">Exjade, </w:t>
      </w:r>
      <w:r w:rsidR="00742B27" w:rsidRPr="006B5E2B">
        <w:rPr>
          <w:bCs/>
          <w:sz w:val="22"/>
          <w:szCs w:val="22"/>
          <w:lang w:val="sr-Latn-CS"/>
        </w:rPr>
        <w:t xml:space="preserve">film tableta, </w:t>
      </w:r>
      <w:r w:rsidRPr="006B5E2B">
        <w:rPr>
          <w:bCs/>
          <w:sz w:val="22"/>
          <w:szCs w:val="22"/>
          <w:lang w:val="sr-Latn-CS"/>
        </w:rPr>
        <w:t xml:space="preserve">180 mg, blister, </w:t>
      </w:r>
      <w:r w:rsidR="00742B27" w:rsidRPr="006B5E2B">
        <w:rPr>
          <w:bCs/>
          <w:sz w:val="22"/>
          <w:szCs w:val="22"/>
          <w:lang w:val="sr-Latn-CS"/>
        </w:rPr>
        <w:t>30 (</w:t>
      </w:r>
      <w:r w:rsidRPr="006B5E2B">
        <w:rPr>
          <w:bCs/>
          <w:sz w:val="22"/>
          <w:szCs w:val="22"/>
          <w:lang w:val="sr-Latn-CS"/>
        </w:rPr>
        <w:t>3x10</w:t>
      </w:r>
      <w:r w:rsidR="00742B27" w:rsidRPr="006B5E2B">
        <w:rPr>
          <w:bCs/>
          <w:sz w:val="22"/>
          <w:szCs w:val="22"/>
          <w:lang w:val="sr-Latn-CS"/>
        </w:rPr>
        <w:t>) film tableta:</w:t>
      </w:r>
      <w:r w:rsidR="00B329C7">
        <w:rPr>
          <w:bCs/>
          <w:sz w:val="22"/>
          <w:szCs w:val="22"/>
          <w:lang w:val="sr-Latn-CS"/>
        </w:rPr>
        <w:t xml:space="preserve"> 2030/22/521-3038</w:t>
      </w:r>
    </w:p>
    <w:p w14:paraId="2ACEAB65" w14:textId="77777777" w:rsidR="006D126F" w:rsidRPr="006B5E2B" w:rsidRDefault="006D126F" w:rsidP="006D126F">
      <w:pPr>
        <w:rPr>
          <w:bCs/>
          <w:sz w:val="22"/>
          <w:szCs w:val="22"/>
          <w:lang w:val="sr-Latn-CS"/>
        </w:rPr>
      </w:pPr>
    </w:p>
    <w:p w14:paraId="5591FE9B" w14:textId="154A2669" w:rsidR="006D126F" w:rsidRPr="006B5E2B" w:rsidRDefault="006D126F" w:rsidP="006D126F">
      <w:pPr>
        <w:rPr>
          <w:bCs/>
          <w:sz w:val="22"/>
          <w:szCs w:val="22"/>
          <w:lang w:val="sr-Latn-CS"/>
        </w:rPr>
      </w:pPr>
      <w:r w:rsidRPr="006B5E2B">
        <w:rPr>
          <w:bCs/>
          <w:sz w:val="22"/>
          <w:szCs w:val="22"/>
          <w:lang w:val="sr-Latn-CS"/>
        </w:rPr>
        <w:t xml:space="preserve">Exjade, </w:t>
      </w:r>
      <w:r w:rsidR="00742B27" w:rsidRPr="006B5E2B">
        <w:rPr>
          <w:bCs/>
          <w:sz w:val="22"/>
          <w:szCs w:val="22"/>
          <w:lang w:val="sr-Latn-CS"/>
        </w:rPr>
        <w:t xml:space="preserve">film tableta, </w:t>
      </w:r>
      <w:r w:rsidRPr="006B5E2B">
        <w:rPr>
          <w:bCs/>
          <w:sz w:val="22"/>
          <w:szCs w:val="22"/>
          <w:lang w:val="sr-Latn-CS"/>
        </w:rPr>
        <w:t xml:space="preserve">360 mg, blister, </w:t>
      </w:r>
      <w:r w:rsidR="00742B27" w:rsidRPr="006B5E2B">
        <w:rPr>
          <w:bCs/>
          <w:sz w:val="22"/>
          <w:szCs w:val="22"/>
          <w:lang w:val="sr-Latn-CS"/>
        </w:rPr>
        <w:t>30 (</w:t>
      </w:r>
      <w:r w:rsidRPr="006B5E2B">
        <w:rPr>
          <w:bCs/>
          <w:sz w:val="22"/>
          <w:szCs w:val="22"/>
          <w:lang w:val="sr-Latn-CS"/>
        </w:rPr>
        <w:t>3x10</w:t>
      </w:r>
      <w:r w:rsidR="00742B27" w:rsidRPr="006B5E2B">
        <w:rPr>
          <w:bCs/>
          <w:sz w:val="22"/>
          <w:szCs w:val="22"/>
          <w:lang w:val="sr-Latn-CS"/>
        </w:rPr>
        <w:t>) film tableta:</w:t>
      </w:r>
      <w:r w:rsidR="00B329C7">
        <w:rPr>
          <w:bCs/>
          <w:sz w:val="22"/>
          <w:szCs w:val="22"/>
          <w:lang w:val="sr-Latn-CS"/>
        </w:rPr>
        <w:t xml:space="preserve"> 2030/22/522-3039</w:t>
      </w:r>
    </w:p>
    <w:p w14:paraId="5CE173FF" w14:textId="77777777" w:rsidR="00F45F77" w:rsidRDefault="00F45F77" w:rsidP="00480FB1">
      <w:pPr>
        <w:tabs>
          <w:tab w:val="left" w:pos="540"/>
          <w:tab w:val="left" w:pos="569"/>
        </w:tabs>
        <w:rPr>
          <w:bCs/>
          <w:sz w:val="22"/>
          <w:szCs w:val="22"/>
        </w:rPr>
      </w:pPr>
    </w:p>
    <w:p w14:paraId="502BE8DC" w14:textId="77777777" w:rsidR="00742B27" w:rsidRPr="00786071" w:rsidRDefault="00742B27" w:rsidP="00480FB1">
      <w:pPr>
        <w:tabs>
          <w:tab w:val="left" w:pos="540"/>
          <w:tab w:val="left" w:pos="569"/>
        </w:tabs>
        <w:rPr>
          <w:bCs/>
          <w:sz w:val="22"/>
          <w:szCs w:val="22"/>
        </w:rPr>
      </w:pPr>
    </w:p>
    <w:p w14:paraId="3F9116FD" w14:textId="77777777" w:rsidR="0072020E" w:rsidRPr="00786071" w:rsidRDefault="0072020E" w:rsidP="00480FB1">
      <w:pPr>
        <w:tabs>
          <w:tab w:val="left" w:pos="540"/>
          <w:tab w:val="left" w:pos="569"/>
        </w:tabs>
        <w:rPr>
          <w:b/>
          <w:bCs/>
          <w:sz w:val="22"/>
          <w:szCs w:val="22"/>
        </w:rPr>
      </w:pPr>
      <w:r w:rsidRPr="00786071">
        <w:rPr>
          <w:b/>
          <w:bCs/>
          <w:sz w:val="22"/>
          <w:szCs w:val="22"/>
        </w:rPr>
        <w:t xml:space="preserve">9. </w:t>
      </w:r>
      <w:r w:rsidR="00480FB1" w:rsidRPr="00786071">
        <w:rPr>
          <w:b/>
          <w:bCs/>
          <w:sz w:val="22"/>
          <w:szCs w:val="22"/>
        </w:rPr>
        <w:tab/>
      </w:r>
      <w:r w:rsidRPr="00786071">
        <w:rPr>
          <w:b/>
          <w:bCs/>
          <w:sz w:val="22"/>
          <w:szCs w:val="22"/>
        </w:rPr>
        <w:t xml:space="preserve">DATUM </w:t>
      </w:r>
      <w:r w:rsidR="00C05DF8">
        <w:rPr>
          <w:b/>
          <w:bCs/>
          <w:sz w:val="22"/>
          <w:szCs w:val="22"/>
        </w:rPr>
        <w:t xml:space="preserve">PRVE </w:t>
      </w:r>
      <w:r w:rsidR="008A6D43" w:rsidRPr="00786071">
        <w:rPr>
          <w:b/>
          <w:bCs/>
          <w:sz w:val="22"/>
          <w:szCs w:val="22"/>
        </w:rPr>
        <w:t>DOZVOLE</w:t>
      </w:r>
      <w:r w:rsidR="00C05DF8">
        <w:rPr>
          <w:b/>
          <w:bCs/>
          <w:sz w:val="22"/>
          <w:szCs w:val="22"/>
        </w:rPr>
        <w:t>/OBNOVE DOZVOLE</w:t>
      </w:r>
      <w:r w:rsidR="008A6D43">
        <w:rPr>
          <w:b/>
          <w:bCs/>
          <w:sz w:val="22"/>
          <w:szCs w:val="22"/>
        </w:rPr>
        <w:t xml:space="preserve"> ZA STAVLJANJE LIJEKA U PROMET</w:t>
      </w:r>
    </w:p>
    <w:p w14:paraId="3C2BC44C" w14:textId="77777777" w:rsidR="0072020E" w:rsidRPr="00786071" w:rsidRDefault="0072020E" w:rsidP="00480FB1">
      <w:pPr>
        <w:tabs>
          <w:tab w:val="left" w:pos="540"/>
          <w:tab w:val="left" w:pos="569"/>
        </w:tabs>
        <w:rPr>
          <w:bCs/>
          <w:sz w:val="22"/>
          <w:szCs w:val="22"/>
        </w:rPr>
      </w:pPr>
    </w:p>
    <w:p w14:paraId="76167006" w14:textId="58B04B68" w:rsidR="00B329C7" w:rsidRPr="006B5E2B" w:rsidRDefault="00B329C7" w:rsidP="00B329C7">
      <w:pPr>
        <w:rPr>
          <w:bCs/>
          <w:sz w:val="22"/>
          <w:szCs w:val="22"/>
          <w:lang w:val="sr-Latn-CS"/>
        </w:rPr>
      </w:pPr>
      <w:r w:rsidRPr="006B5E2B">
        <w:rPr>
          <w:bCs/>
          <w:sz w:val="22"/>
          <w:szCs w:val="22"/>
          <w:lang w:val="sr-Latn-CS"/>
        </w:rPr>
        <w:t>Exjade, film tableta, 180 mg, blister, 30 (3x10) film tableta:</w:t>
      </w:r>
      <w:r>
        <w:rPr>
          <w:bCs/>
          <w:sz w:val="22"/>
          <w:szCs w:val="22"/>
          <w:lang w:val="sr-Latn-CS"/>
        </w:rPr>
        <w:t xml:space="preserve"> 07.03.2022. godine</w:t>
      </w:r>
    </w:p>
    <w:p w14:paraId="55D47CE8" w14:textId="77777777" w:rsidR="00B329C7" w:rsidRPr="006B5E2B" w:rsidRDefault="00B329C7" w:rsidP="00B329C7">
      <w:pPr>
        <w:rPr>
          <w:bCs/>
          <w:sz w:val="22"/>
          <w:szCs w:val="22"/>
          <w:lang w:val="sr-Latn-CS"/>
        </w:rPr>
      </w:pPr>
    </w:p>
    <w:p w14:paraId="53C8AB51" w14:textId="7E49B6A2" w:rsidR="00B329C7" w:rsidRPr="006B5E2B" w:rsidRDefault="00B329C7" w:rsidP="00B329C7">
      <w:pPr>
        <w:rPr>
          <w:bCs/>
          <w:sz w:val="22"/>
          <w:szCs w:val="22"/>
          <w:lang w:val="sr-Latn-CS"/>
        </w:rPr>
      </w:pPr>
      <w:r w:rsidRPr="006B5E2B">
        <w:rPr>
          <w:bCs/>
          <w:sz w:val="22"/>
          <w:szCs w:val="22"/>
          <w:lang w:val="sr-Latn-CS"/>
        </w:rPr>
        <w:t>Exjade, film tableta, 360 mg, blister, 30 (3x10) film tableta:</w:t>
      </w:r>
      <w:r>
        <w:rPr>
          <w:bCs/>
          <w:sz w:val="22"/>
          <w:szCs w:val="22"/>
          <w:lang w:val="sr-Latn-CS"/>
        </w:rPr>
        <w:t xml:space="preserve"> 07.03.2022. godine</w:t>
      </w:r>
    </w:p>
    <w:p w14:paraId="546136DD" w14:textId="77777777" w:rsidR="00836B35" w:rsidRDefault="00836B35" w:rsidP="00480FB1">
      <w:pPr>
        <w:tabs>
          <w:tab w:val="left" w:pos="540"/>
          <w:tab w:val="left" w:pos="569"/>
        </w:tabs>
        <w:rPr>
          <w:bCs/>
          <w:sz w:val="22"/>
          <w:szCs w:val="22"/>
        </w:rPr>
      </w:pPr>
    </w:p>
    <w:p w14:paraId="3082A077" w14:textId="77777777" w:rsidR="00B329C7" w:rsidRPr="00786071" w:rsidRDefault="00B329C7" w:rsidP="00480FB1">
      <w:pPr>
        <w:tabs>
          <w:tab w:val="left" w:pos="540"/>
          <w:tab w:val="left" w:pos="569"/>
        </w:tabs>
        <w:rPr>
          <w:bCs/>
          <w:sz w:val="22"/>
          <w:szCs w:val="22"/>
        </w:rPr>
      </w:pPr>
    </w:p>
    <w:p w14:paraId="1E52C974" w14:textId="77777777" w:rsidR="003F6A59" w:rsidRPr="00786071" w:rsidRDefault="0072020E" w:rsidP="00C05DF8">
      <w:pPr>
        <w:tabs>
          <w:tab w:val="left" w:pos="540"/>
          <w:tab w:val="left" w:pos="569"/>
        </w:tabs>
        <w:ind w:left="540" w:hanging="540"/>
        <w:rPr>
          <w:bCs/>
          <w:sz w:val="22"/>
          <w:szCs w:val="22"/>
        </w:rPr>
      </w:pPr>
      <w:r w:rsidRPr="00786071">
        <w:rPr>
          <w:b/>
          <w:bCs/>
          <w:sz w:val="22"/>
          <w:szCs w:val="22"/>
        </w:rPr>
        <w:t xml:space="preserve">10. </w:t>
      </w:r>
      <w:r w:rsidR="00480FB1" w:rsidRPr="00786071">
        <w:rPr>
          <w:b/>
          <w:bCs/>
          <w:sz w:val="22"/>
          <w:szCs w:val="22"/>
        </w:rPr>
        <w:tab/>
      </w:r>
      <w:r w:rsidR="002846DB" w:rsidRPr="00786071">
        <w:rPr>
          <w:b/>
          <w:bCs/>
          <w:sz w:val="22"/>
          <w:szCs w:val="22"/>
        </w:rPr>
        <w:t>D</w:t>
      </w:r>
      <w:r w:rsidR="00EC2532" w:rsidRPr="00786071">
        <w:rPr>
          <w:b/>
          <w:bCs/>
          <w:sz w:val="22"/>
          <w:szCs w:val="22"/>
        </w:rPr>
        <w:t xml:space="preserve">ATUM REVIZIJE TEKSTA </w:t>
      </w:r>
    </w:p>
    <w:p w14:paraId="690720E8" w14:textId="77777777" w:rsidR="003F6A59" w:rsidRDefault="003F6A59" w:rsidP="00480FB1">
      <w:pPr>
        <w:tabs>
          <w:tab w:val="left" w:pos="540"/>
          <w:tab w:val="left" w:pos="569"/>
        </w:tabs>
        <w:rPr>
          <w:bCs/>
          <w:sz w:val="22"/>
          <w:szCs w:val="22"/>
        </w:rPr>
      </w:pPr>
    </w:p>
    <w:p w14:paraId="51866635" w14:textId="7FCF68F0" w:rsidR="008A6D43" w:rsidRPr="00786071" w:rsidRDefault="00DE0D95" w:rsidP="00480FB1">
      <w:pPr>
        <w:tabs>
          <w:tab w:val="left" w:pos="540"/>
          <w:tab w:val="left" w:pos="569"/>
        </w:tabs>
        <w:rPr>
          <w:bCs/>
          <w:sz w:val="22"/>
          <w:szCs w:val="22"/>
        </w:rPr>
      </w:pPr>
      <w:r>
        <w:rPr>
          <w:bCs/>
          <w:sz w:val="22"/>
          <w:szCs w:val="22"/>
        </w:rPr>
        <w:t xml:space="preserve">Decembar, 2024. </w:t>
      </w:r>
      <w:proofErr w:type="gramStart"/>
      <w:r>
        <w:rPr>
          <w:bCs/>
          <w:sz w:val="22"/>
          <w:szCs w:val="22"/>
        </w:rPr>
        <w:t>godine</w:t>
      </w:r>
      <w:bookmarkStart w:id="0" w:name="_GoBack"/>
      <w:bookmarkEnd w:id="0"/>
      <w:proofErr w:type="gramEnd"/>
    </w:p>
    <w:sectPr w:rsidR="008A6D43" w:rsidRPr="00786071" w:rsidSect="00EF3B86">
      <w:footerReference w:type="default" r:id="rId13"/>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4ABCE" w14:textId="77777777" w:rsidR="00635DF3" w:rsidRDefault="00635DF3">
      <w:r>
        <w:separator/>
      </w:r>
    </w:p>
  </w:endnote>
  <w:endnote w:type="continuationSeparator" w:id="0">
    <w:p w14:paraId="18EBBE82" w14:textId="77777777" w:rsidR="00635DF3" w:rsidRDefault="0063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1)">
    <w:altName w:val="Arial"/>
    <w:charset w:val="00"/>
    <w:family w:val="swiss"/>
    <w:pitch w:val="variable"/>
    <w:sig w:usb0="00000000"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Arial"/>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ZWAdobeF">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68078" w14:textId="3B5694D9" w:rsidR="00380AE3" w:rsidRPr="006B5E2B" w:rsidRDefault="00380AE3" w:rsidP="00B23F69">
    <w:pPr>
      <w:pStyle w:val="Footer"/>
      <w:jc w:val="center"/>
      <w:rPr>
        <w:sz w:val="20"/>
        <w:szCs w:val="20"/>
      </w:rPr>
    </w:pPr>
    <w:r w:rsidRPr="006B5E2B">
      <w:rPr>
        <w:sz w:val="20"/>
        <w:szCs w:val="20"/>
      </w:rPr>
      <w:fldChar w:fldCharType="begin"/>
    </w:r>
    <w:r w:rsidRPr="006B5E2B">
      <w:rPr>
        <w:sz w:val="20"/>
        <w:szCs w:val="20"/>
      </w:rPr>
      <w:instrText xml:space="preserve"> PAGE </w:instrText>
    </w:r>
    <w:r w:rsidRPr="006B5E2B">
      <w:rPr>
        <w:sz w:val="20"/>
        <w:szCs w:val="20"/>
      </w:rPr>
      <w:fldChar w:fldCharType="separate"/>
    </w:r>
    <w:r w:rsidR="00DE0D95">
      <w:rPr>
        <w:noProof/>
        <w:sz w:val="20"/>
        <w:szCs w:val="20"/>
      </w:rPr>
      <w:t>19</w:t>
    </w:r>
    <w:r w:rsidRPr="006B5E2B">
      <w:rPr>
        <w:sz w:val="20"/>
        <w:szCs w:val="20"/>
      </w:rPr>
      <w:fldChar w:fldCharType="end"/>
    </w:r>
    <w:r w:rsidRPr="006B5E2B">
      <w:rPr>
        <w:sz w:val="20"/>
        <w:szCs w:val="20"/>
      </w:rPr>
      <w:t xml:space="preserve"> / </w:t>
    </w:r>
    <w:r w:rsidRPr="006B5E2B">
      <w:rPr>
        <w:sz w:val="20"/>
        <w:szCs w:val="20"/>
      </w:rPr>
      <w:fldChar w:fldCharType="begin"/>
    </w:r>
    <w:r w:rsidRPr="006B5E2B">
      <w:rPr>
        <w:sz w:val="20"/>
        <w:szCs w:val="20"/>
      </w:rPr>
      <w:instrText xml:space="preserve"> NUMPAGES </w:instrText>
    </w:r>
    <w:r w:rsidRPr="006B5E2B">
      <w:rPr>
        <w:sz w:val="20"/>
        <w:szCs w:val="20"/>
      </w:rPr>
      <w:fldChar w:fldCharType="separate"/>
    </w:r>
    <w:r w:rsidR="00DE0D95">
      <w:rPr>
        <w:noProof/>
        <w:sz w:val="20"/>
        <w:szCs w:val="20"/>
      </w:rPr>
      <w:t>20</w:t>
    </w:r>
    <w:r w:rsidRPr="006B5E2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7B741" w14:textId="77777777" w:rsidR="00635DF3" w:rsidRDefault="00635DF3">
      <w:r>
        <w:separator/>
      </w:r>
    </w:p>
  </w:footnote>
  <w:footnote w:type="continuationSeparator" w:id="0">
    <w:p w14:paraId="4C5CA2FD" w14:textId="77777777" w:rsidR="00635DF3" w:rsidRDefault="00635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6pt;height:13.4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D754EA9"/>
    <w:multiLevelType w:val="hybridMultilevel"/>
    <w:tmpl w:val="4EF6A4CA"/>
    <w:lvl w:ilvl="0" w:tplc="A8C4E406">
      <w:start w:val="30"/>
      <w:numFmt w:val="bullet"/>
      <w:lvlText w:val="-"/>
      <w:lvlJc w:val="left"/>
      <w:pPr>
        <w:ind w:left="360" w:hanging="360"/>
      </w:pPr>
      <w:rPr>
        <w:rFonts w:ascii="Arial (W1)" w:eastAsia="Arial (W1)" w:hAnsi="Arial (W1)" w:cs="Arial (W1)" w:hint="default"/>
      </w:rPr>
    </w:lvl>
    <w:lvl w:ilvl="1" w:tplc="04090003" w:tentative="1">
      <w:start w:val="1"/>
      <w:numFmt w:val="bullet"/>
      <w:lvlText w:val="o"/>
      <w:lvlJc w:val="left"/>
      <w:pPr>
        <w:ind w:left="1080" w:hanging="360"/>
      </w:pPr>
      <w:rPr>
        <w:rFonts w:ascii="Wingdings" w:hAnsi="Wingdings" w:cs="Wingdings" w:hint="default"/>
      </w:rPr>
    </w:lvl>
    <w:lvl w:ilvl="2" w:tplc="04090005" w:tentative="1">
      <w:start w:val="1"/>
      <w:numFmt w:val="bullet"/>
      <w:lvlText w:val=""/>
      <w:lvlJc w:val="left"/>
      <w:pPr>
        <w:ind w:left="1800" w:hanging="360"/>
      </w:pPr>
      <w:rPr>
        <w:rFonts w:ascii="Cambria Math" w:hAnsi="Cambria Math" w:hint="default"/>
      </w:rPr>
    </w:lvl>
    <w:lvl w:ilvl="3" w:tplc="04090001" w:tentative="1">
      <w:start w:val="1"/>
      <w:numFmt w:val="bullet"/>
      <w:lvlText w:val=""/>
      <w:lvlJc w:val="left"/>
      <w:pPr>
        <w:ind w:left="2520" w:hanging="360"/>
      </w:pPr>
      <w:rPr>
        <w:rFonts w:ascii="Cambria Math" w:hAnsi="Cambria Math" w:hint="default"/>
      </w:rPr>
    </w:lvl>
    <w:lvl w:ilvl="4" w:tplc="04090003" w:tentative="1">
      <w:start w:val="1"/>
      <w:numFmt w:val="bullet"/>
      <w:lvlText w:val="o"/>
      <w:lvlJc w:val="left"/>
      <w:pPr>
        <w:ind w:left="3240" w:hanging="360"/>
      </w:pPr>
      <w:rPr>
        <w:rFonts w:ascii="Wingdings" w:hAnsi="Wingdings" w:cs="Wingdings" w:hint="default"/>
      </w:rPr>
    </w:lvl>
    <w:lvl w:ilvl="5" w:tplc="04090005" w:tentative="1">
      <w:start w:val="1"/>
      <w:numFmt w:val="bullet"/>
      <w:lvlText w:val=""/>
      <w:lvlJc w:val="left"/>
      <w:pPr>
        <w:ind w:left="3960" w:hanging="360"/>
      </w:pPr>
      <w:rPr>
        <w:rFonts w:ascii="Cambria Math" w:hAnsi="Cambria Math" w:hint="default"/>
      </w:rPr>
    </w:lvl>
    <w:lvl w:ilvl="6" w:tplc="04090001" w:tentative="1">
      <w:start w:val="1"/>
      <w:numFmt w:val="bullet"/>
      <w:lvlText w:val=""/>
      <w:lvlJc w:val="left"/>
      <w:pPr>
        <w:ind w:left="4680" w:hanging="360"/>
      </w:pPr>
      <w:rPr>
        <w:rFonts w:ascii="Cambria Math" w:hAnsi="Cambria Math" w:hint="default"/>
      </w:rPr>
    </w:lvl>
    <w:lvl w:ilvl="7" w:tplc="04090003" w:tentative="1">
      <w:start w:val="1"/>
      <w:numFmt w:val="bullet"/>
      <w:lvlText w:val="o"/>
      <w:lvlJc w:val="left"/>
      <w:pPr>
        <w:ind w:left="5400" w:hanging="360"/>
      </w:pPr>
      <w:rPr>
        <w:rFonts w:ascii="Wingdings" w:hAnsi="Wingdings" w:cs="Wingdings" w:hint="default"/>
      </w:rPr>
    </w:lvl>
    <w:lvl w:ilvl="8" w:tplc="04090005" w:tentative="1">
      <w:start w:val="1"/>
      <w:numFmt w:val="bullet"/>
      <w:lvlText w:val=""/>
      <w:lvlJc w:val="left"/>
      <w:pPr>
        <w:ind w:left="6120" w:hanging="360"/>
      </w:pPr>
      <w:rPr>
        <w:rFonts w:ascii="Cambria Math" w:hAnsi="Cambria Math"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DFE05C5"/>
    <w:multiLevelType w:val="hybridMultilevel"/>
    <w:tmpl w:val="DD0E1290"/>
    <w:lvl w:ilvl="0" w:tplc="1B4A3E7E">
      <w:start w:val="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9"/>
  </w:num>
  <w:num w:numId="5">
    <w:abstractNumId w:val="5"/>
  </w:num>
  <w:num w:numId="6">
    <w:abstractNumId w:val="1"/>
  </w:num>
  <w:num w:numId="7">
    <w:abstractNumId w:val="8"/>
  </w:num>
  <w:num w:numId="8">
    <w:abstractNumId w:val="4"/>
  </w:num>
  <w:num w:numId="9">
    <w:abstractNumId w:val="7"/>
  </w:num>
  <w:num w:numId="10">
    <w:abstractNumId w:val="12"/>
  </w:num>
  <w:num w:numId="11">
    <w:abstractNumId w:val="6"/>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activeWritingStyle w:appName="MSWord" w:lang="es-ES" w:vendorID="64" w:dllVersion="6"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s-ES" w:vendorID="64" w:dllVersion="131078" w:nlCheck="1" w:checkStyle="0"/>
  <w:activeWritingStyle w:appName="MSWord" w:lang="fr-FR" w:vendorID="64" w:dllVersion="131078" w:nlCheck="1" w:checkStyle="0"/>
  <w:activeWritingStyle w:appName="MSWord" w:lang="en-GB"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25"/>
    <w:rsid w:val="000176CA"/>
    <w:rsid w:val="00022A1D"/>
    <w:rsid w:val="000252E8"/>
    <w:rsid w:val="00025570"/>
    <w:rsid w:val="00036FA0"/>
    <w:rsid w:val="0003793F"/>
    <w:rsid w:val="00051326"/>
    <w:rsid w:val="0005745C"/>
    <w:rsid w:val="00057E35"/>
    <w:rsid w:val="00064E4A"/>
    <w:rsid w:val="00076726"/>
    <w:rsid w:val="00080303"/>
    <w:rsid w:val="000840FC"/>
    <w:rsid w:val="00094E6C"/>
    <w:rsid w:val="00096BB3"/>
    <w:rsid w:val="00096FF8"/>
    <w:rsid w:val="000A3F58"/>
    <w:rsid w:val="000B2AB6"/>
    <w:rsid w:val="000B4F0D"/>
    <w:rsid w:val="000C4409"/>
    <w:rsid w:val="000D2343"/>
    <w:rsid w:val="000D30DD"/>
    <w:rsid w:val="000D3449"/>
    <w:rsid w:val="000D425A"/>
    <w:rsid w:val="000D60CC"/>
    <w:rsid w:val="000D7C26"/>
    <w:rsid w:val="000E2084"/>
    <w:rsid w:val="000E3517"/>
    <w:rsid w:val="000E6F55"/>
    <w:rsid w:val="000F5050"/>
    <w:rsid w:val="000F77FA"/>
    <w:rsid w:val="00100A45"/>
    <w:rsid w:val="00107BF7"/>
    <w:rsid w:val="00126F53"/>
    <w:rsid w:val="00143DE7"/>
    <w:rsid w:val="0014766D"/>
    <w:rsid w:val="001536CC"/>
    <w:rsid w:val="001722D3"/>
    <w:rsid w:val="0019290B"/>
    <w:rsid w:val="0019756E"/>
    <w:rsid w:val="001A3BB2"/>
    <w:rsid w:val="001A3FBA"/>
    <w:rsid w:val="001A5518"/>
    <w:rsid w:val="001B1C6A"/>
    <w:rsid w:val="001B7D98"/>
    <w:rsid w:val="001C1263"/>
    <w:rsid w:val="001C1417"/>
    <w:rsid w:val="001C1DE0"/>
    <w:rsid w:val="001E390B"/>
    <w:rsid w:val="001F13D3"/>
    <w:rsid w:val="001F42FB"/>
    <w:rsid w:val="001F719A"/>
    <w:rsid w:val="002031B3"/>
    <w:rsid w:val="00215931"/>
    <w:rsid w:val="002211E2"/>
    <w:rsid w:val="00224A42"/>
    <w:rsid w:val="00227BDB"/>
    <w:rsid w:val="00234CB1"/>
    <w:rsid w:val="002352F8"/>
    <w:rsid w:val="002510A5"/>
    <w:rsid w:val="00253D25"/>
    <w:rsid w:val="00254A0A"/>
    <w:rsid w:val="002577E8"/>
    <w:rsid w:val="00266046"/>
    <w:rsid w:val="002846DB"/>
    <w:rsid w:val="00284CCD"/>
    <w:rsid w:val="00285646"/>
    <w:rsid w:val="00290B5E"/>
    <w:rsid w:val="00292110"/>
    <w:rsid w:val="002A2318"/>
    <w:rsid w:val="002C6637"/>
    <w:rsid w:val="002E0135"/>
    <w:rsid w:val="002E37A5"/>
    <w:rsid w:val="00303588"/>
    <w:rsid w:val="00310F03"/>
    <w:rsid w:val="003220B0"/>
    <w:rsid w:val="003247D2"/>
    <w:rsid w:val="003445C1"/>
    <w:rsid w:val="00344FF6"/>
    <w:rsid w:val="0034633C"/>
    <w:rsid w:val="00355B61"/>
    <w:rsid w:val="00362686"/>
    <w:rsid w:val="003634DE"/>
    <w:rsid w:val="00371510"/>
    <w:rsid w:val="00380AE3"/>
    <w:rsid w:val="003864AD"/>
    <w:rsid w:val="00392966"/>
    <w:rsid w:val="00396DFD"/>
    <w:rsid w:val="003A7059"/>
    <w:rsid w:val="003B7A36"/>
    <w:rsid w:val="003C17AB"/>
    <w:rsid w:val="003C7823"/>
    <w:rsid w:val="003E15DF"/>
    <w:rsid w:val="003E1DCC"/>
    <w:rsid w:val="003E59FD"/>
    <w:rsid w:val="003F6A59"/>
    <w:rsid w:val="00403A3D"/>
    <w:rsid w:val="004065C8"/>
    <w:rsid w:val="00411B4B"/>
    <w:rsid w:val="004152EB"/>
    <w:rsid w:val="00415BEE"/>
    <w:rsid w:val="00417FBD"/>
    <w:rsid w:val="00427F85"/>
    <w:rsid w:val="00436F42"/>
    <w:rsid w:val="004378B4"/>
    <w:rsid w:val="004459D9"/>
    <w:rsid w:val="00451314"/>
    <w:rsid w:val="00452E9D"/>
    <w:rsid w:val="004534C7"/>
    <w:rsid w:val="004671AA"/>
    <w:rsid w:val="00474536"/>
    <w:rsid w:val="0047665D"/>
    <w:rsid w:val="00480FB1"/>
    <w:rsid w:val="00483928"/>
    <w:rsid w:val="00494C15"/>
    <w:rsid w:val="00495593"/>
    <w:rsid w:val="004D6103"/>
    <w:rsid w:val="004E0369"/>
    <w:rsid w:val="004E11B5"/>
    <w:rsid w:val="004E3BCE"/>
    <w:rsid w:val="004F0E97"/>
    <w:rsid w:val="00501DD1"/>
    <w:rsid w:val="00515C21"/>
    <w:rsid w:val="00517963"/>
    <w:rsid w:val="00520FC4"/>
    <w:rsid w:val="00530BD7"/>
    <w:rsid w:val="00531B03"/>
    <w:rsid w:val="00545CD2"/>
    <w:rsid w:val="005476F3"/>
    <w:rsid w:val="00567A98"/>
    <w:rsid w:val="00570484"/>
    <w:rsid w:val="00572527"/>
    <w:rsid w:val="00573795"/>
    <w:rsid w:val="00573E40"/>
    <w:rsid w:val="00576348"/>
    <w:rsid w:val="0058338A"/>
    <w:rsid w:val="00584DC6"/>
    <w:rsid w:val="005A0B2E"/>
    <w:rsid w:val="005A23D2"/>
    <w:rsid w:val="005A36CB"/>
    <w:rsid w:val="005B49B8"/>
    <w:rsid w:val="005C0741"/>
    <w:rsid w:val="005C115E"/>
    <w:rsid w:val="005C399B"/>
    <w:rsid w:val="005C3C7F"/>
    <w:rsid w:val="005C4E58"/>
    <w:rsid w:val="005C5E40"/>
    <w:rsid w:val="005C5EF4"/>
    <w:rsid w:val="005C6997"/>
    <w:rsid w:val="005D0D32"/>
    <w:rsid w:val="005E2E0B"/>
    <w:rsid w:val="005E5A3D"/>
    <w:rsid w:val="005E7A7D"/>
    <w:rsid w:val="005F3428"/>
    <w:rsid w:val="005F6A60"/>
    <w:rsid w:val="006103B8"/>
    <w:rsid w:val="0062694B"/>
    <w:rsid w:val="00635DF3"/>
    <w:rsid w:val="00636314"/>
    <w:rsid w:val="006372BE"/>
    <w:rsid w:val="00646BD1"/>
    <w:rsid w:val="0065396C"/>
    <w:rsid w:val="006561C2"/>
    <w:rsid w:val="00665888"/>
    <w:rsid w:val="006659CC"/>
    <w:rsid w:val="00671C77"/>
    <w:rsid w:val="00671CB3"/>
    <w:rsid w:val="00674BAF"/>
    <w:rsid w:val="00682200"/>
    <w:rsid w:val="006934D6"/>
    <w:rsid w:val="006939E7"/>
    <w:rsid w:val="00696E51"/>
    <w:rsid w:val="00697075"/>
    <w:rsid w:val="006A1497"/>
    <w:rsid w:val="006B0BD1"/>
    <w:rsid w:val="006B5E2B"/>
    <w:rsid w:val="006C19D8"/>
    <w:rsid w:val="006C1DE8"/>
    <w:rsid w:val="006D126F"/>
    <w:rsid w:val="006D20A5"/>
    <w:rsid w:val="006D37BF"/>
    <w:rsid w:val="006D43CE"/>
    <w:rsid w:val="006F08C5"/>
    <w:rsid w:val="006F473E"/>
    <w:rsid w:val="00702E22"/>
    <w:rsid w:val="0071118F"/>
    <w:rsid w:val="0072020E"/>
    <w:rsid w:val="00736705"/>
    <w:rsid w:val="00742B27"/>
    <w:rsid w:val="00786071"/>
    <w:rsid w:val="007907C4"/>
    <w:rsid w:val="007916C3"/>
    <w:rsid w:val="007A18A0"/>
    <w:rsid w:val="007A3ECB"/>
    <w:rsid w:val="007B063A"/>
    <w:rsid w:val="007D7327"/>
    <w:rsid w:val="00812820"/>
    <w:rsid w:val="00821240"/>
    <w:rsid w:val="00824AB9"/>
    <w:rsid w:val="008263AA"/>
    <w:rsid w:val="00836B35"/>
    <w:rsid w:val="008416B2"/>
    <w:rsid w:val="00843BDE"/>
    <w:rsid w:val="0085700E"/>
    <w:rsid w:val="00862731"/>
    <w:rsid w:val="00866668"/>
    <w:rsid w:val="00876CC7"/>
    <w:rsid w:val="00895521"/>
    <w:rsid w:val="0089705C"/>
    <w:rsid w:val="008A3015"/>
    <w:rsid w:val="008A6D43"/>
    <w:rsid w:val="008B0E2D"/>
    <w:rsid w:val="008B491E"/>
    <w:rsid w:val="008C1A28"/>
    <w:rsid w:val="008C2E98"/>
    <w:rsid w:val="008D58AC"/>
    <w:rsid w:val="008E0C6B"/>
    <w:rsid w:val="008E49BD"/>
    <w:rsid w:val="008E53E9"/>
    <w:rsid w:val="008E5771"/>
    <w:rsid w:val="00940B9B"/>
    <w:rsid w:val="00941179"/>
    <w:rsid w:val="0095676E"/>
    <w:rsid w:val="00956983"/>
    <w:rsid w:val="00963CF0"/>
    <w:rsid w:val="00964BB1"/>
    <w:rsid w:val="00972673"/>
    <w:rsid w:val="009775D9"/>
    <w:rsid w:val="00997175"/>
    <w:rsid w:val="009A1847"/>
    <w:rsid w:val="009A2ACE"/>
    <w:rsid w:val="009A6F0A"/>
    <w:rsid w:val="009B062A"/>
    <w:rsid w:val="009C1917"/>
    <w:rsid w:val="009E320F"/>
    <w:rsid w:val="009E7C6F"/>
    <w:rsid w:val="009F1793"/>
    <w:rsid w:val="009F2D23"/>
    <w:rsid w:val="00A01D69"/>
    <w:rsid w:val="00A01E2A"/>
    <w:rsid w:val="00A02236"/>
    <w:rsid w:val="00A02335"/>
    <w:rsid w:val="00A02DB1"/>
    <w:rsid w:val="00A26F6D"/>
    <w:rsid w:val="00A46C9A"/>
    <w:rsid w:val="00A60505"/>
    <w:rsid w:val="00A619F3"/>
    <w:rsid w:val="00A62A73"/>
    <w:rsid w:val="00A87FF6"/>
    <w:rsid w:val="00A937C2"/>
    <w:rsid w:val="00A94FB7"/>
    <w:rsid w:val="00A95529"/>
    <w:rsid w:val="00AA0A3B"/>
    <w:rsid w:val="00AA2763"/>
    <w:rsid w:val="00AA33B6"/>
    <w:rsid w:val="00AB50CA"/>
    <w:rsid w:val="00AB6D64"/>
    <w:rsid w:val="00AC53CE"/>
    <w:rsid w:val="00AC5C87"/>
    <w:rsid w:val="00AD035E"/>
    <w:rsid w:val="00AD2193"/>
    <w:rsid w:val="00AE3826"/>
    <w:rsid w:val="00AF2AC7"/>
    <w:rsid w:val="00AF74CE"/>
    <w:rsid w:val="00B00CF2"/>
    <w:rsid w:val="00B17D8A"/>
    <w:rsid w:val="00B208DB"/>
    <w:rsid w:val="00B23F69"/>
    <w:rsid w:val="00B329C7"/>
    <w:rsid w:val="00B60619"/>
    <w:rsid w:val="00B66A70"/>
    <w:rsid w:val="00B67366"/>
    <w:rsid w:val="00B708F8"/>
    <w:rsid w:val="00B74448"/>
    <w:rsid w:val="00B80EE1"/>
    <w:rsid w:val="00B84135"/>
    <w:rsid w:val="00BB5621"/>
    <w:rsid w:val="00BF7BAD"/>
    <w:rsid w:val="00C04D34"/>
    <w:rsid w:val="00C05DF8"/>
    <w:rsid w:val="00C06864"/>
    <w:rsid w:val="00C10F54"/>
    <w:rsid w:val="00C23D8D"/>
    <w:rsid w:val="00C30F21"/>
    <w:rsid w:val="00C33A21"/>
    <w:rsid w:val="00C37AA3"/>
    <w:rsid w:val="00C37FD7"/>
    <w:rsid w:val="00C427FF"/>
    <w:rsid w:val="00C43419"/>
    <w:rsid w:val="00C44CF3"/>
    <w:rsid w:val="00C61BE0"/>
    <w:rsid w:val="00C66729"/>
    <w:rsid w:val="00C70B0E"/>
    <w:rsid w:val="00C7666E"/>
    <w:rsid w:val="00C773CA"/>
    <w:rsid w:val="00C83785"/>
    <w:rsid w:val="00C85663"/>
    <w:rsid w:val="00C94C0D"/>
    <w:rsid w:val="00CA1477"/>
    <w:rsid w:val="00CA1FEB"/>
    <w:rsid w:val="00CB1A9D"/>
    <w:rsid w:val="00CC48E0"/>
    <w:rsid w:val="00CD2B14"/>
    <w:rsid w:val="00CD4F85"/>
    <w:rsid w:val="00CD6F02"/>
    <w:rsid w:val="00CE19AF"/>
    <w:rsid w:val="00CE246D"/>
    <w:rsid w:val="00CF07A0"/>
    <w:rsid w:val="00CF3E03"/>
    <w:rsid w:val="00CF7D2F"/>
    <w:rsid w:val="00D0082A"/>
    <w:rsid w:val="00D05808"/>
    <w:rsid w:val="00D11649"/>
    <w:rsid w:val="00D158C9"/>
    <w:rsid w:val="00D21251"/>
    <w:rsid w:val="00D21455"/>
    <w:rsid w:val="00D47634"/>
    <w:rsid w:val="00D56F33"/>
    <w:rsid w:val="00D709B3"/>
    <w:rsid w:val="00DA2ED6"/>
    <w:rsid w:val="00DB76B8"/>
    <w:rsid w:val="00DB7967"/>
    <w:rsid w:val="00DC24F5"/>
    <w:rsid w:val="00DC2EA1"/>
    <w:rsid w:val="00DD432B"/>
    <w:rsid w:val="00DD6AAF"/>
    <w:rsid w:val="00DE0D95"/>
    <w:rsid w:val="00DE160B"/>
    <w:rsid w:val="00DE3F5C"/>
    <w:rsid w:val="00DF1D20"/>
    <w:rsid w:val="00E1165A"/>
    <w:rsid w:val="00E15790"/>
    <w:rsid w:val="00E21324"/>
    <w:rsid w:val="00E246B9"/>
    <w:rsid w:val="00E31FEA"/>
    <w:rsid w:val="00E45169"/>
    <w:rsid w:val="00E47787"/>
    <w:rsid w:val="00E51188"/>
    <w:rsid w:val="00E51C30"/>
    <w:rsid w:val="00E64180"/>
    <w:rsid w:val="00E74AEE"/>
    <w:rsid w:val="00E868E5"/>
    <w:rsid w:val="00E9237A"/>
    <w:rsid w:val="00E939FA"/>
    <w:rsid w:val="00EA5765"/>
    <w:rsid w:val="00EC14C4"/>
    <w:rsid w:val="00EC2532"/>
    <w:rsid w:val="00ED7812"/>
    <w:rsid w:val="00EF3B86"/>
    <w:rsid w:val="00F02C91"/>
    <w:rsid w:val="00F03F51"/>
    <w:rsid w:val="00F14BE8"/>
    <w:rsid w:val="00F14EE9"/>
    <w:rsid w:val="00F317E9"/>
    <w:rsid w:val="00F34554"/>
    <w:rsid w:val="00F3457B"/>
    <w:rsid w:val="00F45F77"/>
    <w:rsid w:val="00F5167F"/>
    <w:rsid w:val="00F52258"/>
    <w:rsid w:val="00F547CC"/>
    <w:rsid w:val="00F72E6F"/>
    <w:rsid w:val="00F81D33"/>
    <w:rsid w:val="00F8570A"/>
    <w:rsid w:val="00F90136"/>
    <w:rsid w:val="00F91C7B"/>
    <w:rsid w:val="00FC6D3C"/>
    <w:rsid w:val="00FF372D"/>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7D240F"/>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table" w:styleId="TableGrid">
    <w:name w:val="Table Grid"/>
    <w:basedOn w:val="TableNormal"/>
    <w:rsid w:val="0058338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38A"/>
    <w:pPr>
      <w:tabs>
        <w:tab w:val="left" w:pos="284"/>
      </w:tabs>
      <w:ind w:left="720"/>
      <w:contextualSpacing/>
      <w:jc w:val="both"/>
    </w:pPr>
    <w:rPr>
      <w:sz w:val="22"/>
    </w:rPr>
  </w:style>
  <w:style w:type="character" w:customStyle="1" w:styleId="HeaderChar">
    <w:name w:val="Header Char"/>
    <w:basedOn w:val="DefaultParagraphFont"/>
    <w:link w:val="Header"/>
    <w:rsid w:val="0058338A"/>
    <w:rPr>
      <w:sz w:val="24"/>
      <w:szCs w:val="24"/>
      <w:lang w:val="en-US" w:eastAsia="en-US"/>
    </w:rPr>
  </w:style>
  <w:style w:type="paragraph" w:customStyle="1" w:styleId="Text">
    <w:name w:val="Text"/>
    <w:aliases w:val="Graphic,Graphic Char Char,Graphic Char Char Char Char Char,Graphic Char Char Char Char Char Char Char C"/>
    <w:basedOn w:val="Normal"/>
    <w:link w:val="TextChar1"/>
    <w:qFormat/>
    <w:rsid w:val="0058338A"/>
    <w:pPr>
      <w:spacing w:before="120"/>
      <w:jc w:val="both"/>
    </w:pPr>
    <w:rPr>
      <w:rFonts w:ascii="Arial (W1)" w:eastAsia="Arial (W1)" w:hAnsi="Arial (W1)" w:cs="Arial (W1)"/>
      <w:szCs w:val="20"/>
      <w:lang w:val="x-none" w:eastAsia="x-none"/>
    </w:rPr>
  </w:style>
  <w:style w:type="character" w:customStyle="1" w:styleId="TextChar1">
    <w:name w:val="Text Char1"/>
    <w:link w:val="Text"/>
    <w:rsid w:val="0058338A"/>
    <w:rPr>
      <w:rFonts w:ascii="Arial (W1)" w:eastAsia="Arial (W1)" w:hAnsi="Arial (W1)" w:cs="Arial (W1)"/>
      <w:sz w:val="24"/>
      <w:lang w:val="x-none" w:eastAsia="x-none"/>
    </w:rPr>
  </w:style>
  <w:style w:type="paragraph" w:styleId="BodyText">
    <w:name w:val="Body Text"/>
    <w:basedOn w:val="Normal"/>
    <w:link w:val="BodyTextChar"/>
    <w:rsid w:val="0058338A"/>
    <w:pPr>
      <w:tabs>
        <w:tab w:val="left" w:pos="284"/>
      </w:tabs>
      <w:spacing w:before="60" w:after="60"/>
      <w:jc w:val="both"/>
    </w:pPr>
    <w:rPr>
      <w:rFonts w:ascii="Humanist777" w:eastAsia="Arial (W1)" w:hAnsi="Humanist777" w:cs="Humanist777"/>
      <w:i/>
      <w:iCs/>
    </w:rPr>
  </w:style>
  <w:style w:type="character" w:customStyle="1" w:styleId="BodyTextChar">
    <w:name w:val="Body Text Char"/>
    <w:basedOn w:val="DefaultParagraphFont"/>
    <w:link w:val="BodyText"/>
    <w:rsid w:val="0058338A"/>
    <w:rPr>
      <w:rFonts w:ascii="Humanist777" w:eastAsia="Arial (W1)" w:hAnsi="Humanist777" w:cs="Humanist777"/>
      <w:i/>
      <w:iCs/>
      <w:sz w:val="24"/>
      <w:szCs w:val="24"/>
      <w:lang w:val="en-US" w:eastAsia="en-US"/>
    </w:rPr>
  </w:style>
  <w:style w:type="character" w:styleId="Hyperlink">
    <w:name w:val="Hyperlink"/>
    <w:basedOn w:val="DefaultParagraphFont"/>
    <w:rsid w:val="009C1917"/>
    <w:rPr>
      <w:color w:val="0563C1" w:themeColor="hyperlink"/>
      <w:u w:val="single"/>
    </w:rPr>
  </w:style>
  <w:style w:type="paragraph" w:styleId="Revision">
    <w:name w:val="Revision"/>
    <w:hidden/>
    <w:uiPriority w:val="99"/>
    <w:semiHidden/>
    <w:rsid w:val="000E351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28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giflow-eforms.who-umc.org/me/mead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A76DF-3C73-46BD-88F9-25E740C58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9310</Words>
  <Characters>53068</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62254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Aleksandra Minić</cp:lastModifiedBy>
  <cp:revision>12</cp:revision>
  <dcterms:created xsi:type="dcterms:W3CDTF">2024-11-25T06:29:00Z</dcterms:created>
  <dcterms:modified xsi:type="dcterms:W3CDTF">2024-12-09T09:25:00Z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3c9bec58-8084-492e-8360-0e1cfe36408c_Enabled">
    <vt:lpwstr>true</vt:lpwstr>
  </property>
  <property fmtid="{D5CDD505-2E9C-101B-9397-08002B2CF9AE}" pid="4" name="MSIP_Label_3c9bec58-8084-492e-8360-0e1cfe36408c_SetDate">
    <vt:lpwstr>2021-10-21T12:13:56Z</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iteId">
    <vt:lpwstr>f35a6974-607f-47d4-82d7-ff31d7dc53a5</vt:lpwstr>
  </property>
  <property fmtid="{D5CDD505-2E9C-101B-9397-08002B2CF9AE}" pid="8" name="MSIP_Label_3c9bec58-8084-492e-8360-0e1cfe36408c_ActionId">
    <vt:lpwstr>fd4c66fb-a2dc-4207-8102-d2810ad1fdca</vt:lpwstr>
  </property>
  <property fmtid="{D5CDD505-2E9C-101B-9397-08002B2CF9AE}" pid="9" name="MSIP_Label_3c9bec58-8084-492e-8360-0e1cfe36408c_ContentBits">
    <vt:lpwstr>0</vt:lpwstr>
  </property>
</Properties>
</file>