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494DD" w14:textId="77777777" w:rsidR="00C21C99" w:rsidRPr="00704F0B" w:rsidRDefault="00C21C99" w:rsidP="00704F0B">
      <w:pPr>
        <w:jc w:val="both"/>
        <w:rPr>
          <w:b/>
          <w:bCs/>
          <w:iCs/>
          <w:sz w:val="22"/>
          <w:szCs w:val="22"/>
          <w:u w:val="single"/>
          <w:lang w:val="sr-Latn-ME"/>
        </w:rPr>
      </w:pPr>
    </w:p>
    <w:p w14:paraId="75D2FA1B" w14:textId="77777777" w:rsidR="00C21C99" w:rsidRPr="00704F0B" w:rsidRDefault="00C21C99" w:rsidP="00704F0B">
      <w:pPr>
        <w:jc w:val="both"/>
        <w:rPr>
          <w:b/>
          <w:bCs/>
          <w:iCs/>
          <w:sz w:val="22"/>
          <w:szCs w:val="22"/>
          <w:u w:val="single"/>
          <w:lang w:val="sr-Latn-ME"/>
        </w:rPr>
      </w:pPr>
    </w:p>
    <w:p w14:paraId="07A300C0" w14:textId="26611798" w:rsidR="002510A5" w:rsidRPr="00704F0B" w:rsidRDefault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704F0B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1360866B" w14:textId="77777777" w:rsidR="002510A5" w:rsidRPr="00704F0B" w:rsidRDefault="002510A5" w:rsidP="00704F0B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91160FA" w14:textId="3F9F0148" w:rsidR="003C17AB" w:rsidRPr="00704F0B" w:rsidRDefault="003C17AB" w:rsidP="00704F0B">
      <w:pPr>
        <w:jc w:val="both"/>
        <w:rPr>
          <w:sz w:val="22"/>
          <w:szCs w:val="22"/>
          <w:lang w:val="sr-Latn-ME"/>
        </w:rPr>
      </w:pPr>
    </w:p>
    <w:p w14:paraId="5200FBE6" w14:textId="2ADB9277" w:rsidR="00C21C99" w:rsidRPr="00704F0B" w:rsidRDefault="00C21C99" w:rsidP="00704F0B">
      <w:pPr>
        <w:jc w:val="both"/>
        <w:rPr>
          <w:sz w:val="22"/>
          <w:szCs w:val="22"/>
          <w:lang w:val="sr-Latn-ME"/>
        </w:rPr>
      </w:pPr>
    </w:p>
    <w:p w14:paraId="448EB0E7" w14:textId="77777777" w:rsidR="00C21C99" w:rsidRPr="00704F0B" w:rsidRDefault="00C21C99" w:rsidP="00704F0B">
      <w:pPr>
        <w:jc w:val="both"/>
        <w:rPr>
          <w:sz w:val="22"/>
          <w:szCs w:val="22"/>
          <w:lang w:val="sr-Latn-ME"/>
        </w:rPr>
      </w:pPr>
    </w:p>
    <w:p w14:paraId="05B48DDE" w14:textId="77777777" w:rsidR="00411B4B" w:rsidRPr="00704F0B" w:rsidRDefault="00411B4B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>1.</w:t>
      </w:r>
      <w:r w:rsidR="00F5167F" w:rsidRPr="00704F0B">
        <w:rPr>
          <w:b/>
          <w:bCs/>
          <w:sz w:val="22"/>
          <w:szCs w:val="22"/>
          <w:lang w:val="sr-Latn-ME"/>
        </w:rPr>
        <w:tab/>
      </w:r>
      <w:r w:rsidR="002846DB" w:rsidRPr="00704F0B">
        <w:rPr>
          <w:b/>
          <w:bCs/>
          <w:sz w:val="22"/>
          <w:szCs w:val="22"/>
          <w:lang w:val="sr-Latn-ME"/>
        </w:rPr>
        <w:t xml:space="preserve">NAZIV </w:t>
      </w:r>
      <w:r w:rsidRPr="00704F0B">
        <w:rPr>
          <w:b/>
          <w:bCs/>
          <w:sz w:val="22"/>
          <w:szCs w:val="22"/>
          <w:lang w:val="sr-Latn-ME"/>
        </w:rPr>
        <w:t>LIJEKA</w:t>
      </w:r>
    </w:p>
    <w:p w14:paraId="7AB3311F" w14:textId="77777777" w:rsidR="00EC2532" w:rsidRPr="00704F0B" w:rsidRDefault="00EC2532" w:rsidP="00704F0B">
      <w:pPr>
        <w:jc w:val="both"/>
        <w:rPr>
          <w:sz w:val="22"/>
          <w:szCs w:val="22"/>
          <w:lang w:val="sr-Latn-ME"/>
        </w:rPr>
      </w:pPr>
    </w:p>
    <w:p w14:paraId="47706A4C" w14:textId="1840F3FB" w:rsidR="009275D0" w:rsidRPr="00D1232F" w:rsidRDefault="009275D0" w:rsidP="00704F0B">
      <w:pPr>
        <w:jc w:val="both"/>
        <w:rPr>
          <w:iCs/>
          <w:color w:val="000000" w:themeColor="text1"/>
          <w:sz w:val="22"/>
          <w:szCs w:val="22"/>
          <w:lang w:val="sr-Latn-ME"/>
        </w:rPr>
      </w:pPr>
      <w:r w:rsidRPr="00D1232F">
        <w:rPr>
          <w:iCs/>
          <w:color w:val="000000" w:themeColor="text1"/>
          <w:sz w:val="22"/>
          <w:szCs w:val="22"/>
          <w:lang w:val="sr-Latn-ME"/>
        </w:rPr>
        <w:t>R</w:t>
      </w:r>
      <w:r w:rsidR="000B4DEC" w:rsidRPr="00D1232F">
        <w:rPr>
          <w:iCs/>
          <w:color w:val="000000" w:themeColor="text1"/>
          <w:sz w:val="22"/>
          <w:szCs w:val="22"/>
          <w:lang w:val="sr-Latn-ME"/>
        </w:rPr>
        <w:t>upurut</w:t>
      </w:r>
      <w:r w:rsidRPr="00D1232F">
        <w:rPr>
          <w:iCs/>
          <w:color w:val="000000" w:themeColor="text1"/>
          <w:sz w:val="22"/>
          <w:szCs w:val="22"/>
          <w:lang w:val="sr-Latn-ME"/>
        </w:rPr>
        <w:t>, tableta za žvakanje, 500 mg</w:t>
      </w:r>
    </w:p>
    <w:p w14:paraId="3EAABF26" w14:textId="77777777" w:rsidR="009275D0" w:rsidRPr="00704F0B" w:rsidRDefault="009275D0" w:rsidP="00704F0B">
      <w:pPr>
        <w:jc w:val="both"/>
        <w:rPr>
          <w:sz w:val="22"/>
          <w:szCs w:val="22"/>
          <w:lang w:val="sr-Latn-ME"/>
        </w:rPr>
      </w:pPr>
    </w:p>
    <w:p w14:paraId="3773F0F8" w14:textId="7411FFD5" w:rsidR="006D20A5" w:rsidRPr="00704F0B" w:rsidRDefault="006D20A5" w:rsidP="00704F0B">
      <w:pPr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INN:</w:t>
      </w:r>
      <w:r w:rsidR="009275D0" w:rsidRPr="00704F0B">
        <w:rPr>
          <w:sz w:val="22"/>
          <w:szCs w:val="22"/>
          <w:lang w:val="sr-Latn-ME"/>
        </w:rPr>
        <w:t xml:space="preserve"> </w:t>
      </w:r>
      <w:r w:rsidR="00C21C99">
        <w:rPr>
          <w:sz w:val="22"/>
          <w:szCs w:val="22"/>
          <w:lang w:val="sr-Latn-ME"/>
        </w:rPr>
        <w:t>h</w:t>
      </w:r>
      <w:r w:rsidR="009275D0" w:rsidRPr="00704F0B">
        <w:rPr>
          <w:sz w:val="22"/>
          <w:szCs w:val="22"/>
          <w:lang w:val="sr-Latn-ME"/>
        </w:rPr>
        <w:t>idrotalcit</w:t>
      </w:r>
    </w:p>
    <w:p w14:paraId="75F01D9A" w14:textId="77777777" w:rsidR="006D20A5" w:rsidRPr="00704F0B" w:rsidRDefault="006D20A5" w:rsidP="00704F0B">
      <w:pPr>
        <w:jc w:val="both"/>
        <w:rPr>
          <w:bCs/>
          <w:sz w:val="22"/>
          <w:szCs w:val="22"/>
          <w:lang w:val="sr-Latn-ME"/>
        </w:rPr>
      </w:pPr>
    </w:p>
    <w:p w14:paraId="17AC900A" w14:textId="77777777" w:rsidR="00530BD7" w:rsidRPr="00704F0B" w:rsidRDefault="00530BD7" w:rsidP="00704F0B">
      <w:pPr>
        <w:jc w:val="both"/>
        <w:rPr>
          <w:bCs/>
          <w:sz w:val="22"/>
          <w:szCs w:val="22"/>
          <w:lang w:val="sr-Latn-ME"/>
        </w:rPr>
      </w:pPr>
    </w:p>
    <w:p w14:paraId="521E831C" w14:textId="77777777" w:rsidR="00411B4B" w:rsidRPr="00704F0B" w:rsidRDefault="00411B4B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2. </w:t>
      </w:r>
      <w:r w:rsidR="00F5167F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KVALITATIVNI I KVANTITATIVNI SASTAV</w:t>
      </w:r>
    </w:p>
    <w:p w14:paraId="77989AD7" w14:textId="77777777" w:rsidR="005A0B2E" w:rsidRPr="00704F0B" w:rsidRDefault="005A0B2E" w:rsidP="00704F0B">
      <w:pPr>
        <w:jc w:val="both"/>
        <w:rPr>
          <w:sz w:val="22"/>
          <w:szCs w:val="22"/>
          <w:lang w:val="sr-Latn-ME"/>
        </w:rPr>
      </w:pPr>
    </w:p>
    <w:p w14:paraId="347929DC" w14:textId="7190764D" w:rsidR="009275D0" w:rsidRPr="00704F0B" w:rsidRDefault="009275D0" w:rsidP="00704F0B">
      <w:pPr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 xml:space="preserve">Jedna tableta za žvakanje </w:t>
      </w:r>
      <w:r w:rsidR="000B4DEC" w:rsidRPr="00704F0B">
        <w:rPr>
          <w:sz w:val="22"/>
          <w:szCs w:val="22"/>
          <w:lang w:val="sr-Latn-ME"/>
        </w:rPr>
        <w:t xml:space="preserve">lijeka Rupurut </w:t>
      </w:r>
      <w:r w:rsidRPr="00704F0B">
        <w:rPr>
          <w:sz w:val="22"/>
          <w:szCs w:val="22"/>
          <w:lang w:val="sr-Latn-ME"/>
        </w:rPr>
        <w:t>sadrži 500 mg hidrotalcita, što odgovara kapacitetu za neutralizaciju od minimum 13 mEq hlorovodonične kiseline.</w:t>
      </w:r>
    </w:p>
    <w:p w14:paraId="46A9B29A" w14:textId="27AF7DCA" w:rsidR="00C21C99" w:rsidRPr="00704F0B" w:rsidRDefault="00C21C99" w:rsidP="00704F0B">
      <w:pPr>
        <w:jc w:val="both"/>
        <w:rPr>
          <w:sz w:val="22"/>
          <w:lang w:val="sr-Latn-ME"/>
        </w:rPr>
      </w:pPr>
    </w:p>
    <w:p w14:paraId="6C2CE62E" w14:textId="77777777" w:rsidR="0003793F" w:rsidRPr="00704F0B" w:rsidRDefault="0003793F" w:rsidP="00704F0B">
      <w:pPr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Za spisak svih ekscipijenasa, pogledati dio 6.1.</w:t>
      </w:r>
    </w:p>
    <w:p w14:paraId="11876A3A" w14:textId="77777777" w:rsidR="0003793F" w:rsidRPr="00704F0B" w:rsidRDefault="0003793F" w:rsidP="00704F0B">
      <w:pPr>
        <w:jc w:val="both"/>
        <w:rPr>
          <w:sz w:val="22"/>
          <w:szCs w:val="22"/>
          <w:lang w:val="sr-Latn-ME"/>
        </w:rPr>
      </w:pPr>
    </w:p>
    <w:p w14:paraId="1302DBC2" w14:textId="77777777" w:rsidR="00C37FD7" w:rsidRPr="00704F0B" w:rsidRDefault="00C37FD7" w:rsidP="00704F0B">
      <w:pPr>
        <w:jc w:val="both"/>
        <w:rPr>
          <w:sz w:val="22"/>
          <w:szCs w:val="22"/>
          <w:lang w:val="sr-Latn-ME"/>
        </w:rPr>
      </w:pPr>
    </w:p>
    <w:p w14:paraId="6FB56D27" w14:textId="77777777" w:rsidR="00411B4B" w:rsidRPr="00704F0B" w:rsidRDefault="00411B4B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3. </w:t>
      </w:r>
      <w:r w:rsidR="00F5167F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FARMACEUTSKI OBLIK</w:t>
      </w:r>
      <w:r w:rsidR="009F2D23" w:rsidRPr="00704F0B">
        <w:rPr>
          <w:b/>
          <w:bCs/>
          <w:sz w:val="22"/>
          <w:szCs w:val="22"/>
          <w:lang w:val="sr-Latn-ME"/>
        </w:rPr>
        <w:t xml:space="preserve"> </w:t>
      </w:r>
    </w:p>
    <w:p w14:paraId="63CCCE03" w14:textId="77777777" w:rsidR="000972A4" w:rsidRPr="00704F0B" w:rsidRDefault="000972A4" w:rsidP="00704F0B">
      <w:pPr>
        <w:jc w:val="both"/>
        <w:rPr>
          <w:sz w:val="22"/>
          <w:szCs w:val="22"/>
          <w:lang w:val="sr-Latn-ME"/>
        </w:rPr>
      </w:pPr>
    </w:p>
    <w:p w14:paraId="1E295C8B" w14:textId="4E1765C7" w:rsidR="009275D0" w:rsidRPr="00704F0B" w:rsidRDefault="009275D0" w:rsidP="00704F0B">
      <w:pPr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Tablet</w:t>
      </w:r>
      <w:r w:rsidR="00C21C99">
        <w:rPr>
          <w:sz w:val="22"/>
          <w:szCs w:val="22"/>
          <w:lang w:val="sr-Latn-ME"/>
        </w:rPr>
        <w:t>a</w:t>
      </w:r>
      <w:r w:rsidRPr="00704F0B">
        <w:rPr>
          <w:sz w:val="22"/>
          <w:szCs w:val="22"/>
          <w:lang w:val="sr-Latn-ME"/>
        </w:rPr>
        <w:t xml:space="preserve"> za žvakanje.</w:t>
      </w:r>
    </w:p>
    <w:p w14:paraId="44B7768B" w14:textId="77777777" w:rsidR="000972A4" w:rsidRPr="00704F0B" w:rsidRDefault="000972A4" w:rsidP="00704F0B">
      <w:pPr>
        <w:jc w:val="both"/>
        <w:rPr>
          <w:sz w:val="22"/>
          <w:szCs w:val="22"/>
          <w:lang w:val="sr-Latn-ME"/>
        </w:rPr>
      </w:pPr>
    </w:p>
    <w:p w14:paraId="4D7E95BB" w14:textId="2C170FF1" w:rsidR="00411B4B" w:rsidRPr="00704F0B" w:rsidRDefault="009275D0" w:rsidP="00704F0B">
      <w:pPr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Okrugle tablete bijele boje, mirisa na pepermint, koje sa jedne strane imaju utisnutu oznaku „RUPURUT“, a sa druge „BAYER“.</w:t>
      </w:r>
    </w:p>
    <w:p w14:paraId="0C42FBFB" w14:textId="3B268C06" w:rsidR="00EC2532" w:rsidRPr="00704F0B" w:rsidRDefault="00EC2532" w:rsidP="00704F0B">
      <w:pPr>
        <w:jc w:val="both"/>
        <w:rPr>
          <w:bCs/>
          <w:sz w:val="22"/>
          <w:szCs w:val="22"/>
          <w:lang w:val="sr-Latn-ME"/>
        </w:rPr>
      </w:pPr>
    </w:p>
    <w:p w14:paraId="50D68D7B" w14:textId="77777777" w:rsidR="00993448" w:rsidRPr="00704F0B" w:rsidRDefault="00993448" w:rsidP="00704F0B">
      <w:pPr>
        <w:jc w:val="both"/>
        <w:rPr>
          <w:bCs/>
          <w:sz w:val="22"/>
          <w:szCs w:val="22"/>
          <w:lang w:val="sr-Latn-ME"/>
        </w:rPr>
      </w:pPr>
    </w:p>
    <w:p w14:paraId="00C985E2" w14:textId="77777777" w:rsidR="00411B4B" w:rsidRPr="00704F0B" w:rsidRDefault="00411B4B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4.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KLINIČKI PODACI</w:t>
      </w:r>
    </w:p>
    <w:p w14:paraId="4E21DD55" w14:textId="77777777" w:rsidR="00CD6F02" w:rsidRPr="00704F0B" w:rsidRDefault="00CD6F02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34E27F" w14:textId="77777777" w:rsidR="00411B4B" w:rsidRPr="00704F0B" w:rsidRDefault="00411B4B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4.1.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Terapijske indikacije</w:t>
      </w:r>
    </w:p>
    <w:p w14:paraId="2B19ABA9" w14:textId="77777777" w:rsidR="000972A4" w:rsidRPr="00704F0B" w:rsidRDefault="000972A4" w:rsidP="00704F0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E1CE31" w14:textId="72A85C3B" w:rsidR="009275D0" w:rsidRPr="00704F0B" w:rsidRDefault="009275D0" w:rsidP="00704F0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Rupurut tablete za žvakanje koriste se</w:t>
      </w:r>
      <w:r w:rsidR="000515F5" w:rsidRPr="00704F0B">
        <w:rPr>
          <w:sz w:val="22"/>
          <w:szCs w:val="22"/>
          <w:lang w:val="sr-Latn-ME"/>
        </w:rPr>
        <w:t xml:space="preserve"> kod odraslih i djece starije od 12 godina</w:t>
      </w:r>
      <w:r w:rsidRPr="00704F0B">
        <w:rPr>
          <w:sz w:val="22"/>
          <w:szCs w:val="22"/>
          <w:lang w:val="sr-Latn-ME"/>
        </w:rPr>
        <w:t xml:space="preserve"> za simptomatsko liječenje poremećaja koji zahtijevaju neutralizaciju želudačne kiseline:</w:t>
      </w:r>
    </w:p>
    <w:p w14:paraId="20B02683" w14:textId="77777777" w:rsidR="009275D0" w:rsidRPr="00704F0B" w:rsidRDefault="009275D0">
      <w:pPr>
        <w:numPr>
          <w:ilvl w:val="0"/>
          <w:numId w:val="12"/>
        </w:numPr>
        <w:tabs>
          <w:tab w:val="left" w:pos="28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čira na želucu</w:t>
      </w:r>
    </w:p>
    <w:p w14:paraId="20C23B0B" w14:textId="77777777" w:rsidR="009275D0" w:rsidRPr="00704F0B" w:rsidRDefault="009275D0">
      <w:pPr>
        <w:numPr>
          <w:ilvl w:val="0"/>
          <w:numId w:val="12"/>
        </w:numPr>
        <w:tabs>
          <w:tab w:val="left" w:pos="28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čira na dvanaestopalačnom crijevu</w:t>
      </w:r>
    </w:p>
    <w:p w14:paraId="565FEB76" w14:textId="77777777" w:rsidR="009275D0" w:rsidRPr="00704F0B" w:rsidRDefault="009275D0">
      <w:pPr>
        <w:numPr>
          <w:ilvl w:val="0"/>
          <w:numId w:val="12"/>
        </w:numPr>
        <w:tabs>
          <w:tab w:val="left" w:pos="28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dispepsije sa hiperaciditetom i gorušice</w:t>
      </w:r>
    </w:p>
    <w:p w14:paraId="77C473D0" w14:textId="0AFF5474" w:rsidR="00411B4B" w:rsidRPr="00704F0B" w:rsidRDefault="00411B4B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9BFCA8" w14:textId="77777777" w:rsidR="00411B4B" w:rsidRPr="00704F0B" w:rsidRDefault="00411B4B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4.2.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Doziranje i način primjene</w:t>
      </w:r>
    </w:p>
    <w:p w14:paraId="693889E0" w14:textId="77777777" w:rsidR="00A85D23" w:rsidRPr="00704F0B" w:rsidRDefault="00A85D23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90E5634" w14:textId="47CE842C" w:rsidR="00A85D23" w:rsidRPr="00704F0B" w:rsidRDefault="00A85D23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04F0B">
        <w:rPr>
          <w:bCs/>
          <w:sz w:val="22"/>
          <w:szCs w:val="22"/>
          <w:u w:val="single"/>
          <w:lang w:val="sr-Latn-ME"/>
        </w:rPr>
        <w:t>Doziranje</w:t>
      </w:r>
    </w:p>
    <w:p w14:paraId="58B163E0" w14:textId="77777777" w:rsidR="008B6A7D" w:rsidRPr="00704F0B" w:rsidRDefault="008B6A7D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D0DB9A1" w14:textId="77777777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04F0B">
        <w:rPr>
          <w:bCs/>
          <w:sz w:val="22"/>
          <w:szCs w:val="22"/>
          <w:u w:val="single"/>
          <w:lang w:val="sr-Latn-ME"/>
        </w:rPr>
        <w:t>Odrasli i djeca preko 12 godina:</w:t>
      </w:r>
    </w:p>
    <w:p w14:paraId="28AA755E" w14:textId="390DD25F" w:rsidR="008B6A7D" w:rsidRPr="00704F0B" w:rsidRDefault="008B6A7D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Po potrebi uzeti više puta dnevno jednu do dvije tablete za žvakanje (što odgovara 500 mg - 1000 mg hidrotalcita).</w:t>
      </w:r>
    </w:p>
    <w:p w14:paraId="553A54AE" w14:textId="624C52B6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Dnevna doza ne smije preći 12 tableta za žvakanje, što je ekvivalentno sa 6 g hidrotalcita.</w:t>
      </w:r>
    </w:p>
    <w:p w14:paraId="250E05E8" w14:textId="60EB7895" w:rsidR="008B6A7D" w:rsidRPr="00704F0B" w:rsidRDefault="008B6A7D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Tablete za žvakanje Rupurut uzimaju se više puta dnevno između obroka i pr</w:t>
      </w:r>
      <w:r w:rsidR="00292FD2" w:rsidRPr="00704F0B">
        <w:rPr>
          <w:bCs/>
          <w:sz w:val="22"/>
          <w:szCs w:val="22"/>
          <w:lang w:val="sr-Latn-ME"/>
        </w:rPr>
        <w:t>ij</w:t>
      </w:r>
      <w:r w:rsidRPr="00704F0B">
        <w:rPr>
          <w:bCs/>
          <w:sz w:val="22"/>
          <w:szCs w:val="22"/>
          <w:lang w:val="sr-Latn-ME"/>
        </w:rPr>
        <w:t>e spavanja.</w:t>
      </w:r>
    </w:p>
    <w:p w14:paraId="39CF7D7D" w14:textId="77C1A709" w:rsidR="00A85D23" w:rsidRPr="00704F0B" w:rsidRDefault="00A85D23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4C1B0E6D" w14:textId="0393FE01" w:rsidR="00104359" w:rsidRPr="00704F0B" w:rsidRDefault="0010435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04F0B">
        <w:rPr>
          <w:bCs/>
          <w:sz w:val="22"/>
          <w:szCs w:val="22"/>
          <w:u w:val="single"/>
          <w:lang w:val="sr-Latn-ME"/>
        </w:rPr>
        <w:t>Djeca mlađa od 12 godina:</w:t>
      </w:r>
    </w:p>
    <w:p w14:paraId="5B31F76F" w14:textId="6BE8CA48" w:rsidR="00104359" w:rsidRPr="00704F0B" w:rsidRDefault="0010435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Lijek Rupurut tableta za žvakanje ne treba primjenjivati kod djece mlađe od 12 godina zbog nedovoljno podataka o bezb</w:t>
      </w:r>
      <w:r w:rsidR="00D10614" w:rsidRPr="00704F0B">
        <w:rPr>
          <w:bCs/>
          <w:sz w:val="22"/>
          <w:szCs w:val="22"/>
          <w:lang w:val="sr-Latn-ME"/>
        </w:rPr>
        <w:t>j</w:t>
      </w:r>
      <w:r w:rsidRPr="00704F0B">
        <w:rPr>
          <w:bCs/>
          <w:sz w:val="22"/>
          <w:szCs w:val="22"/>
          <w:lang w:val="sr-Latn-ME"/>
        </w:rPr>
        <w:t>ednosti i efikasnosti.</w:t>
      </w:r>
    </w:p>
    <w:p w14:paraId="1CD54BC7" w14:textId="77777777" w:rsidR="00104359" w:rsidRPr="00704F0B" w:rsidRDefault="0010435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B8692ED" w14:textId="5EDAB9DA" w:rsidR="009275D0" w:rsidRPr="00704F0B" w:rsidRDefault="00A85D23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04F0B">
        <w:rPr>
          <w:bCs/>
          <w:sz w:val="22"/>
          <w:szCs w:val="22"/>
          <w:u w:val="single"/>
          <w:lang w:val="sr-Latn-ME"/>
        </w:rPr>
        <w:t>Način primjene</w:t>
      </w:r>
      <w:r w:rsidR="003302E3" w:rsidRPr="00704F0B">
        <w:rPr>
          <w:bCs/>
          <w:sz w:val="22"/>
          <w:szCs w:val="22"/>
          <w:u w:val="single"/>
          <w:lang w:val="sr-Latn-ME"/>
        </w:rPr>
        <w:t xml:space="preserve"> (žvakati ili sisati)</w:t>
      </w:r>
    </w:p>
    <w:p w14:paraId="74BF9A83" w14:textId="73979233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Tablete za žvakanje</w:t>
      </w:r>
      <w:r w:rsidR="00997840" w:rsidRPr="00704F0B">
        <w:rPr>
          <w:bCs/>
          <w:sz w:val="22"/>
          <w:szCs w:val="22"/>
          <w:lang w:val="sr-Latn-ME"/>
        </w:rPr>
        <w:t xml:space="preserve"> treba dobro sažvakati.</w:t>
      </w:r>
    </w:p>
    <w:p w14:paraId="75977CB6" w14:textId="77777777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883928C" w14:textId="71B3D246" w:rsidR="00997840" w:rsidRPr="00704F0B" w:rsidRDefault="0099784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lastRenderedPageBreak/>
        <w:t>Ako tegobe ne prolaze i pored terapije koja traje duže od dvije nedelje, treba se podvrgnuti ljekarskom pregledu kako bi se isključila mogućnost maligniteta.</w:t>
      </w:r>
    </w:p>
    <w:p w14:paraId="163C51C6" w14:textId="77777777" w:rsidR="00452E9D" w:rsidRPr="00704F0B" w:rsidRDefault="00452E9D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319E8E1" w14:textId="77777777" w:rsidR="00411B4B" w:rsidRPr="00704F0B" w:rsidRDefault="00411B4B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4.3.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Kontraindikacije</w:t>
      </w:r>
    </w:p>
    <w:p w14:paraId="3407D24F" w14:textId="77777777" w:rsidR="00A85D23" w:rsidRPr="00704F0B" w:rsidRDefault="00A85D23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B1C00FC" w14:textId="378CDA60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-</w:t>
      </w:r>
      <w:r w:rsidRPr="00704F0B">
        <w:rPr>
          <w:bCs/>
          <w:sz w:val="22"/>
          <w:szCs w:val="22"/>
          <w:lang w:val="sr-Latn-ME"/>
        </w:rPr>
        <w:tab/>
        <w:t xml:space="preserve">Preosjetljivost na aktivnu supstancu (hidrotalcit) ili bilo koju </w:t>
      </w:r>
      <w:r w:rsidR="00997840" w:rsidRPr="00704F0B">
        <w:rPr>
          <w:bCs/>
          <w:sz w:val="22"/>
          <w:szCs w:val="22"/>
          <w:lang w:val="sr-Latn-ME"/>
        </w:rPr>
        <w:t xml:space="preserve">od </w:t>
      </w:r>
      <w:r w:rsidRPr="00704F0B">
        <w:rPr>
          <w:bCs/>
          <w:sz w:val="22"/>
          <w:szCs w:val="22"/>
          <w:lang w:val="sr-Latn-ME"/>
        </w:rPr>
        <w:t>pomoćn</w:t>
      </w:r>
      <w:r w:rsidR="00997840" w:rsidRPr="00704F0B">
        <w:rPr>
          <w:bCs/>
          <w:sz w:val="22"/>
          <w:szCs w:val="22"/>
          <w:lang w:val="sr-Latn-ME"/>
        </w:rPr>
        <w:t>ih</w:t>
      </w:r>
      <w:r w:rsidRPr="00704F0B">
        <w:rPr>
          <w:bCs/>
          <w:sz w:val="22"/>
          <w:szCs w:val="22"/>
          <w:lang w:val="sr-Latn-ME"/>
        </w:rPr>
        <w:t xml:space="preserve"> supstanc</w:t>
      </w:r>
      <w:r w:rsidR="00997840" w:rsidRPr="00704F0B">
        <w:rPr>
          <w:bCs/>
          <w:sz w:val="22"/>
          <w:szCs w:val="22"/>
          <w:lang w:val="sr-Latn-ME"/>
        </w:rPr>
        <w:t>i navedenih u dijelu 6.1.</w:t>
      </w:r>
      <w:r w:rsidRPr="00704F0B">
        <w:rPr>
          <w:bCs/>
          <w:sz w:val="22"/>
          <w:szCs w:val="22"/>
          <w:lang w:val="sr-Latn-ME"/>
        </w:rPr>
        <w:t xml:space="preserve">, </w:t>
      </w:r>
    </w:p>
    <w:p w14:paraId="6C5E86AE" w14:textId="31A2559D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-</w:t>
      </w:r>
      <w:r w:rsidRPr="00704F0B">
        <w:rPr>
          <w:bCs/>
          <w:sz w:val="22"/>
          <w:szCs w:val="22"/>
          <w:lang w:val="sr-Latn-ME"/>
        </w:rPr>
        <w:tab/>
      </w:r>
      <w:r w:rsidR="00997840" w:rsidRPr="00704F0B">
        <w:rPr>
          <w:bCs/>
          <w:sz w:val="22"/>
          <w:szCs w:val="22"/>
          <w:lang w:val="sr-Latn-ME"/>
        </w:rPr>
        <w:t>Teško oštećenje funkcije bubrega. Pacijenti sa teškim poremećajem bubrežne funkcije ne smiju koristiti lijek Rupurut, tablete za žvakanje. Kod njih postoji rizik od trovanja magnezijumom (hipermagnezijemija) i aluminijumom pri dugotrajnom uzimanju velikih doza. Trovanje aluminijumom može dovesti do osteomalacije i encefalopatije. Zato ovi pacijenti smiju da uzimaju lijek Rupurut tablete za žvakanje samo uz redovnu kontrolu nivoa magnezijuma i aluminijuma u serumu. Koncentracija aluminijuma ne sm</w:t>
      </w:r>
      <w:r w:rsidR="00306C98" w:rsidRPr="00704F0B">
        <w:rPr>
          <w:bCs/>
          <w:sz w:val="22"/>
          <w:szCs w:val="22"/>
          <w:lang w:val="sr-Latn-ME"/>
        </w:rPr>
        <w:t>ije</w:t>
      </w:r>
      <w:r w:rsidR="00997840" w:rsidRPr="00704F0B">
        <w:rPr>
          <w:bCs/>
          <w:sz w:val="22"/>
          <w:szCs w:val="22"/>
          <w:lang w:val="sr-Latn-ME"/>
        </w:rPr>
        <w:t xml:space="preserve"> biti veća od 40 mikrograma/L.</w:t>
      </w:r>
    </w:p>
    <w:p w14:paraId="0161B7D4" w14:textId="77777777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-</w:t>
      </w:r>
      <w:r w:rsidRPr="00704F0B">
        <w:rPr>
          <w:bCs/>
          <w:sz w:val="22"/>
          <w:szCs w:val="22"/>
          <w:lang w:val="sr-Latn-ME"/>
        </w:rPr>
        <w:tab/>
        <w:t>Hipofosfatemija,</w:t>
      </w:r>
    </w:p>
    <w:p w14:paraId="1CD5E1D0" w14:textId="77777777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-</w:t>
      </w:r>
      <w:r w:rsidRPr="00704F0B">
        <w:rPr>
          <w:bCs/>
          <w:sz w:val="22"/>
          <w:szCs w:val="22"/>
          <w:lang w:val="sr-Latn-ME"/>
        </w:rPr>
        <w:tab/>
        <w:t>Mijastenija gravis</w:t>
      </w:r>
    </w:p>
    <w:p w14:paraId="544498F7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AD2E1B" w14:textId="77777777" w:rsidR="00411B4B" w:rsidRPr="00704F0B" w:rsidRDefault="00411B4B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4.4.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1CCEB966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CF28B6" w14:textId="01A5A2A5" w:rsidR="00057E35" w:rsidRPr="00704F0B" w:rsidRDefault="00306C98" w:rsidP="00704F0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Pacijenti sa smanjenom funkcijom bubrega, sa Alchajmerovom bolešću ili drugim oblicima demencije i kod onih na režimu ishrane sa malim sadržajem fosfata, treba da izb</w:t>
      </w:r>
      <w:r w:rsidR="00D10614" w:rsidRPr="00704F0B">
        <w:rPr>
          <w:sz w:val="22"/>
          <w:szCs w:val="22"/>
          <w:lang w:val="sr-Latn-ME"/>
        </w:rPr>
        <w:t>j</w:t>
      </w:r>
      <w:r w:rsidRPr="00704F0B">
        <w:rPr>
          <w:sz w:val="22"/>
          <w:szCs w:val="22"/>
          <w:lang w:val="sr-Latn-ME"/>
        </w:rPr>
        <w:t xml:space="preserve">egavaju velike doze i dužu upotrebu lijeka. Kod pacijenata kod kojih su simptomi prisutni duži vremenski period i/ili kod kojih se simptomi često ponavljaju, </w:t>
      </w:r>
      <w:r w:rsidR="003302E3" w:rsidRPr="00704F0B">
        <w:rPr>
          <w:sz w:val="22"/>
          <w:szCs w:val="22"/>
          <w:lang w:val="sr-Latn-ME"/>
        </w:rPr>
        <w:t>treba konsultovati ljekara da bi se isključila ozbiljna oboljenja</w:t>
      </w:r>
      <w:r w:rsidRPr="00704F0B">
        <w:rPr>
          <w:sz w:val="22"/>
          <w:szCs w:val="22"/>
          <w:lang w:val="sr-Latn-ME"/>
        </w:rPr>
        <w:t xml:space="preserve">, kao što su peptički ulkus ili malignitet. Kod pacijenata sa peptičkim ili duodenalnim ulkusom treba uraditi pregled na prisustvo </w:t>
      </w:r>
      <w:r w:rsidRPr="00704F0B">
        <w:rPr>
          <w:i/>
          <w:iCs/>
          <w:sz w:val="22"/>
          <w:szCs w:val="22"/>
          <w:lang w:val="sr-Latn-ME"/>
        </w:rPr>
        <w:t>Helicobacter Pylori</w:t>
      </w:r>
      <w:r w:rsidRPr="00704F0B">
        <w:rPr>
          <w:sz w:val="22"/>
          <w:szCs w:val="22"/>
          <w:lang w:val="sr-Latn-ME"/>
        </w:rPr>
        <w:t xml:space="preserve"> i u pozitivnom slučaju treba prim</w:t>
      </w:r>
      <w:r w:rsidR="00D10614" w:rsidRPr="00704F0B">
        <w:rPr>
          <w:sz w:val="22"/>
          <w:szCs w:val="22"/>
          <w:lang w:val="sr-Latn-ME"/>
        </w:rPr>
        <w:t>i</w:t>
      </w:r>
      <w:r w:rsidRPr="00704F0B">
        <w:rPr>
          <w:sz w:val="22"/>
          <w:szCs w:val="22"/>
          <w:lang w:val="sr-Latn-ME"/>
        </w:rPr>
        <w:t>jeniti eradikacionu terapiju (uz usp</w:t>
      </w:r>
      <w:r w:rsidR="00D10614" w:rsidRPr="00704F0B">
        <w:rPr>
          <w:sz w:val="22"/>
          <w:szCs w:val="22"/>
          <w:lang w:val="sr-Latn-ME"/>
        </w:rPr>
        <w:t>j</w:t>
      </w:r>
      <w:r w:rsidRPr="00704F0B">
        <w:rPr>
          <w:sz w:val="22"/>
          <w:szCs w:val="22"/>
          <w:lang w:val="sr-Latn-ME"/>
        </w:rPr>
        <w:t>ešnu eradikaciju obično dolazi i do povlačenja čira).</w:t>
      </w:r>
    </w:p>
    <w:p w14:paraId="1BD4722E" w14:textId="0EAA5A9F" w:rsidR="003D649A" w:rsidRPr="00704F0B" w:rsidRDefault="003D649A" w:rsidP="00704F0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8A36FEB" w14:textId="399BCB9D" w:rsidR="003D649A" w:rsidRPr="00704F0B" w:rsidRDefault="003D649A" w:rsidP="00704F0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04F0B">
        <w:rPr>
          <w:sz w:val="22"/>
          <w:szCs w:val="22"/>
          <w:u w:val="single"/>
          <w:lang w:val="sr-Latn-ME"/>
        </w:rPr>
        <w:t>Pedijatrijska populacija</w:t>
      </w:r>
    </w:p>
    <w:p w14:paraId="6159657C" w14:textId="77777777" w:rsidR="003D649A" w:rsidRPr="00704F0B" w:rsidRDefault="003D649A" w:rsidP="00704F0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8632DC6" w14:textId="1EA253DB" w:rsidR="003D649A" w:rsidRPr="00704F0B" w:rsidRDefault="003D649A" w:rsidP="00704F0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L</w:t>
      </w:r>
      <w:r w:rsidR="00D10614" w:rsidRPr="00704F0B">
        <w:rPr>
          <w:sz w:val="22"/>
          <w:szCs w:val="22"/>
          <w:lang w:val="sr-Latn-ME"/>
        </w:rPr>
        <w:t>ij</w:t>
      </w:r>
      <w:r w:rsidRPr="00704F0B">
        <w:rPr>
          <w:sz w:val="22"/>
          <w:szCs w:val="22"/>
          <w:lang w:val="sr-Latn-ME"/>
        </w:rPr>
        <w:t>ek Rupurut ne treba prim</w:t>
      </w:r>
      <w:r w:rsidR="00D10614" w:rsidRPr="00704F0B">
        <w:rPr>
          <w:sz w:val="22"/>
          <w:szCs w:val="22"/>
          <w:lang w:val="sr-Latn-ME"/>
        </w:rPr>
        <w:t>j</w:t>
      </w:r>
      <w:r w:rsidRPr="00704F0B">
        <w:rPr>
          <w:sz w:val="22"/>
          <w:szCs w:val="22"/>
          <w:lang w:val="sr-Latn-ME"/>
        </w:rPr>
        <w:t>enjivati kod d</w:t>
      </w:r>
      <w:r w:rsidR="00D10614" w:rsidRPr="00704F0B">
        <w:rPr>
          <w:sz w:val="22"/>
          <w:szCs w:val="22"/>
          <w:lang w:val="sr-Latn-ME"/>
        </w:rPr>
        <w:t>j</w:t>
      </w:r>
      <w:r w:rsidRPr="00704F0B">
        <w:rPr>
          <w:sz w:val="22"/>
          <w:szCs w:val="22"/>
          <w:lang w:val="sr-Latn-ME"/>
        </w:rPr>
        <w:t>ece mlađe od 12 godina usl</w:t>
      </w:r>
      <w:r w:rsidR="00D10614" w:rsidRPr="00704F0B">
        <w:rPr>
          <w:sz w:val="22"/>
          <w:szCs w:val="22"/>
          <w:lang w:val="sr-Latn-ME"/>
        </w:rPr>
        <w:t>j</w:t>
      </w:r>
      <w:r w:rsidRPr="00704F0B">
        <w:rPr>
          <w:sz w:val="22"/>
          <w:szCs w:val="22"/>
          <w:lang w:val="sr-Latn-ME"/>
        </w:rPr>
        <w:t>ed nedovoljno iskustva u ovoj starosnoj grupi.</w:t>
      </w:r>
    </w:p>
    <w:p w14:paraId="336359E7" w14:textId="5F79CC14" w:rsidR="003D649A" w:rsidRPr="00704F0B" w:rsidRDefault="003D649A" w:rsidP="00704F0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1839709" w14:textId="77777777" w:rsidR="003D649A" w:rsidRPr="00704F0B" w:rsidRDefault="003D649A" w:rsidP="00704F0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04F0B">
        <w:rPr>
          <w:sz w:val="22"/>
          <w:szCs w:val="22"/>
          <w:u w:val="single"/>
          <w:lang w:val="sr-Latn-ME"/>
        </w:rPr>
        <w:t>Pomoćne supstance</w:t>
      </w:r>
    </w:p>
    <w:p w14:paraId="791667D0" w14:textId="77777777" w:rsidR="003D649A" w:rsidRPr="00704F0B" w:rsidRDefault="003D649A" w:rsidP="00704F0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E97164C" w14:textId="31A88E19" w:rsidR="003D649A" w:rsidRPr="00704F0B" w:rsidRDefault="003D649A" w:rsidP="00704F0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Ovaj l</w:t>
      </w:r>
      <w:r w:rsidR="00D10614" w:rsidRPr="00704F0B">
        <w:rPr>
          <w:sz w:val="22"/>
          <w:szCs w:val="22"/>
          <w:lang w:val="sr-Latn-ME"/>
        </w:rPr>
        <w:t>ij</w:t>
      </w:r>
      <w:r w:rsidRPr="00704F0B">
        <w:rPr>
          <w:sz w:val="22"/>
          <w:szCs w:val="22"/>
          <w:lang w:val="sr-Latn-ME"/>
        </w:rPr>
        <w:t>ek sadrži manje od 1 mmol natrijuma (23 mg) po tableti za žvakanje, tj. suštinski je bez natrijuma.</w:t>
      </w:r>
    </w:p>
    <w:p w14:paraId="1400492B" w14:textId="77777777" w:rsidR="003D649A" w:rsidRPr="00704F0B" w:rsidRDefault="003D649A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59B78A" w14:textId="77777777" w:rsidR="00411B4B" w:rsidRPr="00704F0B" w:rsidRDefault="00411B4B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>4.5.</w:t>
      </w:r>
      <w:r w:rsidR="000D60CC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EE318C6" w14:textId="77777777" w:rsidR="00A85D23" w:rsidRPr="00704F0B" w:rsidRDefault="00A85D23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93A56A5" w14:textId="77777777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Antacidi mogu da utiču na resorpciju drugih supstanci kada se primjene istovremeno.</w:t>
      </w:r>
    </w:p>
    <w:p w14:paraId="5E1AD54D" w14:textId="52BA6665" w:rsidR="0072020E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 xml:space="preserve">Značajno smanjenje resorpcije opisano je kod kardiotoničnih glikozida, tetraciklina, hinolonskih derivata (ciprofloksacin, ofloksacin i norfloksacin), </w:t>
      </w:r>
      <w:r w:rsidR="0010640E" w:rsidRPr="00704F0B">
        <w:rPr>
          <w:bCs/>
          <w:sz w:val="22"/>
          <w:szCs w:val="22"/>
          <w:lang w:val="sr-Latn-ME"/>
        </w:rPr>
        <w:t>antagonista H</w:t>
      </w:r>
      <w:r w:rsidR="0010640E" w:rsidRPr="00704F0B">
        <w:rPr>
          <w:bCs/>
          <w:sz w:val="22"/>
          <w:szCs w:val="22"/>
          <w:vertAlign w:val="subscript"/>
          <w:lang w:val="sr-Latn-ME"/>
        </w:rPr>
        <w:t>2</w:t>
      </w:r>
      <w:r w:rsidR="0010640E" w:rsidRPr="00704F0B">
        <w:rPr>
          <w:bCs/>
          <w:sz w:val="22"/>
          <w:szCs w:val="22"/>
          <w:lang w:val="sr-Latn-ME"/>
        </w:rPr>
        <w:t xml:space="preserve"> receptora</w:t>
      </w:r>
      <w:r w:rsidRPr="00704F0B">
        <w:rPr>
          <w:bCs/>
          <w:sz w:val="22"/>
          <w:szCs w:val="22"/>
          <w:lang w:val="sr-Latn-ME"/>
        </w:rPr>
        <w:t xml:space="preserve">, </w:t>
      </w:r>
      <w:r w:rsidR="0010640E" w:rsidRPr="00704F0B">
        <w:rPr>
          <w:bCs/>
          <w:sz w:val="22"/>
          <w:szCs w:val="22"/>
          <w:lang w:val="sr-Latn-ME"/>
        </w:rPr>
        <w:t>derivata kumarina</w:t>
      </w:r>
      <w:r w:rsidRPr="00704F0B">
        <w:rPr>
          <w:bCs/>
          <w:sz w:val="22"/>
          <w:szCs w:val="22"/>
          <w:lang w:val="sr-Latn-ME"/>
        </w:rPr>
        <w:t xml:space="preserve">, </w:t>
      </w:r>
      <w:r w:rsidR="0010640E" w:rsidRPr="00704F0B">
        <w:rPr>
          <w:bCs/>
          <w:sz w:val="22"/>
          <w:szCs w:val="22"/>
          <w:lang w:val="sr-Latn-ME"/>
        </w:rPr>
        <w:t>natrijum fluorida i henodeoksiholata.</w:t>
      </w:r>
      <w:r w:rsidRPr="00704F0B">
        <w:rPr>
          <w:bCs/>
          <w:sz w:val="22"/>
          <w:szCs w:val="22"/>
          <w:lang w:val="sr-Latn-ME"/>
        </w:rPr>
        <w:t xml:space="preserve"> </w:t>
      </w:r>
    </w:p>
    <w:p w14:paraId="4675D140" w14:textId="77777777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E95BC4" w14:textId="486CE8CB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 xml:space="preserve">Zbog mogućeg uticaja na resorpciju, druge preparate uvijek treba uzimati </w:t>
      </w:r>
      <w:r w:rsidR="0010640E" w:rsidRPr="00704F0B">
        <w:rPr>
          <w:bCs/>
          <w:sz w:val="22"/>
          <w:szCs w:val="22"/>
          <w:lang w:val="sr-Latn-ME"/>
        </w:rPr>
        <w:t>1</w:t>
      </w:r>
      <w:r w:rsidRPr="00704F0B">
        <w:rPr>
          <w:bCs/>
          <w:sz w:val="22"/>
          <w:szCs w:val="22"/>
          <w:lang w:val="sr-Latn-ME"/>
        </w:rPr>
        <w:t>-</w:t>
      </w:r>
      <w:r w:rsidR="0010640E" w:rsidRPr="00704F0B">
        <w:rPr>
          <w:bCs/>
          <w:sz w:val="22"/>
          <w:szCs w:val="22"/>
          <w:lang w:val="sr-Latn-ME"/>
        </w:rPr>
        <w:t>2</w:t>
      </w:r>
      <w:r w:rsidRPr="00704F0B">
        <w:rPr>
          <w:bCs/>
          <w:sz w:val="22"/>
          <w:szCs w:val="22"/>
          <w:lang w:val="sr-Latn-ME"/>
        </w:rPr>
        <w:t xml:space="preserve"> sata prije ili poslije </w:t>
      </w:r>
      <w:r w:rsidR="0010640E" w:rsidRPr="00704F0B">
        <w:rPr>
          <w:bCs/>
          <w:sz w:val="22"/>
          <w:szCs w:val="22"/>
          <w:lang w:val="sr-Latn-ME"/>
        </w:rPr>
        <w:t xml:space="preserve">lijeka </w:t>
      </w:r>
      <w:r w:rsidRPr="00704F0B">
        <w:rPr>
          <w:bCs/>
          <w:sz w:val="22"/>
          <w:szCs w:val="22"/>
          <w:lang w:val="sr-Latn-ME"/>
        </w:rPr>
        <w:t>Rupurut tableta za žvakanje.</w:t>
      </w:r>
    </w:p>
    <w:p w14:paraId="03724E0A" w14:textId="77777777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289552" w14:textId="0C514D7F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 xml:space="preserve">Pošto ima efekat alkalizacije urina, </w:t>
      </w:r>
      <w:r w:rsidR="0010640E" w:rsidRPr="00704F0B">
        <w:rPr>
          <w:bCs/>
          <w:sz w:val="22"/>
          <w:szCs w:val="22"/>
          <w:lang w:val="sr-Latn-ME"/>
        </w:rPr>
        <w:t xml:space="preserve">lijek </w:t>
      </w:r>
      <w:r w:rsidRPr="00704F0B">
        <w:rPr>
          <w:bCs/>
          <w:sz w:val="22"/>
          <w:szCs w:val="22"/>
          <w:lang w:val="sr-Latn-ME"/>
        </w:rPr>
        <w:t>Rupurut može uticati na izlučivanje drugih ljekova.</w:t>
      </w:r>
    </w:p>
    <w:p w14:paraId="56F553C3" w14:textId="41A47385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 xml:space="preserve">Ovo može dovesti, na primjer, do sniženog nivoa salicilata ili povišenog nivoa </w:t>
      </w:r>
      <w:r w:rsidR="0010640E" w:rsidRPr="00704F0B">
        <w:rPr>
          <w:bCs/>
          <w:sz w:val="22"/>
          <w:szCs w:val="22"/>
          <w:lang w:val="sr-Latn-ME"/>
        </w:rPr>
        <w:t>h</w:t>
      </w:r>
      <w:r w:rsidRPr="00704F0B">
        <w:rPr>
          <w:bCs/>
          <w:sz w:val="22"/>
          <w:szCs w:val="22"/>
          <w:lang w:val="sr-Latn-ME"/>
        </w:rPr>
        <w:t>inidina.</w:t>
      </w:r>
    </w:p>
    <w:p w14:paraId="1C9B4C0A" w14:textId="77777777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C0DA34" w14:textId="5CF08BC8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Istovremena upotreba tableta za žvakanje Rupurut i kisjelih napitaka (na primjer voćni sokovi, vino i sl.) dovode do povećanja resorpcije aluminijuma iz crijeva. Ovo takođe važi i za šumeće tablete koje sadrže limunsku ili vinsku kisjelinu.</w:t>
      </w:r>
    </w:p>
    <w:p w14:paraId="5D7FA3B4" w14:textId="77777777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B80DAE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4.6.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="006D20A5" w:rsidRPr="00704F0B">
        <w:rPr>
          <w:b/>
          <w:sz w:val="22"/>
          <w:szCs w:val="22"/>
          <w:lang w:val="sr-Latn-ME"/>
        </w:rPr>
        <w:t>Plodnost, trudnoća i dojenje</w:t>
      </w:r>
    </w:p>
    <w:p w14:paraId="23F18529" w14:textId="77777777" w:rsidR="00A85D23" w:rsidRPr="00704F0B" w:rsidRDefault="00A85D23" w:rsidP="00704F0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038E2B2C" w14:textId="4C681A3F" w:rsidR="009275D0" w:rsidRPr="00704F0B" w:rsidRDefault="009275D0" w:rsidP="00704F0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Primjen</w:t>
      </w:r>
      <w:r w:rsidR="00DC1E7D" w:rsidRPr="00704F0B">
        <w:rPr>
          <w:sz w:val="22"/>
          <w:szCs w:val="22"/>
          <w:lang w:val="sr-Latn-ME"/>
        </w:rPr>
        <w:t>u</w:t>
      </w:r>
      <w:r w:rsidRPr="00704F0B">
        <w:rPr>
          <w:sz w:val="22"/>
          <w:szCs w:val="22"/>
          <w:lang w:val="sr-Latn-ME"/>
        </w:rPr>
        <w:t xml:space="preserve"> lijeka Rupurut, kao i primjen</w:t>
      </w:r>
      <w:r w:rsidR="00DC1E7D" w:rsidRPr="00704F0B">
        <w:rPr>
          <w:sz w:val="22"/>
          <w:szCs w:val="22"/>
          <w:lang w:val="sr-Latn-ME"/>
        </w:rPr>
        <w:t>u</w:t>
      </w:r>
      <w:r w:rsidRPr="00704F0B">
        <w:rPr>
          <w:sz w:val="22"/>
          <w:szCs w:val="22"/>
          <w:lang w:val="sr-Latn-ME"/>
        </w:rPr>
        <w:t xml:space="preserve"> svih drugih ljekova tokom trudnoće i dojenja treba </w:t>
      </w:r>
      <w:r w:rsidR="00DC1E7D" w:rsidRPr="00704F0B">
        <w:rPr>
          <w:sz w:val="22"/>
          <w:szCs w:val="22"/>
          <w:lang w:val="sr-Latn-ME"/>
        </w:rPr>
        <w:t>pažljivo razmotriti</w:t>
      </w:r>
      <w:r w:rsidRPr="00704F0B">
        <w:rPr>
          <w:sz w:val="22"/>
          <w:szCs w:val="22"/>
          <w:lang w:val="sr-Latn-ME"/>
        </w:rPr>
        <w:t>.</w:t>
      </w:r>
    </w:p>
    <w:p w14:paraId="001AF015" w14:textId="68D59951" w:rsidR="009275D0" w:rsidRPr="00704F0B" w:rsidRDefault="009275D0" w:rsidP="00704F0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lastRenderedPageBreak/>
        <w:t>Tokom trudnoće hidrotalcit bi trebalo koristiti samo u kratkim vremenskim periodima kako bi se izbjegla pojava povećane količine aluminijuma kod ploda. U studijama na životinjama, primjena aluminijumovih soli je imala štetne efekte na potomstvo</w:t>
      </w:r>
      <w:r w:rsidRPr="00704F0B">
        <w:rPr>
          <w:color w:val="FF0000"/>
          <w:sz w:val="22"/>
          <w:szCs w:val="22"/>
          <w:lang w:val="sr-Latn-ME"/>
        </w:rPr>
        <w:t xml:space="preserve">  </w:t>
      </w:r>
      <w:r w:rsidRPr="00704F0B">
        <w:rPr>
          <w:sz w:val="22"/>
          <w:szCs w:val="22"/>
          <w:lang w:val="sr-Latn-ME"/>
        </w:rPr>
        <w:t xml:space="preserve">(vidjeti dio 5.3 ,,Pretklinički podaci o bezbjednosti lijeka"). </w:t>
      </w:r>
    </w:p>
    <w:p w14:paraId="247918D7" w14:textId="0EDA39FA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Nema objavljenih izvještaja o štetnom dejstvu hidrotalcita u toku trudnoće ili u periodu dojenja. Međutim, nijesu sproveden</w:t>
      </w:r>
      <w:r w:rsidR="00DC1E7D" w:rsidRPr="00704F0B">
        <w:rPr>
          <w:sz w:val="22"/>
          <w:szCs w:val="22"/>
          <w:lang w:val="sr-Latn-ME"/>
        </w:rPr>
        <w:t>a</w:t>
      </w:r>
      <w:r w:rsidRPr="00704F0B">
        <w:rPr>
          <w:sz w:val="22"/>
          <w:szCs w:val="22"/>
          <w:lang w:val="sr-Latn-ME"/>
        </w:rPr>
        <w:t xml:space="preserve"> posebn</w:t>
      </w:r>
      <w:r w:rsidR="00BB49B4" w:rsidRPr="00704F0B">
        <w:rPr>
          <w:sz w:val="22"/>
          <w:szCs w:val="22"/>
          <w:lang w:val="sr-Latn-ME"/>
        </w:rPr>
        <w:t>a</w:t>
      </w:r>
      <w:r w:rsidRPr="00704F0B">
        <w:rPr>
          <w:sz w:val="22"/>
          <w:szCs w:val="22"/>
          <w:lang w:val="sr-Latn-ME"/>
        </w:rPr>
        <w:t xml:space="preserve"> </w:t>
      </w:r>
      <w:r w:rsidR="00DC1E7D" w:rsidRPr="00704F0B">
        <w:rPr>
          <w:sz w:val="22"/>
          <w:szCs w:val="22"/>
          <w:lang w:val="sr-Latn-ME"/>
        </w:rPr>
        <w:t>ispitivanja</w:t>
      </w:r>
      <w:r w:rsidRPr="00704F0B">
        <w:rPr>
          <w:sz w:val="22"/>
          <w:szCs w:val="22"/>
          <w:lang w:val="sr-Latn-ME"/>
        </w:rPr>
        <w:t xml:space="preserve"> na djeci onih majki koje su koristile hidrotalcit u toku trudnoće ili u periodu dojenja.</w:t>
      </w:r>
    </w:p>
    <w:p w14:paraId="54BAC753" w14:textId="49EB71BD" w:rsidR="009275D0" w:rsidRPr="00704F0B" w:rsidRDefault="00BB49B4" w:rsidP="00704F0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Uopšteno, jedinjenja aluminijuma prelaze u majčino mlijeko. Nijesu sprovedena ispitivanja o prelasku hidrotalcita u majčino mlijeko, međutim ne treba očekivati rizik po novorođenčad zbog male resorpcije.</w:t>
      </w:r>
    </w:p>
    <w:p w14:paraId="71BB4995" w14:textId="77777777" w:rsidR="00227BDB" w:rsidRPr="00704F0B" w:rsidRDefault="00227BDB" w:rsidP="00704F0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3902C57A" w14:textId="77777777" w:rsidR="0072020E" w:rsidRPr="00704F0B" w:rsidRDefault="0072020E" w:rsidP="00704F0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4.7.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 xml:space="preserve">Uticaj na </w:t>
      </w:r>
      <w:r w:rsidR="002031B3" w:rsidRPr="00704F0B">
        <w:rPr>
          <w:b/>
          <w:bCs/>
          <w:sz w:val="22"/>
          <w:szCs w:val="22"/>
          <w:lang w:val="sr-Latn-ME"/>
        </w:rPr>
        <w:t xml:space="preserve">sposobnost </w:t>
      </w:r>
      <w:r w:rsidR="00F34554" w:rsidRPr="00704F0B">
        <w:rPr>
          <w:b/>
          <w:bCs/>
          <w:sz w:val="22"/>
          <w:szCs w:val="22"/>
          <w:lang w:val="sr-Latn-ME"/>
        </w:rPr>
        <w:t>upravljanja vozili</w:t>
      </w:r>
      <w:r w:rsidRPr="00704F0B">
        <w:rPr>
          <w:b/>
          <w:bCs/>
          <w:sz w:val="22"/>
          <w:szCs w:val="22"/>
          <w:lang w:val="sr-Latn-ME"/>
        </w:rPr>
        <w:t>m</w:t>
      </w:r>
      <w:r w:rsidR="00F34554" w:rsidRPr="00704F0B">
        <w:rPr>
          <w:b/>
          <w:bCs/>
          <w:sz w:val="22"/>
          <w:szCs w:val="22"/>
          <w:lang w:val="sr-Latn-ME"/>
        </w:rPr>
        <w:t>a</w:t>
      </w:r>
      <w:r w:rsidRPr="00704F0B">
        <w:rPr>
          <w:b/>
          <w:bCs/>
          <w:sz w:val="22"/>
          <w:szCs w:val="22"/>
          <w:lang w:val="sr-Latn-ME"/>
        </w:rPr>
        <w:t xml:space="preserve"> i </w:t>
      </w:r>
      <w:r w:rsidR="000D3449" w:rsidRPr="00704F0B">
        <w:rPr>
          <w:b/>
          <w:bCs/>
          <w:sz w:val="22"/>
          <w:szCs w:val="22"/>
          <w:lang w:val="sr-Latn-ME"/>
        </w:rPr>
        <w:t xml:space="preserve">rukovanje </w:t>
      </w:r>
      <w:r w:rsidRPr="00704F0B">
        <w:rPr>
          <w:b/>
          <w:bCs/>
          <w:sz w:val="22"/>
          <w:szCs w:val="22"/>
          <w:lang w:val="sr-Latn-ME"/>
        </w:rPr>
        <w:t>mašinama</w:t>
      </w:r>
    </w:p>
    <w:p w14:paraId="3A5EA5F9" w14:textId="77777777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121454" w14:textId="64EEE523" w:rsidR="0072020E" w:rsidRPr="00704F0B" w:rsidRDefault="00BB49B4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Lijek Rupurut, tableta za žvakanje nema ili ima zanemarljiv uticaj na sposobnost upravljanja motornim vozilima ili rukovanja mašinama.</w:t>
      </w:r>
    </w:p>
    <w:p w14:paraId="3CA2B04F" w14:textId="77777777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8529FB7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4.8.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Neželjena dejstva</w:t>
      </w:r>
    </w:p>
    <w:p w14:paraId="24C6013B" w14:textId="77777777" w:rsidR="00A85D23" w:rsidRPr="00704F0B" w:rsidRDefault="00A85D23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692104B" w14:textId="2A9CF5F2" w:rsidR="003D649A" w:rsidRPr="00D1232F" w:rsidRDefault="003D649A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1232F">
        <w:rPr>
          <w:bCs/>
          <w:sz w:val="22"/>
          <w:szCs w:val="22"/>
          <w:lang w:val="sr-Latn-ME"/>
        </w:rPr>
        <w:t>Učestalost neželjenih reakcija je predstavljena prema sl</w:t>
      </w:r>
      <w:r w:rsidR="00EE201F" w:rsidRPr="00D1232F">
        <w:rPr>
          <w:bCs/>
          <w:sz w:val="22"/>
          <w:szCs w:val="22"/>
          <w:lang w:val="sr-Latn-ME"/>
        </w:rPr>
        <w:t>j</w:t>
      </w:r>
      <w:r w:rsidRPr="00D1232F">
        <w:rPr>
          <w:bCs/>
          <w:sz w:val="22"/>
          <w:szCs w:val="22"/>
          <w:lang w:val="sr-Latn-ME"/>
        </w:rPr>
        <w:t>edećoj klasifikaciji:</w:t>
      </w:r>
    </w:p>
    <w:p w14:paraId="47362EF8" w14:textId="77777777" w:rsidR="00EE201F" w:rsidRPr="00D1232F" w:rsidRDefault="00EE201F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87E057" w14:textId="78509A23" w:rsidR="003D649A" w:rsidRPr="00D1232F" w:rsidRDefault="003D649A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1232F">
        <w:rPr>
          <w:bCs/>
          <w:sz w:val="22"/>
          <w:szCs w:val="22"/>
          <w:lang w:val="sr-Latn-ME"/>
        </w:rPr>
        <w:t>Veoma često (≥ 1/10)</w:t>
      </w:r>
    </w:p>
    <w:p w14:paraId="13B6544E" w14:textId="77777777" w:rsidR="003D649A" w:rsidRPr="00D1232F" w:rsidRDefault="003D649A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1232F">
        <w:rPr>
          <w:bCs/>
          <w:sz w:val="22"/>
          <w:szCs w:val="22"/>
          <w:lang w:val="sr-Latn-ME"/>
        </w:rPr>
        <w:t>Često (≥ 1/100 do &lt; 1/10)</w:t>
      </w:r>
    </w:p>
    <w:p w14:paraId="54CD00FD" w14:textId="77777777" w:rsidR="003D649A" w:rsidRPr="00D1232F" w:rsidRDefault="003D649A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1232F">
        <w:rPr>
          <w:bCs/>
          <w:sz w:val="22"/>
          <w:szCs w:val="22"/>
          <w:lang w:val="sr-Latn-ME"/>
        </w:rPr>
        <w:t>Povremeno (≥ 1/1000 do &lt; 1/100)</w:t>
      </w:r>
    </w:p>
    <w:p w14:paraId="57ABBCC8" w14:textId="6828A992" w:rsidR="003D649A" w:rsidRPr="00D1232F" w:rsidRDefault="003D649A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1232F">
        <w:rPr>
          <w:bCs/>
          <w:sz w:val="22"/>
          <w:szCs w:val="22"/>
          <w:lang w:val="sr-Latn-ME"/>
        </w:rPr>
        <w:t>R</w:t>
      </w:r>
      <w:r w:rsidR="00EE201F" w:rsidRPr="00D1232F">
        <w:rPr>
          <w:bCs/>
          <w:sz w:val="22"/>
          <w:szCs w:val="22"/>
          <w:lang w:val="sr-Latn-ME"/>
        </w:rPr>
        <w:t>ij</w:t>
      </w:r>
      <w:r w:rsidRPr="00D1232F">
        <w:rPr>
          <w:bCs/>
          <w:sz w:val="22"/>
          <w:szCs w:val="22"/>
          <w:lang w:val="sr-Latn-ME"/>
        </w:rPr>
        <w:t>etko (≥ 1/10000 do &lt; 1/1000)</w:t>
      </w:r>
    </w:p>
    <w:p w14:paraId="72761A72" w14:textId="5E7EDE6C" w:rsidR="003D649A" w:rsidRPr="00D1232F" w:rsidRDefault="003D649A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1232F">
        <w:rPr>
          <w:bCs/>
          <w:sz w:val="22"/>
          <w:szCs w:val="22"/>
          <w:lang w:val="sr-Latn-ME"/>
        </w:rPr>
        <w:t>Veoma r</w:t>
      </w:r>
      <w:r w:rsidR="00EE201F" w:rsidRPr="00D1232F">
        <w:rPr>
          <w:bCs/>
          <w:sz w:val="22"/>
          <w:szCs w:val="22"/>
          <w:lang w:val="sr-Latn-ME"/>
        </w:rPr>
        <w:t>ij</w:t>
      </w:r>
      <w:r w:rsidRPr="00D1232F">
        <w:rPr>
          <w:bCs/>
          <w:sz w:val="22"/>
          <w:szCs w:val="22"/>
          <w:lang w:val="sr-Latn-ME"/>
        </w:rPr>
        <w:t>etko (&lt; 1/10000)</w:t>
      </w:r>
    </w:p>
    <w:p w14:paraId="37E186CB" w14:textId="1A6E89F9" w:rsidR="003D649A" w:rsidRPr="00D1232F" w:rsidRDefault="003D649A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1232F">
        <w:rPr>
          <w:bCs/>
          <w:sz w:val="22"/>
          <w:szCs w:val="22"/>
          <w:lang w:val="sr-Latn-ME"/>
        </w:rPr>
        <w:t>Nepoznata (ne može se proc</w:t>
      </w:r>
      <w:r w:rsidR="00EE201F" w:rsidRPr="00D1232F">
        <w:rPr>
          <w:bCs/>
          <w:sz w:val="22"/>
          <w:szCs w:val="22"/>
          <w:lang w:val="sr-Latn-ME"/>
        </w:rPr>
        <w:t>ij</w:t>
      </w:r>
      <w:r w:rsidRPr="00D1232F">
        <w:rPr>
          <w:bCs/>
          <w:sz w:val="22"/>
          <w:szCs w:val="22"/>
          <w:lang w:val="sr-Latn-ME"/>
        </w:rPr>
        <w:t>eniti na osnovu dostupnih podataka)</w:t>
      </w:r>
    </w:p>
    <w:p w14:paraId="109B5A2C" w14:textId="77777777" w:rsidR="00EE201F" w:rsidRPr="00D1232F" w:rsidRDefault="00EE201F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44EEBF9" w14:textId="689A2E41" w:rsidR="003D649A" w:rsidRPr="00D1232F" w:rsidRDefault="003D649A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1232F">
        <w:rPr>
          <w:bCs/>
          <w:sz w:val="22"/>
          <w:szCs w:val="22"/>
          <w:lang w:val="sr-Latn-ME"/>
        </w:rPr>
        <w:t>Sl</w:t>
      </w:r>
      <w:r w:rsidR="00D10614" w:rsidRPr="00D1232F">
        <w:rPr>
          <w:bCs/>
          <w:sz w:val="22"/>
          <w:szCs w:val="22"/>
          <w:lang w:val="sr-Latn-ME"/>
        </w:rPr>
        <w:t>j</w:t>
      </w:r>
      <w:r w:rsidRPr="00D1232F">
        <w:rPr>
          <w:bCs/>
          <w:sz w:val="22"/>
          <w:szCs w:val="22"/>
          <w:lang w:val="sr-Latn-ME"/>
        </w:rPr>
        <w:t>edeća neželjena dejstva su prijavljena prilikom prim</w:t>
      </w:r>
      <w:r w:rsidR="00EE201F" w:rsidRPr="00D1232F">
        <w:rPr>
          <w:bCs/>
          <w:sz w:val="22"/>
          <w:szCs w:val="22"/>
          <w:lang w:val="sr-Latn-ME"/>
        </w:rPr>
        <w:t>j</w:t>
      </w:r>
      <w:r w:rsidRPr="00D1232F">
        <w:rPr>
          <w:bCs/>
          <w:sz w:val="22"/>
          <w:szCs w:val="22"/>
          <w:lang w:val="sr-Latn-ME"/>
        </w:rPr>
        <w:t>ene l</w:t>
      </w:r>
      <w:r w:rsidR="00EE201F" w:rsidRPr="00D1232F">
        <w:rPr>
          <w:bCs/>
          <w:sz w:val="22"/>
          <w:szCs w:val="22"/>
          <w:lang w:val="sr-Latn-ME"/>
        </w:rPr>
        <w:t>ij</w:t>
      </w:r>
      <w:r w:rsidRPr="00D1232F">
        <w:rPr>
          <w:bCs/>
          <w:sz w:val="22"/>
          <w:szCs w:val="22"/>
          <w:lang w:val="sr-Latn-ME"/>
        </w:rPr>
        <w:t>eka sa nepoznatom učestalošću</w:t>
      </w:r>
    </w:p>
    <w:p w14:paraId="64DB0B33" w14:textId="77777777" w:rsidR="003D649A" w:rsidRPr="00704F0B" w:rsidRDefault="003D649A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CED042" w14:textId="43250A60" w:rsidR="00EE201F" w:rsidRPr="00704F0B" w:rsidRDefault="00EE201F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04F0B">
        <w:rPr>
          <w:bCs/>
          <w:sz w:val="22"/>
          <w:szCs w:val="22"/>
          <w:u w:val="single"/>
          <w:lang w:val="sr-Latn-ME"/>
        </w:rPr>
        <w:t>Gastrointestinalni poremećaji</w:t>
      </w:r>
    </w:p>
    <w:p w14:paraId="5B29EE6D" w14:textId="5B046CCD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 xml:space="preserve">Velike doze mogu uzrokovati gastrointestinalne simptome kao što su </w:t>
      </w:r>
      <w:r w:rsidR="003C6072" w:rsidRPr="00704F0B">
        <w:rPr>
          <w:bCs/>
          <w:sz w:val="22"/>
          <w:szCs w:val="22"/>
          <w:lang w:val="sr-Latn-ME"/>
        </w:rPr>
        <w:t xml:space="preserve">konstipacija (učestalost nije poznata), </w:t>
      </w:r>
      <w:r w:rsidRPr="00704F0B">
        <w:rPr>
          <w:bCs/>
          <w:sz w:val="22"/>
          <w:szCs w:val="22"/>
          <w:lang w:val="sr-Latn-ME"/>
        </w:rPr>
        <w:t>meka stolica, povećana učestalost stolice, povraćanje i dijareja.</w:t>
      </w:r>
    </w:p>
    <w:p w14:paraId="1E98039C" w14:textId="77777777" w:rsidR="003C6072" w:rsidRPr="00704F0B" w:rsidRDefault="003C6072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AA9B6E" w14:textId="3BF13EB9" w:rsidR="00EE201F" w:rsidRPr="00704F0B" w:rsidRDefault="00EE201F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04F0B">
        <w:rPr>
          <w:bCs/>
          <w:sz w:val="22"/>
          <w:szCs w:val="22"/>
          <w:u w:val="single"/>
          <w:lang w:val="sr-Latn-ME"/>
        </w:rPr>
        <w:t>Poremećaji bubrega i urinarnog sistema</w:t>
      </w:r>
    </w:p>
    <w:p w14:paraId="67B7A44D" w14:textId="11624AB0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Pacijenti sa poremećajem rada bubrega koji uzimaju velike doze u dužem vremenskom periodu mogu biti podložni hipermagnezijemiji, deponovanju aluminijuma, naročito u tkivima nerava i kostiju</w:t>
      </w:r>
      <w:r w:rsidR="003C6072" w:rsidRPr="00704F0B">
        <w:rPr>
          <w:bCs/>
          <w:sz w:val="22"/>
          <w:szCs w:val="22"/>
          <w:lang w:val="sr-Latn-ME"/>
        </w:rPr>
        <w:t xml:space="preserve"> i posl</w:t>
      </w:r>
      <w:r w:rsidR="00D10614" w:rsidRPr="00704F0B">
        <w:rPr>
          <w:bCs/>
          <w:sz w:val="22"/>
          <w:szCs w:val="22"/>
          <w:lang w:val="sr-Latn-ME"/>
        </w:rPr>
        <w:t>j</w:t>
      </w:r>
      <w:r w:rsidR="003C6072" w:rsidRPr="00704F0B">
        <w:rPr>
          <w:bCs/>
          <w:sz w:val="22"/>
          <w:szCs w:val="22"/>
          <w:lang w:val="sr-Latn-ME"/>
        </w:rPr>
        <w:t>edično opadanju koncentracije fosfata</w:t>
      </w:r>
      <w:r w:rsidRPr="00704F0B">
        <w:rPr>
          <w:bCs/>
          <w:sz w:val="22"/>
          <w:szCs w:val="22"/>
          <w:lang w:val="sr-Latn-ME"/>
        </w:rPr>
        <w:t xml:space="preserve">. </w:t>
      </w:r>
    </w:p>
    <w:p w14:paraId="0B270CCC" w14:textId="77777777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E394E7" w14:textId="18136663" w:rsidR="00EE201F" w:rsidRPr="00704F0B" w:rsidRDefault="00EE201F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04F0B">
        <w:rPr>
          <w:bCs/>
          <w:sz w:val="22"/>
          <w:szCs w:val="22"/>
          <w:u w:val="single"/>
          <w:lang w:val="sr-Latn-ME"/>
        </w:rPr>
        <w:t>Poremećaji imunog sistema</w:t>
      </w:r>
    </w:p>
    <w:p w14:paraId="74229405" w14:textId="6DE690C3" w:rsidR="009275D0" w:rsidRPr="00704F0B" w:rsidRDefault="009275D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Mogu se javiti alergijske reakcije.</w:t>
      </w:r>
    </w:p>
    <w:p w14:paraId="7B4F20E5" w14:textId="77777777" w:rsidR="004E70AD" w:rsidRPr="00704F0B" w:rsidRDefault="004E70AD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5ADFB83" w14:textId="77777777" w:rsidR="005A23D2" w:rsidRPr="00704F0B" w:rsidRDefault="005A23D2" w:rsidP="00704F0B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704F0B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1E96900E" w14:textId="49DDE991" w:rsidR="005A23D2" w:rsidRPr="00704F0B" w:rsidRDefault="005A23D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704F0B">
        <w:rPr>
          <w:rFonts w:eastAsia="Calibri"/>
          <w:sz w:val="22"/>
          <w:szCs w:val="22"/>
          <w:lang w:val="sr-Latn-ME"/>
        </w:rPr>
        <w:t>Prijavljivanje neželjenih dejstava nakon dobijanja dozvole</w:t>
      </w:r>
      <w:r w:rsidR="00D10614" w:rsidRPr="00704F0B">
        <w:rPr>
          <w:rFonts w:eastAsia="Calibri"/>
          <w:sz w:val="22"/>
          <w:szCs w:val="22"/>
          <w:lang w:val="sr-Latn-ME"/>
        </w:rPr>
        <w:t xml:space="preserve"> za lijek</w:t>
      </w:r>
      <w:r w:rsidRPr="00704F0B">
        <w:rPr>
          <w:rFonts w:eastAsia="Calibri"/>
          <w:sz w:val="22"/>
          <w:szCs w:val="22"/>
          <w:lang w:val="sr-Latn-ME"/>
        </w:rPr>
        <w:t xml:space="preserve"> je od velikog značaja jer obezbjeđuje kont</w:t>
      </w:r>
      <w:r w:rsidR="00EA5765" w:rsidRPr="00704F0B">
        <w:rPr>
          <w:rFonts w:eastAsia="Calibri"/>
          <w:sz w:val="22"/>
          <w:szCs w:val="22"/>
          <w:lang w:val="sr-Latn-ME"/>
        </w:rPr>
        <w:t>inuirano praćenje odnosa korist</w:t>
      </w:r>
      <w:r w:rsidRPr="00704F0B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704F0B">
        <w:rPr>
          <w:rFonts w:eastAsia="Calibri"/>
          <w:sz w:val="22"/>
          <w:szCs w:val="22"/>
          <w:lang w:val="sr-Latn-ME"/>
        </w:rPr>
        <w:t xml:space="preserve"> </w:t>
      </w:r>
      <w:r w:rsidRPr="00704F0B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704F0B">
        <w:rPr>
          <w:rFonts w:eastAsia="Calibri"/>
          <w:sz w:val="22"/>
          <w:szCs w:val="22"/>
          <w:lang w:val="sr-Latn-ME"/>
        </w:rPr>
        <w:t>Institutu</w:t>
      </w:r>
      <w:r w:rsidRPr="00704F0B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704F0B">
        <w:rPr>
          <w:rFonts w:eastAsia="Calibri"/>
          <w:sz w:val="22"/>
          <w:szCs w:val="22"/>
          <w:lang w:val="sr-Latn-ME"/>
        </w:rPr>
        <w:t xml:space="preserve"> </w:t>
      </w:r>
      <w:r w:rsidRPr="00704F0B">
        <w:rPr>
          <w:rFonts w:eastAsia="Calibri"/>
          <w:sz w:val="22"/>
          <w:szCs w:val="22"/>
          <w:lang w:val="sr-Latn-ME"/>
        </w:rPr>
        <w:t>(</w:t>
      </w:r>
      <w:r w:rsidR="004E70AD" w:rsidRPr="00704F0B">
        <w:rPr>
          <w:rFonts w:eastAsia="Calibri"/>
          <w:sz w:val="22"/>
          <w:szCs w:val="22"/>
          <w:lang w:val="sr-Latn-ME"/>
        </w:rPr>
        <w:t>CInMED</w:t>
      </w:r>
      <w:r w:rsidRPr="00704F0B">
        <w:rPr>
          <w:rFonts w:eastAsia="Calibri"/>
          <w:sz w:val="22"/>
          <w:szCs w:val="22"/>
          <w:lang w:val="sr-Latn-ME"/>
        </w:rPr>
        <w:t>):</w:t>
      </w:r>
    </w:p>
    <w:p w14:paraId="11213D29" w14:textId="77777777" w:rsidR="005A23D2" w:rsidRPr="00704F0B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04F0B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704F0B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4333F9BA" w14:textId="77777777" w:rsidR="005A23D2" w:rsidRPr="00704F0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04F0B">
        <w:rPr>
          <w:rFonts w:eastAsia="Calibri"/>
          <w:sz w:val="22"/>
          <w:szCs w:val="22"/>
          <w:lang w:val="sr-Latn-ME"/>
        </w:rPr>
        <w:t>Odjeljenje za farmakovigilancu</w:t>
      </w:r>
    </w:p>
    <w:p w14:paraId="3C003860" w14:textId="77777777" w:rsidR="00EA5765" w:rsidRPr="00704F0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04F0B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6F7F929D" w14:textId="77777777" w:rsidR="00EA5765" w:rsidRPr="00704F0B" w:rsidRDefault="00EA5765" w:rsidP="00704F0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C2885C7" w14:textId="77777777" w:rsidR="005A23D2" w:rsidRPr="00704F0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04F0B">
        <w:rPr>
          <w:rFonts w:eastAsia="Calibri"/>
          <w:sz w:val="22"/>
          <w:szCs w:val="22"/>
          <w:lang w:val="sr-Latn-ME"/>
        </w:rPr>
        <w:t>tel: +382 (0) 20 310 280</w:t>
      </w:r>
    </w:p>
    <w:p w14:paraId="09A0D6C6" w14:textId="77777777" w:rsidR="00EA5765" w:rsidRPr="00704F0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04F0B">
        <w:rPr>
          <w:rFonts w:eastAsia="Calibri"/>
          <w:sz w:val="22"/>
          <w:szCs w:val="22"/>
          <w:lang w:val="sr-Latn-ME"/>
        </w:rPr>
        <w:t>fax:</w:t>
      </w:r>
      <w:r w:rsidR="00EA5765" w:rsidRPr="00704F0B">
        <w:rPr>
          <w:rFonts w:eastAsia="Calibri"/>
          <w:sz w:val="22"/>
          <w:szCs w:val="22"/>
          <w:lang w:val="sr-Latn-ME"/>
        </w:rPr>
        <w:t xml:space="preserve"> </w:t>
      </w:r>
      <w:r w:rsidRPr="00704F0B">
        <w:rPr>
          <w:rFonts w:eastAsia="Calibri"/>
          <w:sz w:val="22"/>
          <w:szCs w:val="22"/>
          <w:lang w:val="sr-Latn-ME"/>
        </w:rPr>
        <w:t>+382 (0) 20 310 581</w:t>
      </w:r>
    </w:p>
    <w:p w14:paraId="7A5C153C" w14:textId="77777777" w:rsidR="005A23D2" w:rsidRPr="00704F0B" w:rsidRDefault="00472B3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704F0B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9A79E8D" w14:textId="77777777" w:rsidR="00EA5765" w:rsidRPr="00704F0B" w:rsidRDefault="00472B3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704F0B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E7A5585" w14:textId="37E89276" w:rsidR="005A23D2" w:rsidRPr="00704F0B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04F0B">
        <w:rPr>
          <w:rFonts w:eastAsia="Calibri"/>
          <w:sz w:val="22"/>
          <w:szCs w:val="22"/>
          <w:lang w:val="sr-Latn-ME"/>
        </w:rPr>
        <w:t>putem IS zdravstvene zaštite</w:t>
      </w:r>
    </w:p>
    <w:p w14:paraId="3D1D70FC" w14:textId="77777777" w:rsidR="00EE201F" w:rsidRPr="00704F0B" w:rsidRDefault="00EE201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04F0B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2D844AEA" w14:textId="77777777" w:rsidR="00EE201F" w:rsidRPr="00704F0B" w:rsidRDefault="00EE201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73AC4E8" w14:textId="77777777" w:rsidR="00EE201F" w:rsidRPr="00704F0B" w:rsidRDefault="00EE201F" w:rsidP="00704F0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04F0B">
        <w:rPr>
          <w:noProof/>
        </w:rPr>
        <w:lastRenderedPageBreak/>
        <w:drawing>
          <wp:inline distT="0" distB="0" distL="0" distR="0" wp14:anchorId="34A0C037" wp14:editId="15FABFD8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C866" w14:textId="77777777" w:rsidR="00836B35" w:rsidRPr="00704F0B" w:rsidRDefault="00836B35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227DF46" w14:textId="77777777" w:rsidR="00CD6F02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4.9.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Predoziranje</w:t>
      </w:r>
      <w:r w:rsidR="002846DB" w:rsidRPr="00704F0B">
        <w:rPr>
          <w:b/>
          <w:bCs/>
          <w:sz w:val="22"/>
          <w:szCs w:val="22"/>
          <w:lang w:val="sr-Latn-ME"/>
        </w:rPr>
        <w:t xml:space="preserve"> </w:t>
      </w:r>
    </w:p>
    <w:p w14:paraId="5EAD61AF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896DEF" w14:textId="77777777" w:rsidR="00CD6F02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Nijesu poznati znaci akutnog predoziranja.</w:t>
      </w:r>
    </w:p>
    <w:p w14:paraId="7F4B5139" w14:textId="1BAF7DB0" w:rsidR="00227BDB" w:rsidRPr="00704F0B" w:rsidRDefault="00227BDB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675809C" w14:textId="77777777" w:rsidR="00993448" w:rsidRPr="00704F0B" w:rsidRDefault="00993448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777EB07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5.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FARMAKOLOŠK</w:t>
      </w:r>
      <w:r w:rsidR="000D425A" w:rsidRPr="00704F0B">
        <w:rPr>
          <w:b/>
          <w:bCs/>
          <w:sz w:val="22"/>
          <w:szCs w:val="22"/>
          <w:lang w:val="sr-Latn-ME"/>
        </w:rPr>
        <w:t>I</w:t>
      </w:r>
      <w:r w:rsidRPr="00704F0B">
        <w:rPr>
          <w:b/>
          <w:bCs/>
          <w:sz w:val="22"/>
          <w:szCs w:val="22"/>
          <w:lang w:val="sr-Latn-ME"/>
        </w:rPr>
        <w:t xml:space="preserve"> PODACI</w:t>
      </w:r>
    </w:p>
    <w:p w14:paraId="1E800DA3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197F27E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5.1.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Farmakodinamski podaci</w:t>
      </w:r>
      <w:r w:rsidR="003A7059" w:rsidRPr="00704F0B">
        <w:rPr>
          <w:b/>
          <w:bCs/>
          <w:sz w:val="22"/>
          <w:szCs w:val="22"/>
          <w:lang w:val="sr-Latn-ME"/>
        </w:rPr>
        <w:t xml:space="preserve"> </w:t>
      </w:r>
    </w:p>
    <w:p w14:paraId="2D3EA22B" w14:textId="77777777" w:rsidR="00F45F77" w:rsidRPr="00704F0B" w:rsidRDefault="00F45F77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CC5772C" w14:textId="6A61D2CD" w:rsidR="0072020E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Farmakoterapijska grupa: Ljekovi za poremećaje aciditeta.  Antacidi. Kombinacije i kompleksi jedinjenja aluminijuma, kalcijuma i magnezijuma.</w:t>
      </w:r>
    </w:p>
    <w:p w14:paraId="45E0EFDE" w14:textId="77777777" w:rsidR="006454A0" w:rsidRPr="00704F0B" w:rsidRDefault="006454A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54FC0D" w14:textId="615EF8FB" w:rsidR="002E37A5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ATC kod: A02AD04</w:t>
      </w:r>
    </w:p>
    <w:p w14:paraId="13828D27" w14:textId="77777777" w:rsidR="006454A0" w:rsidRPr="00704F0B" w:rsidRDefault="006454A0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2E6F11F" w14:textId="3B4B95F1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Djelovanje hidrotalcita je lokalno, ograničeno na želudac i uglavnom se svodi na neutralizaciju želudačnog hiperaciditeta. Takođe, hidrotalcit ispoljava dozno zavisno i pH-zavisno vezivanje za pepsin, žučne kisjeline i lizolecitin, i ima mukoprotektivne i citoprotektivne osobine. Intragastrična vrednost pH se podiže nakon aproksimativno 2 sata do idealnog opsega od pH 3-5.</w:t>
      </w:r>
    </w:p>
    <w:p w14:paraId="50BD2E1E" w14:textId="77777777" w:rsidR="00937F47" w:rsidRPr="00704F0B" w:rsidRDefault="00937F47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9F1868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5.2.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Farmakokinetički podaci</w:t>
      </w:r>
      <w:r w:rsidR="003A7059" w:rsidRPr="00704F0B">
        <w:rPr>
          <w:b/>
          <w:bCs/>
          <w:sz w:val="22"/>
          <w:szCs w:val="22"/>
          <w:lang w:val="sr-Latn-ME"/>
        </w:rPr>
        <w:t xml:space="preserve"> </w:t>
      </w:r>
    </w:p>
    <w:p w14:paraId="667809A6" w14:textId="77777777" w:rsidR="004B4B49" w:rsidRPr="00704F0B" w:rsidRDefault="004B4B49" w:rsidP="00704F0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617042A" w14:textId="65B2B3A1" w:rsidR="004B4B49" w:rsidRPr="00704F0B" w:rsidRDefault="004B4B49" w:rsidP="00704F0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 xml:space="preserve">Mrežasto - slojevita struktura hidrotalcita se rastvara nezavisno od pH, i joni magnezijuma i aluminijuma se oslobađaju intragastrično. Ovi joni, potom, precipitiraju kao karbonati i fosfati u tankom crijevu. U prisustvu hrane, proces precipitacije se može </w:t>
      </w:r>
      <w:r w:rsidR="006454A0" w:rsidRPr="00704F0B">
        <w:rPr>
          <w:sz w:val="22"/>
          <w:szCs w:val="22"/>
          <w:lang w:val="sr-Latn-ME"/>
        </w:rPr>
        <w:t xml:space="preserve">započeti </w:t>
      </w:r>
      <w:r w:rsidRPr="00704F0B">
        <w:rPr>
          <w:sz w:val="22"/>
          <w:szCs w:val="22"/>
          <w:lang w:val="sr-Latn-ME"/>
        </w:rPr>
        <w:t>u želucu.</w:t>
      </w:r>
    </w:p>
    <w:p w14:paraId="5C079772" w14:textId="77777777" w:rsidR="004B4B49" w:rsidRPr="00704F0B" w:rsidRDefault="004B4B49" w:rsidP="00704F0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A49E89A" w14:textId="0A84FD48" w:rsidR="004B4B49" w:rsidRPr="00704F0B" w:rsidRDefault="004B4B49" w:rsidP="00704F0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 xml:space="preserve">Resorbuju se male količine aluminijuma iz hidrotalcita (oko 1%), dovodeći do prolaznog povećanja koncentracije aluminijuma u serumu kao i povećane renalne ekskrecije aluminijuma. </w:t>
      </w:r>
      <w:r w:rsidR="006454A0" w:rsidRPr="00704F0B">
        <w:rPr>
          <w:sz w:val="22"/>
          <w:szCs w:val="22"/>
          <w:lang w:val="sr-Latn-ME"/>
        </w:rPr>
        <w:t>Koncentracija</w:t>
      </w:r>
      <w:r w:rsidRPr="00704F0B">
        <w:rPr>
          <w:sz w:val="22"/>
          <w:szCs w:val="22"/>
          <w:lang w:val="sr-Latn-ME"/>
        </w:rPr>
        <w:t xml:space="preserve"> aluminijuma u serumu ostaje ispod toksičn</w:t>
      </w:r>
      <w:r w:rsidR="006454A0" w:rsidRPr="00704F0B">
        <w:rPr>
          <w:sz w:val="22"/>
          <w:szCs w:val="22"/>
          <w:lang w:val="sr-Latn-ME"/>
        </w:rPr>
        <w:t>e</w:t>
      </w:r>
      <w:r w:rsidRPr="00704F0B">
        <w:rPr>
          <w:sz w:val="22"/>
          <w:szCs w:val="22"/>
          <w:lang w:val="sr-Latn-ME"/>
        </w:rPr>
        <w:t xml:space="preserve"> i normalizuje se 3-4 dana nakon prestanka terapije.</w:t>
      </w:r>
    </w:p>
    <w:p w14:paraId="706D1CE8" w14:textId="77777777" w:rsidR="004B4B49" w:rsidRPr="00704F0B" w:rsidRDefault="004B4B49" w:rsidP="00704F0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4FADCA1" w14:textId="77777777" w:rsidR="004B4B49" w:rsidRPr="00704F0B" w:rsidRDefault="004B4B49" w:rsidP="00704F0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Resorbuju se male količine magnezijuma (oko 10%). Generalno, koncentracija magnezijuma u serumu ostaje konstantna usljed renalne eliminacije.</w:t>
      </w:r>
    </w:p>
    <w:p w14:paraId="46EED924" w14:textId="77777777" w:rsidR="004B4B49" w:rsidRPr="00704F0B" w:rsidRDefault="004B4B49" w:rsidP="00704F0B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40D0CF3" w14:textId="77777777" w:rsidR="004B4B49" w:rsidRPr="00704F0B" w:rsidRDefault="004B4B49" w:rsidP="00704F0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Pacijenti sa oštećenom renalnom funkcijom koji uzimaju velike doze lijeka tokom produženog perioda mogu razviti hipermagnezijemiju sve do stepena intoksikacije magnezijumom i mogu patiti od postepene akumulacije aluminijuma, posebno u nervnom i koštanom tkivu.</w:t>
      </w:r>
    </w:p>
    <w:p w14:paraId="6DF61455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76E13D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5.3.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2FABAB6A" w14:textId="77777777" w:rsidR="00836B35" w:rsidRPr="00704F0B" w:rsidRDefault="00836B35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DBDB92" w14:textId="77777777" w:rsidR="004B4B49" w:rsidRPr="00704F0B" w:rsidRDefault="004B4B49" w:rsidP="00704F0B">
      <w:pPr>
        <w:tabs>
          <w:tab w:val="left" w:pos="540"/>
          <w:tab w:val="left" w:pos="569"/>
        </w:tabs>
        <w:ind w:firstLine="547"/>
        <w:jc w:val="both"/>
        <w:rPr>
          <w:b/>
          <w:sz w:val="22"/>
          <w:szCs w:val="22"/>
          <w:lang w:val="sr-Latn-ME"/>
        </w:rPr>
      </w:pPr>
      <w:r w:rsidRPr="00704F0B">
        <w:rPr>
          <w:b/>
          <w:sz w:val="22"/>
          <w:szCs w:val="22"/>
          <w:lang w:val="sr-Latn-ME"/>
        </w:rPr>
        <w:t>a) Akutna toksičnost</w:t>
      </w:r>
    </w:p>
    <w:p w14:paraId="7883569D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9EB86C" w14:textId="4B101EB1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Akutnu toksičnost nije bilo moguće odrediti usljed niskog stepena resorpcije (10% za magnezijum i 1% za aluminijum por</w:t>
      </w:r>
      <w:r w:rsidR="00D10614" w:rsidRPr="00704F0B">
        <w:rPr>
          <w:bCs/>
          <w:sz w:val="22"/>
          <w:szCs w:val="22"/>
          <w:lang w:val="sr-Latn-ME"/>
        </w:rPr>
        <w:t>ij</w:t>
      </w:r>
      <w:r w:rsidRPr="00704F0B">
        <w:rPr>
          <w:bCs/>
          <w:sz w:val="22"/>
          <w:szCs w:val="22"/>
          <w:lang w:val="sr-Latn-ME"/>
        </w:rPr>
        <w:t>eklom iz antacida) i relativno brze renalne eliminacije.</w:t>
      </w:r>
    </w:p>
    <w:p w14:paraId="2115FCF3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95B777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704F0B">
        <w:rPr>
          <w:b/>
          <w:sz w:val="22"/>
          <w:szCs w:val="22"/>
          <w:lang w:val="sr-Latn-ME"/>
        </w:rPr>
        <w:t xml:space="preserve">          b) Hronična toksičnost</w:t>
      </w:r>
    </w:p>
    <w:p w14:paraId="01AC2B1F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FF0466" w14:textId="5DC41E4F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Pacijenti sa oštećenom renalnom funkcijom mogu imati povišene koncentracije u plazmi i tkivima (posebno depoziti aluminijuma u nervnom i ko</w:t>
      </w:r>
      <w:r w:rsidR="00D10614" w:rsidRPr="00704F0B">
        <w:rPr>
          <w:bCs/>
          <w:sz w:val="22"/>
          <w:szCs w:val="22"/>
          <w:lang w:val="sr-Latn-ME"/>
        </w:rPr>
        <w:t>štanom</w:t>
      </w:r>
      <w:r w:rsidRPr="00704F0B">
        <w:rPr>
          <w:bCs/>
          <w:sz w:val="22"/>
          <w:szCs w:val="22"/>
          <w:lang w:val="sr-Latn-ME"/>
        </w:rPr>
        <w:t xml:space="preserve"> tkivu) i mogu pokazivati znake predoziranja (vidi takođe ,,Neželjena dejstva").</w:t>
      </w:r>
    </w:p>
    <w:p w14:paraId="0658A97B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6A97CC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lastRenderedPageBreak/>
        <w:t>Uprkos niskom stepenu resorpcije, dugotrajna primjena antacida koji sadrže aluminijum i magnezijum može izazvati poremećaj u ravnoteži tjelesnih fosfata i kalcijuma.</w:t>
      </w:r>
    </w:p>
    <w:p w14:paraId="1E4E24DC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E8C4CB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704F0B">
        <w:rPr>
          <w:b/>
          <w:sz w:val="22"/>
          <w:szCs w:val="22"/>
          <w:lang w:val="sr-Latn-ME"/>
        </w:rPr>
        <w:t xml:space="preserve">          c) Mutageni i tumorogeni potencijal</w:t>
      </w:r>
    </w:p>
    <w:p w14:paraId="1AD2746B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C8EA17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Mutageni potencijal hidrotalcita još uvijek nije adekvatno ispitan. Nema relevantnih osnova koji ukazuju na postojanje mutagenog potencijala jedinjenja aluminijuma.</w:t>
      </w:r>
    </w:p>
    <w:p w14:paraId="34C93731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Nijesu izvedene studije kancerogenog potencijala aluminijuma i aluminijum/magnezijum hidroksida.</w:t>
      </w:r>
    </w:p>
    <w:p w14:paraId="26572D8A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7ADFB2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704F0B">
        <w:rPr>
          <w:b/>
          <w:sz w:val="22"/>
          <w:szCs w:val="22"/>
          <w:lang w:val="sr-Latn-ME"/>
        </w:rPr>
        <w:t xml:space="preserve">          d) Reproduktivna toksičnost</w:t>
      </w:r>
    </w:p>
    <w:p w14:paraId="79E4A453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80FD4F" w14:textId="73BDFB8D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Hidrotalcit nije adekvatno ispitivan što se tiče njegove reproduktivne toksičnosti. Studije embrionalne toksičnosti kod pacova nijesu iznijele dokaze o oštećenju embriona/fetusa pri oralnim dozama od 1000 mg/kg/dan. Međutim, nijesu ispitivani efekti ekspozicije tokom fetalne faze i funkcionalni aspekti. Postnatalni efekti ekspozicije aluminijumu uključuju povišen stepen mrtvorođenosti, perinatalni mortalitet, usporen rast, promjene u ponašanju i biohemijske promjene u mozgu (dugotrajni efekti).</w:t>
      </w:r>
    </w:p>
    <w:p w14:paraId="1682B4F7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652579" w14:textId="5A6835C0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 xml:space="preserve">Studije na različitim vrstama životinja (zečevi, miševi) su pokazale da aluminijum prolazi placentu i akumulira se u tkivu fetusa, primarno u kostima. U studijama na životinjama, depoziti u kostima fetusa bili su značajno veći nego kod odraslih. Studije kod ljudi su sprovedene na prijevremeno rođenim bebama, kod kojih je </w:t>
      </w:r>
      <w:r w:rsidR="006B3421" w:rsidRPr="00704F0B">
        <w:rPr>
          <w:bCs/>
          <w:sz w:val="22"/>
          <w:szCs w:val="22"/>
          <w:lang w:val="sr-Latn-ME"/>
        </w:rPr>
        <w:t xml:space="preserve">ustanovljena </w:t>
      </w:r>
      <w:r w:rsidRPr="00704F0B">
        <w:rPr>
          <w:bCs/>
          <w:sz w:val="22"/>
          <w:szCs w:val="22"/>
          <w:lang w:val="sr-Latn-ME"/>
        </w:rPr>
        <w:t xml:space="preserve">akumulacija aluminijuma u kostima. Slične okolnosti su vrlo vjerovatne kod fetusa </w:t>
      </w:r>
      <w:r w:rsidRPr="00704F0B">
        <w:rPr>
          <w:bCs/>
          <w:i/>
          <w:iCs/>
          <w:sz w:val="22"/>
          <w:szCs w:val="22"/>
          <w:lang w:val="sr-Latn-ME"/>
        </w:rPr>
        <w:t>in utero</w:t>
      </w:r>
      <w:r w:rsidRPr="00704F0B">
        <w:rPr>
          <w:bCs/>
          <w:sz w:val="22"/>
          <w:szCs w:val="22"/>
          <w:lang w:val="sr-Latn-ME"/>
        </w:rPr>
        <w:t>.</w:t>
      </w:r>
    </w:p>
    <w:p w14:paraId="565B6035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86B583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Nakon ekspozicije tokom perioda trudnoće, ekskrecija aluminijuma u majčino mlijeko je privremeno povišena.</w:t>
      </w:r>
    </w:p>
    <w:p w14:paraId="6CEE1769" w14:textId="0ACD4115" w:rsidR="00396DFD" w:rsidRPr="00704F0B" w:rsidRDefault="00396DFD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F4673B4" w14:textId="77777777" w:rsidR="00993448" w:rsidRPr="00704F0B" w:rsidRDefault="00993448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5051986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6.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FARMACEUTSKI PODACI</w:t>
      </w:r>
    </w:p>
    <w:p w14:paraId="2FB0DF41" w14:textId="77777777" w:rsidR="00836B35" w:rsidRPr="00704F0B" w:rsidRDefault="00836B35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719595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6.1.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Lista pomoćnih supstanci</w:t>
      </w:r>
      <w:r w:rsidR="002E0135" w:rsidRPr="00704F0B">
        <w:rPr>
          <w:b/>
          <w:bCs/>
          <w:sz w:val="22"/>
          <w:szCs w:val="22"/>
          <w:lang w:val="sr-Latn-ME"/>
        </w:rPr>
        <w:t xml:space="preserve"> (ekscipijenasa)</w:t>
      </w:r>
    </w:p>
    <w:p w14:paraId="4AC8D59B" w14:textId="77777777" w:rsidR="00993448" w:rsidRPr="00704F0B" w:rsidRDefault="00993448" w:rsidP="00704F0B">
      <w:pPr>
        <w:tabs>
          <w:tab w:val="left" w:pos="540"/>
          <w:tab w:val="left" w:pos="569"/>
        </w:tabs>
        <w:jc w:val="both"/>
        <w:rPr>
          <w:iCs/>
          <w:sz w:val="22"/>
          <w:szCs w:val="22"/>
          <w:lang w:val="sr-Latn-ME"/>
        </w:rPr>
      </w:pPr>
    </w:p>
    <w:p w14:paraId="33844E38" w14:textId="31349F1C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iCs/>
          <w:sz w:val="22"/>
          <w:szCs w:val="22"/>
          <w:lang w:val="sr-Latn-ME"/>
        </w:rPr>
      </w:pPr>
      <w:r w:rsidRPr="00704F0B">
        <w:rPr>
          <w:iCs/>
          <w:sz w:val="22"/>
          <w:szCs w:val="22"/>
          <w:lang w:val="sr-Latn-ME"/>
        </w:rPr>
        <w:t>Manitol</w:t>
      </w:r>
    </w:p>
    <w:p w14:paraId="75B9930E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iCs/>
          <w:sz w:val="22"/>
          <w:szCs w:val="22"/>
          <w:lang w:val="sr-Latn-ME"/>
        </w:rPr>
      </w:pPr>
      <w:r w:rsidRPr="00704F0B">
        <w:rPr>
          <w:iCs/>
          <w:sz w:val="22"/>
          <w:szCs w:val="22"/>
          <w:lang w:val="sr-Latn-ME"/>
        </w:rPr>
        <w:t xml:space="preserve">Skrob, kukuruzni </w:t>
      </w:r>
    </w:p>
    <w:p w14:paraId="6B4B82AF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iCs/>
          <w:sz w:val="22"/>
          <w:szCs w:val="22"/>
          <w:lang w:val="sr-Latn-ME"/>
        </w:rPr>
      </w:pPr>
      <w:r w:rsidRPr="00704F0B">
        <w:rPr>
          <w:iCs/>
          <w:sz w:val="22"/>
          <w:szCs w:val="22"/>
          <w:lang w:val="sr-Latn-ME"/>
        </w:rPr>
        <w:t>Magnezijum stearat</w:t>
      </w:r>
    </w:p>
    <w:p w14:paraId="4AE1647E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iCs/>
          <w:sz w:val="22"/>
          <w:szCs w:val="22"/>
          <w:lang w:val="sr-Latn-ME"/>
        </w:rPr>
      </w:pPr>
      <w:r w:rsidRPr="00704F0B">
        <w:rPr>
          <w:iCs/>
          <w:sz w:val="22"/>
          <w:szCs w:val="22"/>
          <w:lang w:val="sr-Latn-ME"/>
        </w:rPr>
        <w:t>Saharin natrijum</w:t>
      </w:r>
    </w:p>
    <w:p w14:paraId="43D9056C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iCs/>
          <w:sz w:val="22"/>
          <w:szCs w:val="22"/>
          <w:lang w:val="sr-Latn-ME"/>
        </w:rPr>
      </w:pPr>
      <w:r w:rsidRPr="00704F0B">
        <w:rPr>
          <w:iCs/>
          <w:sz w:val="22"/>
          <w:szCs w:val="22"/>
          <w:lang w:val="sr-Latn-ME"/>
        </w:rPr>
        <w:t xml:space="preserve">Aroma: Banana </w:t>
      </w:r>
    </w:p>
    <w:p w14:paraId="77B1DD4B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iCs/>
          <w:sz w:val="22"/>
          <w:szCs w:val="22"/>
          <w:lang w:val="sr-Latn-ME"/>
        </w:rPr>
      </w:pPr>
      <w:r w:rsidRPr="00704F0B">
        <w:rPr>
          <w:iCs/>
          <w:sz w:val="22"/>
          <w:szCs w:val="22"/>
          <w:lang w:val="sr-Latn-ME"/>
        </w:rPr>
        <w:t>Aroma: Pepermint</w:t>
      </w:r>
    </w:p>
    <w:p w14:paraId="7D837702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79962B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6.2.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Inkompatibilnost</w:t>
      </w:r>
      <w:r w:rsidR="002846DB" w:rsidRPr="00704F0B">
        <w:rPr>
          <w:b/>
          <w:bCs/>
          <w:sz w:val="22"/>
          <w:szCs w:val="22"/>
          <w:lang w:val="sr-Latn-ME"/>
        </w:rPr>
        <w:t>i</w:t>
      </w:r>
    </w:p>
    <w:p w14:paraId="4E82AEA3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67273D7" w14:textId="77777777" w:rsidR="0072020E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Nema poznatih.</w:t>
      </w:r>
    </w:p>
    <w:p w14:paraId="6FD2C3AA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3A93252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>6.3.</w:t>
      </w:r>
      <w:r w:rsidR="00C05DF8" w:rsidRPr="00704F0B">
        <w:rPr>
          <w:b/>
          <w:bCs/>
          <w:sz w:val="22"/>
          <w:szCs w:val="22"/>
          <w:lang w:val="sr-Latn-ME"/>
        </w:rPr>
        <w:t xml:space="preserve">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Rok upotrebe</w:t>
      </w:r>
    </w:p>
    <w:p w14:paraId="0CFC1416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9B4E7C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5 godina.</w:t>
      </w:r>
    </w:p>
    <w:p w14:paraId="0A1EB142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82EC05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6.4.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704F0B">
        <w:rPr>
          <w:b/>
          <w:bCs/>
          <w:sz w:val="22"/>
          <w:szCs w:val="22"/>
          <w:lang w:val="sr-Latn-ME"/>
        </w:rPr>
        <w:t xml:space="preserve"> lijeka</w:t>
      </w:r>
    </w:p>
    <w:p w14:paraId="77A55ABF" w14:textId="77777777" w:rsidR="004B4B49" w:rsidRPr="00704F0B" w:rsidRDefault="004B4B49" w:rsidP="00704F0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760831A" w14:textId="2943EC05" w:rsidR="0009407B" w:rsidRPr="00704F0B" w:rsidRDefault="0009407B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Lijek ne zaht</w:t>
      </w:r>
      <w:r w:rsidR="00993448" w:rsidRPr="00704F0B">
        <w:rPr>
          <w:bCs/>
          <w:sz w:val="22"/>
          <w:szCs w:val="22"/>
          <w:lang w:val="sr-Latn-ME"/>
        </w:rPr>
        <w:t>i</w:t>
      </w:r>
      <w:r w:rsidRPr="00704F0B">
        <w:rPr>
          <w:bCs/>
          <w:sz w:val="22"/>
          <w:szCs w:val="22"/>
          <w:lang w:val="sr-Latn-ME"/>
        </w:rPr>
        <w:t>jeva posebne uslove čuvanja.</w:t>
      </w:r>
    </w:p>
    <w:p w14:paraId="51EDF67F" w14:textId="0AC4080A" w:rsidR="00EC2532" w:rsidRPr="00704F0B" w:rsidRDefault="0009407B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Čuvati van pogleda i domašaja d</w:t>
      </w:r>
      <w:r w:rsidR="00993448" w:rsidRPr="00704F0B">
        <w:rPr>
          <w:bCs/>
          <w:sz w:val="22"/>
          <w:szCs w:val="22"/>
          <w:lang w:val="sr-Latn-ME"/>
        </w:rPr>
        <w:t>j</w:t>
      </w:r>
      <w:r w:rsidRPr="00704F0B">
        <w:rPr>
          <w:bCs/>
          <w:sz w:val="22"/>
          <w:szCs w:val="22"/>
          <w:lang w:val="sr-Latn-ME"/>
        </w:rPr>
        <w:t>ece.</w:t>
      </w:r>
    </w:p>
    <w:p w14:paraId="4EBF2540" w14:textId="77777777" w:rsidR="0009407B" w:rsidRPr="00704F0B" w:rsidRDefault="0009407B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163569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6.5.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="002846DB" w:rsidRPr="00704F0B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704F0B">
        <w:rPr>
          <w:b/>
          <w:bCs/>
          <w:sz w:val="22"/>
          <w:szCs w:val="22"/>
          <w:lang w:val="sr-Latn-ME"/>
        </w:rPr>
        <w:t>pakovanja</w:t>
      </w:r>
      <w:r w:rsidR="00C06864" w:rsidRPr="00704F0B">
        <w:rPr>
          <w:b/>
          <w:bCs/>
          <w:sz w:val="22"/>
          <w:szCs w:val="22"/>
          <w:lang w:val="sr-Latn-ME"/>
        </w:rPr>
        <w:t xml:space="preserve"> </w:t>
      </w:r>
    </w:p>
    <w:p w14:paraId="3C0BDDBA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1FB95E" w14:textId="77777777" w:rsidR="001B0B29" w:rsidRPr="00704F0B" w:rsidRDefault="001B0B29" w:rsidP="00704F0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Unutrašnje pakovanje je blister od polipropilena (PP)/Al folije, koji sadrži 10 tableta.</w:t>
      </w:r>
    </w:p>
    <w:p w14:paraId="6CE580C5" w14:textId="7503385C" w:rsidR="004B4B49" w:rsidRPr="00704F0B" w:rsidRDefault="001B0B2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Spoljašnje pakovanje je složiva kartonska kutija u kojoj se nalaze 2 blistera (ukupno 20 tableta za žvakanje)</w:t>
      </w:r>
      <w:r w:rsidR="00FB65FD" w:rsidRPr="00704F0B">
        <w:rPr>
          <w:lang w:val="sr-Latn-ME"/>
        </w:rPr>
        <w:t xml:space="preserve"> </w:t>
      </w:r>
      <w:r w:rsidR="00FB65FD" w:rsidRPr="00704F0B">
        <w:rPr>
          <w:sz w:val="22"/>
          <w:szCs w:val="22"/>
          <w:lang w:val="sr-Latn-ME"/>
        </w:rPr>
        <w:t>ili 5 blistera (ukupno 50 tableta za žvakanje)</w:t>
      </w:r>
      <w:r w:rsidRPr="00704F0B">
        <w:rPr>
          <w:sz w:val="22"/>
          <w:szCs w:val="22"/>
          <w:lang w:val="sr-Latn-ME"/>
        </w:rPr>
        <w:t xml:space="preserve"> i Uputstvo za lijek.</w:t>
      </w:r>
    </w:p>
    <w:p w14:paraId="3B89EDA4" w14:textId="77777777" w:rsidR="002846DB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lastRenderedPageBreak/>
        <w:t xml:space="preserve">6.6.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704F0B">
        <w:rPr>
          <w:b/>
          <w:bCs/>
          <w:sz w:val="22"/>
          <w:szCs w:val="22"/>
          <w:lang w:val="sr-Latn-ME"/>
        </w:rPr>
        <w:t xml:space="preserve"> </w:t>
      </w:r>
      <w:r w:rsidR="00310F03" w:rsidRPr="00704F0B">
        <w:rPr>
          <w:b/>
          <w:bCs/>
          <w:sz w:val="22"/>
          <w:szCs w:val="22"/>
          <w:lang w:val="sr-Latn-ME"/>
        </w:rPr>
        <w:t>(i druga uputs</w:t>
      </w:r>
      <w:r w:rsidR="004109FA" w:rsidRPr="00704F0B">
        <w:rPr>
          <w:b/>
          <w:bCs/>
          <w:sz w:val="22"/>
          <w:szCs w:val="22"/>
          <w:lang w:val="sr-Latn-ME"/>
        </w:rPr>
        <w:t>t</w:t>
      </w:r>
      <w:r w:rsidR="00310F03" w:rsidRPr="00704F0B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0DC9CA6" w14:textId="77777777" w:rsidR="00860FD7" w:rsidRPr="00704F0B" w:rsidRDefault="00860FD7" w:rsidP="00704F0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56E91F5" w14:textId="35D1285C" w:rsidR="00B66A70" w:rsidRPr="00704F0B" w:rsidRDefault="004B4B49" w:rsidP="00704F0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U skladu sa važećim propisima.</w:t>
      </w:r>
    </w:p>
    <w:p w14:paraId="340615FB" w14:textId="77777777" w:rsidR="00993448" w:rsidRPr="00704F0B" w:rsidRDefault="00993448" w:rsidP="00704F0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A09C90D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72B2FF" w14:textId="77777777" w:rsidR="00F8570A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7.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NOSILAC DOZVOLE</w:t>
      </w:r>
      <w:r w:rsidR="00483928" w:rsidRPr="00704F0B">
        <w:rPr>
          <w:b/>
          <w:bCs/>
          <w:sz w:val="22"/>
          <w:szCs w:val="22"/>
          <w:lang w:val="sr-Latn-ME"/>
        </w:rPr>
        <w:t xml:space="preserve"> </w:t>
      </w:r>
    </w:p>
    <w:p w14:paraId="335B4E23" w14:textId="77777777" w:rsidR="00993448" w:rsidRPr="00704F0B" w:rsidRDefault="00993448" w:rsidP="00704F0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F4987C0" w14:textId="3A88F63D" w:rsidR="004B4B49" w:rsidRPr="00704F0B" w:rsidRDefault="009A51F5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sz w:val="22"/>
          <w:szCs w:val="22"/>
          <w:lang w:val="sr-Latn-ME"/>
        </w:rPr>
        <w:t>Evropa Lek Pharma</w:t>
      </w:r>
      <w:r w:rsidR="004B4B49" w:rsidRPr="00704F0B">
        <w:rPr>
          <w:sz w:val="22"/>
          <w:szCs w:val="22"/>
          <w:lang w:val="sr-Latn-ME"/>
        </w:rPr>
        <w:t xml:space="preserve"> d.o.o.</w:t>
      </w:r>
      <w:r w:rsidRPr="00704F0B">
        <w:rPr>
          <w:sz w:val="22"/>
          <w:szCs w:val="22"/>
          <w:lang w:val="sr-Latn-ME"/>
        </w:rPr>
        <w:t xml:space="preserve"> Podgorica</w:t>
      </w:r>
      <w:r w:rsidR="004B4B49" w:rsidRPr="00704F0B">
        <w:rPr>
          <w:sz w:val="22"/>
          <w:szCs w:val="22"/>
          <w:lang w:val="sr-Latn-ME"/>
        </w:rPr>
        <w:t>, Kritskog odreda 4/1, 81000 Podgorica, Crna Gora</w:t>
      </w:r>
    </w:p>
    <w:p w14:paraId="02E9A38D" w14:textId="77777777" w:rsidR="00C61BE0" w:rsidRPr="00704F0B" w:rsidRDefault="00C61BE0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3400AF" w14:textId="77777777" w:rsidR="00C37FD7" w:rsidRPr="00704F0B" w:rsidRDefault="00C37FD7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0B16B6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8.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>BROJ DOZVOLE</w:t>
      </w:r>
      <w:r w:rsidR="008A6D43" w:rsidRPr="00704F0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A732C7D" w14:textId="77777777" w:rsidR="00937F47" w:rsidRPr="00704F0B" w:rsidRDefault="00937F47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7EB896" w14:textId="34DFDE53" w:rsidR="004B4B49" w:rsidRPr="00704F0B" w:rsidRDefault="00FB65FD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 xml:space="preserve">Rupurut, tableta za žvakanje 20x(500mg): </w:t>
      </w:r>
      <w:r w:rsidR="00141E38" w:rsidRPr="00704F0B">
        <w:rPr>
          <w:bCs/>
          <w:sz w:val="22"/>
          <w:szCs w:val="22"/>
          <w:lang w:val="sr-Latn-ME"/>
        </w:rPr>
        <w:t>2030</w:t>
      </w:r>
      <w:r w:rsidR="0091790E" w:rsidRPr="00704F0B">
        <w:rPr>
          <w:bCs/>
          <w:sz w:val="22"/>
          <w:szCs w:val="22"/>
          <w:lang w:val="sr-Latn-ME"/>
        </w:rPr>
        <w:t>/23/3061 - 3298</w:t>
      </w:r>
    </w:p>
    <w:p w14:paraId="1B7C3207" w14:textId="628381CC" w:rsidR="0072020E" w:rsidRPr="00704F0B" w:rsidRDefault="00FB65FD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Rupurut, tableta za žvakanje 50x(500mg):</w:t>
      </w:r>
      <w:r w:rsidR="00D1232F">
        <w:rPr>
          <w:bCs/>
          <w:sz w:val="22"/>
          <w:szCs w:val="22"/>
          <w:lang w:val="sr-Latn-ME"/>
        </w:rPr>
        <w:t xml:space="preserve"> </w:t>
      </w:r>
      <w:r w:rsidR="008654C4" w:rsidRPr="008654C4">
        <w:rPr>
          <w:bCs/>
          <w:sz w:val="22"/>
          <w:szCs w:val="22"/>
          <w:lang w:val="sr-Latn-ME"/>
        </w:rPr>
        <w:t>2030/24/6569 - 8661</w:t>
      </w:r>
    </w:p>
    <w:p w14:paraId="069800BA" w14:textId="77777777" w:rsidR="00F45F77" w:rsidRPr="00704F0B" w:rsidRDefault="00F45F77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608C4E" w14:textId="77777777" w:rsidR="0072020E" w:rsidRPr="00704F0B" w:rsidRDefault="0072020E" w:rsidP="00704F0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9.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Pr="00704F0B">
        <w:rPr>
          <w:b/>
          <w:bCs/>
          <w:sz w:val="22"/>
          <w:szCs w:val="22"/>
          <w:lang w:val="sr-Latn-ME"/>
        </w:rPr>
        <w:t xml:space="preserve">DATUM </w:t>
      </w:r>
      <w:r w:rsidR="00C05DF8" w:rsidRPr="00704F0B">
        <w:rPr>
          <w:b/>
          <w:bCs/>
          <w:sz w:val="22"/>
          <w:szCs w:val="22"/>
          <w:lang w:val="sr-Latn-ME"/>
        </w:rPr>
        <w:t xml:space="preserve">PRVE </w:t>
      </w:r>
      <w:r w:rsidR="008A6D43" w:rsidRPr="00704F0B">
        <w:rPr>
          <w:b/>
          <w:bCs/>
          <w:sz w:val="22"/>
          <w:szCs w:val="22"/>
          <w:lang w:val="sr-Latn-ME"/>
        </w:rPr>
        <w:t>DOZVOLE</w:t>
      </w:r>
      <w:r w:rsidR="00C05DF8" w:rsidRPr="00704F0B">
        <w:rPr>
          <w:b/>
          <w:bCs/>
          <w:sz w:val="22"/>
          <w:szCs w:val="22"/>
          <w:lang w:val="sr-Latn-ME"/>
        </w:rPr>
        <w:t>/OBNOVE DOZVOLE</w:t>
      </w:r>
      <w:r w:rsidR="008A6D43" w:rsidRPr="00704F0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E751C06" w14:textId="77777777" w:rsidR="00D1232F" w:rsidRDefault="00D1232F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F350AB" w14:textId="6B978278" w:rsidR="0072020E" w:rsidRPr="00704F0B" w:rsidRDefault="00D1232F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64E4E">
        <w:rPr>
          <w:bCs/>
          <w:sz w:val="22"/>
          <w:szCs w:val="22"/>
          <w:lang w:val="sr-Latn-ME"/>
        </w:rPr>
        <w:t>Rupurut, tableta za žvakanje 20x(500mg):</w:t>
      </w:r>
    </w:p>
    <w:p w14:paraId="2B6AA323" w14:textId="602AA248" w:rsidR="00836B35" w:rsidRPr="00704F0B" w:rsidRDefault="00993448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Datum prve dozvole:</w:t>
      </w:r>
      <w:r w:rsidR="0091790E" w:rsidRPr="00704F0B">
        <w:rPr>
          <w:bCs/>
          <w:sz w:val="22"/>
          <w:szCs w:val="22"/>
          <w:lang w:val="sr-Latn-ME"/>
        </w:rPr>
        <w:t xml:space="preserve"> 28.01.2013. godine</w:t>
      </w:r>
    </w:p>
    <w:p w14:paraId="4A6EF892" w14:textId="067ED47E" w:rsidR="00993448" w:rsidRDefault="00993448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04F0B">
        <w:rPr>
          <w:bCs/>
          <w:sz w:val="22"/>
          <w:szCs w:val="22"/>
          <w:lang w:val="sr-Latn-ME"/>
        </w:rPr>
        <w:t>Datum posl</w:t>
      </w:r>
      <w:r w:rsidR="00D1232F">
        <w:rPr>
          <w:bCs/>
          <w:sz w:val="22"/>
          <w:szCs w:val="22"/>
          <w:lang w:val="sr-Latn-ME"/>
        </w:rPr>
        <w:t>j</w:t>
      </w:r>
      <w:r w:rsidRPr="00704F0B">
        <w:rPr>
          <w:bCs/>
          <w:sz w:val="22"/>
          <w:szCs w:val="22"/>
          <w:lang w:val="sr-Latn-ME"/>
        </w:rPr>
        <w:t>ednje obnove dozvole:</w:t>
      </w:r>
      <w:r w:rsidR="0091790E" w:rsidRPr="00704F0B">
        <w:rPr>
          <w:bCs/>
          <w:sz w:val="22"/>
          <w:szCs w:val="22"/>
          <w:lang w:val="sr-Latn-ME"/>
        </w:rPr>
        <w:t xml:space="preserve"> 18</w:t>
      </w:r>
      <w:r w:rsidR="00FB6271" w:rsidRPr="00704F0B">
        <w:rPr>
          <w:bCs/>
          <w:sz w:val="22"/>
          <w:szCs w:val="22"/>
          <w:lang w:val="sr-Latn-ME"/>
        </w:rPr>
        <w:t>.08.2023. godine</w:t>
      </w:r>
    </w:p>
    <w:p w14:paraId="14BEEB16" w14:textId="32D11DA2" w:rsidR="00D1232F" w:rsidRDefault="00D1232F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6A9803" w14:textId="39B453C2" w:rsidR="00D1232F" w:rsidRPr="00704F0B" w:rsidRDefault="00D1232F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64E4E">
        <w:rPr>
          <w:bCs/>
          <w:sz w:val="22"/>
          <w:szCs w:val="22"/>
          <w:lang w:val="sr-Latn-ME"/>
        </w:rPr>
        <w:t>Rupurut, tableta za žvakanje 50x(500mg):</w:t>
      </w:r>
    </w:p>
    <w:p w14:paraId="35014896" w14:textId="1C7DCED9" w:rsidR="00937F47" w:rsidRPr="00704F0B" w:rsidRDefault="00D1232F" w:rsidP="00704F0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A64E4E">
        <w:rPr>
          <w:bCs/>
          <w:sz w:val="22"/>
          <w:szCs w:val="22"/>
          <w:lang w:val="sr-Latn-ME"/>
        </w:rPr>
        <w:t>Datum prve dozvole:</w:t>
      </w:r>
      <w:r w:rsidR="008654C4" w:rsidRPr="008654C4">
        <w:t xml:space="preserve"> </w:t>
      </w:r>
      <w:r w:rsidR="008654C4" w:rsidRPr="008654C4">
        <w:rPr>
          <w:bCs/>
          <w:sz w:val="22"/>
          <w:szCs w:val="22"/>
          <w:lang w:val="sr-Latn-ME"/>
        </w:rPr>
        <w:t>09.12.2024. godine</w:t>
      </w:r>
    </w:p>
    <w:p w14:paraId="0D4A784A" w14:textId="77777777" w:rsidR="00937F47" w:rsidRPr="00704F0B" w:rsidRDefault="00937F47" w:rsidP="00704F0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7CF56188" w14:textId="77777777" w:rsidR="003F6A59" w:rsidRPr="00704F0B" w:rsidRDefault="0072020E" w:rsidP="00704F0B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704F0B">
        <w:rPr>
          <w:b/>
          <w:bCs/>
          <w:sz w:val="22"/>
          <w:szCs w:val="22"/>
          <w:lang w:val="sr-Latn-ME"/>
        </w:rPr>
        <w:t xml:space="preserve">10. </w:t>
      </w:r>
      <w:r w:rsidR="00480FB1" w:rsidRPr="00704F0B">
        <w:rPr>
          <w:b/>
          <w:bCs/>
          <w:sz w:val="22"/>
          <w:szCs w:val="22"/>
          <w:lang w:val="sr-Latn-ME"/>
        </w:rPr>
        <w:tab/>
      </w:r>
      <w:r w:rsidR="002846DB" w:rsidRPr="00704F0B">
        <w:rPr>
          <w:b/>
          <w:bCs/>
          <w:sz w:val="22"/>
          <w:szCs w:val="22"/>
          <w:lang w:val="sr-Latn-ME"/>
        </w:rPr>
        <w:t>D</w:t>
      </w:r>
      <w:r w:rsidR="00EC2532" w:rsidRPr="00704F0B">
        <w:rPr>
          <w:b/>
          <w:bCs/>
          <w:sz w:val="22"/>
          <w:szCs w:val="22"/>
          <w:lang w:val="sr-Latn-ME"/>
        </w:rPr>
        <w:t xml:space="preserve">ATUM REVIZIJE TEKSTA </w:t>
      </w:r>
    </w:p>
    <w:p w14:paraId="6CAB9684" w14:textId="19CFB2B8" w:rsidR="003F6A59" w:rsidRDefault="003F6A59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007F809" w14:textId="7E875504" w:rsidR="00D1232F" w:rsidRPr="00704F0B" w:rsidRDefault="00D1232F" w:rsidP="00704F0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Decembar, 2024. godine</w:t>
      </w:r>
    </w:p>
    <w:p w14:paraId="1AFC9F73" w14:textId="77777777" w:rsidR="003F6A59" w:rsidRPr="00704F0B" w:rsidRDefault="003F6A59" w:rsidP="00704F0B">
      <w:pPr>
        <w:jc w:val="both"/>
        <w:rPr>
          <w:sz w:val="22"/>
          <w:szCs w:val="22"/>
          <w:lang w:val="sr-Latn-ME"/>
        </w:rPr>
      </w:pPr>
      <w:bookmarkStart w:id="0" w:name="_GoBack"/>
      <w:bookmarkEnd w:id="0"/>
    </w:p>
    <w:sectPr w:rsidR="003F6A59" w:rsidRPr="00704F0B" w:rsidSect="006B5404">
      <w:footerReference w:type="even" r:id="rId12"/>
      <w:footerReference w:type="default" r:id="rId13"/>
      <w:footerReference w:type="first" r:id="rId14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FAEFA" w14:textId="77777777" w:rsidR="00472B3F" w:rsidRDefault="00472B3F">
      <w:r>
        <w:separator/>
      </w:r>
    </w:p>
  </w:endnote>
  <w:endnote w:type="continuationSeparator" w:id="0">
    <w:p w14:paraId="18F17F0A" w14:textId="77777777" w:rsidR="00472B3F" w:rsidRDefault="0047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54292" w14:textId="67CEDB96" w:rsidR="00B92B4A" w:rsidRDefault="00B92B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CAF7A4" wp14:editId="0F77705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5FB36" w14:textId="0DD31718" w:rsidR="00B92B4A" w:rsidRPr="00B92B4A" w:rsidRDefault="00B92B4A" w:rsidP="00B92B4A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B92B4A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AF7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RESTRICTED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" filled="f" stroked="f">
              <v:textbox style="mso-fit-shape-to-text:t" inset="0,0,20pt,15pt">
                <w:txbxContent>
                  <w:p w14:paraId="4D95FB36" w14:textId="0DD31718" w:rsidR="00B92B4A" w:rsidRPr="00B92B4A" w:rsidRDefault="00B92B4A" w:rsidP="00B92B4A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B92B4A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34A97" w14:textId="32131640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8654C4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8654C4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8E71" w14:textId="337EBF33" w:rsidR="00B92B4A" w:rsidRDefault="00B92B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79D72E" wp14:editId="4E0462C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F76F0" w14:textId="52D29420" w:rsidR="00B92B4A" w:rsidRPr="00B92B4A" w:rsidRDefault="00B92B4A" w:rsidP="00B92B4A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B92B4A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9D7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" filled="f" stroked="f">
              <v:textbox style="mso-fit-shape-to-text:t" inset="0,0,20pt,15pt">
                <w:txbxContent>
                  <w:p w14:paraId="188F76F0" w14:textId="52D29420" w:rsidR="00B92B4A" w:rsidRPr="00B92B4A" w:rsidRDefault="00B92B4A" w:rsidP="00B92B4A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B92B4A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4A60B" w14:textId="77777777" w:rsidR="00472B3F" w:rsidRDefault="00472B3F">
      <w:r>
        <w:separator/>
      </w:r>
    </w:p>
  </w:footnote>
  <w:footnote w:type="continuationSeparator" w:id="0">
    <w:p w14:paraId="72385D72" w14:textId="77777777" w:rsidR="00472B3F" w:rsidRDefault="00472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5pt;height:14.5pt;visibility:visible" o:bullet="t">
        <v:imagedata r:id="rId1" o:title="BT_1000x858px"/>
      </v:shape>
    </w:pict>
  </w:numPicBullet>
  <w:abstractNum w:abstractNumId="0" w15:restartNumberingAfterBreak="0">
    <w:nsid w:val="08820882"/>
    <w:multiLevelType w:val="hybridMultilevel"/>
    <w:tmpl w:val="3CCE2A40"/>
    <w:lvl w:ilvl="0" w:tplc="EBCA41F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4653"/>
    <w:rsid w:val="00036FA0"/>
    <w:rsid w:val="0003793F"/>
    <w:rsid w:val="000515F5"/>
    <w:rsid w:val="00057E35"/>
    <w:rsid w:val="00076726"/>
    <w:rsid w:val="00080303"/>
    <w:rsid w:val="0009407B"/>
    <w:rsid w:val="000972A4"/>
    <w:rsid w:val="000A2961"/>
    <w:rsid w:val="000A3F58"/>
    <w:rsid w:val="000B4DEC"/>
    <w:rsid w:val="000D2343"/>
    <w:rsid w:val="000D3449"/>
    <w:rsid w:val="000D425A"/>
    <w:rsid w:val="000D60CC"/>
    <w:rsid w:val="000E1168"/>
    <w:rsid w:val="000E2084"/>
    <w:rsid w:val="000E6F55"/>
    <w:rsid w:val="000F77FA"/>
    <w:rsid w:val="00104359"/>
    <w:rsid w:val="0010640E"/>
    <w:rsid w:val="00107BF7"/>
    <w:rsid w:val="00110E9A"/>
    <w:rsid w:val="00126F53"/>
    <w:rsid w:val="00141E38"/>
    <w:rsid w:val="0014766D"/>
    <w:rsid w:val="001536CC"/>
    <w:rsid w:val="00183794"/>
    <w:rsid w:val="001A3FBA"/>
    <w:rsid w:val="001A5518"/>
    <w:rsid w:val="001B0B29"/>
    <w:rsid w:val="001B1C6A"/>
    <w:rsid w:val="001C1263"/>
    <w:rsid w:val="001C1417"/>
    <w:rsid w:val="001E390B"/>
    <w:rsid w:val="001F42FB"/>
    <w:rsid w:val="001F719A"/>
    <w:rsid w:val="00202AAB"/>
    <w:rsid w:val="002031B3"/>
    <w:rsid w:val="00215931"/>
    <w:rsid w:val="00224C91"/>
    <w:rsid w:val="00227BDB"/>
    <w:rsid w:val="00234CB1"/>
    <w:rsid w:val="002352F8"/>
    <w:rsid w:val="00241ACD"/>
    <w:rsid w:val="002510A5"/>
    <w:rsid w:val="00254A0A"/>
    <w:rsid w:val="00266046"/>
    <w:rsid w:val="002846DB"/>
    <w:rsid w:val="00284CCD"/>
    <w:rsid w:val="00292FD2"/>
    <w:rsid w:val="002C6637"/>
    <w:rsid w:val="002D2D0A"/>
    <w:rsid w:val="002E0135"/>
    <w:rsid w:val="002E155B"/>
    <w:rsid w:val="002E37A5"/>
    <w:rsid w:val="002E46EC"/>
    <w:rsid w:val="00306C98"/>
    <w:rsid w:val="00310F03"/>
    <w:rsid w:val="00313AB7"/>
    <w:rsid w:val="003247D2"/>
    <w:rsid w:val="003252B4"/>
    <w:rsid w:val="003302E3"/>
    <w:rsid w:val="003445C1"/>
    <w:rsid w:val="00355B61"/>
    <w:rsid w:val="00362686"/>
    <w:rsid w:val="00371510"/>
    <w:rsid w:val="00396DFD"/>
    <w:rsid w:val="003A7059"/>
    <w:rsid w:val="003B0E16"/>
    <w:rsid w:val="003B7A36"/>
    <w:rsid w:val="003C17AB"/>
    <w:rsid w:val="003C6072"/>
    <w:rsid w:val="003C7823"/>
    <w:rsid w:val="003D649A"/>
    <w:rsid w:val="003E1DCC"/>
    <w:rsid w:val="003F11A1"/>
    <w:rsid w:val="003F6A59"/>
    <w:rsid w:val="004065C8"/>
    <w:rsid w:val="004109FA"/>
    <w:rsid w:val="00411B4B"/>
    <w:rsid w:val="00415BEE"/>
    <w:rsid w:val="00427F85"/>
    <w:rsid w:val="00432E92"/>
    <w:rsid w:val="004345E9"/>
    <w:rsid w:val="004365E1"/>
    <w:rsid w:val="00436F42"/>
    <w:rsid w:val="004378B4"/>
    <w:rsid w:val="00451314"/>
    <w:rsid w:val="00452E9D"/>
    <w:rsid w:val="004534C7"/>
    <w:rsid w:val="004671AA"/>
    <w:rsid w:val="00472B3F"/>
    <w:rsid w:val="00480FB1"/>
    <w:rsid w:val="00483928"/>
    <w:rsid w:val="004878BC"/>
    <w:rsid w:val="004B4B49"/>
    <w:rsid w:val="004C331F"/>
    <w:rsid w:val="004D6103"/>
    <w:rsid w:val="004D76AA"/>
    <w:rsid w:val="004E3BCE"/>
    <w:rsid w:val="004E70AD"/>
    <w:rsid w:val="004F0E97"/>
    <w:rsid w:val="00501DD1"/>
    <w:rsid w:val="00515C21"/>
    <w:rsid w:val="0052456D"/>
    <w:rsid w:val="00530BD7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3BC"/>
    <w:rsid w:val="005E2E0B"/>
    <w:rsid w:val="005E7A7D"/>
    <w:rsid w:val="00602457"/>
    <w:rsid w:val="00602BEA"/>
    <w:rsid w:val="0060515E"/>
    <w:rsid w:val="00644FC3"/>
    <w:rsid w:val="006454A0"/>
    <w:rsid w:val="00646BD1"/>
    <w:rsid w:val="006561C2"/>
    <w:rsid w:val="006572B8"/>
    <w:rsid w:val="00671CB3"/>
    <w:rsid w:val="00674BAF"/>
    <w:rsid w:val="00682200"/>
    <w:rsid w:val="00692BF6"/>
    <w:rsid w:val="006A1497"/>
    <w:rsid w:val="006B0BD1"/>
    <w:rsid w:val="006B3421"/>
    <w:rsid w:val="006B5404"/>
    <w:rsid w:val="006D20A5"/>
    <w:rsid w:val="006D2FDA"/>
    <w:rsid w:val="006D37BF"/>
    <w:rsid w:val="00702E22"/>
    <w:rsid w:val="00704F0B"/>
    <w:rsid w:val="0072020E"/>
    <w:rsid w:val="00776B57"/>
    <w:rsid w:val="00786071"/>
    <w:rsid w:val="007A3ECB"/>
    <w:rsid w:val="007D7BB3"/>
    <w:rsid w:val="00817CB9"/>
    <w:rsid w:val="00824AB9"/>
    <w:rsid w:val="00836B35"/>
    <w:rsid w:val="00837189"/>
    <w:rsid w:val="00843BDE"/>
    <w:rsid w:val="00860FD7"/>
    <w:rsid w:val="008654C4"/>
    <w:rsid w:val="0087588C"/>
    <w:rsid w:val="0089705C"/>
    <w:rsid w:val="008A6D43"/>
    <w:rsid w:val="008B491E"/>
    <w:rsid w:val="008B6A7D"/>
    <w:rsid w:val="008C1A28"/>
    <w:rsid w:val="008C2E98"/>
    <w:rsid w:val="008E49BD"/>
    <w:rsid w:val="008E53E9"/>
    <w:rsid w:val="008E5771"/>
    <w:rsid w:val="008F4ACF"/>
    <w:rsid w:val="00913629"/>
    <w:rsid w:val="0091790E"/>
    <w:rsid w:val="00924166"/>
    <w:rsid w:val="009275D0"/>
    <w:rsid w:val="00937F47"/>
    <w:rsid w:val="00940B9B"/>
    <w:rsid w:val="00941221"/>
    <w:rsid w:val="0095676E"/>
    <w:rsid w:val="00956983"/>
    <w:rsid w:val="00963CF0"/>
    <w:rsid w:val="00964BB1"/>
    <w:rsid w:val="009775D9"/>
    <w:rsid w:val="00993448"/>
    <w:rsid w:val="00997175"/>
    <w:rsid w:val="00997840"/>
    <w:rsid w:val="009A1847"/>
    <w:rsid w:val="009A51F5"/>
    <w:rsid w:val="009B062A"/>
    <w:rsid w:val="009E7C6F"/>
    <w:rsid w:val="009F1793"/>
    <w:rsid w:val="009F2D23"/>
    <w:rsid w:val="00A01D69"/>
    <w:rsid w:val="00A02335"/>
    <w:rsid w:val="00A24371"/>
    <w:rsid w:val="00A46C9A"/>
    <w:rsid w:val="00A619F3"/>
    <w:rsid w:val="00A62A73"/>
    <w:rsid w:val="00A85D23"/>
    <w:rsid w:val="00A87FF6"/>
    <w:rsid w:val="00AA0A3B"/>
    <w:rsid w:val="00AA2763"/>
    <w:rsid w:val="00AA33B6"/>
    <w:rsid w:val="00AB50CA"/>
    <w:rsid w:val="00AB5A2A"/>
    <w:rsid w:val="00AB6D64"/>
    <w:rsid w:val="00AC53CE"/>
    <w:rsid w:val="00AD2193"/>
    <w:rsid w:val="00AF2AC7"/>
    <w:rsid w:val="00AF74CE"/>
    <w:rsid w:val="00B208DB"/>
    <w:rsid w:val="00B23F69"/>
    <w:rsid w:val="00B5654B"/>
    <w:rsid w:val="00B60619"/>
    <w:rsid w:val="00B66A70"/>
    <w:rsid w:val="00B67366"/>
    <w:rsid w:val="00B80983"/>
    <w:rsid w:val="00B80EE1"/>
    <w:rsid w:val="00B80F07"/>
    <w:rsid w:val="00B84135"/>
    <w:rsid w:val="00B92B4A"/>
    <w:rsid w:val="00BB49B4"/>
    <w:rsid w:val="00C04D34"/>
    <w:rsid w:val="00C05DF8"/>
    <w:rsid w:val="00C06864"/>
    <w:rsid w:val="00C10F54"/>
    <w:rsid w:val="00C21C99"/>
    <w:rsid w:val="00C23D8D"/>
    <w:rsid w:val="00C37AA3"/>
    <w:rsid w:val="00C37FD7"/>
    <w:rsid w:val="00C43419"/>
    <w:rsid w:val="00C44CF3"/>
    <w:rsid w:val="00C61BE0"/>
    <w:rsid w:val="00C63361"/>
    <w:rsid w:val="00C6707E"/>
    <w:rsid w:val="00C70B0E"/>
    <w:rsid w:val="00C773CA"/>
    <w:rsid w:val="00C83785"/>
    <w:rsid w:val="00C94C0D"/>
    <w:rsid w:val="00CA1FEB"/>
    <w:rsid w:val="00CA7098"/>
    <w:rsid w:val="00CD4F85"/>
    <w:rsid w:val="00CD6F02"/>
    <w:rsid w:val="00CE246D"/>
    <w:rsid w:val="00CF07A0"/>
    <w:rsid w:val="00CF3E03"/>
    <w:rsid w:val="00D0082A"/>
    <w:rsid w:val="00D10614"/>
    <w:rsid w:val="00D1232F"/>
    <w:rsid w:val="00D21455"/>
    <w:rsid w:val="00D47634"/>
    <w:rsid w:val="00D709B3"/>
    <w:rsid w:val="00D87E78"/>
    <w:rsid w:val="00DA2ED6"/>
    <w:rsid w:val="00DB0F54"/>
    <w:rsid w:val="00DB76B8"/>
    <w:rsid w:val="00DC1B13"/>
    <w:rsid w:val="00DC1E7D"/>
    <w:rsid w:val="00DC2EA1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65650"/>
    <w:rsid w:val="00E74AEE"/>
    <w:rsid w:val="00E868E5"/>
    <w:rsid w:val="00E9237A"/>
    <w:rsid w:val="00E939FA"/>
    <w:rsid w:val="00EA116B"/>
    <w:rsid w:val="00EA5765"/>
    <w:rsid w:val="00EC2532"/>
    <w:rsid w:val="00EC6CD4"/>
    <w:rsid w:val="00ED7812"/>
    <w:rsid w:val="00EE201F"/>
    <w:rsid w:val="00EF3B86"/>
    <w:rsid w:val="00F317E9"/>
    <w:rsid w:val="00F34554"/>
    <w:rsid w:val="00F45F77"/>
    <w:rsid w:val="00F5167F"/>
    <w:rsid w:val="00F52258"/>
    <w:rsid w:val="00F8570A"/>
    <w:rsid w:val="00F91C7B"/>
    <w:rsid w:val="00FB6271"/>
    <w:rsid w:val="00FB65FD"/>
    <w:rsid w:val="00FD3169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DAC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E155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7DDE6-940A-491E-B0DC-CC3E3CBF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2024-12-09T10:54:00Z</dcterms:created>
  <dcterms:modified xsi:type="dcterms:W3CDTF">2024-12-09T11:02:00Z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#ff8939,22,Calibri</vt:lpwstr>
  </property>
  <property fmtid="{D5CDD505-2E9C-101B-9397-08002B2CF9AE}" pid="4" name="ClassificationContentMarkingFooterText">
    <vt:lpwstr>RESTRICTED</vt:lpwstr>
  </property>
  <property fmtid="{D5CDD505-2E9C-101B-9397-08002B2CF9AE}" pid="5" name="MSIP_Label_2c76c141-ac86-40e5-abf2-c6f60e474cee_Enabled">
    <vt:lpwstr>true</vt:lpwstr>
  </property>
  <property fmtid="{D5CDD505-2E9C-101B-9397-08002B2CF9AE}" pid="6" name="MSIP_Label_2c76c141-ac86-40e5-abf2-c6f60e474cee_SetDate">
    <vt:lpwstr>2023-08-25T06:56:05Z</vt:lpwstr>
  </property>
  <property fmtid="{D5CDD505-2E9C-101B-9397-08002B2CF9AE}" pid="7" name="MSIP_Label_2c76c141-ac86-40e5-abf2-c6f60e474cee_Method">
    <vt:lpwstr>Standard</vt:lpwstr>
  </property>
  <property fmtid="{D5CDD505-2E9C-101B-9397-08002B2CF9AE}" pid="8" name="MSIP_Label_2c76c141-ac86-40e5-abf2-c6f60e474cee_Name">
    <vt:lpwstr>2c76c141-ac86-40e5-abf2-c6f60e474cee</vt:lpwstr>
  </property>
  <property fmtid="{D5CDD505-2E9C-101B-9397-08002B2CF9AE}" pid="9" name="MSIP_Label_2c76c141-ac86-40e5-abf2-c6f60e474cee_SiteId">
    <vt:lpwstr>fcb2b37b-5da0-466b-9b83-0014b67a7c78</vt:lpwstr>
  </property>
  <property fmtid="{D5CDD505-2E9C-101B-9397-08002B2CF9AE}" pid="10" name="MSIP_Label_2c76c141-ac86-40e5-abf2-c6f60e474cee_ActionId">
    <vt:lpwstr>917bd0d1-7109-401f-9525-fbecd21e3777</vt:lpwstr>
  </property>
  <property fmtid="{D5CDD505-2E9C-101B-9397-08002B2CF9AE}" pid="11" name="MSIP_Label_2c76c141-ac86-40e5-abf2-c6f60e474cee_ContentBits">
    <vt:lpwstr>2</vt:lpwstr>
  </property>
</Properties>
</file>