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954B6" w14:textId="77777777" w:rsidR="00332BDA" w:rsidRPr="005B51C6" w:rsidRDefault="00332BDA" w:rsidP="00F645E1">
      <w:pPr>
        <w:jc w:val="center"/>
        <w:rPr>
          <w:b/>
          <w:bCs/>
          <w:iCs/>
          <w:szCs w:val="22"/>
          <w:u w:val="single"/>
          <w:lang w:val="sr-Latn-ME"/>
        </w:rPr>
      </w:pPr>
      <w:r w:rsidRPr="005B51C6">
        <w:rPr>
          <w:b/>
          <w:bCs/>
          <w:iCs/>
          <w:szCs w:val="22"/>
          <w:u w:val="single"/>
          <w:lang w:val="sr-Latn-ME"/>
        </w:rPr>
        <w:t>SAŽETAK KARAKTERISTIKA LIJEKA</w:t>
      </w:r>
    </w:p>
    <w:p w14:paraId="1B239D5D" w14:textId="77777777" w:rsidR="00332BDA" w:rsidRPr="005B51C6" w:rsidRDefault="00332BDA" w:rsidP="00F645E1">
      <w:pPr>
        <w:jc w:val="center"/>
        <w:rPr>
          <w:b/>
          <w:bCs/>
          <w:iCs/>
          <w:szCs w:val="22"/>
          <w:u w:val="single"/>
          <w:lang w:val="sr-Latn-ME"/>
        </w:rPr>
      </w:pPr>
    </w:p>
    <w:p w14:paraId="2972C2DC" w14:textId="77777777" w:rsidR="00332BDA" w:rsidRPr="005B51C6" w:rsidRDefault="00332BDA" w:rsidP="00F645E1">
      <w:pPr>
        <w:jc w:val="center"/>
        <w:rPr>
          <w:b/>
          <w:bCs/>
          <w:iCs/>
          <w:szCs w:val="22"/>
          <w:u w:val="single"/>
          <w:lang w:val="sr-Latn-ME"/>
        </w:rPr>
      </w:pPr>
    </w:p>
    <w:p w14:paraId="32AA458B" w14:textId="77777777" w:rsidR="00332BDA" w:rsidRPr="005B51C6" w:rsidRDefault="00332BDA" w:rsidP="00F645E1">
      <w:pPr>
        <w:tabs>
          <w:tab w:val="clear" w:pos="567"/>
        </w:tabs>
        <w:ind w:left="108"/>
        <w:rPr>
          <w:b/>
          <w:bCs/>
          <w:iCs/>
          <w:szCs w:val="22"/>
          <w:u w:val="single"/>
          <w:lang w:val="sr-Latn-ME"/>
        </w:rPr>
      </w:pPr>
    </w:p>
    <w:p w14:paraId="03D20F08" w14:textId="77777777" w:rsidR="000C7B6F" w:rsidRPr="005B51C6" w:rsidRDefault="00AD382D" w:rsidP="00F645E1">
      <w:pPr>
        <w:widowControl w:val="0"/>
        <w:numPr>
          <w:ilvl w:val="0"/>
          <w:numId w:val="26"/>
        </w:numPr>
        <w:spacing w:line="240" w:lineRule="auto"/>
        <w:ind w:left="567"/>
        <w:jc w:val="both"/>
        <w:rPr>
          <w:b/>
          <w:szCs w:val="22"/>
          <w:lang w:val="sr-Latn-ME"/>
        </w:rPr>
      </w:pPr>
      <w:r w:rsidRPr="005B51C6">
        <w:rPr>
          <w:b/>
          <w:szCs w:val="22"/>
          <w:lang w:val="sr-Latn-ME"/>
        </w:rPr>
        <w:t>NAZIV LIJEKA</w:t>
      </w:r>
    </w:p>
    <w:p w14:paraId="2C975D5B" w14:textId="77777777" w:rsidR="000C7B6F" w:rsidRPr="005B51C6" w:rsidRDefault="000C7B6F" w:rsidP="00F645E1">
      <w:pPr>
        <w:widowControl w:val="0"/>
        <w:ind w:left="930"/>
        <w:jc w:val="both"/>
        <w:rPr>
          <w:b/>
          <w:szCs w:val="22"/>
          <w:lang w:val="sr-Latn-ME"/>
        </w:rPr>
      </w:pPr>
    </w:p>
    <w:p w14:paraId="45E52F6B" w14:textId="77777777" w:rsidR="000C7B6F" w:rsidRPr="005B51C6" w:rsidRDefault="00AD382D" w:rsidP="00F645E1">
      <w:pPr>
        <w:tabs>
          <w:tab w:val="left" w:pos="284"/>
        </w:tabs>
        <w:jc w:val="both"/>
        <w:rPr>
          <w:bCs/>
          <w:szCs w:val="22"/>
          <w:lang w:val="sr-Latn-ME"/>
        </w:rPr>
      </w:pPr>
      <w:r w:rsidRPr="005B51C6">
        <w:rPr>
          <w:bCs/>
          <w:szCs w:val="22"/>
          <w:lang w:val="sr-Latn-ME"/>
        </w:rPr>
        <w:t>Ampril, 1,25 mg, tableta</w:t>
      </w:r>
    </w:p>
    <w:p w14:paraId="04590107" w14:textId="77777777" w:rsidR="000C7B6F" w:rsidRPr="005B51C6" w:rsidRDefault="00AD382D" w:rsidP="00F645E1">
      <w:pPr>
        <w:tabs>
          <w:tab w:val="left" w:pos="284"/>
        </w:tabs>
        <w:jc w:val="both"/>
        <w:rPr>
          <w:bCs/>
          <w:szCs w:val="22"/>
          <w:lang w:val="sr-Latn-ME"/>
        </w:rPr>
      </w:pPr>
      <w:r w:rsidRPr="005B51C6">
        <w:rPr>
          <w:bCs/>
          <w:szCs w:val="22"/>
          <w:lang w:val="sr-Latn-ME"/>
        </w:rPr>
        <w:t>Ampril, 2,5 mg tableta</w:t>
      </w:r>
    </w:p>
    <w:p w14:paraId="65892542" w14:textId="77777777" w:rsidR="000C7B6F" w:rsidRPr="005B51C6" w:rsidRDefault="00AD382D" w:rsidP="00F645E1">
      <w:pPr>
        <w:tabs>
          <w:tab w:val="left" w:pos="284"/>
        </w:tabs>
        <w:jc w:val="both"/>
        <w:rPr>
          <w:bCs/>
          <w:szCs w:val="22"/>
          <w:lang w:val="sr-Latn-ME"/>
        </w:rPr>
      </w:pPr>
      <w:r w:rsidRPr="005B51C6">
        <w:rPr>
          <w:bCs/>
          <w:szCs w:val="22"/>
          <w:lang w:val="sr-Latn-ME"/>
        </w:rPr>
        <w:t>Ampril, 5 mg tableta</w:t>
      </w:r>
    </w:p>
    <w:p w14:paraId="59674C43" w14:textId="77777777" w:rsidR="000C7B6F" w:rsidRPr="005B51C6" w:rsidRDefault="00AD382D" w:rsidP="00F645E1">
      <w:pPr>
        <w:tabs>
          <w:tab w:val="left" w:pos="284"/>
        </w:tabs>
        <w:jc w:val="both"/>
        <w:rPr>
          <w:bCs/>
          <w:szCs w:val="22"/>
          <w:lang w:val="sr-Latn-ME"/>
        </w:rPr>
      </w:pPr>
      <w:r w:rsidRPr="005B51C6">
        <w:rPr>
          <w:bCs/>
          <w:szCs w:val="22"/>
          <w:lang w:val="sr-Latn-ME"/>
        </w:rPr>
        <w:t>Ampril,</w:t>
      </w:r>
      <w:r w:rsidR="00CB7E75" w:rsidRPr="005B51C6">
        <w:rPr>
          <w:bCs/>
          <w:szCs w:val="22"/>
          <w:lang w:val="sr-Latn-ME"/>
        </w:rPr>
        <w:t xml:space="preserve"> </w:t>
      </w:r>
      <w:r w:rsidRPr="005B51C6">
        <w:rPr>
          <w:bCs/>
          <w:szCs w:val="22"/>
          <w:lang w:val="sr-Latn-ME"/>
        </w:rPr>
        <w:t>10 mg, tableta</w:t>
      </w:r>
    </w:p>
    <w:p w14:paraId="6AE586C5" w14:textId="77777777" w:rsidR="000C7B6F" w:rsidRPr="005B51C6" w:rsidRDefault="000C7B6F" w:rsidP="00F645E1">
      <w:pPr>
        <w:tabs>
          <w:tab w:val="left" w:pos="284"/>
        </w:tabs>
        <w:jc w:val="both"/>
        <w:rPr>
          <w:szCs w:val="22"/>
          <w:lang w:val="sr-Latn-ME"/>
        </w:rPr>
      </w:pPr>
    </w:p>
    <w:p w14:paraId="02702B02" w14:textId="77777777" w:rsidR="000C7B6F" w:rsidRPr="005B51C6" w:rsidRDefault="00AD382D" w:rsidP="00F645E1">
      <w:pPr>
        <w:tabs>
          <w:tab w:val="left" w:pos="284"/>
        </w:tabs>
        <w:jc w:val="both"/>
        <w:rPr>
          <w:szCs w:val="22"/>
          <w:lang w:val="sr-Latn-ME"/>
        </w:rPr>
      </w:pPr>
      <w:r w:rsidRPr="005B51C6">
        <w:rPr>
          <w:szCs w:val="22"/>
          <w:lang w:val="sr-Latn-ME"/>
        </w:rPr>
        <w:t>INN: ramipril</w:t>
      </w:r>
    </w:p>
    <w:p w14:paraId="242E8D85" w14:textId="77777777" w:rsidR="000C7B6F" w:rsidRPr="005B51C6" w:rsidRDefault="000C7B6F" w:rsidP="00F645E1">
      <w:pPr>
        <w:widowControl w:val="0"/>
        <w:jc w:val="both"/>
        <w:rPr>
          <w:szCs w:val="22"/>
          <w:lang w:val="sr-Latn-ME"/>
        </w:rPr>
      </w:pPr>
    </w:p>
    <w:p w14:paraId="28F7FE16" w14:textId="77777777" w:rsidR="000C7B6F" w:rsidRPr="005B51C6" w:rsidRDefault="000C7B6F" w:rsidP="00F645E1">
      <w:pPr>
        <w:widowControl w:val="0"/>
        <w:jc w:val="both"/>
        <w:rPr>
          <w:szCs w:val="22"/>
          <w:lang w:val="sr-Latn-ME"/>
        </w:rPr>
      </w:pPr>
    </w:p>
    <w:p w14:paraId="4CDB6982" w14:textId="77777777" w:rsidR="000C7B6F" w:rsidRPr="005B51C6" w:rsidRDefault="00AD382D" w:rsidP="00F645E1">
      <w:pPr>
        <w:widowControl w:val="0"/>
        <w:jc w:val="both"/>
        <w:rPr>
          <w:szCs w:val="22"/>
          <w:lang w:val="sr-Latn-ME"/>
        </w:rPr>
      </w:pPr>
      <w:r w:rsidRPr="005B51C6">
        <w:rPr>
          <w:b/>
          <w:szCs w:val="22"/>
          <w:lang w:val="sr-Latn-ME"/>
        </w:rPr>
        <w:t>2.</w:t>
      </w:r>
      <w:r w:rsidRPr="005B51C6">
        <w:rPr>
          <w:b/>
          <w:szCs w:val="22"/>
          <w:lang w:val="sr-Latn-ME"/>
        </w:rPr>
        <w:tab/>
        <w:t>KVALITATIVNI I KVANTITATIVNI SASTAV</w:t>
      </w:r>
    </w:p>
    <w:p w14:paraId="186B8010" w14:textId="77777777" w:rsidR="000C7B6F" w:rsidRPr="005B51C6" w:rsidRDefault="000C7B6F" w:rsidP="00F645E1">
      <w:pPr>
        <w:widowControl w:val="0"/>
        <w:jc w:val="both"/>
        <w:rPr>
          <w:szCs w:val="22"/>
          <w:lang w:val="sr-Latn-ME"/>
        </w:rPr>
      </w:pPr>
    </w:p>
    <w:p w14:paraId="6F1CA580" w14:textId="2EE522D8"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1,25 mg</w:t>
      </w:r>
      <w:r w:rsidR="0079549D" w:rsidRPr="005B51C6">
        <w:rPr>
          <w:szCs w:val="22"/>
          <w:lang w:val="sr-Latn-ME"/>
        </w:rPr>
        <w:t>,</w:t>
      </w:r>
      <w:r w:rsidRPr="005B51C6">
        <w:rPr>
          <w:szCs w:val="22"/>
          <w:lang w:val="sr-Latn-ME"/>
        </w:rPr>
        <w:t xml:space="preserve"> tablet</w:t>
      </w:r>
      <w:r w:rsidR="0079549D" w:rsidRPr="005B51C6">
        <w:rPr>
          <w:szCs w:val="22"/>
          <w:lang w:val="sr-Latn-ME"/>
        </w:rPr>
        <w:t>a:</w:t>
      </w:r>
    </w:p>
    <w:p w14:paraId="3906087A" w14:textId="77777777" w:rsidR="000C7B6F" w:rsidRPr="005B51C6" w:rsidRDefault="00AD382D" w:rsidP="00F645E1">
      <w:pPr>
        <w:tabs>
          <w:tab w:val="left" w:pos="284"/>
        </w:tabs>
        <w:jc w:val="both"/>
        <w:rPr>
          <w:szCs w:val="22"/>
          <w:lang w:val="sr-Latn-ME"/>
        </w:rPr>
      </w:pPr>
      <w:r w:rsidRPr="005B51C6">
        <w:rPr>
          <w:szCs w:val="22"/>
          <w:lang w:val="sr-Latn-ME"/>
        </w:rPr>
        <w:t>Jedna tableta sadrži 1,25 mg ramiprila.</w:t>
      </w:r>
    </w:p>
    <w:p w14:paraId="377FF63B" w14:textId="77777777" w:rsidR="000C7B6F" w:rsidRPr="005B51C6" w:rsidRDefault="000C7B6F" w:rsidP="00F645E1">
      <w:pPr>
        <w:tabs>
          <w:tab w:val="left" w:pos="284"/>
        </w:tabs>
        <w:jc w:val="both"/>
        <w:rPr>
          <w:szCs w:val="22"/>
          <w:lang w:val="sr-Latn-ME"/>
        </w:rPr>
      </w:pPr>
    </w:p>
    <w:p w14:paraId="4315FAF8" w14:textId="27767C95"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2,5 mg</w:t>
      </w:r>
      <w:r w:rsidR="0079549D" w:rsidRPr="005B51C6">
        <w:rPr>
          <w:szCs w:val="22"/>
          <w:lang w:val="sr-Latn-ME"/>
        </w:rPr>
        <w:t>,</w:t>
      </w:r>
      <w:r w:rsidRPr="005B51C6">
        <w:rPr>
          <w:szCs w:val="22"/>
          <w:lang w:val="sr-Latn-ME"/>
        </w:rPr>
        <w:t xml:space="preserve"> tablet</w:t>
      </w:r>
      <w:r w:rsidR="0079549D" w:rsidRPr="005B51C6">
        <w:rPr>
          <w:szCs w:val="22"/>
          <w:lang w:val="sr-Latn-ME"/>
        </w:rPr>
        <w:t>a:</w:t>
      </w:r>
    </w:p>
    <w:p w14:paraId="3D49C526" w14:textId="77777777" w:rsidR="000C7B6F" w:rsidRPr="005B51C6" w:rsidRDefault="00AD382D" w:rsidP="00F645E1">
      <w:pPr>
        <w:tabs>
          <w:tab w:val="left" w:pos="284"/>
        </w:tabs>
        <w:jc w:val="both"/>
        <w:rPr>
          <w:szCs w:val="22"/>
          <w:lang w:val="sr-Latn-ME"/>
        </w:rPr>
      </w:pPr>
      <w:r w:rsidRPr="005B51C6">
        <w:rPr>
          <w:szCs w:val="22"/>
          <w:lang w:val="sr-Latn-ME"/>
        </w:rPr>
        <w:t>Jedna tableta sadrži2,5 mg ramiprila.</w:t>
      </w:r>
    </w:p>
    <w:p w14:paraId="521D2077" w14:textId="77777777" w:rsidR="000C7B6F" w:rsidRPr="005B51C6" w:rsidRDefault="000C7B6F" w:rsidP="00F645E1">
      <w:pPr>
        <w:tabs>
          <w:tab w:val="left" w:pos="284"/>
        </w:tabs>
        <w:jc w:val="both"/>
        <w:rPr>
          <w:szCs w:val="22"/>
          <w:lang w:val="sr-Latn-ME"/>
        </w:rPr>
      </w:pPr>
    </w:p>
    <w:p w14:paraId="42735105" w14:textId="079617E1"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5 mg</w:t>
      </w:r>
      <w:r w:rsidR="0079549D" w:rsidRPr="005B51C6">
        <w:rPr>
          <w:szCs w:val="22"/>
          <w:lang w:val="sr-Latn-ME"/>
        </w:rPr>
        <w:t>,</w:t>
      </w:r>
      <w:r w:rsidRPr="005B51C6">
        <w:rPr>
          <w:szCs w:val="22"/>
          <w:lang w:val="sr-Latn-ME"/>
        </w:rPr>
        <w:t xml:space="preserve"> tablet</w:t>
      </w:r>
      <w:r w:rsidR="0079549D" w:rsidRPr="005B51C6">
        <w:rPr>
          <w:szCs w:val="22"/>
          <w:lang w:val="sr-Latn-ME"/>
        </w:rPr>
        <w:t>a:</w:t>
      </w:r>
    </w:p>
    <w:p w14:paraId="5CF7F3D9" w14:textId="77777777" w:rsidR="000C7B6F" w:rsidRPr="005B51C6" w:rsidRDefault="00AD382D" w:rsidP="00F645E1">
      <w:pPr>
        <w:tabs>
          <w:tab w:val="left" w:pos="284"/>
        </w:tabs>
        <w:jc w:val="both"/>
        <w:rPr>
          <w:szCs w:val="22"/>
          <w:lang w:val="sr-Latn-ME"/>
        </w:rPr>
      </w:pPr>
      <w:r w:rsidRPr="005B51C6">
        <w:rPr>
          <w:szCs w:val="22"/>
          <w:lang w:val="sr-Latn-ME"/>
        </w:rPr>
        <w:t>Jedna tableta sadrži 5 mg ramiprila.</w:t>
      </w:r>
    </w:p>
    <w:p w14:paraId="2F52AD2A" w14:textId="77777777" w:rsidR="000C7B6F" w:rsidRPr="005B51C6" w:rsidRDefault="000C7B6F" w:rsidP="00F645E1">
      <w:pPr>
        <w:tabs>
          <w:tab w:val="left" w:pos="284"/>
        </w:tabs>
        <w:jc w:val="both"/>
        <w:rPr>
          <w:szCs w:val="22"/>
          <w:lang w:val="sr-Latn-ME"/>
        </w:rPr>
      </w:pPr>
    </w:p>
    <w:p w14:paraId="11C9FC3A" w14:textId="241ECB9C"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10 mg</w:t>
      </w:r>
      <w:r w:rsidR="0079549D" w:rsidRPr="005B51C6">
        <w:rPr>
          <w:szCs w:val="22"/>
          <w:lang w:val="sr-Latn-ME"/>
        </w:rPr>
        <w:t>,</w:t>
      </w:r>
      <w:r w:rsidRPr="005B51C6">
        <w:rPr>
          <w:szCs w:val="22"/>
          <w:lang w:val="sr-Latn-ME"/>
        </w:rPr>
        <w:t xml:space="preserve"> tablet</w:t>
      </w:r>
      <w:r w:rsidR="0079549D" w:rsidRPr="005B51C6">
        <w:rPr>
          <w:szCs w:val="22"/>
          <w:lang w:val="sr-Latn-ME"/>
        </w:rPr>
        <w:t>a:</w:t>
      </w:r>
    </w:p>
    <w:p w14:paraId="0CDDF9FE" w14:textId="77777777" w:rsidR="000C7B6F" w:rsidRPr="005B51C6" w:rsidRDefault="00AD382D" w:rsidP="00F645E1">
      <w:pPr>
        <w:tabs>
          <w:tab w:val="left" w:pos="284"/>
        </w:tabs>
        <w:jc w:val="both"/>
        <w:rPr>
          <w:szCs w:val="22"/>
          <w:lang w:val="sr-Latn-ME"/>
        </w:rPr>
      </w:pPr>
      <w:r w:rsidRPr="005B51C6">
        <w:rPr>
          <w:szCs w:val="22"/>
          <w:lang w:val="sr-Latn-ME"/>
        </w:rPr>
        <w:t>Jedna tableta sadrži 10 mg ramiprila.</w:t>
      </w:r>
    </w:p>
    <w:p w14:paraId="3ACC2C3D" w14:textId="77777777" w:rsidR="000C7B6F" w:rsidRPr="005B51C6" w:rsidRDefault="000C7B6F" w:rsidP="00F645E1">
      <w:pPr>
        <w:tabs>
          <w:tab w:val="left" w:pos="284"/>
        </w:tabs>
        <w:jc w:val="both"/>
        <w:rPr>
          <w:color w:val="FF0000"/>
          <w:szCs w:val="22"/>
          <w:lang w:val="sr-Latn-ME"/>
        </w:rPr>
      </w:pPr>
    </w:p>
    <w:p w14:paraId="45C9E505" w14:textId="2D40A2CE" w:rsidR="000C7B6F" w:rsidRPr="005B51C6" w:rsidRDefault="00AD382D" w:rsidP="00F645E1">
      <w:pPr>
        <w:tabs>
          <w:tab w:val="left" w:pos="284"/>
        </w:tabs>
        <w:jc w:val="both"/>
        <w:rPr>
          <w:b/>
          <w:szCs w:val="22"/>
          <w:lang w:val="sr-Latn-ME"/>
        </w:rPr>
      </w:pPr>
      <w:r w:rsidRPr="005B51C6">
        <w:rPr>
          <w:b/>
          <w:szCs w:val="22"/>
          <w:lang w:val="sr-Latn-ME"/>
        </w:rPr>
        <w:t>Pomoćna supstanca</w:t>
      </w:r>
      <w:r w:rsidR="00804405" w:rsidRPr="005B51C6">
        <w:rPr>
          <w:b/>
          <w:szCs w:val="22"/>
          <w:lang w:val="sr-Latn-ME"/>
        </w:rPr>
        <w:t xml:space="preserve"> sa potvrđenim dejstvom</w:t>
      </w:r>
      <w:r w:rsidRPr="005B51C6">
        <w:rPr>
          <w:b/>
          <w:szCs w:val="22"/>
          <w:lang w:val="sr-Latn-ME"/>
        </w:rPr>
        <w:t>:</w:t>
      </w:r>
    </w:p>
    <w:p w14:paraId="6D63C7E1" w14:textId="0011EDAE"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1,25 mg</w:t>
      </w:r>
      <w:r w:rsidR="0079549D" w:rsidRPr="005B51C6">
        <w:rPr>
          <w:szCs w:val="22"/>
          <w:lang w:val="sr-Latn-ME"/>
        </w:rPr>
        <w:t>, tableta:</w:t>
      </w:r>
    </w:p>
    <w:p w14:paraId="27F8057D" w14:textId="77777777" w:rsidR="000C7B6F" w:rsidRPr="005B51C6" w:rsidRDefault="00AD382D" w:rsidP="00F645E1">
      <w:pPr>
        <w:tabs>
          <w:tab w:val="left" w:pos="284"/>
        </w:tabs>
        <w:jc w:val="both"/>
        <w:rPr>
          <w:szCs w:val="22"/>
          <w:lang w:val="sr-Latn-ME"/>
        </w:rPr>
      </w:pPr>
      <w:r w:rsidRPr="005B51C6">
        <w:rPr>
          <w:szCs w:val="22"/>
          <w:lang w:val="sr-Latn-ME"/>
        </w:rPr>
        <w:t>Jedna tableta sadrži 75,53 mg laktoze.</w:t>
      </w:r>
    </w:p>
    <w:p w14:paraId="70F764E6" w14:textId="77777777" w:rsidR="000C7B6F" w:rsidRPr="005B51C6" w:rsidRDefault="000C7B6F" w:rsidP="00F645E1">
      <w:pPr>
        <w:tabs>
          <w:tab w:val="left" w:pos="284"/>
        </w:tabs>
        <w:jc w:val="both"/>
        <w:rPr>
          <w:szCs w:val="22"/>
          <w:lang w:val="sr-Latn-ME"/>
        </w:rPr>
      </w:pPr>
    </w:p>
    <w:p w14:paraId="5DE6B940" w14:textId="535A659E"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2,5 mg</w:t>
      </w:r>
      <w:r w:rsidR="0079549D" w:rsidRPr="005B51C6">
        <w:rPr>
          <w:szCs w:val="22"/>
          <w:lang w:val="sr-Latn-ME"/>
        </w:rPr>
        <w:t>, tableta:</w:t>
      </w:r>
    </w:p>
    <w:p w14:paraId="775DA317" w14:textId="77777777" w:rsidR="000C7B6F" w:rsidRPr="005B51C6" w:rsidRDefault="00AD382D" w:rsidP="00F645E1">
      <w:pPr>
        <w:tabs>
          <w:tab w:val="left" w:pos="284"/>
        </w:tabs>
        <w:jc w:val="both"/>
        <w:rPr>
          <w:szCs w:val="22"/>
          <w:lang w:val="sr-Latn-ME"/>
        </w:rPr>
      </w:pPr>
      <w:r w:rsidRPr="005B51C6">
        <w:rPr>
          <w:szCs w:val="22"/>
          <w:lang w:val="sr-Latn-ME"/>
        </w:rPr>
        <w:t>Jedna tableta sadrži 150,87 mg laktoze.</w:t>
      </w:r>
    </w:p>
    <w:p w14:paraId="5E469733" w14:textId="77777777" w:rsidR="000C7B6F" w:rsidRPr="005B51C6" w:rsidRDefault="000C7B6F" w:rsidP="00F645E1">
      <w:pPr>
        <w:tabs>
          <w:tab w:val="left" w:pos="284"/>
        </w:tabs>
        <w:jc w:val="both"/>
        <w:rPr>
          <w:szCs w:val="22"/>
          <w:lang w:val="sr-Latn-ME"/>
        </w:rPr>
      </w:pPr>
    </w:p>
    <w:p w14:paraId="55236474" w14:textId="642B912F"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 xml:space="preserve">, </w:t>
      </w:r>
      <w:r w:rsidRPr="005B51C6">
        <w:rPr>
          <w:szCs w:val="22"/>
          <w:lang w:val="sr-Latn-ME"/>
        </w:rPr>
        <w:t>5 mg</w:t>
      </w:r>
      <w:r w:rsidR="0079549D" w:rsidRPr="005B51C6">
        <w:rPr>
          <w:szCs w:val="22"/>
          <w:lang w:val="sr-Latn-ME"/>
        </w:rPr>
        <w:t>, tableta:</w:t>
      </w:r>
    </w:p>
    <w:p w14:paraId="49D1A9AE" w14:textId="237C4B55" w:rsidR="000C7B6F" w:rsidRPr="005B51C6" w:rsidRDefault="00AD382D" w:rsidP="00F645E1">
      <w:pPr>
        <w:tabs>
          <w:tab w:val="left" w:pos="284"/>
        </w:tabs>
        <w:jc w:val="both"/>
        <w:rPr>
          <w:szCs w:val="22"/>
          <w:lang w:val="sr-Latn-ME"/>
        </w:rPr>
      </w:pPr>
      <w:r w:rsidRPr="005B51C6">
        <w:rPr>
          <w:szCs w:val="22"/>
          <w:lang w:val="sr-Latn-ME"/>
        </w:rPr>
        <w:t xml:space="preserve">Jedna </w:t>
      </w:r>
      <w:r w:rsidR="00804405" w:rsidRPr="005B51C6">
        <w:rPr>
          <w:szCs w:val="22"/>
          <w:lang w:val="sr-Latn-ME"/>
        </w:rPr>
        <w:t xml:space="preserve">tableta </w:t>
      </w:r>
      <w:r w:rsidRPr="005B51C6">
        <w:rPr>
          <w:szCs w:val="22"/>
          <w:lang w:val="sr-Latn-ME"/>
        </w:rPr>
        <w:t>sadrži 91,65 mg laktoze.</w:t>
      </w:r>
    </w:p>
    <w:p w14:paraId="0B675580" w14:textId="77777777" w:rsidR="000C7B6F" w:rsidRPr="005B51C6" w:rsidRDefault="000C7B6F" w:rsidP="00F645E1">
      <w:pPr>
        <w:tabs>
          <w:tab w:val="left" w:pos="284"/>
        </w:tabs>
        <w:jc w:val="both"/>
        <w:rPr>
          <w:szCs w:val="22"/>
          <w:lang w:val="sr-Latn-ME"/>
        </w:rPr>
      </w:pPr>
    </w:p>
    <w:p w14:paraId="1647C873" w14:textId="77576E6B" w:rsidR="000C7B6F" w:rsidRPr="005B51C6" w:rsidRDefault="00AD382D" w:rsidP="00F645E1">
      <w:pPr>
        <w:tabs>
          <w:tab w:val="left" w:pos="284"/>
        </w:tabs>
        <w:jc w:val="both"/>
        <w:rPr>
          <w:szCs w:val="22"/>
          <w:lang w:val="sr-Latn-ME"/>
        </w:rPr>
      </w:pPr>
      <w:r w:rsidRPr="005B51C6">
        <w:rPr>
          <w:szCs w:val="22"/>
          <w:lang w:val="sr-Latn-ME"/>
        </w:rPr>
        <w:t>Ampril</w:t>
      </w:r>
      <w:r w:rsidR="0079549D" w:rsidRPr="005B51C6">
        <w:rPr>
          <w:szCs w:val="22"/>
          <w:lang w:val="sr-Latn-ME"/>
        </w:rPr>
        <w:t>,</w:t>
      </w:r>
      <w:r w:rsidRPr="005B51C6">
        <w:rPr>
          <w:szCs w:val="22"/>
          <w:lang w:val="sr-Latn-ME"/>
        </w:rPr>
        <w:t xml:space="preserve"> 10 mg</w:t>
      </w:r>
      <w:r w:rsidR="0079549D" w:rsidRPr="005B51C6">
        <w:rPr>
          <w:szCs w:val="22"/>
          <w:lang w:val="sr-Latn-ME"/>
        </w:rPr>
        <w:t>, tableta</w:t>
      </w:r>
      <w:r w:rsidR="00C76E61" w:rsidRPr="005B51C6">
        <w:rPr>
          <w:szCs w:val="22"/>
          <w:lang w:val="sr-Latn-ME"/>
        </w:rPr>
        <w:t>:</w:t>
      </w:r>
    </w:p>
    <w:p w14:paraId="5AE1990D" w14:textId="77777777" w:rsidR="000C7B6F" w:rsidRPr="005B51C6" w:rsidRDefault="00AD382D" w:rsidP="00F645E1">
      <w:pPr>
        <w:tabs>
          <w:tab w:val="left" w:pos="284"/>
        </w:tabs>
        <w:jc w:val="both"/>
        <w:rPr>
          <w:szCs w:val="22"/>
          <w:lang w:val="sr-Latn-ME"/>
        </w:rPr>
      </w:pPr>
      <w:r w:rsidRPr="005B51C6">
        <w:rPr>
          <w:szCs w:val="22"/>
          <w:lang w:val="sr-Latn-ME"/>
        </w:rPr>
        <w:t>Jedna tableta sadrži 183,55 mg laktoze.</w:t>
      </w:r>
    </w:p>
    <w:p w14:paraId="1BB9672F" w14:textId="77777777" w:rsidR="000C7B6F" w:rsidRPr="005B51C6" w:rsidRDefault="000C7B6F" w:rsidP="00F645E1">
      <w:pPr>
        <w:widowControl w:val="0"/>
        <w:jc w:val="both"/>
        <w:rPr>
          <w:szCs w:val="22"/>
          <w:lang w:val="sr-Latn-ME"/>
        </w:rPr>
      </w:pPr>
    </w:p>
    <w:p w14:paraId="32B83949" w14:textId="77777777" w:rsidR="000C7B6F" w:rsidRPr="005B51C6" w:rsidRDefault="00AD382D" w:rsidP="00F645E1">
      <w:pPr>
        <w:widowControl w:val="0"/>
        <w:autoSpaceDE w:val="0"/>
        <w:autoSpaceDN w:val="0"/>
        <w:adjustRightInd w:val="0"/>
        <w:jc w:val="both"/>
        <w:rPr>
          <w:szCs w:val="22"/>
          <w:lang w:val="sr-Latn-ME"/>
        </w:rPr>
      </w:pPr>
      <w:r w:rsidRPr="005B51C6">
        <w:rPr>
          <w:szCs w:val="22"/>
          <w:lang w:val="sr-Latn-ME"/>
        </w:rPr>
        <w:t>Za spisak svih ekscipijenasa, pogledati dio 6.1.</w:t>
      </w:r>
    </w:p>
    <w:p w14:paraId="607A7CBC" w14:textId="77777777" w:rsidR="000C7B6F" w:rsidRPr="005B51C6" w:rsidRDefault="000C7B6F" w:rsidP="00F645E1">
      <w:pPr>
        <w:widowControl w:val="0"/>
        <w:jc w:val="both"/>
        <w:rPr>
          <w:szCs w:val="22"/>
          <w:lang w:val="sr-Latn-ME"/>
        </w:rPr>
      </w:pPr>
    </w:p>
    <w:p w14:paraId="5610229E" w14:textId="77777777" w:rsidR="000C7B6F" w:rsidRPr="005B51C6" w:rsidRDefault="000C7B6F" w:rsidP="00F645E1">
      <w:pPr>
        <w:widowControl w:val="0"/>
        <w:jc w:val="both"/>
        <w:rPr>
          <w:szCs w:val="22"/>
          <w:lang w:val="sr-Latn-ME"/>
        </w:rPr>
      </w:pPr>
    </w:p>
    <w:p w14:paraId="440CFDEF" w14:textId="77777777" w:rsidR="000C7B6F" w:rsidRPr="005B51C6" w:rsidRDefault="00AD382D" w:rsidP="00F645E1">
      <w:pPr>
        <w:widowControl w:val="0"/>
        <w:jc w:val="both"/>
        <w:rPr>
          <w:b/>
          <w:caps/>
          <w:szCs w:val="22"/>
          <w:lang w:val="sr-Latn-ME"/>
        </w:rPr>
      </w:pPr>
      <w:r w:rsidRPr="005B51C6">
        <w:rPr>
          <w:b/>
          <w:szCs w:val="22"/>
          <w:lang w:val="sr-Latn-ME"/>
        </w:rPr>
        <w:t>3.</w:t>
      </w:r>
      <w:r w:rsidRPr="005B51C6">
        <w:rPr>
          <w:b/>
          <w:szCs w:val="22"/>
          <w:lang w:val="sr-Latn-ME"/>
        </w:rPr>
        <w:tab/>
        <w:t>FARMACEUTSKI OBLIK</w:t>
      </w:r>
    </w:p>
    <w:p w14:paraId="4176A14D" w14:textId="77777777" w:rsidR="000C7B6F" w:rsidRPr="005B51C6" w:rsidRDefault="000C7B6F" w:rsidP="00F645E1">
      <w:pPr>
        <w:widowControl w:val="0"/>
        <w:jc w:val="both"/>
        <w:rPr>
          <w:szCs w:val="22"/>
          <w:lang w:val="sr-Latn-ME"/>
        </w:rPr>
      </w:pPr>
    </w:p>
    <w:p w14:paraId="7F16DAE4" w14:textId="178870CE" w:rsidR="000C7B6F" w:rsidRPr="005B51C6" w:rsidRDefault="00AD382D" w:rsidP="00F645E1">
      <w:pPr>
        <w:tabs>
          <w:tab w:val="left" w:pos="284"/>
        </w:tabs>
        <w:jc w:val="both"/>
        <w:rPr>
          <w:szCs w:val="22"/>
          <w:lang w:val="sr-Latn-ME"/>
        </w:rPr>
      </w:pPr>
      <w:r w:rsidRPr="005B51C6">
        <w:rPr>
          <w:szCs w:val="22"/>
          <w:lang w:val="sr-Latn-ME"/>
        </w:rPr>
        <w:t>Tableta.</w:t>
      </w:r>
    </w:p>
    <w:p w14:paraId="685C5F75" w14:textId="77777777" w:rsidR="00804405" w:rsidRPr="005B51C6" w:rsidRDefault="00804405" w:rsidP="00F645E1">
      <w:pPr>
        <w:tabs>
          <w:tab w:val="left" w:pos="284"/>
        </w:tabs>
        <w:jc w:val="both"/>
        <w:rPr>
          <w:szCs w:val="22"/>
          <w:lang w:val="sr-Latn-ME"/>
        </w:rPr>
      </w:pPr>
    </w:p>
    <w:p w14:paraId="2AD84774" w14:textId="734BE1E8" w:rsidR="000C7B6F" w:rsidRPr="005B51C6" w:rsidRDefault="00AD382D" w:rsidP="00F645E1">
      <w:pPr>
        <w:jc w:val="both"/>
        <w:rPr>
          <w:szCs w:val="22"/>
          <w:lang w:val="sr-Latn-ME"/>
        </w:rPr>
      </w:pPr>
      <w:r w:rsidRPr="005B51C6">
        <w:rPr>
          <w:szCs w:val="22"/>
          <w:lang w:val="sr-Latn-ME"/>
        </w:rPr>
        <w:t>Ampril</w:t>
      </w:r>
      <w:r w:rsidR="00804405" w:rsidRPr="005B51C6">
        <w:rPr>
          <w:szCs w:val="22"/>
          <w:lang w:val="sr-Latn-ME"/>
        </w:rPr>
        <w:t>,</w:t>
      </w:r>
      <w:r w:rsidRPr="005B51C6">
        <w:rPr>
          <w:szCs w:val="22"/>
          <w:vertAlign w:val="superscript"/>
          <w:lang w:val="sr-Latn-ME"/>
        </w:rPr>
        <w:t xml:space="preserve"> </w:t>
      </w:r>
      <w:r w:rsidRPr="005B51C6">
        <w:rPr>
          <w:szCs w:val="22"/>
          <w:lang w:val="sr-Latn-ME"/>
        </w:rPr>
        <w:t>1,25 mg</w:t>
      </w:r>
      <w:r w:rsidR="00804405" w:rsidRPr="005B51C6">
        <w:rPr>
          <w:szCs w:val="22"/>
          <w:lang w:val="sr-Latn-ME"/>
        </w:rPr>
        <w:t>,</w:t>
      </w:r>
      <w:r w:rsidRPr="005B51C6">
        <w:rPr>
          <w:szCs w:val="22"/>
          <w:lang w:val="sr-Latn-ME"/>
        </w:rPr>
        <w:t xml:space="preserve"> tablete: bijele do gotovo bijele, ravne, ovalne neobložene tablete, dimenzija 8 x 4 mm.</w:t>
      </w:r>
    </w:p>
    <w:p w14:paraId="4639F2E6" w14:textId="527EAB12" w:rsidR="000C7B6F" w:rsidRPr="005B51C6" w:rsidRDefault="00AD382D" w:rsidP="00F645E1">
      <w:pPr>
        <w:jc w:val="both"/>
        <w:rPr>
          <w:szCs w:val="22"/>
          <w:lang w:val="sr-Latn-ME"/>
        </w:rPr>
      </w:pPr>
      <w:r w:rsidRPr="005B51C6">
        <w:rPr>
          <w:szCs w:val="22"/>
          <w:lang w:val="sr-Latn-ME"/>
        </w:rPr>
        <w:t>Ampril</w:t>
      </w:r>
      <w:r w:rsidR="00804405" w:rsidRPr="005B51C6">
        <w:rPr>
          <w:szCs w:val="22"/>
          <w:lang w:val="sr-Latn-ME"/>
        </w:rPr>
        <w:t>,</w:t>
      </w:r>
      <w:r w:rsidRPr="005B51C6">
        <w:rPr>
          <w:szCs w:val="22"/>
          <w:vertAlign w:val="superscript"/>
          <w:lang w:val="sr-Latn-ME"/>
        </w:rPr>
        <w:t xml:space="preserve"> </w:t>
      </w:r>
      <w:r w:rsidRPr="005B51C6">
        <w:rPr>
          <w:szCs w:val="22"/>
          <w:lang w:val="sr-Latn-ME"/>
        </w:rPr>
        <w:t>2,5 mg</w:t>
      </w:r>
      <w:r w:rsidR="00804405" w:rsidRPr="005B51C6">
        <w:rPr>
          <w:szCs w:val="22"/>
          <w:lang w:val="sr-Latn-ME"/>
        </w:rPr>
        <w:t>,</w:t>
      </w:r>
      <w:r w:rsidRPr="005B51C6">
        <w:rPr>
          <w:szCs w:val="22"/>
          <w:lang w:val="sr-Latn-ME"/>
        </w:rPr>
        <w:t xml:space="preserve"> tablete: žute, ravne, ovalne, neobložene tablete, dimenzija 10 x 5 mm.</w:t>
      </w:r>
    </w:p>
    <w:p w14:paraId="38283F84" w14:textId="448C2E47" w:rsidR="000C7B6F" w:rsidRPr="005B51C6" w:rsidRDefault="00AD382D" w:rsidP="00F645E1">
      <w:pPr>
        <w:jc w:val="both"/>
        <w:rPr>
          <w:szCs w:val="22"/>
          <w:lang w:val="sr-Latn-ME"/>
        </w:rPr>
      </w:pPr>
      <w:r w:rsidRPr="005B51C6">
        <w:rPr>
          <w:szCs w:val="22"/>
          <w:lang w:val="sr-Latn-ME"/>
        </w:rPr>
        <w:t>Ampril</w:t>
      </w:r>
      <w:r w:rsidR="00804405" w:rsidRPr="005B51C6">
        <w:rPr>
          <w:szCs w:val="22"/>
          <w:lang w:val="sr-Latn-ME"/>
        </w:rPr>
        <w:t>,</w:t>
      </w:r>
      <w:r w:rsidRPr="005B51C6">
        <w:rPr>
          <w:szCs w:val="22"/>
          <w:lang w:val="sr-Latn-ME"/>
        </w:rPr>
        <w:t xml:space="preserve"> 5 mg</w:t>
      </w:r>
      <w:r w:rsidR="00804405" w:rsidRPr="005B51C6">
        <w:rPr>
          <w:szCs w:val="22"/>
          <w:lang w:val="sr-Latn-ME"/>
        </w:rPr>
        <w:t>,</w:t>
      </w:r>
      <w:r w:rsidRPr="005B51C6">
        <w:rPr>
          <w:szCs w:val="22"/>
          <w:lang w:val="sr-Latn-ME"/>
        </w:rPr>
        <w:t xml:space="preserve"> tablete: </w:t>
      </w:r>
      <w:r w:rsidR="00CB7E75" w:rsidRPr="005B51C6">
        <w:rPr>
          <w:szCs w:val="22"/>
          <w:lang w:val="sr-Latn-ME"/>
        </w:rPr>
        <w:t>roze</w:t>
      </w:r>
      <w:r w:rsidRPr="005B51C6">
        <w:rPr>
          <w:szCs w:val="22"/>
          <w:lang w:val="sr-Latn-ME"/>
        </w:rPr>
        <w:t>, ravne, ovalne</w:t>
      </w:r>
      <w:r w:rsidR="00CB7E75" w:rsidRPr="005B51C6">
        <w:rPr>
          <w:szCs w:val="22"/>
          <w:lang w:val="sr-Latn-ME"/>
        </w:rPr>
        <w:t xml:space="preserve">, </w:t>
      </w:r>
      <w:r w:rsidRPr="005B51C6">
        <w:rPr>
          <w:szCs w:val="22"/>
          <w:lang w:val="sr-Latn-ME"/>
        </w:rPr>
        <w:t>neobložene tablete, dimenzija 8,8 x 4,4 mm.</w:t>
      </w:r>
    </w:p>
    <w:p w14:paraId="7B197C3F" w14:textId="36C06C81" w:rsidR="000C7B6F" w:rsidRPr="005B51C6" w:rsidRDefault="00AD382D" w:rsidP="00F645E1">
      <w:pPr>
        <w:jc w:val="both"/>
        <w:rPr>
          <w:color w:val="FF0000"/>
          <w:szCs w:val="22"/>
          <w:lang w:val="sr-Latn-ME"/>
        </w:rPr>
      </w:pPr>
      <w:r w:rsidRPr="005B51C6">
        <w:rPr>
          <w:szCs w:val="22"/>
          <w:lang w:val="sr-Latn-ME"/>
        </w:rPr>
        <w:t>Ampril</w:t>
      </w:r>
      <w:r w:rsidR="00804405" w:rsidRPr="005B51C6">
        <w:rPr>
          <w:szCs w:val="22"/>
          <w:lang w:val="sr-Latn-ME"/>
        </w:rPr>
        <w:t>,</w:t>
      </w:r>
      <w:r w:rsidRPr="005B51C6">
        <w:rPr>
          <w:szCs w:val="22"/>
          <w:vertAlign w:val="superscript"/>
          <w:lang w:val="sr-Latn-ME"/>
        </w:rPr>
        <w:t xml:space="preserve"> </w:t>
      </w:r>
      <w:r w:rsidRPr="005B51C6">
        <w:rPr>
          <w:szCs w:val="22"/>
          <w:lang w:val="sr-Latn-ME"/>
        </w:rPr>
        <w:t>10 mg</w:t>
      </w:r>
      <w:r w:rsidR="00804405" w:rsidRPr="005B51C6">
        <w:rPr>
          <w:szCs w:val="22"/>
          <w:lang w:val="sr-Latn-ME"/>
        </w:rPr>
        <w:t>,</w:t>
      </w:r>
      <w:r w:rsidRPr="005B51C6">
        <w:rPr>
          <w:szCs w:val="22"/>
          <w:lang w:val="sr-Latn-ME"/>
        </w:rPr>
        <w:t xml:space="preserve"> tablete: bijele do gotovo bijele, ravne, ovalne</w:t>
      </w:r>
      <w:r w:rsidR="00CB7E75" w:rsidRPr="005B51C6">
        <w:rPr>
          <w:szCs w:val="22"/>
          <w:lang w:val="sr-Latn-ME"/>
        </w:rPr>
        <w:t xml:space="preserve">, </w:t>
      </w:r>
      <w:r w:rsidRPr="005B51C6">
        <w:rPr>
          <w:szCs w:val="22"/>
          <w:lang w:val="sr-Latn-ME"/>
        </w:rPr>
        <w:t>neobložene tablete, dimenzija 11,0 x 5,5 mm.</w:t>
      </w:r>
    </w:p>
    <w:p w14:paraId="1BC0802A" w14:textId="77777777" w:rsidR="000C7B6F" w:rsidRPr="005B51C6" w:rsidRDefault="000C7B6F" w:rsidP="00F645E1">
      <w:pPr>
        <w:widowControl w:val="0"/>
        <w:jc w:val="both"/>
        <w:rPr>
          <w:color w:val="000000"/>
          <w:szCs w:val="22"/>
          <w:lang w:val="sr-Latn-ME"/>
        </w:rPr>
      </w:pPr>
    </w:p>
    <w:p w14:paraId="430187BA" w14:textId="79C82D0E" w:rsidR="000C7B6F" w:rsidRDefault="000C7B6F" w:rsidP="00F645E1">
      <w:pPr>
        <w:widowControl w:val="0"/>
        <w:jc w:val="both"/>
        <w:rPr>
          <w:szCs w:val="22"/>
          <w:lang w:val="sr-Latn-ME"/>
        </w:rPr>
      </w:pPr>
    </w:p>
    <w:p w14:paraId="0F755EF6" w14:textId="77777777" w:rsidR="00EA5B3D" w:rsidRPr="005B51C6" w:rsidRDefault="00EA5B3D" w:rsidP="00F645E1">
      <w:pPr>
        <w:widowControl w:val="0"/>
        <w:jc w:val="both"/>
        <w:rPr>
          <w:szCs w:val="22"/>
          <w:lang w:val="sr-Latn-ME"/>
        </w:rPr>
      </w:pPr>
    </w:p>
    <w:p w14:paraId="2CC0B473" w14:textId="77777777" w:rsidR="000C7B6F" w:rsidRPr="005B51C6" w:rsidRDefault="00AD382D" w:rsidP="00F645E1">
      <w:pPr>
        <w:widowControl w:val="0"/>
        <w:ind w:left="567" w:hanging="567"/>
        <w:jc w:val="both"/>
        <w:rPr>
          <w:caps/>
          <w:szCs w:val="22"/>
          <w:lang w:val="sr-Latn-ME"/>
        </w:rPr>
      </w:pPr>
      <w:r w:rsidRPr="005B51C6">
        <w:rPr>
          <w:b/>
          <w:caps/>
          <w:szCs w:val="22"/>
          <w:lang w:val="sr-Latn-ME"/>
        </w:rPr>
        <w:lastRenderedPageBreak/>
        <w:t>4.</w:t>
      </w:r>
      <w:r w:rsidRPr="005B51C6">
        <w:rPr>
          <w:b/>
          <w:caps/>
          <w:szCs w:val="22"/>
          <w:lang w:val="sr-Latn-ME"/>
        </w:rPr>
        <w:tab/>
        <w:t>KLINIČKI PODACI</w:t>
      </w:r>
    </w:p>
    <w:p w14:paraId="77D77D5C" w14:textId="77777777" w:rsidR="000C7B6F" w:rsidRPr="005B51C6" w:rsidRDefault="000C7B6F" w:rsidP="00F645E1">
      <w:pPr>
        <w:widowControl w:val="0"/>
        <w:jc w:val="both"/>
        <w:rPr>
          <w:szCs w:val="22"/>
          <w:lang w:val="sr-Latn-ME"/>
        </w:rPr>
      </w:pPr>
    </w:p>
    <w:p w14:paraId="20F12D9B" w14:textId="77777777" w:rsidR="000C7B6F" w:rsidRPr="005B51C6" w:rsidRDefault="00AD382D" w:rsidP="00F645E1">
      <w:pPr>
        <w:widowControl w:val="0"/>
        <w:ind w:left="567" w:hanging="567"/>
        <w:jc w:val="both"/>
        <w:outlineLvl w:val="0"/>
        <w:rPr>
          <w:b/>
          <w:szCs w:val="22"/>
          <w:lang w:val="sr-Latn-ME"/>
        </w:rPr>
      </w:pPr>
      <w:r w:rsidRPr="005B51C6">
        <w:rPr>
          <w:b/>
          <w:szCs w:val="22"/>
          <w:lang w:val="sr-Latn-ME"/>
        </w:rPr>
        <w:t>4.1</w:t>
      </w:r>
      <w:r w:rsidRPr="005B51C6">
        <w:rPr>
          <w:b/>
          <w:szCs w:val="22"/>
          <w:lang w:val="sr-Latn-ME"/>
        </w:rPr>
        <w:tab/>
        <w:t>Terapijske indikacije</w:t>
      </w:r>
    </w:p>
    <w:p w14:paraId="5F6F5E76" w14:textId="77777777" w:rsidR="000C7B6F" w:rsidRPr="005B51C6" w:rsidRDefault="000C7B6F" w:rsidP="00F645E1">
      <w:pPr>
        <w:widowControl w:val="0"/>
        <w:ind w:left="567" w:hanging="567"/>
        <w:jc w:val="both"/>
        <w:outlineLvl w:val="0"/>
        <w:rPr>
          <w:b/>
          <w:szCs w:val="22"/>
          <w:lang w:val="sr-Latn-ME"/>
        </w:rPr>
      </w:pPr>
    </w:p>
    <w:p w14:paraId="4E87B5D3" w14:textId="77777777" w:rsidR="000C7B6F" w:rsidRPr="005B51C6" w:rsidRDefault="00AD382D" w:rsidP="00F645E1">
      <w:pPr>
        <w:numPr>
          <w:ilvl w:val="0"/>
          <w:numId w:val="29"/>
        </w:numPr>
        <w:tabs>
          <w:tab w:val="clear" w:pos="567"/>
          <w:tab w:val="left" w:pos="284"/>
        </w:tabs>
        <w:autoSpaceDE w:val="0"/>
        <w:autoSpaceDN w:val="0"/>
        <w:adjustRightInd w:val="0"/>
        <w:spacing w:line="240" w:lineRule="auto"/>
        <w:jc w:val="both"/>
        <w:rPr>
          <w:rFonts w:eastAsia="TimesNewRoman"/>
          <w:szCs w:val="22"/>
          <w:lang w:val="sr-Latn-ME" w:eastAsia="zh-TW"/>
        </w:rPr>
      </w:pPr>
      <w:r w:rsidRPr="005B51C6">
        <w:rPr>
          <w:rFonts w:eastAsia="TimesNewRoman"/>
          <w:szCs w:val="22"/>
          <w:lang w:val="sr-Latn-ME" w:eastAsia="zh-TW"/>
        </w:rPr>
        <w:t>Terapija hipertenzije.</w:t>
      </w:r>
    </w:p>
    <w:p w14:paraId="47573B24" w14:textId="77777777" w:rsidR="000C7B6F" w:rsidRPr="005B51C6" w:rsidRDefault="00AD382D" w:rsidP="00F645E1">
      <w:pPr>
        <w:numPr>
          <w:ilvl w:val="0"/>
          <w:numId w:val="29"/>
        </w:numPr>
        <w:tabs>
          <w:tab w:val="clear" w:pos="567"/>
          <w:tab w:val="left" w:pos="284"/>
        </w:tabs>
        <w:autoSpaceDE w:val="0"/>
        <w:autoSpaceDN w:val="0"/>
        <w:adjustRightInd w:val="0"/>
        <w:spacing w:line="240" w:lineRule="auto"/>
        <w:jc w:val="both"/>
        <w:rPr>
          <w:rFonts w:eastAsia="TimesNewRoman"/>
          <w:szCs w:val="22"/>
          <w:lang w:val="sr-Latn-ME" w:eastAsia="zh-TW"/>
        </w:rPr>
      </w:pPr>
      <w:r w:rsidRPr="005B51C6">
        <w:rPr>
          <w:rFonts w:eastAsia="TimesNewRoman"/>
          <w:szCs w:val="22"/>
          <w:lang w:val="sr-Latn-ME" w:eastAsia="zh-TW"/>
        </w:rPr>
        <w:t xml:space="preserve">Kardiovaskularna prevencija: smanjenje kardiovaskularnog morbiditeta i mortaliteta kod pacijenata sa:  </w:t>
      </w:r>
    </w:p>
    <w:p w14:paraId="7884A599" w14:textId="77777777" w:rsidR="000C7B6F" w:rsidRPr="005B51C6" w:rsidRDefault="00AD382D" w:rsidP="00F645E1">
      <w:pPr>
        <w:tabs>
          <w:tab w:val="left" w:pos="284"/>
        </w:tabs>
        <w:autoSpaceDE w:val="0"/>
        <w:autoSpaceDN w:val="0"/>
        <w:adjustRightInd w:val="0"/>
        <w:ind w:left="720"/>
        <w:jc w:val="both"/>
        <w:rPr>
          <w:rFonts w:eastAsia="TimesNewRoman"/>
          <w:szCs w:val="22"/>
          <w:lang w:val="sr-Latn-ME" w:eastAsia="zh-TW"/>
        </w:rPr>
      </w:pPr>
      <w:r w:rsidRPr="005B51C6">
        <w:rPr>
          <w:rFonts w:eastAsia="TimesNewRoman"/>
          <w:szCs w:val="22"/>
          <w:lang w:val="sr-Latn-ME" w:eastAsia="zh-TW"/>
        </w:rPr>
        <w:t>- manifestnom aterotrombotskom kardiovaskularnom bolešću (koronarna srčana bolest ili moždani udar ili periferna vaskularna bolest u anamnezi), ili</w:t>
      </w:r>
    </w:p>
    <w:p w14:paraId="13D1D067" w14:textId="2F8C7C4A" w:rsidR="000C7B6F" w:rsidRPr="005B51C6" w:rsidRDefault="00AD382D" w:rsidP="00F645E1">
      <w:pPr>
        <w:tabs>
          <w:tab w:val="clear" w:pos="567"/>
          <w:tab w:val="left" w:pos="709"/>
        </w:tabs>
        <w:autoSpaceDE w:val="0"/>
        <w:autoSpaceDN w:val="0"/>
        <w:adjustRightInd w:val="0"/>
        <w:jc w:val="both"/>
        <w:rPr>
          <w:rFonts w:eastAsia="TimesNewRoman"/>
          <w:szCs w:val="22"/>
          <w:lang w:val="sr-Latn-ME" w:eastAsia="zh-TW"/>
        </w:rPr>
      </w:pPr>
      <w:r w:rsidRPr="005B51C6">
        <w:rPr>
          <w:rFonts w:eastAsia="TimesNewRoman"/>
          <w:color w:val="FF0000"/>
          <w:szCs w:val="22"/>
          <w:lang w:val="sr-Latn-ME" w:eastAsia="zh-TW"/>
        </w:rPr>
        <w:t xml:space="preserve">       </w:t>
      </w:r>
      <w:r w:rsidRPr="005B51C6">
        <w:rPr>
          <w:rFonts w:eastAsia="TimesNewRoman"/>
          <w:color w:val="FF0000"/>
          <w:szCs w:val="22"/>
          <w:lang w:val="sr-Latn-ME" w:eastAsia="zh-TW"/>
        </w:rPr>
        <w:tab/>
      </w:r>
      <w:r w:rsidRPr="005B51C6">
        <w:rPr>
          <w:rFonts w:eastAsia="TimesNewRoman"/>
          <w:szCs w:val="22"/>
          <w:lang w:val="sr-Latn-ME" w:eastAsia="zh-TW"/>
        </w:rPr>
        <w:t>-  dijabetesom sa najmanje jednim kardiovaskularnim faktorom rizika (vidjeti dio 5.1).</w:t>
      </w:r>
    </w:p>
    <w:p w14:paraId="3B88EE1D" w14:textId="77777777" w:rsidR="00500C33" w:rsidRPr="005B51C6" w:rsidRDefault="00500C33" w:rsidP="00F645E1">
      <w:pPr>
        <w:tabs>
          <w:tab w:val="clear" w:pos="567"/>
          <w:tab w:val="left" w:pos="709"/>
        </w:tabs>
        <w:autoSpaceDE w:val="0"/>
        <w:autoSpaceDN w:val="0"/>
        <w:adjustRightInd w:val="0"/>
        <w:jc w:val="both"/>
        <w:rPr>
          <w:rFonts w:eastAsia="TimesNewRoman"/>
          <w:szCs w:val="22"/>
          <w:lang w:val="sr-Latn-ME" w:eastAsia="zh-TW"/>
        </w:rPr>
      </w:pPr>
    </w:p>
    <w:p w14:paraId="7334AF98" w14:textId="77777777" w:rsidR="000C7B6F" w:rsidRPr="005B51C6" w:rsidRDefault="00AD382D" w:rsidP="00F645E1">
      <w:pPr>
        <w:numPr>
          <w:ilvl w:val="0"/>
          <w:numId w:val="28"/>
        </w:numPr>
        <w:tabs>
          <w:tab w:val="clear" w:pos="567"/>
          <w:tab w:val="left" w:pos="284"/>
        </w:tabs>
        <w:autoSpaceDE w:val="0"/>
        <w:autoSpaceDN w:val="0"/>
        <w:adjustRightInd w:val="0"/>
        <w:spacing w:line="240" w:lineRule="auto"/>
        <w:jc w:val="both"/>
        <w:rPr>
          <w:rFonts w:eastAsia="TimesNewRoman"/>
          <w:szCs w:val="22"/>
          <w:lang w:val="sr-Latn-ME" w:eastAsia="zh-TW"/>
        </w:rPr>
      </w:pPr>
      <w:r w:rsidRPr="005B51C6">
        <w:rPr>
          <w:rFonts w:eastAsia="TimesNewRoman"/>
          <w:szCs w:val="22"/>
          <w:lang w:val="sr-Latn-ME" w:eastAsia="zh-TW"/>
        </w:rPr>
        <w:t>Terapija renalne bolesti:</w:t>
      </w:r>
    </w:p>
    <w:p w14:paraId="4741528E" w14:textId="77777777" w:rsidR="000C7B6F" w:rsidRPr="005B51C6" w:rsidRDefault="00AD382D" w:rsidP="00F645E1">
      <w:pPr>
        <w:tabs>
          <w:tab w:val="clear" w:pos="567"/>
          <w:tab w:val="left" w:pos="709"/>
        </w:tabs>
        <w:autoSpaceDE w:val="0"/>
        <w:autoSpaceDN w:val="0"/>
        <w:adjustRightInd w:val="0"/>
        <w:jc w:val="both"/>
        <w:rPr>
          <w:rFonts w:eastAsia="TimesNewRoman"/>
          <w:szCs w:val="22"/>
          <w:lang w:val="sr-Latn-ME" w:eastAsia="zh-TW"/>
        </w:rPr>
      </w:pPr>
      <w:r w:rsidRPr="005B51C6">
        <w:rPr>
          <w:rFonts w:eastAsia="TimesNewRoman"/>
          <w:szCs w:val="22"/>
          <w:lang w:val="sr-Latn-ME" w:eastAsia="zh-TW"/>
        </w:rPr>
        <w:t xml:space="preserve">       </w:t>
      </w:r>
      <w:r w:rsidRPr="005B51C6">
        <w:rPr>
          <w:rFonts w:eastAsia="TimesNewRoman"/>
          <w:szCs w:val="22"/>
          <w:lang w:val="sr-Latn-ME" w:eastAsia="zh-TW"/>
        </w:rPr>
        <w:tab/>
        <w:t>-  početna dijabetička glomerularna nefropatija definisana pojavom mikroalbuminurije,</w:t>
      </w:r>
    </w:p>
    <w:p w14:paraId="3008E0A3" w14:textId="77777777" w:rsidR="000C7B6F" w:rsidRPr="005B51C6" w:rsidRDefault="00AD382D" w:rsidP="00F645E1">
      <w:pPr>
        <w:autoSpaceDE w:val="0"/>
        <w:autoSpaceDN w:val="0"/>
        <w:adjustRightInd w:val="0"/>
        <w:ind w:left="720"/>
        <w:jc w:val="both"/>
        <w:rPr>
          <w:rFonts w:eastAsia="TimesNewRoman"/>
          <w:szCs w:val="22"/>
          <w:lang w:val="sr-Latn-ME" w:eastAsia="zh-TW"/>
        </w:rPr>
      </w:pPr>
      <w:r w:rsidRPr="005B51C6">
        <w:rPr>
          <w:rFonts w:eastAsia="TimesNewRoman"/>
          <w:szCs w:val="22"/>
          <w:lang w:val="sr-Latn-ME" w:eastAsia="zh-TW"/>
        </w:rPr>
        <w:t>- ispoljena dijabetička glomerularna nefropatija definisana pojavom makroproteinurije kod pacijenata sa najmanje jednim kardiovaskularnim faktorom rizika (vidjeti dio 5.1),</w:t>
      </w:r>
    </w:p>
    <w:p w14:paraId="5F9E98E4" w14:textId="3F3F471F" w:rsidR="000C7B6F" w:rsidRPr="005B51C6" w:rsidRDefault="00AD382D" w:rsidP="00F645E1">
      <w:pPr>
        <w:tabs>
          <w:tab w:val="clear" w:pos="567"/>
          <w:tab w:val="left" w:pos="709"/>
        </w:tabs>
        <w:autoSpaceDE w:val="0"/>
        <w:autoSpaceDN w:val="0"/>
        <w:adjustRightInd w:val="0"/>
        <w:ind w:left="709"/>
        <w:jc w:val="both"/>
        <w:rPr>
          <w:rFonts w:eastAsia="TimesNewRoman"/>
          <w:szCs w:val="22"/>
          <w:lang w:val="sr-Latn-ME" w:eastAsia="zh-TW"/>
        </w:rPr>
      </w:pPr>
      <w:r w:rsidRPr="005B51C6">
        <w:rPr>
          <w:rFonts w:eastAsia="TimesNewRoman"/>
          <w:szCs w:val="22"/>
          <w:lang w:val="sr-Latn-ME" w:eastAsia="zh-TW"/>
        </w:rPr>
        <w:t>- manifestna nedijabetička glomerularna nefropatija definisane pojavom makroproteinurije  ≥3g/dan (vidjeti dio 5.1).</w:t>
      </w:r>
    </w:p>
    <w:p w14:paraId="799852B7" w14:textId="77777777" w:rsidR="00500C33" w:rsidRPr="005B51C6" w:rsidRDefault="00500C33" w:rsidP="00F645E1">
      <w:pPr>
        <w:tabs>
          <w:tab w:val="clear" w:pos="567"/>
          <w:tab w:val="left" w:pos="709"/>
        </w:tabs>
        <w:autoSpaceDE w:val="0"/>
        <w:autoSpaceDN w:val="0"/>
        <w:adjustRightInd w:val="0"/>
        <w:ind w:left="709"/>
        <w:jc w:val="both"/>
        <w:rPr>
          <w:rFonts w:eastAsia="TimesNewRoman"/>
          <w:szCs w:val="22"/>
          <w:lang w:val="sr-Latn-ME" w:eastAsia="zh-TW"/>
        </w:rPr>
      </w:pPr>
    </w:p>
    <w:p w14:paraId="625C4E33" w14:textId="281608B1" w:rsidR="000C7B6F" w:rsidRPr="005B51C6" w:rsidRDefault="00AD382D" w:rsidP="00F645E1">
      <w:pPr>
        <w:numPr>
          <w:ilvl w:val="0"/>
          <w:numId w:val="28"/>
        </w:numPr>
        <w:tabs>
          <w:tab w:val="clear" w:pos="567"/>
          <w:tab w:val="left" w:pos="284"/>
        </w:tabs>
        <w:autoSpaceDE w:val="0"/>
        <w:autoSpaceDN w:val="0"/>
        <w:adjustRightInd w:val="0"/>
        <w:spacing w:line="240" w:lineRule="auto"/>
        <w:jc w:val="both"/>
        <w:rPr>
          <w:rFonts w:eastAsia="TimesNewRoman"/>
          <w:szCs w:val="22"/>
          <w:lang w:val="sr-Latn-ME" w:eastAsia="zh-TW"/>
        </w:rPr>
      </w:pPr>
      <w:r w:rsidRPr="005B51C6">
        <w:rPr>
          <w:rFonts w:eastAsia="TimesNewRoman"/>
          <w:szCs w:val="22"/>
          <w:lang w:val="sr-Latn-ME" w:eastAsia="zh-TW"/>
        </w:rPr>
        <w:t>Terapija simptomatske srčane insuficijencije.</w:t>
      </w:r>
    </w:p>
    <w:p w14:paraId="705843DE" w14:textId="77777777" w:rsidR="00500C33" w:rsidRPr="005B51C6" w:rsidRDefault="00500C33" w:rsidP="00F645E1">
      <w:pPr>
        <w:tabs>
          <w:tab w:val="clear" w:pos="567"/>
          <w:tab w:val="left" w:pos="284"/>
        </w:tabs>
        <w:autoSpaceDE w:val="0"/>
        <w:autoSpaceDN w:val="0"/>
        <w:adjustRightInd w:val="0"/>
        <w:spacing w:line="240" w:lineRule="auto"/>
        <w:ind w:left="720"/>
        <w:jc w:val="both"/>
        <w:rPr>
          <w:rFonts w:eastAsia="TimesNewRoman"/>
          <w:szCs w:val="22"/>
          <w:lang w:val="sr-Latn-ME" w:eastAsia="zh-TW"/>
        </w:rPr>
      </w:pPr>
    </w:p>
    <w:p w14:paraId="0A30DF89" w14:textId="77777777" w:rsidR="000C7B6F" w:rsidRPr="005B51C6" w:rsidRDefault="00AD382D" w:rsidP="00F645E1">
      <w:pPr>
        <w:numPr>
          <w:ilvl w:val="0"/>
          <w:numId w:val="28"/>
        </w:numPr>
        <w:tabs>
          <w:tab w:val="clear" w:pos="567"/>
          <w:tab w:val="left" w:pos="284"/>
        </w:tabs>
        <w:autoSpaceDE w:val="0"/>
        <w:autoSpaceDN w:val="0"/>
        <w:adjustRightInd w:val="0"/>
        <w:spacing w:line="240" w:lineRule="auto"/>
        <w:jc w:val="both"/>
        <w:rPr>
          <w:rFonts w:eastAsia="TimesNewRoman"/>
          <w:szCs w:val="22"/>
          <w:lang w:val="sr-Latn-ME" w:eastAsia="zh-TW"/>
        </w:rPr>
      </w:pPr>
      <w:r w:rsidRPr="005B51C6">
        <w:rPr>
          <w:rFonts w:eastAsia="TimesNewRoman"/>
          <w:szCs w:val="22"/>
          <w:lang w:val="sr-Latn-ME" w:eastAsia="zh-TW"/>
        </w:rPr>
        <w:t>Sekundarna prevencija poslije akutnog infarkta miokarda: smanjenje mortaliteta u akutnoj fazi infarkta miokarda kod pacijenata sa kliničkim znacima srčane insuficijencije, kada se primijeni u periodu dužem od 48 sati nakon infarkta miokarda.</w:t>
      </w:r>
    </w:p>
    <w:p w14:paraId="0FFC388E" w14:textId="77777777" w:rsidR="000C7B6F" w:rsidRPr="005B51C6" w:rsidRDefault="000C7B6F" w:rsidP="00F645E1">
      <w:pPr>
        <w:widowControl w:val="0"/>
        <w:jc w:val="both"/>
        <w:rPr>
          <w:szCs w:val="22"/>
          <w:lang w:val="sr-Latn-ME"/>
        </w:rPr>
      </w:pPr>
    </w:p>
    <w:p w14:paraId="5A125263" w14:textId="77777777" w:rsidR="000C7B6F" w:rsidRPr="005B51C6" w:rsidRDefault="00AD382D" w:rsidP="00F645E1">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5B51C6">
        <w:rPr>
          <w:b/>
          <w:szCs w:val="22"/>
          <w:lang w:val="sr-Latn-ME"/>
        </w:rPr>
        <w:t>Doziranje i način primjene</w:t>
      </w:r>
    </w:p>
    <w:p w14:paraId="0BEF7FA7" w14:textId="77777777" w:rsidR="000C7B6F" w:rsidRPr="005B51C6" w:rsidRDefault="000C7B6F" w:rsidP="00F645E1">
      <w:pPr>
        <w:widowControl w:val="0"/>
        <w:jc w:val="both"/>
        <w:outlineLvl w:val="0"/>
        <w:rPr>
          <w:b/>
          <w:szCs w:val="22"/>
          <w:lang w:val="sr-Latn-ME"/>
        </w:rPr>
      </w:pPr>
    </w:p>
    <w:p w14:paraId="7E00DB6B"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Doziranje</w:t>
      </w:r>
    </w:p>
    <w:p w14:paraId="01EE8918" w14:textId="77777777" w:rsidR="000C7B6F" w:rsidRPr="005B51C6" w:rsidRDefault="000C7B6F" w:rsidP="00F645E1">
      <w:pPr>
        <w:autoSpaceDE w:val="0"/>
        <w:autoSpaceDN w:val="0"/>
        <w:adjustRightInd w:val="0"/>
        <w:jc w:val="both"/>
        <w:rPr>
          <w:rFonts w:eastAsia="TimesNewRoman"/>
          <w:szCs w:val="22"/>
          <w:lang w:val="sr-Latn-ME" w:eastAsia="zh-TW"/>
        </w:rPr>
      </w:pPr>
    </w:p>
    <w:p w14:paraId="370DFC84"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Preporučuje se uzimanje lijeka svakodnevno, uvijek u isto vrijeme.</w:t>
      </w:r>
    </w:p>
    <w:p w14:paraId="2E9D2089"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 xml:space="preserve">Ampril tablete se mogu uzimati prije, tokom ili poslije obroka, zbog toga što prisustvo hrane nema uticaja na bioraspoloživost (vidjeti dio 5.2). </w:t>
      </w:r>
    </w:p>
    <w:p w14:paraId="5CF5E44F"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 xml:space="preserve">Tablete treba progutati sa malo tečnosti. </w:t>
      </w:r>
    </w:p>
    <w:p w14:paraId="6044A1E9"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Tablete se ne smiju žvakati niti lomiti.</w:t>
      </w:r>
    </w:p>
    <w:p w14:paraId="4404411C" w14:textId="77777777" w:rsidR="000C7B6F" w:rsidRPr="005B51C6" w:rsidRDefault="000C7B6F" w:rsidP="00F645E1">
      <w:pPr>
        <w:autoSpaceDE w:val="0"/>
        <w:autoSpaceDN w:val="0"/>
        <w:adjustRightInd w:val="0"/>
        <w:jc w:val="both"/>
        <w:rPr>
          <w:rFonts w:eastAsia="TimesNewRoman"/>
          <w:iCs/>
          <w:color w:val="FF0000"/>
          <w:szCs w:val="22"/>
          <w:u w:val="single"/>
          <w:lang w:val="sr-Latn-ME" w:eastAsia="zh-TW"/>
        </w:rPr>
      </w:pPr>
    </w:p>
    <w:p w14:paraId="7242A45D" w14:textId="77777777" w:rsidR="000C7B6F" w:rsidRPr="005B51C6" w:rsidRDefault="00AD382D" w:rsidP="00F645E1">
      <w:pPr>
        <w:autoSpaceDE w:val="0"/>
        <w:autoSpaceDN w:val="0"/>
        <w:adjustRightInd w:val="0"/>
        <w:jc w:val="both"/>
        <w:rPr>
          <w:rFonts w:eastAsia="TimesNewRoman"/>
          <w:iCs/>
          <w:szCs w:val="22"/>
          <w:u w:val="single"/>
          <w:lang w:val="sr-Latn-ME" w:eastAsia="zh-TW"/>
        </w:rPr>
      </w:pPr>
      <w:r w:rsidRPr="005B51C6">
        <w:rPr>
          <w:rFonts w:eastAsia="TimesNewRoman"/>
          <w:iCs/>
          <w:szCs w:val="22"/>
          <w:u w:val="single"/>
          <w:lang w:val="sr-Latn-ME" w:eastAsia="zh-TW"/>
        </w:rPr>
        <w:t>Odrasli</w:t>
      </w:r>
    </w:p>
    <w:p w14:paraId="01A871C9" w14:textId="77777777" w:rsidR="000C7B6F" w:rsidRPr="005B51C6" w:rsidRDefault="000C7B6F" w:rsidP="00F645E1">
      <w:pPr>
        <w:autoSpaceDE w:val="0"/>
        <w:autoSpaceDN w:val="0"/>
        <w:adjustRightInd w:val="0"/>
        <w:jc w:val="both"/>
        <w:rPr>
          <w:rFonts w:eastAsia="TimesNewRoman"/>
          <w:iCs/>
          <w:szCs w:val="22"/>
          <w:u w:val="single"/>
          <w:lang w:val="sr-Latn-ME" w:eastAsia="zh-TW"/>
        </w:rPr>
      </w:pPr>
    </w:p>
    <w:p w14:paraId="3621D202"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Pacijenti koji uzimaju diuretike</w:t>
      </w:r>
    </w:p>
    <w:p w14:paraId="4A827417"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09AC61BD"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 xml:space="preserve">Na početku terapije lijekom Ampril može doći do pojave hipotenzije, što se češće dešava kod pacijenata koji istovremeno primjenjuju diuretike. Zbog toga se preporučuje oprez,  jer ovi pacijenti mogu imati gubitak soli i/ili volumena. </w:t>
      </w:r>
    </w:p>
    <w:p w14:paraId="352E38CC"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Ukoliko je moguće, terapiju diureticima treba prekinuti 2 do 3 dana prije početka primjene lijeka Ampril (vidjeti dio 4.4).</w:t>
      </w:r>
    </w:p>
    <w:p w14:paraId="4945B93C"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12E00572"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Kod pacijenata sa hipertenzijom kod kojih terapija diureticima nije obustavljena, terapiju lijekom Ampril treba početi dozom od 1.25 mg. Treba pratiti renalnu funkciju, kao i nivo kalijuma u serumu. Sljedeću dozu treba prilagoditi prema visini željenog krvnog pritiska.</w:t>
      </w:r>
    </w:p>
    <w:p w14:paraId="373DA74E" w14:textId="77777777" w:rsidR="000C7B6F" w:rsidRPr="005B51C6" w:rsidRDefault="000C7B6F" w:rsidP="00F645E1">
      <w:pPr>
        <w:autoSpaceDE w:val="0"/>
        <w:autoSpaceDN w:val="0"/>
        <w:adjustRightInd w:val="0"/>
        <w:jc w:val="both"/>
        <w:rPr>
          <w:rFonts w:eastAsia="TimesNewRoman"/>
          <w:i/>
          <w:iCs/>
          <w:szCs w:val="22"/>
          <w:lang w:val="sr-Latn-ME" w:eastAsia="zh-TW"/>
        </w:rPr>
      </w:pPr>
    </w:p>
    <w:p w14:paraId="53481A5A" w14:textId="77777777" w:rsidR="000C7B6F" w:rsidRPr="005B51C6" w:rsidRDefault="00AD382D" w:rsidP="00F645E1">
      <w:pPr>
        <w:autoSpaceDE w:val="0"/>
        <w:autoSpaceDN w:val="0"/>
        <w:adjustRightInd w:val="0"/>
        <w:jc w:val="both"/>
        <w:rPr>
          <w:rFonts w:eastAsia="TimesNewRoman"/>
          <w:i/>
          <w:iCs/>
          <w:szCs w:val="22"/>
          <w:lang w:val="sr-Latn-ME" w:eastAsia="zh-TW"/>
        </w:rPr>
      </w:pPr>
      <w:r w:rsidRPr="005B51C6">
        <w:rPr>
          <w:rFonts w:eastAsia="TimesNewRoman"/>
          <w:i/>
          <w:iCs/>
          <w:szCs w:val="22"/>
          <w:lang w:val="sr-Latn-ME" w:eastAsia="zh-TW"/>
        </w:rPr>
        <w:t>Hipertenzija</w:t>
      </w:r>
    </w:p>
    <w:p w14:paraId="1027BF52"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Dozu treba individualno odrediti u skladu sa profilom pacijenta (vidjeti dio 4.4) i adekvatnom kontrolom krvnog pritiska.</w:t>
      </w:r>
    </w:p>
    <w:p w14:paraId="5FE37159"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Lijek Ampril se može primjenjivati kao monoterapija ili u kombinaciji sa drugim grupama antihipertenzivnih ljekova (vidjeti djelove 4.3, 4.4, 4.5 i 5.1).</w:t>
      </w:r>
    </w:p>
    <w:p w14:paraId="338044E4"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1520B37E" w14:textId="77777777" w:rsidR="00EA5B3D" w:rsidRDefault="00EA5B3D" w:rsidP="00F645E1">
      <w:pPr>
        <w:autoSpaceDE w:val="0"/>
        <w:autoSpaceDN w:val="0"/>
        <w:adjustRightInd w:val="0"/>
        <w:jc w:val="both"/>
        <w:rPr>
          <w:rFonts w:eastAsia="TimesNewRoman"/>
          <w:szCs w:val="22"/>
          <w:u w:val="single"/>
          <w:lang w:val="sr-Latn-ME" w:eastAsia="zh-TW"/>
        </w:rPr>
      </w:pPr>
    </w:p>
    <w:p w14:paraId="6A23D7D6" w14:textId="77777777" w:rsidR="00EA5B3D" w:rsidRDefault="00EA5B3D" w:rsidP="00F645E1">
      <w:pPr>
        <w:autoSpaceDE w:val="0"/>
        <w:autoSpaceDN w:val="0"/>
        <w:adjustRightInd w:val="0"/>
        <w:jc w:val="both"/>
        <w:rPr>
          <w:rFonts w:eastAsia="TimesNewRoman"/>
          <w:szCs w:val="22"/>
          <w:u w:val="single"/>
          <w:lang w:val="sr-Latn-ME" w:eastAsia="zh-TW"/>
        </w:rPr>
      </w:pPr>
    </w:p>
    <w:p w14:paraId="5ADFA556" w14:textId="34C0F92C"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lastRenderedPageBreak/>
        <w:t>Početna doza</w:t>
      </w:r>
    </w:p>
    <w:p w14:paraId="50D6AB29"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56711258" w14:textId="77777777" w:rsidR="000C7B6F" w:rsidRPr="005B51C6" w:rsidRDefault="00AD382D" w:rsidP="00F645E1">
      <w:pPr>
        <w:autoSpaceDE w:val="0"/>
        <w:autoSpaceDN w:val="0"/>
        <w:adjustRightInd w:val="0"/>
        <w:jc w:val="both"/>
        <w:rPr>
          <w:szCs w:val="22"/>
          <w:lang w:val="sr-Latn-ME"/>
        </w:rPr>
      </w:pPr>
      <w:r w:rsidRPr="005B51C6">
        <w:rPr>
          <w:rFonts w:eastAsia="TimesNewRoman"/>
          <w:szCs w:val="22"/>
          <w:lang w:val="sr-Latn-ME" w:eastAsia="zh-TW"/>
        </w:rPr>
        <w:t>Terapiju lijekom Ampril treba uvoditi postepeno, sa početnom preporučenom dnevnom dozom od 2,5 mg.</w:t>
      </w:r>
      <w:r w:rsidRPr="005B51C6">
        <w:rPr>
          <w:szCs w:val="22"/>
          <w:lang w:val="sr-Latn-ME"/>
        </w:rPr>
        <w:t xml:space="preserve"> </w:t>
      </w:r>
    </w:p>
    <w:p w14:paraId="4AD99AA0"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Kod pacijenata kod kojih je sistem renin-angiotenzin-aldosteron snažno aktiviran, može doći do prevelikog sniženja krvnog pritiska nakon primjene početne doze. Kod ovih pacijenata, preporučuje se početna doza od 1.25 mg, i terapiju treba započeti pod medicinskim nadzorom (vidjeti dio 4.4).</w:t>
      </w:r>
    </w:p>
    <w:p w14:paraId="190DD21B" w14:textId="77777777" w:rsidR="000C7B6F" w:rsidRPr="005B51C6" w:rsidRDefault="000C7B6F" w:rsidP="00F645E1">
      <w:pPr>
        <w:tabs>
          <w:tab w:val="left" w:pos="284"/>
        </w:tabs>
        <w:jc w:val="both"/>
        <w:rPr>
          <w:rFonts w:eastAsia="TimesNewRoman"/>
          <w:color w:val="FF0000"/>
          <w:szCs w:val="22"/>
          <w:lang w:val="sr-Latn-ME" w:eastAsia="zh-TW"/>
        </w:rPr>
      </w:pPr>
    </w:p>
    <w:p w14:paraId="42421174"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doze i doza održavanja</w:t>
      </w:r>
    </w:p>
    <w:p w14:paraId="7BA45917"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6AFAD245"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Doza se može udvostručavati svake dvije do četiri nedjelje, dok se postepeno ne dostigne željena vrijednost krvnog pritiska; maksimalna dozvoljena doza lijeka Ampril je 10 mg dnevno. Obično se lijek primjenjuje jednom dnevno.</w:t>
      </w:r>
    </w:p>
    <w:p w14:paraId="33619847" w14:textId="77777777" w:rsidR="000C7B6F" w:rsidRPr="005B51C6" w:rsidRDefault="000C7B6F" w:rsidP="00F645E1">
      <w:pPr>
        <w:autoSpaceDE w:val="0"/>
        <w:autoSpaceDN w:val="0"/>
        <w:adjustRightInd w:val="0"/>
        <w:jc w:val="both"/>
        <w:rPr>
          <w:rFonts w:eastAsia="TimesNewRoman"/>
          <w:i/>
          <w:iCs/>
          <w:color w:val="FF0000"/>
          <w:szCs w:val="22"/>
          <w:lang w:val="sr-Latn-ME" w:eastAsia="zh-TW"/>
        </w:rPr>
      </w:pPr>
    </w:p>
    <w:p w14:paraId="421BB555" w14:textId="77777777" w:rsidR="000C7B6F" w:rsidRPr="005B51C6" w:rsidRDefault="00AD382D" w:rsidP="00F645E1">
      <w:pPr>
        <w:autoSpaceDE w:val="0"/>
        <w:autoSpaceDN w:val="0"/>
        <w:adjustRightInd w:val="0"/>
        <w:jc w:val="both"/>
        <w:rPr>
          <w:rFonts w:eastAsia="TimesNewRoman"/>
          <w:i/>
          <w:iCs/>
          <w:szCs w:val="22"/>
          <w:lang w:val="sr-Latn-ME" w:eastAsia="zh-TW"/>
        </w:rPr>
      </w:pPr>
      <w:r w:rsidRPr="005B51C6">
        <w:rPr>
          <w:rFonts w:eastAsia="TimesNewRoman"/>
          <w:i/>
          <w:iCs/>
          <w:szCs w:val="22"/>
          <w:lang w:val="sr-Latn-ME" w:eastAsia="zh-TW"/>
        </w:rPr>
        <w:t>Kardiovaskularna prevencija</w:t>
      </w:r>
    </w:p>
    <w:p w14:paraId="3C085A0B" w14:textId="77777777" w:rsidR="000C7B6F" w:rsidRPr="005B51C6" w:rsidRDefault="000C7B6F" w:rsidP="00F645E1">
      <w:pPr>
        <w:autoSpaceDE w:val="0"/>
        <w:autoSpaceDN w:val="0"/>
        <w:adjustRightInd w:val="0"/>
        <w:jc w:val="both"/>
        <w:rPr>
          <w:rFonts w:eastAsia="TimesNewRoman"/>
          <w:i/>
          <w:iCs/>
          <w:szCs w:val="22"/>
          <w:lang w:val="sr-Latn-ME" w:eastAsia="zh-TW"/>
        </w:rPr>
      </w:pPr>
    </w:p>
    <w:p w14:paraId="27731B82"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Početna doza</w:t>
      </w:r>
    </w:p>
    <w:p w14:paraId="05F316F5"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59C4687A"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Preporučena početna doza je 2,5 mg ramiprila, jednom dnevno.</w:t>
      </w:r>
    </w:p>
    <w:p w14:paraId="5EE9085B"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2CF26473"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doze i doza održavanja</w:t>
      </w:r>
    </w:p>
    <w:p w14:paraId="6A045E00"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4497181E"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U zavisnosti od tolerancije pacijenta na aktivnu supstancu, dozu treba postepeno povećavati. Preporučuje se dupliranje doze nakon prve ili druge nedjelje terapije, zatim poslije dvije do tri nedjelje -  povećanje doze do ciljne doze održavanja od 10 mg lijeka Ampril jednom dnevno.</w:t>
      </w:r>
    </w:p>
    <w:p w14:paraId="738502DF"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Pogledati gore navedeno doziranje i način upotrebe kod pacijenata koji su na terapiji diureticima.</w:t>
      </w:r>
    </w:p>
    <w:p w14:paraId="50CC2C42"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43CAB492" w14:textId="77777777" w:rsidR="000C7B6F" w:rsidRPr="005B51C6" w:rsidRDefault="00AD382D" w:rsidP="00F645E1">
      <w:pPr>
        <w:autoSpaceDE w:val="0"/>
        <w:autoSpaceDN w:val="0"/>
        <w:adjustRightInd w:val="0"/>
        <w:jc w:val="both"/>
        <w:rPr>
          <w:rFonts w:eastAsia="TimesNewRoman"/>
          <w:i/>
          <w:iCs/>
          <w:szCs w:val="22"/>
          <w:lang w:val="sr-Latn-ME" w:eastAsia="zh-TW"/>
        </w:rPr>
      </w:pPr>
      <w:r w:rsidRPr="005B51C6">
        <w:rPr>
          <w:rFonts w:eastAsia="TimesNewRoman"/>
          <w:i/>
          <w:iCs/>
          <w:szCs w:val="22"/>
          <w:lang w:val="sr-Latn-ME" w:eastAsia="zh-TW"/>
        </w:rPr>
        <w:t>Terapija bubrežne bolesti</w:t>
      </w:r>
    </w:p>
    <w:p w14:paraId="527E21A6" w14:textId="77777777" w:rsidR="000C7B6F" w:rsidRPr="005B51C6" w:rsidRDefault="000C7B6F" w:rsidP="00F645E1">
      <w:pPr>
        <w:autoSpaceDE w:val="0"/>
        <w:autoSpaceDN w:val="0"/>
        <w:adjustRightInd w:val="0"/>
        <w:jc w:val="both"/>
        <w:rPr>
          <w:rFonts w:eastAsia="TimesNewRoman"/>
          <w:i/>
          <w:iCs/>
          <w:szCs w:val="22"/>
          <w:lang w:val="sr-Latn-ME" w:eastAsia="zh-TW"/>
        </w:rPr>
      </w:pPr>
    </w:p>
    <w:p w14:paraId="4BDDCAA0" w14:textId="77777777" w:rsidR="000C7B6F" w:rsidRPr="005B51C6" w:rsidRDefault="00AD382D" w:rsidP="00F645E1">
      <w:pPr>
        <w:autoSpaceDE w:val="0"/>
        <w:autoSpaceDN w:val="0"/>
        <w:adjustRightInd w:val="0"/>
        <w:jc w:val="both"/>
        <w:rPr>
          <w:rFonts w:eastAsia="TimesNewRoman"/>
          <w:i/>
          <w:iCs/>
          <w:szCs w:val="22"/>
          <w:u w:val="single"/>
          <w:lang w:val="sr-Latn-ME" w:eastAsia="zh-TW"/>
        </w:rPr>
      </w:pPr>
      <w:r w:rsidRPr="005B51C6">
        <w:rPr>
          <w:rFonts w:eastAsia="TimesNewRoman"/>
          <w:i/>
          <w:iCs/>
          <w:szCs w:val="22"/>
          <w:u w:val="single"/>
          <w:lang w:val="sr-Latn-ME" w:eastAsia="zh-TW"/>
        </w:rPr>
        <w:t>Pacijenti sa dijabetesom i mikroalbuminurijom</w:t>
      </w:r>
    </w:p>
    <w:p w14:paraId="16B3367E" w14:textId="77777777" w:rsidR="000C7B6F" w:rsidRPr="005B51C6" w:rsidRDefault="000C7B6F" w:rsidP="00F645E1">
      <w:pPr>
        <w:autoSpaceDE w:val="0"/>
        <w:autoSpaceDN w:val="0"/>
        <w:adjustRightInd w:val="0"/>
        <w:jc w:val="both"/>
        <w:rPr>
          <w:rFonts w:eastAsia="TimesNewRoman"/>
          <w:i/>
          <w:iCs/>
          <w:color w:val="FF0000"/>
          <w:szCs w:val="22"/>
          <w:lang w:val="sr-Latn-ME" w:eastAsia="zh-TW"/>
        </w:rPr>
      </w:pPr>
    </w:p>
    <w:p w14:paraId="743E357F"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Početna doza</w:t>
      </w:r>
    </w:p>
    <w:p w14:paraId="11972C0C"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6F8172D7"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Preporučena početna doza je 1,25 mg ramiprila jednom dnevno.</w:t>
      </w:r>
    </w:p>
    <w:p w14:paraId="541FA1EF"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5C94232B"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doze i doza održavanja</w:t>
      </w:r>
    </w:p>
    <w:p w14:paraId="3A15FE31"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474A05C1" w14:textId="0C358668"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U zavisnosti od tolerancije pacijenta na aktivnu supstancu, dozu treba postepeno povećavati. Preporučuje se dupliranje doze na 2.5 mg jednom dnevno poslije prve dvije nedjelje, a zatim na 5 mg  poslije sljedeće dvije nedjelje.</w:t>
      </w:r>
    </w:p>
    <w:p w14:paraId="7DCB9C58" w14:textId="77777777" w:rsidR="000C7B6F" w:rsidRPr="005B51C6" w:rsidRDefault="000C7B6F" w:rsidP="00F645E1">
      <w:pPr>
        <w:autoSpaceDE w:val="0"/>
        <w:autoSpaceDN w:val="0"/>
        <w:adjustRightInd w:val="0"/>
        <w:jc w:val="both"/>
        <w:rPr>
          <w:rFonts w:eastAsia="TimesNewRoman"/>
          <w:i/>
          <w:szCs w:val="22"/>
          <w:u w:val="single"/>
          <w:lang w:val="sr-Latn-ME" w:eastAsia="zh-TW"/>
        </w:rPr>
      </w:pPr>
    </w:p>
    <w:p w14:paraId="0739D701" w14:textId="77777777" w:rsidR="000C7B6F" w:rsidRPr="005B51C6" w:rsidRDefault="00AD382D" w:rsidP="00F645E1">
      <w:pPr>
        <w:autoSpaceDE w:val="0"/>
        <w:autoSpaceDN w:val="0"/>
        <w:adjustRightInd w:val="0"/>
        <w:jc w:val="both"/>
        <w:rPr>
          <w:rFonts w:eastAsia="TimesNewRoman"/>
          <w:i/>
          <w:szCs w:val="22"/>
          <w:u w:val="single"/>
          <w:lang w:val="sr-Latn-ME" w:eastAsia="zh-TW"/>
        </w:rPr>
      </w:pPr>
      <w:r w:rsidRPr="005B51C6">
        <w:rPr>
          <w:rFonts w:eastAsia="TimesNewRoman"/>
          <w:i/>
          <w:szCs w:val="22"/>
          <w:u w:val="single"/>
          <w:lang w:val="sr-Latn-ME" w:eastAsia="zh-TW"/>
        </w:rPr>
        <w:t>Kod pacijenata sa dijabetesom i najmanje jednim kardiovaskularnim faktorom rizika</w:t>
      </w:r>
    </w:p>
    <w:p w14:paraId="50F9FEBB"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21AE1CB5"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Početna doza</w:t>
      </w:r>
    </w:p>
    <w:p w14:paraId="2F901E40"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46E55690"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Preporučena početna doza lijeka Ampril je 2,5 mg jednom dnevno.</w:t>
      </w:r>
    </w:p>
    <w:p w14:paraId="6736BFEE" w14:textId="77777777" w:rsidR="000C7B6F" w:rsidRPr="005B51C6" w:rsidRDefault="000C7B6F" w:rsidP="00F645E1">
      <w:pPr>
        <w:autoSpaceDE w:val="0"/>
        <w:autoSpaceDN w:val="0"/>
        <w:adjustRightInd w:val="0"/>
        <w:jc w:val="both"/>
        <w:rPr>
          <w:rFonts w:eastAsia="TimesNewRoman"/>
          <w:color w:val="FF0000"/>
          <w:szCs w:val="22"/>
          <w:u w:val="single"/>
          <w:lang w:val="sr-Latn-ME" w:eastAsia="zh-TW"/>
        </w:rPr>
      </w:pPr>
    </w:p>
    <w:p w14:paraId="3A6E03B3"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i doza održavanja</w:t>
      </w:r>
    </w:p>
    <w:p w14:paraId="2990B5A2"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2F94C5E5"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U zavisnosti od tolerancije pacijenta na aktivnu supstancu, dozu treba postepeno povećavati. Preporučuje se dupliranje dnevne doze na 5 mg lijeka nakon prve ili druge nedjelje terapije, a onda, poslije još dvije do tri nedjelje, povećanje doze na 10 mg lijeka. Ciljna dnevna doza je 10 mg dnevno.</w:t>
      </w:r>
    </w:p>
    <w:p w14:paraId="7978A4F3"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245CF86A" w14:textId="77777777" w:rsidR="000C7B6F" w:rsidRPr="005B51C6" w:rsidRDefault="00AD382D" w:rsidP="00F645E1">
      <w:pPr>
        <w:autoSpaceDE w:val="0"/>
        <w:autoSpaceDN w:val="0"/>
        <w:adjustRightInd w:val="0"/>
        <w:jc w:val="both"/>
        <w:rPr>
          <w:rFonts w:eastAsia="TimesNewRoman"/>
          <w:i/>
          <w:szCs w:val="22"/>
          <w:u w:val="single"/>
          <w:lang w:val="sr-Latn-ME" w:eastAsia="zh-TW"/>
        </w:rPr>
      </w:pPr>
      <w:r w:rsidRPr="005B51C6">
        <w:rPr>
          <w:rFonts w:eastAsia="TimesNewRoman"/>
          <w:i/>
          <w:szCs w:val="22"/>
          <w:u w:val="single"/>
          <w:lang w:val="sr-Latn-ME" w:eastAsia="zh-TW"/>
        </w:rPr>
        <w:t xml:space="preserve">Kod pacijenata sa nedijabetičkom nefropatijom definisanom pojavom makroproteinurije ≥3g/dan </w:t>
      </w:r>
    </w:p>
    <w:p w14:paraId="1DB2B0FC" w14:textId="77777777" w:rsidR="000C7B6F" w:rsidRPr="005B51C6" w:rsidRDefault="000C7B6F" w:rsidP="00F645E1">
      <w:pPr>
        <w:autoSpaceDE w:val="0"/>
        <w:autoSpaceDN w:val="0"/>
        <w:adjustRightInd w:val="0"/>
        <w:jc w:val="both"/>
        <w:rPr>
          <w:rFonts w:eastAsia="TimesNewRoman"/>
          <w:i/>
          <w:color w:val="FF0000"/>
          <w:szCs w:val="22"/>
          <w:u w:val="single"/>
          <w:lang w:val="sr-Latn-ME" w:eastAsia="zh-TW"/>
        </w:rPr>
      </w:pPr>
    </w:p>
    <w:p w14:paraId="6B3C690B"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Početna doza</w:t>
      </w:r>
    </w:p>
    <w:p w14:paraId="3D3809B5"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lastRenderedPageBreak/>
        <w:t>Preporučena početna doza lijeka je 1,25 mg jednom dnevno.</w:t>
      </w:r>
    </w:p>
    <w:p w14:paraId="29D94410" w14:textId="77777777" w:rsidR="000C7B6F" w:rsidRPr="005B51C6" w:rsidRDefault="000C7B6F" w:rsidP="00F645E1">
      <w:pPr>
        <w:autoSpaceDE w:val="0"/>
        <w:autoSpaceDN w:val="0"/>
        <w:adjustRightInd w:val="0"/>
        <w:jc w:val="both"/>
        <w:rPr>
          <w:rFonts w:eastAsia="TimesNewRoman"/>
          <w:color w:val="FF0000"/>
          <w:szCs w:val="22"/>
          <w:u w:val="single"/>
          <w:lang w:val="sr-Latn-ME" w:eastAsia="zh-TW"/>
        </w:rPr>
      </w:pPr>
    </w:p>
    <w:p w14:paraId="0F14F574"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i doza održavanja</w:t>
      </w:r>
    </w:p>
    <w:p w14:paraId="32191C3D"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085D1360"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U zavisnosti od tolerancije pacijenta na aktivnu supstancu, dozu treba postepeno povećavati. Nakon dvije nedjelje, preporučuje se dupliranje doze na 2.5 mg jednom dnevno, zatim na 5 mg poslije sljedeće dvije nedjelje.</w:t>
      </w:r>
    </w:p>
    <w:p w14:paraId="75BCFABA" w14:textId="77777777" w:rsidR="000C7B6F" w:rsidRPr="005B51C6" w:rsidRDefault="000C7B6F" w:rsidP="00F645E1">
      <w:pPr>
        <w:autoSpaceDE w:val="0"/>
        <w:autoSpaceDN w:val="0"/>
        <w:adjustRightInd w:val="0"/>
        <w:jc w:val="both"/>
        <w:rPr>
          <w:rFonts w:eastAsia="TimesNewRoman"/>
          <w:color w:val="FF0000"/>
          <w:szCs w:val="22"/>
          <w:lang w:val="sr-Latn-ME" w:eastAsia="zh-TW"/>
        </w:rPr>
      </w:pPr>
    </w:p>
    <w:p w14:paraId="6DEB9BE4" w14:textId="77777777" w:rsidR="000C7B6F" w:rsidRPr="005B51C6" w:rsidRDefault="00AD382D" w:rsidP="00F645E1">
      <w:pPr>
        <w:autoSpaceDE w:val="0"/>
        <w:autoSpaceDN w:val="0"/>
        <w:adjustRightInd w:val="0"/>
        <w:jc w:val="both"/>
        <w:rPr>
          <w:rFonts w:eastAsia="TimesNewRoman"/>
          <w:i/>
          <w:iCs/>
          <w:szCs w:val="22"/>
          <w:u w:val="single"/>
          <w:lang w:val="sr-Latn-ME" w:eastAsia="zh-TW"/>
        </w:rPr>
      </w:pPr>
      <w:r w:rsidRPr="005B51C6">
        <w:rPr>
          <w:rFonts w:eastAsia="TimesNewRoman"/>
          <w:i/>
          <w:iCs/>
          <w:szCs w:val="22"/>
          <w:u w:val="single"/>
          <w:lang w:val="sr-Latn-ME" w:eastAsia="zh-TW"/>
        </w:rPr>
        <w:t>Simptomatska srčana insuficijencija</w:t>
      </w:r>
    </w:p>
    <w:p w14:paraId="02C87072" w14:textId="77777777" w:rsidR="000C7B6F" w:rsidRPr="005B51C6" w:rsidRDefault="000C7B6F" w:rsidP="00F645E1">
      <w:pPr>
        <w:autoSpaceDE w:val="0"/>
        <w:autoSpaceDN w:val="0"/>
        <w:adjustRightInd w:val="0"/>
        <w:jc w:val="both"/>
        <w:rPr>
          <w:rFonts w:eastAsia="TimesNewRoman"/>
          <w:i/>
          <w:iCs/>
          <w:szCs w:val="22"/>
          <w:u w:val="single"/>
          <w:lang w:val="sr-Latn-ME" w:eastAsia="zh-TW"/>
        </w:rPr>
      </w:pPr>
    </w:p>
    <w:p w14:paraId="5E8E6735" w14:textId="77777777" w:rsidR="000C7B6F" w:rsidRPr="005B51C6" w:rsidRDefault="00AD382D" w:rsidP="00F645E1">
      <w:pPr>
        <w:tabs>
          <w:tab w:val="clear" w:pos="567"/>
          <w:tab w:val="left" w:pos="570"/>
          <w:tab w:val="center" w:pos="4320"/>
          <w:tab w:val="right" w:pos="8640"/>
        </w:tabs>
        <w:jc w:val="both"/>
        <w:rPr>
          <w:szCs w:val="22"/>
          <w:u w:val="single"/>
          <w:lang w:val="sr-Latn-ME"/>
        </w:rPr>
      </w:pPr>
      <w:r w:rsidRPr="005B51C6">
        <w:rPr>
          <w:szCs w:val="22"/>
          <w:u w:val="single"/>
          <w:lang w:val="sr-Latn-ME"/>
        </w:rPr>
        <w:t>Početna doza</w:t>
      </w:r>
    </w:p>
    <w:p w14:paraId="181A3307" w14:textId="77777777" w:rsidR="000C7B6F" w:rsidRPr="005B51C6" w:rsidRDefault="000C7B6F" w:rsidP="00F645E1">
      <w:pPr>
        <w:tabs>
          <w:tab w:val="clear" w:pos="567"/>
          <w:tab w:val="left" w:pos="570"/>
          <w:tab w:val="center" w:pos="4320"/>
          <w:tab w:val="right" w:pos="8640"/>
        </w:tabs>
        <w:jc w:val="both"/>
        <w:rPr>
          <w:szCs w:val="22"/>
          <w:u w:val="single"/>
          <w:lang w:val="sr-Latn-ME"/>
        </w:rPr>
      </w:pPr>
    </w:p>
    <w:p w14:paraId="402444B2" w14:textId="77777777" w:rsidR="000C7B6F" w:rsidRPr="005B51C6" w:rsidRDefault="00AD382D" w:rsidP="00F645E1">
      <w:pPr>
        <w:tabs>
          <w:tab w:val="clear" w:pos="567"/>
          <w:tab w:val="left" w:pos="570"/>
          <w:tab w:val="center" w:pos="4320"/>
          <w:tab w:val="right" w:pos="8640"/>
        </w:tabs>
        <w:jc w:val="both"/>
        <w:rPr>
          <w:szCs w:val="22"/>
          <w:u w:val="single"/>
          <w:lang w:val="sr-Latn-ME"/>
        </w:rPr>
      </w:pPr>
      <w:r w:rsidRPr="005B51C6">
        <w:rPr>
          <w:szCs w:val="22"/>
          <w:lang w:val="sr-Latn-ME"/>
        </w:rPr>
        <w:t>Kod pacijenata koji su stabilizovani pomoću terapije diureticima, preporučuje se inicijalna doza od 1.25 mg dnevno.</w:t>
      </w:r>
    </w:p>
    <w:p w14:paraId="4A6C407F" w14:textId="77777777" w:rsidR="000C7B6F" w:rsidRPr="005B51C6" w:rsidRDefault="000C7B6F" w:rsidP="00F645E1">
      <w:pPr>
        <w:autoSpaceDE w:val="0"/>
        <w:autoSpaceDN w:val="0"/>
        <w:adjustRightInd w:val="0"/>
        <w:jc w:val="both"/>
        <w:rPr>
          <w:rFonts w:eastAsia="TimesNewRoman"/>
          <w:i/>
          <w:iCs/>
          <w:color w:val="FF0000"/>
          <w:szCs w:val="22"/>
          <w:u w:val="single"/>
          <w:lang w:val="sr-Latn-ME" w:eastAsia="zh-TW"/>
        </w:rPr>
      </w:pPr>
    </w:p>
    <w:p w14:paraId="35F32E31"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Titracija i doza održavanja</w:t>
      </w:r>
    </w:p>
    <w:p w14:paraId="4D3FD069"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242B3858"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Lijek Ampril treba titrirati dupliranjem doze na svakih nedjelju do dvije dana, do dostizanja maksimalne dnevne doze od 10 mg. Preporučuje se primjena lijeka dva puta dnevno.</w:t>
      </w:r>
    </w:p>
    <w:p w14:paraId="291D4689" w14:textId="77777777" w:rsidR="000C7B6F" w:rsidRPr="005B51C6" w:rsidRDefault="000C7B6F" w:rsidP="00F645E1">
      <w:pPr>
        <w:autoSpaceDE w:val="0"/>
        <w:autoSpaceDN w:val="0"/>
        <w:adjustRightInd w:val="0"/>
        <w:jc w:val="both"/>
        <w:rPr>
          <w:rFonts w:eastAsia="TimesNewRoman"/>
          <w:i/>
          <w:iCs/>
          <w:szCs w:val="22"/>
          <w:u w:val="single"/>
          <w:lang w:val="sr-Latn-ME" w:eastAsia="zh-TW"/>
        </w:rPr>
      </w:pPr>
    </w:p>
    <w:p w14:paraId="6327C2F2" w14:textId="77777777" w:rsidR="000C7B6F" w:rsidRPr="005B51C6" w:rsidRDefault="00AD382D" w:rsidP="00F645E1">
      <w:pPr>
        <w:autoSpaceDE w:val="0"/>
        <w:autoSpaceDN w:val="0"/>
        <w:adjustRightInd w:val="0"/>
        <w:jc w:val="both"/>
        <w:rPr>
          <w:rFonts w:eastAsia="TimesNewRoman"/>
          <w:i/>
          <w:iCs/>
          <w:szCs w:val="22"/>
          <w:u w:val="single"/>
          <w:lang w:val="sr-Latn-ME" w:eastAsia="zh-TW"/>
        </w:rPr>
      </w:pPr>
      <w:r w:rsidRPr="005B51C6">
        <w:rPr>
          <w:rFonts w:eastAsia="TimesNewRoman"/>
          <w:i/>
          <w:iCs/>
          <w:szCs w:val="22"/>
          <w:u w:val="single"/>
          <w:lang w:val="sr-Latn-ME" w:eastAsia="zh-TW"/>
        </w:rPr>
        <w:t>Sekundarna prevencija nakon akutnog infarkta miokarda kod pacijenata sa srčanom insuficijencijom</w:t>
      </w:r>
    </w:p>
    <w:p w14:paraId="076E9B34" w14:textId="77777777" w:rsidR="000C7B6F" w:rsidRPr="005B51C6" w:rsidRDefault="000C7B6F" w:rsidP="00F645E1">
      <w:pPr>
        <w:autoSpaceDE w:val="0"/>
        <w:autoSpaceDN w:val="0"/>
        <w:adjustRightInd w:val="0"/>
        <w:jc w:val="both"/>
        <w:rPr>
          <w:rFonts w:eastAsia="TimesNewRoman"/>
          <w:szCs w:val="22"/>
          <w:lang w:val="sr-Latn-ME" w:eastAsia="zh-TW"/>
        </w:rPr>
      </w:pPr>
    </w:p>
    <w:p w14:paraId="3944D2D6" w14:textId="77777777" w:rsidR="000C7B6F" w:rsidRPr="005B51C6" w:rsidRDefault="00AD382D" w:rsidP="00F645E1">
      <w:pPr>
        <w:tabs>
          <w:tab w:val="clear" w:pos="567"/>
          <w:tab w:val="left" w:pos="570"/>
          <w:tab w:val="center" w:pos="4320"/>
          <w:tab w:val="right" w:pos="8640"/>
        </w:tabs>
        <w:jc w:val="both"/>
        <w:rPr>
          <w:szCs w:val="22"/>
          <w:u w:val="single"/>
          <w:lang w:val="sr-Latn-ME"/>
        </w:rPr>
      </w:pPr>
      <w:r w:rsidRPr="005B51C6">
        <w:rPr>
          <w:szCs w:val="22"/>
          <w:u w:val="single"/>
          <w:lang w:val="sr-Latn-ME"/>
        </w:rPr>
        <w:t>Početna doza</w:t>
      </w:r>
    </w:p>
    <w:p w14:paraId="20593762" w14:textId="77777777" w:rsidR="000C7B6F" w:rsidRPr="005B51C6" w:rsidRDefault="000C7B6F" w:rsidP="00F645E1">
      <w:pPr>
        <w:tabs>
          <w:tab w:val="clear" w:pos="567"/>
          <w:tab w:val="left" w:pos="570"/>
          <w:tab w:val="center" w:pos="4320"/>
          <w:tab w:val="right" w:pos="8640"/>
        </w:tabs>
        <w:jc w:val="both"/>
        <w:rPr>
          <w:szCs w:val="22"/>
          <w:u w:val="single"/>
          <w:lang w:val="sr-Latn-ME"/>
        </w:rPr>
      </w:pPr>
    </w:p>
    <w:p w14:paraId="19AE63B3"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Poslije 48 sati od infarkta miokarda, kod klinički i hemodinamski stabilnog pacijenta, početna doza je 2.5 mg dva puta dnevno, tokom tri dana. Ukoliko se doza od 2.5 mg ne podnosi, treba uvesti dozu od 1.25 mg dva puta dnevno, tokom dva dana, pa tek onda povećati dozu na 2.5 mg i 5 mg dva puta na dan. </w:t>
      </w:r>
      <w:bookmarkStart w:id="0" w:name="OLE_LINK3"/>
      <w:bookmarkStart w:id="1" w:name="OLE_LINK4"/>
      <w:r w:rsidRPr="005B51C6">
        <w:rPr>
          <w:szCs w:val="22"/>
          <w:lang w:val="sr-Latn-ME"/>
        </w:rPr>
        <w:t xml:space="preserve">Ukoliko se doza ne može povećati na 2.5 mg dva puta dnevno, terapiju treba prekinuti. </w:t>
      </w:r>
    </w:p>
    <w:bookmarkEnd w:id="0"/>
    <w:bookmarkEnd w:id="1"/>
    <w:p w14:paraId="52338D3D"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Pogledati gore navedeno doziranje i način upotrebe kod pacijenata koji su na terapiji diureticima.</w:t>
      </w:r>
    </w:p>
    <w:p w14:paraId="1EBE3461" w14:textId="77777777" w:rsidR="000C7B6F" w:rsidRPr="005B51C6" w:rsidRDefault="000C7B6F" w:rsidP="00F645E1">
      <w:pPr>
        <w:tabs>
          <w:tab w:val="clear" w:pos="567"/>
          <w:tab w:val="left" w:pos="570"/>
          <w:tab w:val="center" w:pos="4320"/>
          <w:tab w:val="right" w:pos="8640"/>
        </w:tabs>
        <w:jc w:val="both"/>
        <w:rPr>
          <w:szCs w:val="22"/>
          <w:u w:val="single"/>
          <w:lang w:val="sr-Latn-ME"/>
        </w:rPr>
      </w:pPr>
      <w:bookmarkStart w:id="2" w:name="OLE_LINK13"/>
      <w:bookmarkStart w:id="3" w:name="OLE_LINK14"/>
    </w:p>
    <w:p w14:paraId="01EC3134" w14:textId="77777777" w:rsidR="000C7B6F" w:rsidRPr="005B51C6" w:rsidRDefault="00AD382D" w:rsidP="00F645E1">
      <w:pPr>
        <w:tabs>
          <w:tab w:val="clear" w:pos="567"/>
          <w:tab w:val="left" w:pos="570"/>
          <w:tab w:val="center" w:pos="4320"/>
          <w:tab w:val="right" w:pos="8640"/>
        </w:tabs>
        <w:jc w:val="both"/>
        <w:rPr>
          <w:szCs w:val="22"/>
          <w:u w:val="single"/>
          <w:lang w:val="sr-Latn-ME"/>
        </w:rPr>
      </w:pPr>
      <w:r w:rsidRPr="005B51C6">
        <w:rPr>
          <w:szCs w:val="22"/>
          <w:u w:val="single"/>
          <w:lang w:val="sr-Latn-ME"/>
        </w:rPr>
        <w:t>Titracija i doza održavanja</w:t>
      </w:r>
    </w:p>
    <w:bookmarkEnd w:id="2"/>
    <w:bookmarkEnd w:id="3"/>
    <w:p w14:paraId="5D2841B3"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Dnevna doza se postepeno povećava dupliranjem doze u intervalu od jednog do tri dana, dok se ne dostigne željena vrijednost doze održavanja od 5 mg, dva puta na dan.</w:t>
      </w:r>
    </w:p>
    <w:p w14:paraId="6C6D5781"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Kada je to moguće, dozu održavanja treba podijeliti u dvije doze na dan. </w:t>
      </w:r>
    </w:p>
    <w:p w14:paraId="39C2DAC9"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Ukoliko se doza ne može povećati na 2,5 mg dva puta dnevno, terapiju treba prekinuti. </w:t>
      </w:r>
    </w:p>
    <w:p w14:paraId="035032A8"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Još uvijek nema dovoljno podataka o iskustvima kod pacijenata sa teškom srčanom insuficijencijom (NYHA IV) odmah nakon infarkta miokarda. Ukoliko se donese odluka o uvođenju terapije kod ovih pacijenata, preporuka je da se terapija započne dozom od 1.25 mg jednom dnevno, i da se preduzmu posebne mjere opreza pri svakom povećanju doze.</w:t>
      </w:r>
    </w:p>
    <w:p w14:paraId="36B3FE25" w14:textId="77777777" w:rsidR="000C7B6F" w:rsidRPr="005B51C6" w:rsidRDefault="000C7B6F" w:rsidP="00F645E1">
      <w:pPr>
        <w:autoSpaceDE w:val="0"/>
        <w:autoSpaceDN w:val="0"/>
        <w:adjustRightInd w:val="0"/>
        <w:jc w:val="both"/>
        <w:rPr>
          <w:rFonts w:eastAsia="TimesNewRoman"/>
          <w:i/>
          <w:iCs/>
          <w:color w:val="FF0000"/>
          <w:szCs w:val="22"/>
          <w:lang w:val="sr-Latn-ME" w:eastAsia="zh-TW"/>
        </w:rPr>
      </w:pPr>
    </w:p>
    <w:p w14:paraId="3229A43E" w14:textId="77777777" w:rsidR="000C7B6F" w:rsidRPr="005B51C6" w:rsidRDefault="00AD382D" w:rsidP="00F645E1">
      <w:pPr>
        <w:autoSpaceDE w:val="0"/>
        <w:autoSpaceDN w:val="0"/>
        <w:adjustRightInd w:val="0"/>
        <w:jc w:val="both"/>
        <w:rPr>
          <w:rFonts w:eastAsia="TimesNewRoman"/>
          <w:i/>
          <w:iCs/>
          <w:szCs w:val="22"/>
          <w:u w:val="single"/>
          <w:lang w:val="sr-Latn-ME" w:eastAsia="zh-TW"/>
        </w:rPr>
      </w:pPr>
      <w:r w:rsidRPr="005B51C6">
        <w:rPr>
          <w:rFonts w:eastAsia="TimesNewRoman"/>
          <w:i/>
          <w:iCs/>
          <w:szCs w:val="22"/>
          <w:u w:val="single"/>
          <w:lang w:val="sr-Latn-ME" w:eastAsia="zh-TW"/>
        </w:rPr>
        <w:t>Posebne grupe pacijenata</w:t>
      </w:r>
    </w:p>
    <w:p w14:paraId="028E9DFE" w14:textId="77777777" w:rsidR="000C7B6F" w:rsidRPr="005B51C6" w:rsidRDefault="000C7B6F" w:rsidP="00F645E1">
      <w:pPr>
        <w:autoSpaceDE w:val="0"/>
        <w:autoSpaceDN w:val="0"/>
        <w:adjustRightInd w:val="0"/>
        <w:jc w:val="both"/>
        <w:rPr>
          <w:rFonts w:eastAsia="TimesNewRoman"/>
          <w:i/>
          <w:iCs/>
          <w:szCs w:val="22"/>
          <w:u w:val="single"/>
          <w:lang w:val="sr-Latn-ME" w:eastAsia="zh-TW"/>
        </w:rPr>
      </w:pPr>
    </w:p>
    <w:p w14:paraId="344FC6FB" w14:textId="77777777" w:rsidR="000C7B6F" w:rsidRPr="005B51C6" w:rsidRDefault="00AD382D" w:rsidP="00F645E1">
      <w:pPr>
        <w:tabs>
          <w:tab w:val="clear" w:pos="567"/>
          <w:tab w:val="left" w:pos="570"/>
          <w:tab w:val="center" w:pos="4320"/>
          <w:tab w:val="right" w:pos="8640"/>
        </w:tabs>
        <w:jc w:val="both"/>
        <w:rPr>
          <w:i/>
          <w:szCs w:val="22"/>
          <w:lang w:val="sr-Latn-ME"/>
        </w:rPr>
      </w:pPr>
      <w:r w:rsidRPr="005B51C6">
        <w:rPr>
          <w:i/>
          <w:szCs w:val="22"/>
          <w:lang w:val="sr-Latn-ME"/>
        </w:rPr>
        <w:t xml:space="preserve">Pacijenti sa renalnim oštećenjem  </w:t>
      </w:r>
    </w:p>
    <w:p w14:paraId="73915D61"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Dnevna doza kod pacijenata sa renalnim oštećenjem treba da bude određena prema klirensu kreatinina (vidjeti dio 5.2):</w:t>
      </w:r>
    </w:p>
    <w:p w14:paraId="2AB84D0C" w14:textId="77777777" w:rsidR="000C7B6F" w:rsidRPr="005B51C6" w:rsidRDefault="00AD382D" w:rsidP="00F645E1">
      <w:pPr>
        <w:numPr>
          <w:ilvl w:val="0"/>
          <w:numId w:val="30"/>
        </w:numPr>
        <w:tabs>
          <w:tab w:val="clear" w:pos="567"/>
          <w:tab w:val="left" w:pos="570"/>
          <w:tab w:val="center" w:pos="4320"/>
          <w:tab w:val="right" w:pos="8640"/>
        </w:tabs>
        <w:spacing w:line="240" w:lineRule="auto"/>
        <w:jc w:val="both"/>
        <w:rPr>
          <w:szCs w:val="22"/>
          <w:lang w:val="sr-Latn-ME"/>
        </w:rPr>
      </w:pPr>
      <w:r w:rsidRPr="005B51C6">
        <w:rPr>
          <w:szCs w:val="22"/>
          <w:lang w:val="sr-Latn-ME"/>
        </w:rPr>
        <w:t>ukoliko je klirens kreatinina ≥60 ml/min, nije neophodno prilagođavati inicijalnu dozu (2,5 mg/dan); maksimalna dnevna doza je 10 mg;</w:t>
      </w:r>
    </w:p>
    <w:p w14:paraId="7B70941B" w14:textId="77777777" w:rsidR="000C7B6F" w:rsidRPr="005B51C6" w:rsidRDefault="00AD382D" w:rsidP="00F645E1">
      <w:pPr>
        <w:numPr>
          <w:ilvl w:val="0"/>
          <w:numId w:val="30"/>
        </w:numPr>
        <w:tabs>
          <w:tab w:val="clear" w:pos="567"/>
          <w:tab w:val="left" w:pos="570"/>
          <w:tab w:val="center" w:pos="4320"/>
          <w:tab w:val="right" w:pos="8640"/>
        </w:tabs>
        <w:spacing w:line="240" w:lineRule="auto"/>
        <w:jc w:val="both"/>
        <w:rPr>
          <w:szCs w:val="22"/>
          <w:lang w:val="sr-Latn-ME"/>
        </w:rPr>
      </w:pPr>
      <w:r w:rsidRPr="005B51C6">
        <w:rPr>
          <w:szCs w:val="22"/>
          <w:lang w:val="sr-Latn-ME"/>
        </w:rPr>
        <w:t>ukoliko je klirens kreatinina između 30-60 ml/min, nije neophodno prilagođavati inicijalnu dozu (2.5 mg/dan); maksimalna dnevna doza je 5 mg;</w:t>
      </w:r>
    </w:p>
    <w:p w14:paraId="28EECC57" w14:textId="77777777" w:rsidR="000C7B6F" w:rsidRPr="005B51C6" w:rsidRDefault="00AD382D" w:rsidP="00F645E1">
      <w:pPr>
        <w:numPr>
          <w:ilvl w:val="0"/>
          <w:numId w:val="30"/>
        </w:numPr>
        <w:tabs>
          <w:tab w:val="clear" w:pos="567"/>
          <w:tab w:val="left" w:pos="570"/>
          <w:tab w:val="center" w:pos="4320"/>
          <w:tab w:val="right" w:pos="8640"/>
        </w:tabs>
        <w:spacing w:line="240" w:lineRule="auto"/>
        <w:jc w:val="both"/>
        <w:rPr>
          <w:szCs w:val="22"/>
          <w:lang w:val="sr-Latn-ME"/>
        </w:rPr>
      </w:pPr>
      <w:r w:rsidRPr="005B51C6">
        <w:rPr>
          <w:szCs w:val="22"/>
          <w:lang w:val="sr-Latn-ME"/>
        </w:rPr>
        <w:t>ukoliko je klirens kreatinina između 10-30 ml/min, inicijalna doza je 1,25 mg/dan i maksimalna dnevna doza je 5 mg;</w:t>
      </w:r>
    </w:p>
    <w:p w14:paraId="6C21FB3F" w14:textId="77777777" w:rsidR="000C7B6F" w:rsidRPr="005B51C6" w:rsidRDefault="00AD382D" w:rsidP="00F645E1">
      <w:pPr>
        <w:numPr>
          <w:ilvl w:val="0"/>
          <w:numId w:val="30"/>
        </w:numPr>
        <w:tabs>
          <w:tab w:val="clear" w:pos="567"/>
          <w:tab w:val="left" w:pos="570"/>
          <w:tab w:val="center" w:pos="4320"/>
          <w:tab w:val="right" w:pos="8640"/>
        </w:tabs>
        <w:spacing w:line="240" w:lineRule="auto"/>
        <w:jc w:val="both"/>
        <w:rPr>
          <w:szCs w:val="22"/>
          <w:lang w:val="sr-Latn-ME"/>
        </w:rPr>
      </w:pPr>
      <w:r w:rsidRPr="005B51C6">
        <w:rPr>
          <w:szCs w:val="22"/>
          <w:lang w:val="sr-Latn-ME"/>
        </w:rPr>
        <w:t>kod pacijenata sa hipertenzijom koji su na hemodijalizi: ramipril u maloj mjeri podliježe dijalizi; inicijalna doza 1,25 mg/dan i maksimalna dnevna doza je 5 mg; lijek treba primijeniti nekoliko sati nakon završetka dijalize.</w:t>
      </w:r>
    </w:p>
    <w:p w14:paraId="6EB09153" w14:textId="77777777" w:rsidR="000C7B6F" w:rsidRPr="005B51C6" w:rsidRDefault="000C7B6F" w:rsidP="00F645E1">
      <w:pPr>
        <w:tabs>
          <w:tab w:val="clear" w:pos="567"/>
          <w:tab w:val="left" w:pos="570"/>
          <w:tab w:val="center" w:pos="4320"/>
          <w:tab w:val="right" w:pos="8640"/>
        </w:tabs>
        <w:jc w:val="both"/>
        <w:rPr>
          <w:color w:val="FF0000"/>
          <w:szCs w:val="22"/>
          <w:lang w:val="sr-Latn-ME"/>
        </w:rPr>
      </w:pPr>
    </w:p>
    <w:p w14:paraId="083CADE6" w14:textId="77777777" w:rsidR="00EA5B3D" w:rsidRDefault="00EA5B3D" w:rsidP="00F645E1">
      <w:pPr>
        <w:tabs>
          <w:tab w:val="clear" w:pos="567"/>
          <w:tab w:val="left" w:pos="570"/>
          <w:tab w:val="center" w:pos="4320"/>
          <w:tab w:val="right" w:pos="8640"/>
        </w:tabs>
        <w:jc w:val="both"/>
        <w:rPr>
          <w:i/>
          <w:szCs w:val="22"/>
          <w:lang w:val="sr-Latn-ME"/>
        </w:rPr>
      </w:pPr>
    </w:p>
    <w:p w14:paraId="06C41DA8" w14:textId="74F2232F" w:rsidR="000C7B6F" w:rsidRPr="005B51C6" w:rsidRDefault="00AD382D" w:rsidP="00F645E1">
      <w:pPr>
        <w:tabs>
          <w:tab w:val="clear" w:pos="567"/>
          <w:tab w:val="left" w:pos="570"/>
          <w:tab w:val="center" w:pos="4320"/>
          <w:tab w:val="right" w:pos="8640"/>
        </w:tabs>
        <w:jc w:val="both"/>
        <w:rPr>
          <w:szCs w:val="22"/>
          <w:lang w:val="sr-Latn-ME"/>
        </w:rPr>
      </w:pPr>
      <w:r w:rsidRPr="005B51C6">
        <w:rPr>
          <w:i/>
          <w:szCs w:val="22"/>
          <w:lang w:val="sr-Latn-ME"/>
        </w:rPr>
        <w:lastRenderedPageBreak/>
        <w:t xml:space="preserve">Pacijenti sa hepatičkim oštećenjem </w:t>
      </w:r>
      <w:r w:rsidRPr="005B51C6">
        <w:rPr>
          <w:szCs w:val="22"/>
          <w:lang w:val="sr-Latn-ME"/>
        </w:rPr>
        <w:t>(vidjeti dio 5.2)</w:t>
      </w:r>
    </w:p>
    <w:p w14:paraId="2CB27D4A" w14:textId="77777777" w:rsidR="000C7B6F" w:rsidRPr="005B51C6" w:rsidRDefault="000C7B6F" w:rsidP="00F645E1">
      <w:pPr>
        <w:tabs>
          <w:tab w:val="clear" w:pos="567"/>
          <w:tab w:val="left" w:pos="570"/>
          <w:tab w:val="center" w:pos="4320"/>
          <w:tab w:val="right" w:pos="8640"/>
        </w:tabs>
        <w:jc w:val="both"/>
        <w:rPr>
          <w:szCs w:val="22"/>
          <w:lang w:val="sr-Latn-ME"/>
        </w:rPr>
      </w:pPr>
    </w:p>
    <w:p w14:paraId="567D4FC1"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Kod pacijenata sa hepatičkim oštećenjem, terapija lijekom Ampril se mora započeti pod strogim medicinskim nadzorom, a maksimalna dnevna doza ramiprila izosi 2,5 mg.</w:t>
      </w:r>
    </w:p>
    <w:p w14:paraId="20699115" w14:textId="77777777" w:rsidR="000C7B6F" w:rsidRPr="005B51C6" w:rsidRDefault="000C7B6F" w:rsidP="00F645E1">
      <w:pPr>
        <w:tabs>
          <w:tab w:val="clear" w:pos="567"/>
          <w:tab w:val="left" w:pos="570"/>
          <w:tab w:val="center" w:pos="4320"/>
          <w:tab w:val="right" w:pos="8640"/>
        </w:tabs>
        <w:jc w:val="both"/>
        <w:rPr>
          <w:szCs w:val="22"/>
          <w:lang w:val="sr-Latn-ME"/>
        </w:rPr>
      </w:pPr>
    </w:p>
    <w:p w14:paraId="0CEF90AC" w14:textId="77777777" w:rsidR="000C7B6F" w:rsidRPr="005B51C6" w:rsidRDefault="00AD382D" w:rsidP="00F645E1">
      <w:pPr>
        <w:tabs>
          <w:tab w:val="clear" w:pos="567"/>
          <w:tab w:val="left" w:pos="570"/>
          <w:tab w:val="center" w:pos="4320"/>
          <w:tab w:val="right" w:pos="8640"/>
        </w:tabs>
        <w:jc w:val="both"/>
        <w:rPr>
          <w:i/>
          <w:szCs w:val="22"/>
          <w:lang w:val="sr-Latn-ME"/>
        </w:rPr>
      </w:pPr>
      <w:r w:rsidRPr="005B51C6">
        <w:rPr>
          <w:i/>
          <w:szCs w:val="22"/>
          <w:lang w:val="sr-Latn-ME"/>
        </w:rPr>
        <w:t>Stariji pacijenti</w:t>
      </w:r>
    </w:p>
    <w:p w14:paraId="5D8DD93E" w14:textId="77777777" w:rsidR="000C7B6F" w:rsidRPr="005B51C6" w:rsidRDefault="000C7B6F" w:rsidP="00F645E1">
      <w:pPr>
        <w:tabs>
          <w:tab w:val="clear" w:pos="567"/>
          <w:tab w:val="left" w:pos="570"/>
          <w:tab w:val="center" w:pos="4320"/>
          <w:tab w:val="right" w:pos="8640"/>
        </w:tabs>
        <w:jc w:val="both"/>
        <w:rPr>
          <w:i/>
          <w:szCs w:val="22"/>
          <w:lang w:val="sr-Latn-ME"/>
        </w:rPr>
      </w:pPr>
    </w:p>
    <w:p w14:paraId="25D419A9" w14:textId="247BC204"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Početne doze treba da budu niže, i titracija doze koja slijedi treba da bude postepenija, zbog veće vjerovatnoće za pojavu neželjenih dejstava, posebno kod veoma starih i nemoćnih pacijenata. Kod ovih pacijenata treba razmotriti upotrebu niže inicijalne doze od 1.25 mg.</w:t>
      </w:r>
    </w:p>
    <w:p w14:paraId="3ACEE13B" w14:textId="77777777" w:rsidR="00D56942" w:rsidRPr="005B51C6" w:rsidRDefault="00D56942" w:rsidP="00F645E1">
      <w:pPr>
        <w:tabs>
          <w:tab w:val="clear" w:pos="567"/>
          <w:tab w:val="left" w:pos="570"/>
          <w:tab w:val="center" w:pos="4320"/>
          <w:tab w:val="right" w:pos="8640"/>
        </w:tabs>
        <w:jc w:val="both"/>
        <w:rPr>
          <w:szCs w:val="22"/>
          <w:lang w:val="sr-Latn-ME"/>
        </w:rPr>
      </w:pPr>
    </w:p>
    <w:p w14:paraId="54E91EB7" w14:textId="77777777" w:rsidR="000C7B6F" w:rsidRPr="005B51C6" w:rsidRDefault="00AD382D" w:rsidP="00F645E1">
      <w:pPr>
        <w:tabs>
          <w:tab w:val="clear" w:pos="567"/>
          <w:tab w:val="left" w:pos="570"/>
          <w:tab w:val="center" w:pos="4320"/>
          <w:tab w:val="right" w:pos="8640"/>
        </w:tabs>
        <w:jc w:val="both"/>
        <w:rPr>
          <w:i/>
          <w:szCs w:val="22"/>
          <w:lang w:val="sr-Latn-ME"/>
        </w:rPr>
      </w:pPr>
      <w:r w:rsidRPr="005B51C6">
        <w:rPr>
          <w:i/>
          <w:szCs w:val="22"/>
          <w:lang w:val="sr-Latn-ME"/>
        </w:rPr>
        <w:t>Pedijatrijska populacija</w:t>
      </w:r>
    </w:p>
    <w:p w14:paraId="0E4C46C6" w14:textId="77777777" w:rsidR="000C7B6F" w:rsidRPr="005B51C6" w:rsidRDefault="000C7B6F" w:rsidP="00F645E1">
      <w:pPr>
        <w:tabs>
          <w:tab w:val="clear" w:pos="567"/>
          <w:tab w:val="left" w:pos="570"/>
          <w:tab w:val="center" w:pos="4320"/>
          <w:tab w:val="right" w:pos="8640"/>
        </w:tabs>
        <w:jc w:val="both"/>
        <w:rPr>
          <w:i/>
          <w:szCs w:val="22"/>
          <w:lang w:val="sr-Latn-ME"/>
        </w:rPr>
      </w:pPr>
    </w:p>
    <w:p w14:paraId="1F43C9D0" w14:textId="77777777" w:rsidR="000C7B6F" w:rsidRPr="005B51C6" w:rsidRDefault="00AD382D" w:rsidP="00F645E1">
      <w:pPr>
        <w:autoSpaceDE w:val="0"/>
        <w:autoSpaceDN w:val="0"/>
        <w:adjustRightInd w:val="0"/>
        <w:jc w:val="both"/>
        <w:rPr>
          <w:szCs w:val="22"/>
          <w:lang w:val="sr-Latn-ME"/>
        </w:rPr>
      </w:pPr>
      <w:r w:rsidRPr="005B51C6">
        <w:rPr>
          <w:szCs w:val="22"/>
          <w:lang w:val="sr-Latn-ME"/>
        </w:rPr>
        <w:t>Sigurnost i efikasnost upotrebe ramiprila kod djece još uvijek nije utvrđena. Trenutno dostupni podaci za Ampril su opisani u djelovima 4.8, 5.1, 5.2 i 5.3, ali se ne mogu dati specifične preporuke o doziranju.</w:t>
      </w:r>
    </w:p>
    <w:p w14:paraId="06A1E6AA" w14:textId="77777777" w:rsidR="000C7B6F" w:rsidRPr="005B51C6" w:rsidRDefault="000C7B6F" w:rsidP="00F645E1">
      <w:pPr>
        <w:autoSpaceDE w:val="0"/>
        <w:autoSpaceDN w:val="0"/>
        <w:adjustRightInd w:val="0"/>
        <w:jc w:val="both"/>
        <w:rPr>
          <w:szCs w:val="22"/>
          <w:lang w:val="sr-Latn-ME"/>
        </w:rPr>
      </w:pPr>
    </w:p>
    <w:p w14:paraId="0C1AC0C8" w14:textId="77777777" w:rsidR="000C7B6F" w:rsidRPr="005B51C6" w:rsidRDefault="00AD382D" w:rsidP="00F645E1">
      <w:pPr>
        <w:autoSpaceDE w:val="0"/>
        <w:autoSpaceDN w:val="0"/>
        <w:adjustRightInd w:val="0"/>
        <w:jc w:val="both"/>
        <w:rPr>
          <w:szCs w:val="22"/>
          <w:u w:val="single"/>
          <w:lang w:val="sr-Latn-ME"/>
        </w:rPr>
      </w:pPr>
      <w:r w:rsidRPr="005B51C6">
        <w:rPr>
          <w:szCs w:val="22"/>
          <w:u w:val="single"/>
          <w:lang w:val="sr-Latn-ME"/>
        </w:rPr>
        <w:t>Način primjene.</w:t>
      </w:r>
    </w:p>
    <w:p w14:paraId="796274E5" w14:textId="77777777" w:rsidR="000C7B6F" w:rsidRPr="005B51C6" w:rsidRDefault="000C7B6F" w:rsidP="00F645E1">
      <w:pPr>
        <w:autoSpaceDE w:val="0"/>
        <w:autoSpaceDN w:val="0"/>
        <w:adjustRightInd w:val="0"/>
        <w:jc w:val="both"/>
        <w:rPr>
          <w:szCs w:val="22"/>
          <w:u w:val="single"/>
          <w:lang w:val="sr-Latn-ME"/>
        </w:rPr>
      </w:pPr>
    </w:p>
    <w:p w14:paraId="512B76E4" w14:textId="77777777" w:rsidR="000C7B6F" w:rsidRPr="005B51C6" w:rsidRDefault="00AD382D" w:rsidP="00F645E1">
      <w:pPr>
        <w:autoSpaceDE w:val="0"/>
        <w:autoSpaceDN w:val="0"/>
        <w:adjustRightInd w:val="0"/>
        <w:jc w:val="both"/>
        <w:rPr>
          <w:szCs w:val="22"/>
          <w:lang w:val="sr-Latn-ME"/>
        </w:rPr>
      </w:pPr>
      <w:r w:rsidRPr="005B51C6">
        <w:rPr>
          <w:szCs w:val="22"/>
          <w:lang w:val="sr-Latn-ME"/>
        </w:rPr>
        <w:t>Lijek se primjenjuje oralno.</w:t>
      </w:r>
    </w:p>
    <w:p w14:paraId="537D6FDC" w14:textId="77777777" w:rsidR="000C7B6F" w:rsidRPr="005B51C6" w:rsidRDefault="000C7B6F" w:rsidP="00F645E1">
      <w:pPr>
        <w:widowControl w:val="0"/>
        <w:jc w:val="both"/>
        <w:rPr>
          <w:szCs w:val="22"/>
          <w:lang w:val="sr-Latn-ME"/>
        </w:rPr>
      </w:pPr>
    </w:p>
    <w:p w14:paraId="0E391C86" w14:textId="77777777" w:rsidR="000C7B6F" w:rsidRPr="005B51C6" w:rsidRDefault="00AD382D" w:rsidP="00F645E1">
      <w:pPr>
        <w:widowControl w:val="0"/>
        <w:jc w:val="both"/>
        <w:rPr>
          <w:szCs w:val="22"/>
          <w:lang w:val="sr-Latn-ME"/>
        </w:rPr>
      </w:pPr>
      <w:r w:rsidRPr="005B51C6">
        <w:rPr>
          <w:b/>
          <w:szCs w:val="22"/>
          <w:lang w:val="sr-Latn-ME"/>
        </w:rPr>
        <w:t>4.3</w:t>
      </w:r>
      <w:r w:rsidRPr="005B51C6">
        <w:rPr>
          <w:b/>
          <w:szCs w:val="22"/>
          <w:lang w:val="sr-Latn-ME"/>
        </w:rPr>
        <w:tab/>
        <w:t>Kontraindikacije</w:t>
      </w:r>
    </w:p>
    <w:p w14:paraId="4007ECBD" w14:textId="77777777" w:rsidR="000C7B6F" w:rsidRPr="005B51C6" w:rsidRDefault="000C7B6F" w:rsidP="00F645E1">
      <w:pPr>
        <w:widowControl w:val="0"/>
        <w:jc w:val="both"/>
        <w:rPr>
          <w:szCs w:val="22"/>
          <w:lang w:val="sr-Latn-ME"/>
        </w:rPr>
      </w:pPr>
    </w:p>
    <w:p w14:paraId="0B11E103" w14:textId="77777777" w:rsidR="000C7B6F" w:rsidRPr="005B51C6" w:rsidRDefault="00AD382D" w:rsidP="00F645E1">
      <w:pPr>
        <w:numPr>
          <w:ilvl w:val="0"/>
          <w:numId w:val="31"/>
        </w:numPr>
        <w:tabs>
          <w:tab w:val="clear" w:pos="567"/>
          <w:tab w:val="left" w:pos="0"/>
          <w:tab w:val="left" w:pos="284"/>
          <w:tab w:val="center" w:pos="4536"/>
          <w:tab w:val="right" w:pos="9072"/>
        </w:tabs>
        <w:spacing w:line="240" w:lineRule="auto"/>
        <w:jc w:val="both"/>
        <w:rPr>
          <w:szCs w:val="22"/>
          <w:lang w:val="sr-Latn-ME"/>
        </w:rPr>
      </w:pPr>
      <w:r w:rsidRPr="005B51C6">
        <w:rPr>
          <w:szCs w:val="22"/>
          <w:lang w:val="sr-Latn-ME"/>
        </w:rPr>
        <w:t>preosjetlijivost na aktivnu supstancu, na neki od sastojaka lijeka, ili na neki drugi ACE (angotenzin konvertujući enzim) inhibitor (vidjeti dio 6.1),</w:t>
      </w:r>
    </w:p>
    <w:p w14:paraId="47F1D51B"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r w:rsidRPr="005B51C6">
        <w:rPr>
          <w:szCs w:val="22"/>
          <w:lang w:val="sr-Latn-ME"/>
        </w:rPr>
        <w:t>kod pacijenata sa angioedemom u anamnezi (nasljedni, idiopatski ili kao posljedica prethodnog angioedema usljed terapije ACE inhibitorom ili antagonistima receptora angiotenzina II -AIIRA),</w:t>
      </w:r>
    </w:p>
    <w:p w14:paraId="23893C4F"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bookmarkStart w:id="4" w:name="OLE_LINK6"/>
      <w:bookmarkStart w:id="5" w:name="OLE_LINK7"/>
      <w:r w:rsidRPr="005B51C6">
        <w:rPr>
          <w:szCs w:val="22"/>
          <w:lang w:val="sr-Latn-ME"/>
        </w:rPr>
        <w:t xml:space="preserve">ekstrakorporalna terapija pri kojoj dolazi do kontakta krvi sa negativno naelektrisanim površinama </w:t>
      </w:r>
      <w:bookmarkEnd w:id="4"/>
      <w:bookmarkEnd w:id="5"/>
      <w:r w:rsidRPr="005B51C6">
        <w:rPr>
          <w:szCs w:val="22"/>
          <w:lang w:val="sr-Latn-ME"/>
        </w:rPr>
        <w:t>(vidjeti dio 4.5),</w:t>
      </w:r>
    </w:p>
    <w:p w14:paraId="62DB71D2"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r w:rsidRPr="005B51C6">
        <w:rPr>
          <w:szCs w:val="22"/>
          <w:lang w:val="sr-Latn-ME"/>
        </w:rPr>
        <w:t>značajna bilateralna stenoza renalne arterije ili stenoza renalne arterije u jednom funkcionalnom bubregu,</w:t>
      </w:r>
    </w:p>
    <w:p w14:paraId="17AA7E4D"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r w:rsidRPr="005B51C6">
        <w:rPr>
          <w:szCs w:val="22"/>
          <w:lang w:val="sr-Latn-ME"/>
        </w:rPr>
        <w:t>drugi i treći trimestar trudnoće (vidjeti dio 4.4 i 4.6),</w:t>
      </w:r>
    </w:p>
    <w:p w14:paraId="02BC10DD" w14:textId="77777777" w:rsidR="000C7B6F" w:rsidRPr="005B51C6" w:rsidRDefault="00AD382D" w:rsidP="00F645E1">
      <w:pPr>
        <w:numPr>
          <w:ilvl w:val="0"/>
          <w:numId w:val="31"/>
        </w:numPr>
        <w:tabs>
          <w:tab w:val="clear" w:pos="567"/>
          <w:tab w:val="left" w:pos="284"/>
        </w:tabs>
        <w:spacing w:line="240" w:lineRule="auto"/>
        <w:jc w:val="both"/>
        <w:rPr>
          <w:b/>
          <w:bCs/>
          <w:szCs w:val="22"/>
          <w:lang w:val="sr-Latn-ME"/>
        </w:rPr>
      </w:pPr>
      <w:r w:rsidRPr="005B51C6">
        <w:rPr>
          <w:szCs w:val="22"/>
          <w:lang w:val="sr-Latn-ME"/>
        </w:rPr>
        <w:t>ramipril ne smiju koristiti pacijenti koji su hipotenzivno ili hemodinamski nestabilni,</w:t>
      </w:r>
    </w:p>
    <w:p w14:paraId="03DFAD4E"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r w:rsidRPr="005B51C6">
        <w:rPr>
          <w:szCs w:val="22"/>
          <w:lang w:val="sr-Latn-ME"/>
        </w:rPr>
        <w:t>istovremena primjena lijeka Ampril sa ljekovima koji sadrže aliskiren kontraindikovana je kod pacijenata sa šećernom bolešću ili oštećenjem bubrega (GFR &lt; 60 ml/min/1,73 m</w:t>
      </w:r>
      <w:r w:rsidRPr="005B51C6">
        <w:rPr>
          <w:szCs w:val="22"/>
          <w:vertAlign w:val="superscript"/>
          <w:lang w:val="sr-Latn-ME"/>
        </w:rPr>
        <w:t>2</w:t>
      </w:r>
      <w:r w:rsidRPr="005B51C6">
        <w:rPr>
          <w:szCs w:val="22"/>
          <w:lang w:val="sr-Latn-ME"/>
        </w:rPr>
        <w:t xml:space="preserve"> ) (vidjeti djelove 4.5 i 5.1).</w:t>
      </w:r>
    </w:p>
    <w:p w14:paraId="37083399" w14:textId="77777777" w:rsidR="000C7B6F" w:rsidRPr="005B51C6" w:rsidRDefault="00AD382D" w:rsidP="00F645E1">
      <w:pPr>
        <w:numPr>
          <w:ilvl w:val="0"/>
          <w:numId w:val="31"/>
        </w:numPr>
        <w:tabs>
          <w:tab w:val="clear" w:pos="567"/>
          <w:tab w:val="left" w:pos="284"/>
        </w:tabs>
        <w:spacing w:line="240" w:lineRule="auto"/>
        <w:jc w:val="both"/>
        <w:rPr>
          <w:szCs w:val="22"/>
          <w:lang w:val="sr-Latn-ME"/>
        </w:rPr>
      </w:pPr>
      <w:r w:rsidRPr="005B51C6">
        <w:rPr>
          <w:szCs w:val="22"/>
          <w:lang w:val="sr-Latn-ME"/>
        </w:rPr>
        <w:t>istovremena upotreba sa sakubitril/valsartan terapijom. Sa upotrebom lijeka Ampril se ne smije započeti prije isteka 36 sati od posljednje doze sakubitril/valsatrana (vidjeti djelove 4.4 i 4.5).</w:t>
      </w:r>
    </w:p>
    <w:p w14:paraId="50B05022" w14:textId="77777777" w:rsidR="000C7B6F" w:rsidRPr="005B51C6" w:rsidRDefault="000C7B6F" w:rsidP="00F645E1">
      <w:pPr>
        <w:widowControl w:val="0"/>
        <w:jc w:val="both"/>
        <w:rPr>
          <w:szCs w:val="22"/>
          <w:lang w:val="sr-Latn-ME"/>
        </w:rPr>
      </w:pPr>
    </w:p>
    <w:p w14:paraId="16FF17EC" w14:textId="77777777" w:rsidR="000C7B6F" w:rsidRPr="005B51C6" w:rsidRDefault="00AD382D" w:rsidP="00F645E1">
      <w:pPr>
        <w:widowControl w:val="0"/>
        <w:numPr>
          <w:ilvl w:val="1"/>
          <w:numId w:val="27"/>
        </w:numPr>
        <w:tabs>
          <w:tab w:val="clear" w:pos="567"/>
        </w:tabs>
        <w:spacing w:line="240" w:lineRule="auto"/>
        <w:ind w:left="567" w:hanging="567"/>
        <w:jc w:val="both"/>
        <w:rPr>
          <w:b/>
          <w:szCs w:val="22"/>
          <w:lang w:val="sr-Latn-ME"/>
        </w:rPr>
      </w:pPr>
      <w:r w:rsidRPr="005B51C6">
        <w:rPr>
          <w:b/>
          <w:szCs w:val="22"/>
          <w:lang w:val="sr-Latn-ME"/>
        </w:rPr>
        <w:t>Posebna upozorenja i mjere opreza pri upotrebi lijeka</w:t>
      </w:r>
    </w:p>
    <w:p w14:paraId="53457DF8" w14:textId="77777777" w:rsidR="000C7B6F" w:rsidRPr="005B51C6" w:rsidRDefault="000C7B6F" w:rsidP="00F645E1">
      <w:pPr>
        <w:widowControl w:val="0"/>
        <w:jc w:val="both"/>
        <w:rPr>
          <w:b/>
          <w:szCs w:val="22"/>
          <w:lang w:val="sr-Latn-ME"/>
        </w:rPr>
      </w:pPr>
    </w:p>
    <w:p w14:paraId="2BFE66A4"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Posebne populaciije</w:t>
      </w:r>
    </w:p>
    <w:p w14:paraId="59B4695C" w14:textId="77777777" w:rsidR="000C7B6F" w:rsidRPr="005B51C6" w:rsidRDefault="000C7B6F" w:rsidP="00F645E1">
      <w:pPr>
        <w:autoSpaceDE w:val="0"/>
        <w:autoSpaceDN w:val="0"/>
        <w:adjustRightInd w:val="0"/>
        <w:jc w:val="both"/>
        <w:rPr>
          <w:rFonts w:eastAsia="TimesNewRoman"/>
          <w:szCs w:val="22"/>
          <w:u w:val="single"/>
          <w:lang w:val="sr-Latn-ME" w:eastAsia="zh-TW"/>
        </w:rPr>
      </w:pPr>
    </w:p>
    <w:p w14:paraId="5F32C33C" w14:textId="7C71F2E8" w:rsidR="000C7B6F" w:rsidRPr="005B51C6" w:rsidRDefault="00AD382D" w:rsidP="00F645E1">
      <w:pPr>
        <w:tabs>
          <w:tab w:val="left" w:pos="0"/>
          <w:tab w:val="center" w:pos="4320"/>
          <w:tab w:val="right" w:pos="8640"/>
        </w:tabs>
        <w:jc w:val="both"/>
        <w:rPr>
          <w:color w:val="FF0000"/>
          <w:szCs w:val="22"/>
          <w:lang w:val="sr-Latn-ME"/>
        </w:rPr>
      </w:pPr>
      <w:r w:rsidRPr="005B51C6">
        <w:rPr>
          <w:i/>
          <w:szCs w:val="22"/>
          <w:lang w:val="sr-Latn-ME"/>
        </w:rPr>
        <w:t xml:space="preserve">Trudnoća: </w:t>
      </w:r>
      <w:r w:rsidRPr="005B51C6">
        <w:rPr>
          <w:szCs w:val="22"/>
          <w:lang w:val="sr-Latn-ME"/>
        </w:rPr>
        <w:t>Terapiju</w:t>
      </w:r>
      <w:r w:rsidRPr="005B51C6">
        <w:rPr>
          <w:i/>
          <w:szCs w:val="22"/>
          <w:lang w:val="sr-Latn-ME"/>
        </w:rPr>
        <w:t xml:space="preserve"> </w:t>
      </w:r>
      <w:r w:rsidRPr="005B51C6">
        <w:rPr>
          <w:szCs w:val="22"/>
          <w:lang w:val="sr-Latn-ME"/>
        </w:rPr>
        <w:t>ACE inhibitorima, kao što je ramipril, ili blokatorima angiotenzin II receptora, ne treba započinjati tokom trudnoće. Osim u slučajevima u kojima se kontinuirana terapija ACE inhibitorima/blokatorima angiotenzin II receptora smatra neophodnom, pacijentkinje koje planiraju trudnoću treba da pređu na alternativnu antihipertenzivnu terapiju, koja ima ustanovljen bezbjednosni profil za primjenu u trudnoći. Kada se trudnoća ustanovi, terapiju ACE inhibitorima/blokatorima angiotenzin II receptora treba odmah prekinuti i započeti alternativnu terapiju, ukoliko je to prihvatljivo (vidjeti djelove 4.3 i 4.6).</w:t>
      </w:r>
    </w:p>
    <w:p w14:paraId="3978BBD3" w14:textId="77777777" w:rsidR="000C7B6F" w:rsidRPr="005B51C6" w:rsidRDefault="00AD382D" w:rsidP="00F645E1">
      <w:pPr>
        <w:tabs>
          <w:tab w:val="left" w:pos="0"/>
          <w:tab w:val="center" w:pos="4320"/>
          <w:tab w:val="right" w:pos="8640"/>
        </w:tabs>
        <w:jc w:val="both"/>
        <w:rPr>
          <w:i/>
          <w:szCs w:val="22"/>
          <w:u w:val="single"/>
          <w:lang w:val="sr-Latn-ME"/>
        </w:rPr>
      </w:pPr>
      <w:r w:rsidRPr="005B51C6">
        <w:rPr>
          <w:i/>
          <w:szCs w:val="22"/>
          <w:u w:val="single"/>
          <w:lang w:val="sr-Latn-ME"/>
        </w:rPr>
        <w:t>Pacijenti sa posebnim rizikom za pojavu hipotenzije</w:t>
      </w:r>
    </w:p>
    <w:p w14:paraId="67CA5E20" w14:textId="77777777" w:rsidR="000C7B6F" w:rsidRPr="005B51C6" w:rsidRDefault="000C7B6F" w:rsidP="00F645E1">
      <w:pPr>
        <w:tabs>
          <w:tab w:val="left" w:pos="0"/>
          <w:tab w:val="center" w:pos="4320"/>
          <w:tab w:val="right" w:pos="8640"/>
        </w:tabs>
        <w:jc w:val="both"/>
        <w:rPr>
          <w:i/>
          <w:szCs w:val="22"/>
          <w:u w:val="single"/>
          <w:lang w:val="sr-Latn-ME"/>
        </w:rPr>
      </w:pPr>
    </w:p>
    <w:p w14:paraId="5989CE9C" w14:textId="77777777" w:rsidR="000C7B6F" w:rsidRPr="005B51C6" w:rsidRDefault="00AD382D" w:rsidP="00F645E1">
      <w:pPr>
        <w:tabs>
          <w:tab w:val="left" w:pos="0"/>
          <w:tab w:val="center" w:pos="4320"/>
          <w:tab w:val="right" w:pos="8640"/>
        </w:tabs>
        <w:jc w:val="both"/>
        <w:rPr>
          <w:i/>
          <w:szCs w:val="22"/>
          <w:lang w:val="sr-Latn-ME"/>
        </w:rPr>
      </w:pPr>
      <w:bookmarkStart w:id="6" w:name="OLE_LINK5"/>
      <w:r w:rsidRPr="005B51C6">
        <w:rPr>
          <w:i/>
          <w:szCs w:val="22"/>
          <w:lang w:val="sr-Latn-ME"/>
        </w:rPr>
        <w:t>-   Pacijenti sa snažno aktiviranim renin-angiotenzin-aldosteron sistemom</w:t>
      </w:r>
      <w:bookmarkEnd w:id="6"/>
    </w:p>
    <w:p w14:paraId="16C82079"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Kod pacijenata sa snažno aktiviranim renin-angiotenzin-aldosteron sistemom, postoji rizik za pojavu akutnog, izrazitog pada krvnog pritiska i pogoršanja funkcije bubrega kao posljedica ACE inhibicije, </w:t>
      </w:r>
      <w:r w:rsidRPr="005B51C6">
        <w:rPr>
          <w:szCs w:val="22"/>
          <w:lang w:val="sr-Latn-ME"/>
        </w:rPr>
        <w:lastRenderedPageBreak/>
        <w:t>posebno kada su ACE inhibitor ili istovremeno uzet diuretik primijenjeni prvi put ili pri prvom povećanju doze.</w:t>
      </w:r>
    </w:p>
    <w:p w14:paraId="169287B8"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Značajna aktivacija sistema renin–angiotenzin-aldosteron se može očekivati, i neophodan je medicinski nadzor koji uključuje i praćenje vrijednosti krvnog pritiska kod, na primjer:</w:t>
      </w:r>
    </w:p>
    <w:p w14:paraId="0E6D5572"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sa teškom hipertenzijom,</w:t>
      </w:r>
    </w:p>
    <w:p w14:paraId="1373A15A"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sa dekompenzovanom kongestivnom srčanom insuficijencijom,</w:t>
      </w:r>
    </w:p>
    <w:p w14:paraId="5601B03E"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sa hemodinamski značajnom opstrukcijom protoka kroz lijevu komoru (npr. stenoza aortnog ili mitralnog zaliska),</w:t>
      </w:r>
    </w:p>
    <w:p w14:paraId="19D31D5B"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sa unilateralnom stenozom renalne arterije kod kojih je drugi bubreg funkcionalan,</w:t>
      </w:r>
    </w:p>
    <w:p w14:paraId="5319F5F0"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kod kojih postoji ili se može pojaviti gubitak soli i/ili tečnosti (uključujući pacijente koji su na terapiji diureticima),</w:t>
      </w:r>
    </w:p>
    <w:p w14:paraId="25FCD5C6"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sa cirozom jetre i/ili ascitesom,</w:t>
      </w:r>
    </w:p>
    <w:p w14:paraId="6FA1E1BF" w14:textId="77777777" w:rsidR="000C7B6F" w:rsidRPr="005B51C6" w:rsidRDefault="00AD382D" w:rsidP="00F645E1">
      <w:pPr>
        <w:numPr>
          <w:ilvl w:val="0"/>
          <w:numId w:val="32"/>
        </w:numPr>
        <w:tabs>
          <w:tab w:val="clear" w:pos="567"/>
          <w:tab w:val="left" w:pos="284"/>
        </w:tabs>
        <w:spacing w:line="240" w:lineRule="auto"/>
        <w:jc w:val="both"/>
        <w:rPr>
          <w:szCs w:val="22"/>
          <w:lang w:val="sr-Latn-ME"/>
        </w:rPr>
      </w:pPr>
      <w:r w:rsidRPr="005B51C6">
        <w:rPr>
          <w:szCs w:val="22"/>
          <w:lang w:val="sr-Latn-ME"/>
        </w:rPr>
        <w:t>pacijenata koji će biti podvrgnuti većem operativnom zahvatu ili tokom anestezije izazvane agensima koji dovode do hipotenzije.</w:t>
      </w:r>
    </w:p>
    <w:p w14:paraId="305E4DE8" w14:textId="77777777" w:rsidR="000C7B6F" w:rsidRPr="005B51C6" w:rsidRDefault="00AD382D" w:rsidP="00F645E1">
      <w:pPr>
        <w:tabs>
          <w:tab w:val="center" w:pos="4320"/>
          <w:tab w:val="right" w:pos="8640"/>
        </w:tabs>
        <w:jc w:val="both"/>
        <w:rPr>
          <w:szCs w:val="22"/>
          <w:lang w:val="sr-Latn-ME"/>
        </w:rPr>
      </w:pPr>
      <w:r w:rsidRPr="005B51C6">
        <w:rPr>
          <w:szCs w:val="22"/>
          <w:lang w:val="sr-Latn-ME"/>
        </w:rPr>
        <w:t>Uopšteno, preporučuje se korekcija dehidratacije, hipovolemije ili gubitka soli prije početka terapije (međutim, kod pacijenata sa srčanom insuficijencijom takve korektivne aktivnosti se moraju pažljivo odmjeriti u odnosu na rizik od preopterećenja volumenom).</w:t>
      </w:r>
    </w:p>
    <w:p w14:paraId="2CDF77F4" w14:textId="77777777" w:rsidR="000C7B6F" w:rsidRPr="005B51C6" w:rsidRDefault="000C7B6F" w:rsidP="00F645E1">
      <w:pPr>
        <w:tabs>
          <w:tab w:val="center" w:pos="4320"/>
          <w:tab w:val="right" w:pos="8640"/>
        </w:tabs>
        <w:jc w:val="both"/>
        <w:rPr>
          <w:szCs w:val="22"/>
          <w:lang w:val="sr-Latn-ME"/>
        </w:rPr>
      </w:pPr>
    </w:p>
    <w:p w14:paraId="140987BC" w14:textId="77777777" w:rsidR="000C7B6F" w:rsidRPr="005B51C6" w:rsidRDefault="00AD382D" w:rsidP="00F645E1">
      <w:pPr>
        <w:tabs>
          <w:tab w:val="center" w:pos="4320"/>
          <w:tab w:val="right" w:pos="8640"/>
        </w:tabs>
        <w:jc w:val="both"/>
        <w:rPr>
          <w:i/>
          <w:szCs w:val="22"/>
          <w:lang w:val="sr-Latn-ME"/>
        </w:rPr>
      </w:pPr>
      <w:r w:rsidRPr="005B51C6">
        <w:rPr>
          <w:i/>
          <w:szCs w:val="22"/>
          <w:lang w:val="sr-Latn-ME"/>
        </w:rPr>
        <w:t xml:space="preserve">-   Dvostruka blokada sistema renin-angiotenzin-aldosteron (RAAS): </w:t>
      </w:r>
    </w:p>
    <w:p w14:paraId="4CA904B3" w14:textId="77777777" w:rsidR="000C7B6F" w:rsidRPr="005B51C6" w:rsidRDefault="000C7B6F" w:rsidP="00F645E1">
      <w:pPr>
        <w:tabs>
          <w:tab w:val="center" w:pos="4320"/>
          <w:tab w:val="right" w:pos="8640"/>
        </w:tabs>
        <w:jc w:val="both"/>
        <w:rPr>
          <w:i/>
          <w:szCs w:val="22"/>
          <w:lang w:val="sr-Latn-ME"/>
        </w:rPr>
      </w:pPr>
    </w:p>
    <w:p w14:paraId="0B2612DC" w14:textId="77777777" w:rsidR="000C7B6F" w:rsidRPr="005B51C6" w:rsidRDefault="00AD382D" w:rsidP="00F645E1">
      <w:pPr>
        <w:tabs>
          <w:tab w:val="center" w:pos="4320"/>
          <w:tab w:val="right" w:pos="8640"/>
        </w:tabs>
        <w:jc w:val="both"/>
        <w:rPr>
          <w:szCs w:val="22"/>
          <w:lang w:val="sr-Latn-ME"/>
        </w:rPr>
      </w:pPr>
      <w:r w:rsidRPr="005B51C6">
        <w:rPr>
          <w:szCs w:val="22"/>
          <w:lang w:val="sr-Latn-ME"/>
        </w:rPr>
        <w:t xml:space="preserve">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stoga se ne preporučuje (vidjeti djelove 4.5 i 5.1). </w:t>
      </w:r>
    </w:p>
    <w:p w14:paraId="4EAE2E81" w14:textId="77777777" w:rsidR="000C7B6F" w:rsidRPr="005B51C6" w:rsidRDefault="00AD382D" w:rsidP="00F645E1">
      <w:pPr>
        <w:tabs>
          <w:tab w:val="center" w:pos="4320"/>
          <w:tab w:val="right" w:pos="8640"/>
        </w:tabs>
        <w:jc w:val="both"/>
        <w:rPr>
          <w:szCs w:val="22"/>
          <w:lang w:val="sr-Latn-ME"/>
        </w:rPr>
      </w:pPr>
      <w:r w:rsidRPr="005B51C6">
        <w:rPr>
          <w:szCs w:val="22"/>
          <w:lang w:val="sr-Latn-ME"/>
        </w:rPr>
        <w:t>Ako se terapija dvostrukom blokadom smatra apsolutno neophodnom, smije se sprovoditi samo pod nadzorom specijalista i uz pažljivo praćenje bubrežne funkcije, elektrolita i krvnog pritiska.</w:t>
      </w:r>
    </w:p>
    <w:p w14:paraId="0B3AE7A1" w14:textId="77777777" w:rsidR="000C7B6F" w:rsidRPr="005B51C6" w:rsidRDefault="00AD382D" w:rsidP="00F645E1">
      <w:pPr>
        <w:tabs>
          <w:tab w:val="center" w:pos="4320"/>
          <w:tab w:val="right" w:pos="8640"/>
        </w:tabs>
        <w:jc w:val="both"/>
        <w:rPr>
          <w:szCs w:val="22"/>
          <w:lang w:val="sr-Latn-ME"/>
        </w:rPr>
      </w:pPr>
      <w:r w:rsidRPr="005B51C6">
        <w:rPr>
          <w:szCs w:val="22"/>
          <w:lang w:val="sr-Latn-ME"/>
        </w:rPr>
        <w:t>ACE inhibitori i blokatori angiotenzin II receptora ne smiju se primjenjivati istovremeno kod pacijenata  sa dijabetičkom nefropatijom.</w:t>
      </w:r>
    </w:p>
    <w:p w14:paraId="6DD4BA04" w14:textId="77777777" w:rsidR="000C7B6F" w:rsidRPr="005B51C6" w:rsidRDefault="00AD382D" w:rsidP="00F645E1">
      <w:pPr>
        <w:tabs>
          <w:tab w:val="center" w:pos="4320"/>
          <w:tab w:val="right" w:pos="8640"/>
        </w:tabs>
        <w:jc w:val="both"/>
        <w:rPr>
          <w:i/>
          <w:szCs w:val="22"/>
          <w:lang w:val="sr-Latn-ME"/>
        </w:rPr>
      </w:pPr>
      <w:r w:rsidRPr="005B51C6">
        <w:rPr>
          <w:i/>
          <w:szCs w:val="22"/>
          <w:lang w:val="sr-Latn-ME"/>
        </w:rPr>
        <w:t>-   Prolazna ili trajna srčana insuficijencija poslije infarkta miokarda</w:t>
      </w:r>
    </w:p>
    <w:p w14:paraId="14F123F1" w14:textId="77777777" w:rsidR="000C7B6F" w:rsidRPr="005B51C6" w:rsidRDefault="00AD382D" w:rsidP="00F645E1">
      <w:pPr>
        <w:tabs>
          <w:tab w:val="center" w:pos="4320"/>
          <w:tab w:val="right" w:pos="8640"/>
        </w:tabs>
        <w:jc w:val="both"/>
        <w:rPr>
          <w:i/>
          <w:szCs w:val="22"/>
          <w:lang w:val="sr-Latn-ME"/>
        </w:rPr>
      </w:pPr>
      <w:r w:rsidRPr="005B51C6">
        <w:rPr>
          <w:i/>
          <w:szCs w:val="22"/>
          <w:lang w:val="sr-Latn-ME"/>
        </w:rPr>
        <w:t>-   Pacijenti sa rizikom od pojave srčane ili cerebralne ishemije u slučaju akutne hipotenzije</w:t>
      </w:r>
    </w:p>
    <w:p w14:paraId="01FC8B07" w14:textId="77777777" w:rsidR="000C7B6F" w:rsidRPr="005B51C6" w:rsidRDefault="000C7B6F" w:rsidP="00F645E1">
      <w:pPr>
        <w:tabs>
          <w:tab w:val="center" w:pos="4320"/>
          <w:tab w:val="right" w:pos="8640"/>
        </w:tabs>
        <w:jc w:val="both"/>
        <w:rPr>
          <w:i/>
          <w:szCs w:val="22"/>
          <w:lang w:val="sr-Latn-ME"/>
        </w:rPr>
      </w:pPr>
    </w:p>
    <w:p w14:paraId="506E410B" w14:textId="77777777" w:rsidR="000C7B6F" w:rsidRPr="005B51C6" w:rsidRDefault="00AD382D" w:rsidP="00F645E1">
      <w:pPr>
        <w:tabs>
          <w:tab w:val="center" w:pos="4320"/>
          <w:tab w:val="right" w:pos="8640"/>
        </w:tabs>
        <w:jc w:val="both"/>
        <w:rPr>
          <w:szCs w:val="22"/>
          <w:lang w:val="sr-Latn-ME"/>
        </w:rPr>
      </w:pPr>
      <w:r w:rsidRPr="005B51C6">
        <w:rPr>
          <w:szCs w:val="22"/>
          <w:lang w:val="sr-Latn-ME"/>
        </w:rPr>
        <w:t>Inicijalna faza terapije zahtijeva specijalni medicinski nadzor.</w:t>
      </w:r>
    </w:p>
    <w:p w14:paraId="30C21100" w14:textId="77777777" w:rsidR="000C7B6F" w:rsidRPr="005B51C6" w:rsidRDefault="000C7B6F" w:rsidP="00F645E1">
      <w:pPr>
        <w:tabs>
          <w:tab w:val="center" w:pos="4320"/>
          <w:tab w:val="right" w:pos="8640"/>
        </w:tabs>
        <w:jc w:val="both"/>
        <w:rPr>
          <w:color w:val="FF0000"/>
          <w:szCs w:val="22"/>
          <w:lang w:val="sr-Latn-ME"/>
        </w:rPr>
      </w:pPr>
    </w:p>
    <w:p w14:paraId="2012FADA" w14:textId="77777777" w:rsidR="000C7B6F" w:rsidRPr="005B51C6" w:rsidRDefault="00AD382D" w:rsidP="00F645E1">
      <w:pPr>
        <w:tabs>
          <w:tab w:val="center" w:pos="4320"/>
          <w:tab w:val="right" w:pos="8640"/>
        </w:tabs>
        <w:jc w:val="both"/>
        <w:rPr>
          <w:i/>
          <w:szCs w:val="22"/>
          <w:u w:val="single"/>
          <w:lang w:val="sr-Latn-ME"/>
        </w:rPr>
      </w:pPr>
      <w:r w:rsidRPr="005B51C6">
        <w:rPr>
          <w:i/>
          <w:szCs w:val="22"/>
          <w:u w:val="single"/>
          <w:lang w:val="sr-Latn-ME"/>
        </w:rPr>
        <w:t xml:space="preserve">Stariji pacijenti </w:t>
      </w:r>
    </w:p>
    <w:p w14:paraId="132E4C79" w14:textId="77777777" w:rsidR="000C7B6F" w:rsidRPr="005B51C6" w:rsidRDefault="000C7B6F" w:rsidP="00F645E1">
      <w:pPr>
        <w:tabs>
          <w:tab w:val="center" w:pos="4320"/>
          <w:tab w:val="right" w:pos="8640"/>
        </w:tabs>
        <w:jc w:val="both"/>
        <w:rPr>
          <w:i/>
          <w:szCs w:val="22"/>
          <w:u w:val="single"/>
          <w:lang w:val="sr-Latn-ME"/>
        </w:rPr>
      </w:pPr>
    </w:p>
    <w:p w14:paraId="7238782C" w14:textId="77777777" w:rsidR="000C7B6F" w:rsidRPr="005B51C6" w:rsidRDefault="00AD382D" w:rsidP="00F645E1">
      <w:pPr>
        <w:tabs>
          <w:tab w:val="center" w:pos="4320"/>
          <w:tab w:val="right" w:pos="8640"/>
        </w:tabs>
        <w:jc w:val="both"/>
        <w:rPr>
          <w:szCs w:val="22"/>
          <w:lang w:val="sr-Latn-ME"/>
        </w:rPr>
      </w:pPr>
      <w:r w:rsidRPr="005B51C6">
        <w:rPr>
          <w:szCs w:val="22"/>
          <w:lang w:val="sr-Latn-ME"/>
        </w:rPr>
        <w:t>Vidjeti dio 4.2</w:t>
      </w:r>
    </w:p>
    <w:p w14:paraId="7B67355A" w14:textId="77777777" w:rsidR="000C7B6F" w:rsidRPr="005B51C6" w:rsidRDefault="000C7B6F" w:rsidP="00F645E1">
      <w:pPr>
        <w:tabs>
          <w:tab w:val="center" w:pos="4320"/>
          <w:tab w:val="right" w:pos="8640"/>
        </w:tabs>
        <w:jc w:val="both"/>
        <w:rPr>
          <w:color w:val="FF0000"/>
          <w:szCs w:val="22"/>
          <w:lang w:val="sr-Latn-ME"/>
        </w:rPr>
      </w:pPr>
    </w:p>
    <w:p w14:paraId="4176CA30" w14:textId="77777777" w:rsidR="000C7B6F" w:rsidRPr="005B51C6" w:rsidRDefault="00AD382D" w:rsidP="00F645E1">
      <w:pPr>
        <w:tabs>
          <w:tab w:val="center" w:pos="4320"/>
          <w:tab w:val="right" w:pos="8640"/>
        </w:tabs>
        <w:jc w:val="both"/>
        <w:rPr>
          <w:i/>
          <w:szCs w:val="22"/>
          <w:u w:val="single"/>
          <w:lang w:val="sr-Latn-ME"/>
        </w:rPr>
      </w:pPr>
      <w:r w:rsidRPr="005B51C6">
        <w:rPr>
          <w:i/>
          <w:szCs w:val="22"/>
          <w:u w:val="single"/>
          <w:lang w:val="sr-Latn-ME"/>
        </w:rPr>
        <w:t>Hiruške intervencije</w:t>
      </w:r>
    </w:p>
    <w:p w14:paraId="05375D19" w14:textId="77777777" w:rsidR="000C7B6F" w:rsidRPr="005B51C6" w:rsidRDefault="000C7B6F" w:rsidP="00F645E1">
      <w:pPr>
        <w:tabs>
          <w:tab w:val="center" w:pos="4320"/>
          <w:tab w:val="right" w:pos="8640"/>
        </w:tabs>
        <w:jc w:val="both"/>
        <w:rPr>
          <w:i/>
          <w:szCs w:val="22"/>
          <w:u w:val="single"/>
          <w:lang w:val="sr-Latn-ME"/>
        </w:rPr>
      </w:pPr>
    </w:p>
    <w:p w14:paraId="37FB2A66" w14:textId="77777777" w:rsidR="000C7B6F" w:rsidRPr="005B51C6" w:rsidRDefault="00AD382D" w:rsidP="00F645E1">
      <w:pPr>
        <w:tabs>
          <w:tab w:val="center" w:pos="4320"/>
          <w:tab w:val="right" w:pos="8640"/>
        </w:tabs>
        <w:jc w:val="both"/>
        <w:rPr>
          <w:szCs w:val="22"/>
          <w:lang w:val="sr-Latn-ME"/>
        </w:rPr>
      </w:pPr>
      <w:r w:rsidRPr="005B51C6">
        <w:rPr>
          <w:szCs w:val="22"/>
          <w:lang w:val="sr-Latn-ME"/>
        </w:rPr>
        <w:t>Preporučuje se da se terapija inhibitorima angiotenzin konvertujućeg enzima, kao što je ramipril, prekine gdje god je to moguće jedan dan prije operacije.</w:t>
      </w:r>
    </w:p>
    <w:p w14:paraId="39966C3D" w14:textId="77777777" w:rsidR="000C7B6F" w:rsidRPr="005B51C6" w:rsidRDefault="000C7B6F" w:rsidP="00F645E1">
      <w:pPr>
        <w:tabs>
          <w:tab w:val="center" w:pos="4320"/>
          <w:tab w:val="right" w:pos="8640"/>
        </w:tabs>
        <w:jc w:val="both"/>
        <w:rPr>
          <w:color w:val="FF0000"/>
          <w:szCs w:val="22"/>
          <w:lang w:val="sr-Latn-ME"/>
        </w:rPr>
      </w:pPr>
    </w:p>
    <w:p w14:paraId="5AC32A30" w14:textId="77777777" w:rsidR="000C7B6F" w:rsidRPr="005B51C6" w:rsidRDefault="00AD382D" w:rsidP="00F645E1">
      <w:pPr>
        <w:tabs>
          <w:tab w:val="center" w:pos="4320"/>
          <w:tab w:val="right" w:pos="8640"/>
        </w:tabs>
        <w:jc w:val="both"/>
        <w:rPr>
          <w:i/>
          <w:szCs w:val="22"/>
          <w:u w:val="single"/>
          <w:lang w:val="sr-Latn-ME"/>
        </w:rPr>
      </w:pPr>
      <w:r w:rsidRPr="005B51C6">
        <w:rPr>
          <w:i/>
          <w:szCs w:val="22"/>
          <w:u w:val="single"/>
          <w:lang w:val="sr-Latn-ME"/>
        </w:rPr>
        <w:t>Praćenje renalne funkcije</w:t>
      </w:r>
    </w:p>
    <w:p w14:paraId="0C365EF7" w14:textId="77777777" w:rsidR="000C7B6F" w:rsidRPr="005B51C6" w:rsidRDefault="000C7B6F" w:rsidP="00F645E1">
      <w:pPr>
        <w:tabs>
          <w:tab w:val="center" w:pos="4320"/>
          <w:tab w:val="right" w:pos="8640"/>
        </w:tabs>
        <w:jc w:val="both"/>
        <w:rPr>
          <w:i/>
          <w:szCs w:val="22"/>
          <w:u w:val="single"/>
          <w:lang w:val="sr-Latn-ME"/>
        </w:rPr>
      </w:pPr>
    </w:p>
    <w:p w14:paraId="1CE5CFF2" w14:textId="77777777" w:rsidR="000C7B6F" w:rsidRPr="005B51C6" w:rsidRDefault="00AD382D" w:rsidP="00F645E1">
      <w:pPr>
        <w:tabs>
          <w:tab w:val="center" w:pos="4320"/>
          <w:tab w:val="right" w:pos="8640"/>
        </w:tabs>
        <w:jc w:val="both"/>
        <w:rPr>
          <w:szCs w:val="22"/>
          <w:lang w:val="sr-Latn-ME"/>
        </w:rPr>
      </w:pPr>
      <w:r w:rsidRPr="005B51C6">
        <w:rPr>
          <w:szCs w:val="22"/>
          <w:lang w:val="sr-Latn-ME"/>
        </w:rPr>
        <w:t>Renalnu funkciju treba procjenjivati  prije  i tokom terapije i dozu treba prilagoditi, posebno u inicijalnoj nedjelji terapije. Posebno pažljivo praćenje je potrebno kod pacijenata sa renalnim oštećenjem (vidjeti dio 4.2). Postoji rizik od oštećenja renalne funkcije, posebno kod pacijenata sa kongestivnom srčanom insuficijencijom ili poslije transplantacije bubrega.</w:t>
      </w:r>
    </w:p>
    <w:p w14:paraId="376742D1" w14:textId="77777777" w:rsidR="000C7B6F" w:rsidRPr="005B51C6" w:rsidRDefault="00AD382D" w:rsidP="00F645E1">
      <w:pPr>
        <w:tabs>
          <w:tab w:val="left" w:pos="284"/>
          <w:tab w:val="center" w:pos="4320"/>
          <w:tab w:val="right" w:pos="8640"/>
        </w:tabs>
        <w:jc w:val="both"/>
        <w:rPr>
          <w:i/>
          <w:szCs w:val="22"/>
          <w:u w:val="single"/>
          <w:lang w:val="sr-Latn-ME"/>
        </w:rPr>
      </w:pPr>
      <w:r w:rsidRPr="005B51C6">
        <w:rPr>
          <w:i/>
          <w:szCs w:val="22"/>
          <w:u w:val="single"/>
          <w:lang w:val="sr-Latn-ME"/>
        </w:rPr>
        <w:t>Hipersenzitivnost/Angioedem</w:t>
      </w:r>
    </w:p>
    <w:p w14:paraId="0F7B25D8" w14:textId="77777777" w:rsidR="000C7B6F" w:rsidRPr="005B51C6" w:rsidRDefault="000C7B6F" w:rsidP="00F645E1">
      <w:pPr>
        <w:tabs>
          <w:tab w:val="left" w:pos="0"/>
          <w:tab w:val="center" w:pos="4320"/>
          <w:tab w:val="right" w:pos="8640"/>
        </w:tabs>
        <w:jc w:val="both"/>
        <w:rPr>
          <w:i/>
          <w:szCs w:val="22"/>
          <w:u w:val="single"/>
          <w:lang w:val="sr-Latn-ME"/>
        </w:rPr>
      </w:pPr>
    </w:p>
    <w:p w14:paraId="026781C0"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Kod pacijenata na terapiji ACE inhibitorima, uključujući ramipril, prijavljeni su slučajevi angioedema (vidjeti dio 4.8). </w:t>
      </w:r>
    </w:p>
    <w:p w14:paraId="57E951A7" w14:textId="77777777" w:rsidR="000C7B6F" w:rsidRPr="005B51C6" w:rsidRDefault="00AD382D" w:rsidP="00F645E1">
      <w:pPr>
        <w:tabs>
          <w:tab w:val="left" w:pos="284"/>
          <w:tab w:val="center" w:pos="4320"/>
          <w:tab w:val="right" w:pos="8640"/>
        </w:tabs>
        <w:ind w:right="-113"/>
        <w:jc w:val="both"/>
        <w:rPr>
          <w:szCs w:val="22"/>
          <w:lang w:val="sr-Latn-ME"/>
        </w:rPr>
      </w:pPr>
      <w:r w:rsidRPr="005B51C6">
        <w:rPr>
          <w:szCs w:val="22"/>
          <w:lang w:val="sr-Latn-ME"/>
        </w:rPr>
        <w:t xml:space="preserve">Istovremena upotreba ACE inhibitora sa sakubitril/valsartanom je kontraindikovana zbog povećanog rizika od angioedema. Terapija sakubitril/valsatranom ne smije se započinjati prije isteka 36 sati od </w:t>
      </w:r>
      <w:r w:rsidRPr="005B51C6">
        <w:rPr>
          <w:szCs w:val="22"/>
          <w:lang w:val="sr-Latn-ME"/>
        </w:rPr>
        <w:lastRenderedPageBreak/>
        <w:t xml:space="preserve">posljednje doze ramipril/hidrohlortiazida. Terapija ramipril/hidrohlortiazidom ne smije se započinjati prije isteka 36 sati od posljednje doze sakubitril/valsatrana (vidjeti djelove 4.3 i 4.5). </w:t>
      </w:r>
    </w:p>
    <w:p w14:paraId="2CEE68A3" w14:textId="3A80B826"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Istovremena upotreba ACE inhibitora sa racekadotrilom,</w:t>
      </w:r>
      <w:r w:rsidR="00A527DF" w:rsidRPr="005B51C6">
        <w:rPr>
          <w:szCs w:val="22"/>
          <w:lang w:val="sr-Latn-ME"/>
        </w:rPr>
        <w:t xml:space="preserve"> </w:t>
      </w:r>
      <w:r w:rsidRPr="005B51C6">
        <w:rPr>
          <w:szCs w:val="22"/>
          <w:lang w:val="sr-Latn-ME"/>
        </w:rPr>
        <w:t>inhibitorima aktivacije mTOR (rapamicinske mete sisara) (npr. temsirolimus, everolimus, sirolimus) i vildagliptinom može dovesti do povećanog rizika od angioedema (npr. oticanje disajnih puteva ili jezika, sa ili bez oštećenja disajnih puteva) (vidjeti dio 4.5). Potreban je oprez kada se započinje sa primjenom racekadotrila, mTOR inhibitora (npr. sirolimusa, everolimusa, temsirolimusa) i vildagliptina kod pacijenta koji već uzima ACE inhibitor.</w:t>
      </w:r>
    </w:p>
    <w:p w14:paraId="5130EE16"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Ukoliko se u toku terapije pojavi angioedem, upotreba lijeka Ampril se mora odmah prekinuti. </w:t>
      </w:r>
    </w:p>
    <w:p w14:paraId="5D2A96A9"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Hitna terapija se mora brzo sprovesti. Pacijent mora biti pod ljekarskim nadzorom najmanje 12 do 24 sati, a  otpušta se tek nakon povlačenja simptoma. </w:t>
      </w:r>
    </w:p>
    <w:p w14:paraId="45E2B4F9" w14:textId="47FFDED4"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Intestinalni angioedem je zabilježen kod pacijenata na terapiji ACE inhibitorima, uključujući i Ampril (vidjeti dio 4.8). Kod ovih pacijenata, javio se bol u abdomenu (sa ili bez mučnine ili povraćanja).</w:t>
      </w:r>
      <w:r w:rsidR="00C311E8" w:rsidRPr="005B51C6">
        <w:rPr>
          <w:szCs w:val="22"/>
          <w:lang w:val="sr-Latn-ME"/>
        </w:rPr>
        <w:t xml:space="preserve"> Simptomi intestinalnog angioedema povukli su se nakon prestanka uzimanja ACE inhibitora.</w:t>
      </w:r>
    </w:p>
    <w:p w14:paraId="25459DA9" w14:textId="77777777" w:rsidR="000C7B6F" w:rsidRPr="005B51C6" w:rsidRDefault="000C7B6F" w:rsidP="00F645E1">
      <w:pPr>
        <w:tabs>
          <w:tab w:val="left" w:pos="0"/>
          <w:tab w:val="center" w:pos="4320"/>
          <w:tab w:val="right" w:pos="8640"/>
        </w:tabs>
        <w:jc w:val="both"/>
        <w:rPr>
          <w:szCs w:val="22"/>
          <w:lang w:val="sr-Latn-ME"/>
        </w:rPr>
      </w:pPr>
    </w:p>
    <w:p w14:paraId="7ABE10C4" w14:textId="77777777" w:rsidR="000C7B6F" w:rsidRPr="005B51C6" w:rsidRDefault="00AD382D" w:rsidP="00F645E1">
      <w:pPr>
        <w:tabs>
          <w:tab w:val="left" w:pos="0"/>
          <w:tab w:val="center" w:pos="4320"/>
          <w:tab w:val="right" w:pos="8640"/>
        </w:tabs>
        <w:jc w:val="both"/>
        <w:rPr>
          <w:i/>
          <w:szCs w:val="22"/>
          <w:u w:val="single"/>
          <w:lang w:val="sr-Latn-ME"/>
        </w:rPr>
      </w:pPr>
      <w:r w:rsidRPr="005B51C6">
        <w:rPr>
          <w:i/>
          <w:szCs w:val="22"/>
          <w:u w:val="single"/>
          <w:lang w:val="sr-Latn-ME"/>
        </w:rPr>
        <w:t>Anafilaktičke reakcije tokom desenzitizacije</w:t>
      </w:r>
    </w:p>
    <w:p w14:paraId="68962E21" w14:textId="77777777" w:rsidR="000C7B6F" w:rsidRPr="005B51C6" w:rsidRDefault="000C7B6F" w:rsidP="00F645E1">
      <w:pPr>
        <w:tabs>
          <w:tab w:val="left" w:pos="0"/>
          <w:tab w:val="center" w:pos="4320"/>
          <w:tab w:val="right" w:pos="8640"/>
        </w:tabs>
        <w:jc w:val="both"/>
        <w:rPr>
          <w:i/>
          <w:szCs w:val="22"/>
          <w:u w:val="single"/>
          <w:lang w:val="sr-Latn-ME"/>
        </w:rPr>
      </w:pPr>
    </w:p>
    <w:p w14:paraId="64749CCD"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Vjerovatnoća i težina pojave anafilaktičkih i anafilaktoidnih reakcija na otrov insekata i druge alergene je povećana tokom terapije ACE inhibitorima. Treba razmotriti privremen prekid terapije lijekom Ampril prije desenzitizacije.</w:t>
      </w:r>
    </w:p>
    <w:p w14:paraId="68B04521" w14:textId="77777777" w:rsidR="000C7B6F" w:rsidRPr="005B51C6" w:rsidRDefault="000C7B6F" w:rsidP="00F645E1">
      <w:pPr>
        <w:tabs>
          <w:tab w:val="left" w:pos="0"/>
          <w:tab w:val="center" w:pos="4320"/>
          <w:tab w:val="right" w:pos="8640"/>
        </w:tabs>
        <w:jc w:val="both"/>
        <w:rPr>
          <w:szCs w:val="22"/>
          <w:lang w:val="sr-Latn-ME"/>
        </w:rPr>
      </w:pPr>
    </w:p>
    <w:p w14:paraId="4D58E8F7" w14:textId="77777777" w:rsidR="000C7B6F" w:rsidRPr="005B51C6" w:rsidRDefault="00AD382D" w:rsidP="00F645E1">
      <w:pPr>
        <w:tabs>
          <w:tab w:val="left" w:pos="0"/>
          <w:tab w:val="center" w:pos="4320"/>
          <w:tab w:val="right" w:pos="8640"/>
        </w:tabs>
        <w:jc w:val="both"/>
        <w:rPr>
          <w:i/>
          <w:szCs w:val="22"/>
          <w:u w:val="single"/>
          <w:lang w:val="sr-Latn-ME"/>
        </w:rPr>
      </w:pPr>
      <w:r w:rsidRPr="005B51C6">
        <w:rPr>
          <w:i/>
          <w:szCs w:val="22"/>
          <w:u w:val="single"/>
          <w:lang w:val="sr-Latn-ME"/>
        </w:rPr>
        <w:t>Praćenje elektrolita: Hiperkalijemija</w:t>
      </w:r>
    </w:p>
    <w:p w14:paraId="66EE2DBC" w14:textId="77777777" w:rsidR="000C7B6F" w:rsidRPr="005B51C6" w:rsidRDefault="000C7B6F" w:rsidP="00F645E1">
      <w:pPr>
        <w:tabs>
          <w:tab w:val="left" w:pos="0"/>
          <w:tab w:val="center" w:pos="4320"/>
          <w:tab w:val="right" w:pos="8640"/>
        </w:tabs>
        <w:jc w:val="both"/>
        <w:rPr>
          <w:i/>
          <w:szCs w:val="22"/>
          <w:u w:val="single"/>
          <w:lang w:val="sr-Latn-ME"/>
        </w:rPr>
      </w:pPr>
    </w:p>
    <w:p w14:paraId="5A5D759D"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ACE inhibitori mogu izazvati hiperkalijemiju budući da inhibiraju oslobađanje aldosterona. Efekat obično nije značajan kod pacijenata sa normalnom funkcijom bubrega. Pacijenti sa rizikom za razvoj hiperkalijemije su pacijenti sa renalnom insuficijencijom, pacijenti starije životne dobi (&gt;70 godina), pacijenti sa nekontrolisanim dijabetesom, ili pacijenti koji koriste soli kalijuma, diuretike koji štede kalijum ili druge aktivne supstance koje povećavaju nivo kalijuma u plazmi (npr. heparin, </w:t>
      </w:r>
      <w:r w:rsidRPr="005B51C6">
        <w:rPr>
          <w:bCs/>
          <w:szCs w:val="22"/>
          <w:lang w:val="sr-Latn-ME"/>
        </w:rPr>
        <w:t>trimetoprim ili kotrimoksazol poznat i kao  trimetoprim/sulfametoksazol i naročito antagonisti aldosterona ili blokatori receptora angiotezina)</w:t>
      </w:r>
      <w:r w:rsidRPr="005B51C6">
        <w:rPr>
          <w:iCs/>
          <w:szCs w:val="22"/>
          <w:lang w:val="sr-Latn-ME"/>
        </w:rPr>
        <w:t xml:space="preserve">, </w:t>
      </w:r>
      <w:r w:rsidRPr="005B51C6">
        <w:rPr>
          <w:szCs w:val="22"/>
          <w:lang w:val="sr-Latn-ME"/>
        </w:rPr>
        <w:t xml:space="preserve">ili stanja kao što su dehidratacija, akutna srčana dekompenzacija, metabolička acidoza. </w:t>
      </w:r>
      <w:r w:rsidRPr="005B51C6">
        <w:rPr>
          <w:bCs/>
          <w:szCs w:val="22"/>
          <w:lang w:val="sr-Latn-ME"/>
        </w:rPr>
        <w:t>Diuretici koji štede kalijum i blokatori receptora angiotenzina se moraju koristiti sa oprezom kod pacijenata koji koriste ACE inhibitore, pri čemu je potrebno i redovno kontrolisati nivo kalijuma u krvi i funkciju bubrega</w:t>
      </w:r>
      <w:r w:rsidRPr="005B51C6">
        <w:rPr>
          <w:bCs/>
          <w:color w:val="7030A0"/>
          <w:szCs w:val="22"/>
          <w:lang w:val="sr-Latn-ME"/>
        </w:rPr>
        <w:t xml:space="preserve"> </w:t>
      </w:r>
      <w:r w:rsidRPr="005B51C6">
        <w:rPr>
          <w:szCs w:val="22"/>
          <w:lang w:val="sr-Latn-ME"/>
        </w:rPr>
        <w:t>(vidjeti dio 4.5).</w:t>
      </w:r>
    </w:p>
    <w:p w14:paraId="4E75EC97" w14:textId="77777777" w:rsidR="000C7B6F" w:rsidRPr="005B51C6" w:rsidRDefault="000C7B6F" w:rsidP="00F645E1">
      <w:pPr>
        <w:tabs>
          <w:tab w:val="left" w:pos="0"/>
          <w:tab w:val="center" w:pos="4320"/>
          <w:tab w:val="right" w:pos="8640"/>
        </w:tabs>
        <w:jc w:val="both"/>
        <w:rPr>
          <w:szCs w:val="22"/>
          <w:lang w:val="sr-Latn-ME"/>
        </w:rPr>
      </w:pPr>
    </w:p>
    <w:p w14:paraId="1D022D8E" w14:textId="77777777" w:rsidR="000C7B6F" w:rsidRPr="005B51C6" w:rsidRDefault="00AD382D" w:rsidP="00F645E1">
      <w:pPr>
        <w:tabs>
          <w:tab w:val="left" w:pos="0"/>
          <w:tab w:val="center" w:pos="4320"/>
          <w:tab w:val="right" w:pos="8640"/>
        </w:tabs>
        <w:jc w:val="both"/>
        <w:rPr>
          <w:szCs w:val="22"/>
          <w:lang w:val="sr-Latn-ME"/>
        </w:rPr>
      </w:pPr>
      <w:r w:rsidRPr="005B51C6">
        <w:rPr>
          <w:i/>
          <w:szCs w:val="22"/>
          <w:u w:val="single"/>
          <w:lang w:val="sr-Latn-ME"/>
        </w:rPr>
        <w:t>Praćenje elektrolita: Hiponatrijemija</w:t>
      </w:r>
      <w:r w:rsidRPr="005B51C6">
        <w:rPr>
          <w:szCs w:val="22"/>
          <w:lang w:val="sr-Latn-ME"/>
        </w:rPr>
        <w:t xml:space="preserve"> </w:t>
      </w:r>
    </w:p>
    <w:p w14:paraId="779A6C1C" w14:textId="77777777" w:rsidR="000C7B6F" w:rsidRPr="005B51C6" w:rsidRDefault="000C7B6F" w:rsidP="00F645E1">
      <w:pPr>
        <w:tabs>
          <w:tab w:val="left" w:pos="0"/>
          <w:tab w:val="center" w:pos="4320"/>
          <w:tab w:val="right" w:pos="8640"/>
        </w:tabs>
        <w:jc w:val="both"/>
        <w:rPr>
          <w:szCs w:val="22"/>
          <w:lang w:val="sr-Latn-ME"/>
        </w:rPr>
      </w:pPr>
    </w:p>
    <w:p w14:paraId="7A3271F8" w14:textId="77256C08"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Sindrom neodgovarajućeg izlučivanja antidiuretskog hormona (SIADH) i kasnija hiponatrijemija zapaženi su kod nekih pacijenata liječenih ramiprilom. Preporučuje se redovno praćenje koncentracije natrijuma u serumu  kod starijih osoba i ostalih </w:t>
      </w:r>
      <w:r w:rsidR="00C311E8" w:rsidRPr="005B51C6">
        <w:rPr>
          <w:szCs w:val="22"/>
          <w:lang w:val="sr-Latn-ME"/>
        </w:rPr>
        <w:t>pacijenata</w:t>
      </w:r>
      <w:r w:rsidRPr="005B51C6">
        <w:rPr>
          <w:szCs w:val="22"/>
          <w:lang w:val="sr-Latn-ME"/>
        </w:rPr>
        <w:t xml:space="preserve"> sa rizikom od hiponatrijemije.</w:t>
      </w:r>
    </w:p>
    <w:p w14:paraId="7C4B2469" w14:textId="77777777" w:rsidR="000C7B6F" w:rsidRPr="005B51C6" w:rsidRDefault="000C7B6F" w:rsidP="00F645E1">
      <w:pPr>
        <w:tabs>
          <w:tab w:val="left" w:pos="0"/>
          <w:tab w:val="center" w:pos="4320"/>
          <w:tab w:val="right" w:pos="8640"/>
        </w:tabs>
        <w:jc w:val="both"/>
        <w:rPr>
          <w:szCs w:val="22"/>
          <w:lang w:val="sr-Latn-ME"/>
        </w:rPr>
      </w:pPr>
    </w:p>
    <w:p w14:paraId="69C0D0F2" w14:textId="77777777" w:rsidR="000C7B6F" w:rsidRPr="005B51C6" w:rsidRDefault="00AD382D" w:rsidP="00F645E1">
      <w:pPr>
        <w:tabs>
          <w:tab w:val="left" w:pos="0"/>
          <w:tab w:val="center" w:pos="4320"/>
          <w:tab w:val="right" w:pos="8640"/>
        </w:tabs>
        <w:jc w:val="both"/>
        <w:rPr>
          <w:i/>
          <w:szCs w:val="22"/>
          <w:u w:val="single"/>
          <w:lang w:val="sr-Latn-ME"/>
        </w:rPr>
      </w:pPr>
      <w:r w:rsidRPr="005B51C6">
        <w:rPr>
          <w:i/>
          <w:szCs w:val="22"/>
          <w:u w:val="single"/>
          <w:lang w:val="sr-Latn-ME"/>
        </w:rPr>
        <w:t>Neutropenija / agranulocitoza</w:t>
      </w:r>
    </w:p>
    <w:p w14:paraId="251CB70C" w14:textId="77777777" w:rsidR="000C7B6F" w:rsidRPr="005B51C6" w:rsidRDefault="000C7B6F" w:rsidP="00F645E1">
      <w:pPr>
        <w:tabs>
          <w:tab w:val="left" w:pos="0"/>
          <w:tab w:val="center" w:pos="4320"/>
          <w:tab w:val="right" w:pos="8640"/>
        </w:tabs>
        <w:jc w:val="both"/>
        <w:rPr>
          <w:i/>
          <w:szCs w:val="22"/>
          <w:u w:val="single"/>
          <w:lang w:val="sr-Latn-ME"/>
        </w:rPr>
      </w:pPr>
    </w:p>
    <w:p w14:paraId="59A706BF" w14:textId="5A6D1DCF"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Neutropenija / agranulocitoza, kao i trombocitopenija i anemija, javljale su se u rijetkim slučajevima, depresija kostne srži je takođe zabilježena. Preporučuje se praćenje broja leukocita, kako bi se detektovala moguća leukopenija. Češće praćenje se savjetuje u inicijalnoj fazi terapije i kod pacijenata sa oštećenom renalnom funkcijom, sa istovremenom kolagenom bolešću (npr. </w:t>
      </w:r>
      <w:r w:rsidRPr="005B51C6">
        <w:rPr>
          <w:i/>
          <w:szCs w:val="22"/>
          <w:lang w:val="sr-Latn-ME"/>
        </w:rPr>
        <w:t>lupus eritematodus</w:t>
      </w:r>
      <w:r w:rsidRPr="005B51C6">
        <w:rPr>
          <w:szCs w:val="22"/>
          <w:lang w:val="sr-Latn-ME"/>
        </w:rPr>
        <w:t xml:space="preserve"> ili sklerodermija), i svih ostalih koji su na terapiji ljekovima koji mogu da dovedu do promjene krvne slike (vidjeti dio 4.5 i 4.8).</w:t>
      </w:r>
    </w:p>
    <w:p w14:paraId="271D76A7" w14:textId="77777777" w:rsidR="00F645E1" w:rsidRPr="005B51C6" w:rsidRDefault="00F645E1" w:rsidP="00F645E1">
      <w:pPr>
        <w:tabs>
          <w:tab w:val="left" w:pos="0"/>
          <w:tab w:val="center" w:pos="4320"/>
          <w:tab w:val="right" w:pos="8640"/>
        </w:tabs>
        <w:jc w:val="both"/>
        <w:rPr>
          <w:szCs w:val="22"/>
          <w:lang w:val="sr-Latn-ME"/>
        </w:rPr>
      </w:pPr>
    </w:p>
    <w:p w14:paraId="52854183" w14:textId="77777777" w:rsidR="000C7B6F" w:rsidRPr="005B51C6" w:rsidRDefault="00AD382D" w:rsidP="00F645E1">
      <w:pPr>
        <w:tabs>
          <w:tab w:val="left" w:pos="0"/>
          <w:tab w:val="center" w:pos="4320"/>
          <w:tab w:val="right" w:pos="8640"/>
        </w:tabs>
        <w:jc w:val="both"/>
        <w:rPr>
          <w:i/>
          <w:szCs w:val="22"/>
          <w:u w:val="single"/>
          <w:lang w:val="sr-Latn-ME"/>
        </w:rPr>
      </w:pPr>
      <w:r w:rsidRPr="005B51C6">
        <w:rPr>
          <w:i/>
          <w:szCs w:val="22"/>
          <w:u w:val="single"/>
          <w:lang w:val="sr-Latn-ME"/>
        </w:rPr>
        <w:t>Etničke razlike</w:t>
      </w:r>
    </w:p>
    <w:p w14:paraId="5D2F2205" w14:textId="77777777" w:rsidR="000C7B6F" w:rsidRPr="005B51C6" w:rsidRDefault="000C7B6F" w:rsidP="00F645E1">
      <w:pPr>
        <w:tabs>
          <w:tab w:val="left" w:pos="0"/>
          <w:tab w:val="center" w:pos="4320"/>
          <w:tab w:val="right" w:pos="8640"/>
        </w:tabs>
        <w:jc w:val="both"/>
        <w:rPr>
          <w:i/>
          <w:szCs w:val="22"/>
          <w:u w:val="single"/>
          <w:lang w:val="sr-Latn-ME"/>
        </w:rPr>
      </w:pPr>
    </w:p>
    <w:p w14:paraId="7438F514"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Angioedem izazvan primjenom ACE inhibitora češće se javlja kod pacijenata crne rase nego kod pripadnika drugih rasa. </w:t>
      </w:r>
    </w:p>
    <w:p w14:paraId="481EE33F" w14:textId="77777777" w:rsidR="000C7B6F" w:rsidRPr="005B51C6" w:rsidRDefault="000C7B6F" w:rsidP="00F645E1">
      <w:pPr>
        <w:tabs>
          <w:tab w:val="left" w:pos="0"/>
          <w:tab w:val="center" w:pos="4320"/>
          <w:tab w:val="right" w:pos="8640"/>
        </w:tabs>
        <w:jc w:val="both"/>
        <w:rPr>
          <w:szCs w:val="22"/>
          <w:lang w:val="sr-Latn-ME"/>
        </w:rPr>
      </w:pPr>
    </w:p>
    <w:p w14:paraId="203A01F7" w14:textId="6BD5F503" w:rsidR="00F645E1" w:rsidRPr="005B51C6" w:rsidRDefault="00AD382D" w:rsidP="00F645E1">
      <w:pPr>
        <w:tabs>
          <w:tab w:val="left" w:pos="0"/>
          <w:tab w:val="center" w:pos="4320"/>
          <w:tab w:val="right" w:pos="8640"/>
        </w:tabs>
        <w:jc w:val="both"/>
        <w:rPr>
          <w:szCs w:val="22"/>
          <w:lang w:val="sr-Latn-ME"/>
        </w:rPr>
      </w:pPr>
      <w:r w:rsidRPr="005B51C6">
        <w:rPr>
          <w:szCs w:val="22"/>
          <w:lang w:val="sr-Latn-ME"/>
        </w:rPr>
        <w:t>Kao i drugi ACE inhibitori, tako i ramipril može biti manje efikasan u snižavanju krvnog pritiska kod pripadnika crne rase nego kod pripadnika drugih rasa, vjerovatno zbog veće prevalence hipertenzije sa niskim nivoom renina u populaciji hipertoničara crne rase.</w:t>
      </w:r>
    </w:p>
    <w:p w14:paraId="621238C1" w14:textId="686B03DF" w:rsidR="000C7B6F" w:rsidRPr="005B51C6" w:rsidRDefault="00AD382D" w:rsidP="00F645E1">
      <w:pPr>
        <w:tabs>
          <w:tab w:val="left" w:pos="0"/>
          <w:tab w:val="center" w:pos="4320"/>
          <w:tab w:val="right" w:pos="8640"/>
        </w:tabs>
        <w:jc w:val="both"/>
        <w:rPr>
          <w:szCs w:val="22"/>
          <w:lang w:val="sr-Latn-ME"/>
        </w:rPr>
      </w:pPr>
      <w:r w:rsidRPr="005B51C6">
        <w:rPr>
          <w:i/>
          <w:szCs w:val="22"/>
          <w:u w:val="single"/>
          <w:lang w:val="sr-Latn-ME"/>
        </w:rPr>
        <w:lastRenderedPageBreak/>
        <w:t>Kašalj</w:t>
      </w:r>
      <w:r w:rsidRPr="005B51C6">
        <w:rPr>
          <w:szCs w:val="22"/>
          <w:lang w:val="sr-Latn-ME"/>
        </w:rPr>
        <w:t xml:space="preserve"> </w:t>
      </w:r>
    </w:p>
    <w:p w14:paraId="70182EF5" w14:textId="77777777" w:rsidR="000C7B6F" w:rsidRPr="005B51C6" w:rsidRDefault="000C7B6F" w:rsidP="00F645E1">
      <w:pPr>
        <w:tabs>
          <w:tab w:val="left" w:pos="0"/>
          <w:tab w:val="center" w:pos="4320"/>
          <w:tab w:val="right" w:pos="8640"/>
        </w:tabs>
        <w:jc w:val="both"/>
        <w:rPr>
          <w:szCs w:val="22"/>
          <w:lang w:val="sr-Latn-ME"/>
        </w:rPr>
      </w:pPr>
    </w:p>
    <w:p w14:paraId="6ACE6DF4"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Kašalj je zabilježen kod primjene ACE inhibitora. Karakteristično, kašalj je neproduktivan, perzistentan i nestaje nakon prekida terapije. Kašalj nastao usljed primjene ACE inhibitora treba posmatrati kao dio diferencijalne dijagnoze kašlja. </w:t>
      </w:r>
    </w:p>
    <w:p w14:paraId="0C5D1AB6" w14:textId="77777777" w:rsidR="000C7B6F" w:rsidRPr="005B51C6" w:rsidRDefault="000C7B6F" w:rsidP="00F645E1">
      <w:pPr>
        <w:widowControl w:val="0"/>
        <w:jc w:val="both"/>
        <w:rPr>
          <w:szCs w:val="22"/>
          <w:lang w:val="sr-Latn-ME"/>
        </w:rPr>
      </w:pPr>
    </w:p>
    <w:p w14:paraId="6AD66F56" w14:textId="77777777" w:rsidR="000C7B6F" w:rsidRPr="005B51C6" w:rsidRDefault="00AD382D" w:rsidP="00F645E1">
      <w:pPr>
        <w:widowControl w:val="0"/>
        <w:ind w:left="567" w:hanging="567"/>
        <w:jc w:val="both"/>
        <w:outlineLvl w:val="0"/>
        <w:rPr>
          <w:b/>
          <w:szCs w:val="22"/>
          <w:lang w:val="sr-Latn-ME"/>
        </w:rPr>
      </w:pPr>
      <w:r w:rsidRPr="005B51C6">
        <w:rPr>
          <w:b/>
          <w:szCs w:val="22"/>
          <w:lang w:val="sr-Latn-ME"/>
        </w:rPr>
        <w:t>4.5</w:t>
      </w:r>
      <w:r w:rsidRPr="005B51C6">
        <w:rPr>
          <w:b/>
          <w:szCs w:val="22"/>
          <w:lang w:val="sr-Latn-ME"/>
        </w:rPr>
        <w:tab/>
        <w:t>Interakcije sa drugim ljekovima i druge vrste interakcija</w:t>
      </w:r>
    </w:p>
    <w:p w14:paraId="3F7A316D" w14:textId="77777777" w:rsidR="000C7B6F" w:rsidRPr="005B51C6" w:rsidRDefault="000C7B6F" w:rsidP="00F645E1">
      <w:pPr>
        <w:widowControl w:val="0"/>
        <w:ind w:left="567" w:hanging="567"/>
        <w:jc w:val="both"/>
        <w:outlineLvl w:val="0"/>
        <w:rPr>
          <w:szCs w:val="22"/>
          <w:lang w:val="sr-Latn-ME"/>
        </w:rPr>
      </w:pPr>
    </w:p>
    <w:p w14:paraId="4DC6EDC0" w14:textId="77777777" w:rsidR="000C7B6F" w:rsidRPr="005B51C6" w:rsidRDefault="00AD382D" w:rsidP="00F645E1">
      <w:pPr>
        <w:tabs>
          <w:tab w:val="left" w:pos="284"/>
        </w:tabs>
        <w:jc w:val="both"/>
        <w:rPr>
          <w:szCs w:val="22"/>
          <w:lang w:val="sr-Latn-ME"/>
        </w:rPr>
      </w:pPr>
      <w:r w:rsidRPr="005B51C6">
        <w:rPr>
          <w:bCs/>
          <w:szCs w:val="22"/>
          <w:lang w:val="sr-Latn-ME"/>
        </w:rPr>
        <w:t xml:space="preserve">Podaci iz kliničkih studija su pokazali da je dvostruka blokada sistema renin-angiotenzin-aldosteron (RAAS) kombinovanom primjenom ACE inhibitora, blokatora angiotenzin II receptora ili aliskirena povezana sa povećanom incidencom neželjenih događaja, kao što su hipotenzija, hiperkalijemija i smanjena bubrežna funkcija </w:t>
      </w:r>
      <w:r w:rsidRPr="005B51C6">
        <w:rPr>
          <w:szCs w:val="22"/>
          <w:lang w:val="sr-Latn-ME"/>
        </w:rPr>
        <w:t>(uključujući akutnu insuficijenciju bubrega) u poređenju sa primjenom samo jednog lijeka koji djeluje na RAAS (vidjeti djelove 4.3, 4.4 i 5.1).</w:t>
      </w:r>
    </w:p>
    <w:p w14:paraId="639BBFB5" w14:textId="77777777" w:rsidR="000C7B6F" w:rsidRPr="005B51C6" w:rsidRDefault="000C7B6F" w:rsidP="00F645E1">
      <w:pPr>
        <w:tabs>
          <w:tab w:val="center" w:pos="4320"/>
          <w:tab w:val="right" w:pos="8640"/>
        </w:tabs>
        <w:jc w:val="both"/>
        <w:rPr>
          <w:szCs w:val="22"/>
          <w:lang w:val="sr-Latn-ME"/>
        </w:rPr>
      </w:pPr>
    </w:p>
    <w:p w14:paraId="69165E3D" w14:textId="77777777" w:rsidR="000C7B6F" w:rsidRPr="005B51C6" w:rsidRDefault="00AD382D" w:rsidP="00F645E1">
      <w:pPr>
        <w:tabs>
          <w:tab w:val="center" w:pos="4320"/>
          <w:tab w:val="right" w:pos="8640"/>
        </w:tabs>
        <w:jc w:val="both"/>
        <w:rPr>
          <w:szCs w:val="22"/>
          <w:u w:val="single"/>
          <w:lang w:val="sr-Latn-ME"/>
        </w:rPr>
      </w:pPr>
      <w:r w:rsidRPr="005B51C6">
        <w:rPr>
          <w:szCs w:val="22"/>
          <w:u w:val="single"/>
          <w:lang w:val="sr-Latn-ME"/>
        </w:rPr>
        <w:t>Kontraindikovane kombinacije</w:t>
      </w:r>
    </w:p>
    <w:p w14:paraId="1A2A420C" w14:textId="77777777" w:rsidR="000C7B6F" w:rsidRPr="005B51C6" w:rsidRDefault="000C7B6F" w:rsidP="00F645E1">
      <w:pPr>
        <w:tabs>
          <w:tab w:val="center" w:pos="4320"/>
          <w:tab w:val="right" w:pos="8640"/>
        </w:tabs>
        <w:jc w:val="both"/>
        <w:rPr>
          <w:szCs w:val="22"/>
          <w:lang w:val="sr-Latn-ME"/>
        </w:rPr>
      </w:pPr>
    </w:p>
    <w:p w14:paraId="623491CF" w14:textId="77777777" w:rsidR="000C7B6F" w:rsidRPr="005B51C6" w:rsidRDefault="00AD382D" w:rsidP="00F645E1">
      <w:pPr>
        <w:jc w:val="both"/>
        <w:rPr>
          <w:szCs w:val="22"/>
          <w:lang w:val="sr-Latn-ME"/>
        </w:rPr>
      </w:pPr>
      <w:r w:rsidRPr="005B51C6">
        <w:rPr>
          <w:szCs w:val="22"/>
          <w:lang w:val="sr-Latn-ME"/>
        </w:rPr>
        <w:t xml:space="preserve">Istovremena upotreba ACE inhibitora sa sakubitril/valsartanom je kontraindikovana zbog povećanog rizika od angioedema (vidjeti djelove 4.3 i 4.4). </w:t>
      </w:r>
    </w:p>
    <w:p w14:paraId="15CAAF08" w14:textId="77777777" w:rsidR="000C7B6F" w:rsidRPr="005B51C6" w:rsidRDefault="000C7B6F" w:rsidP="00F645E1">
      <w:pPr>
        <w:tabs>
          <w:tab w:val="left" w:pos="0"/>
          <w:tab w:val="center" w:pos="4320"/>
          <w:tab w:val="right" w:pos="8640"/>
        </w:tabs>
        <w:jc w:val="both"/>
        <w:rPr>
          <w:szCs w:val="22"/>
          <w:lang w:val="sr-Latn-ME"/>
        </w:rPr>
      </w:pPr>
    </w:p>
    <w:p w14:paraId="1BA990E9" w14:textId="77777777" w:rsidR="000C7B6F" w:rsidRPr="005B51C6" w:rsidRDefault="00AD382D" w:rsidP="00F645E1">
      <w:pPr>
        <w:tabs>
          <w:tab w:val="left" w:pos="0"/>
          <w:tab w:val="center" w:pos="4320"/>
          <w:tab w:val="right" w:pos="8640"/>
        </w:tabs>
        <w:jc w:val="both"/>
        <w:rPr>
          <w:szCs w:val="22"/>
          <w:lang w:val="sr-Latn-ME"/>
        </w:rPr>
      </w:pPr>
      <w:r w:rsidRPr="005B51C6">
        <w:rPr>
          <w:szCs w:val="22"/>
          <w:lang w:val="sr-Latn-ME"/>
        </w:rPr>
        <w:t xml:space="preserve">Ekstrakorporalni tretmani kod kojih dolazi do kontakta krvi sa negativno naelektrisanim površinama, kao što je dijaliza ili hemofiltracija pomoću visokoprotočnih membrana (npr. </w:t>
      </w:r>
      <w:bookmarkStart w:id="7" w:name="OLE_LINK8"/>
      <w:bookmarkStart w:id="8" w:name="OLE_LINK9"/>
      <w:r w:rsidRPr="005B51C6">
        <w:rPr>
          <w:szCs w:val="22"/>
          <w:lang w:val="sr-Latn-ME"/>
        </w:rPr>
        <w:t>poliakrilonitrilnih membran</w:t>
      </w:r>
      <w:bookmarkEnd w:id="7"/>
      <w:bookmarkEnd w:id="8"/>
      <w:r w:rsidRPr="005B51C6">
        <w:rPr>
          <w:szCs w:val="22"/>
          <w:lang w:val="sr-Latn-ME"/>
        </w:rPr>
        <w:t>a) i afereze lipoproteina male gustine pomoću dekstran sulfata zbog povećanog rizika za pojavu teških anafilaktoidnih reakcija (vidjeti dio 4.3). Ukoliko je takvo liječenje neophodno, treba razmotriti upotrebu drugih tipova membrana za dijalizu ili drugu klasu antihipertenzivnih ljekova.</w:t>
      </w:r>
    </w:p>
    <w:p w14:paraId="53290DAA" w14:textId="77777777" w:rsidR="000C7B6F" w:rsidRPr="005B51C6" w:rsidRDefault="000C7B6F" w:rsidP="00F645E1">
      <w:pPr>
        <w:tabs>
          <w:tab w:val="left" w:pos="0"/>
          <w:tab w:val="center" w:pos="4320"/>
          <w:tab w:val="right" w:pos="8640"/>
        </w:tabs>
        <w:jc w:val="both"/>
        <w:rPr>
          <w:szCs w:val="22"/>
          <w:lang w:val="sr-Latn-ME"/>
        </w:rPr>
      </w:pPr>
    </w:p>
    <w:p w14:paraId="68FE167C" w14:textId="77777777" w:rsidR="000C7B6F" w:rsidRPr="005B51C6" w:rsidRDefault="00AD382D" w:rsidP="00F645E1">
      <w:pPr>
        <w:tabs>
          <w:tab w:val="left" w:pos="0"/>
          <w:tab w:val="center" w:pos="4320"/>
          <w:tab w:val="right" w:pos="8640"/>
        </w:tabs>
        <w:jc w:val="both"/>
        <w:rPr>
          <w:szCs w:val="22"/>
          <w:u w:val="single"/>
          <w:lang w:val="sr-Latn-ME"/>
        </w:rPr>
      </w:pPr>
      <w:r w:rsidRPr="005B51C6">
        <w:rPr>
          <w:szCs w:val="22"/>
          <w:u w:val="single"/>
          <w:lang w:val="sr-Latn-ME"/>
        </w:rPr>
        <w:t xml:space="preserve">Mjere opreza pri upotrebi </w:t>
      </w:r>
    </w:p>
    <w:p w14:paraId="76B18A2E" w14:textId="77777777" w:rsidR="000C7B6F" w:rsidRPr="005B51C6" w:rsidRDefault="000C7B6F" w:rsidP="00F645E1">
      <w:pPr>
        <w:tabs>
          <w:tab w:val="left" w:pos="0"/>
          <w:tab w:val="center" w:pos="4320"/>
          <w:tab w:val="right" w:pos="8640"/>
        </w:tabs>
        <w:jc w:val="both"/>
        <w:rPr>
          <w:szCs w:val="22"/>
          <w:u w:val="single"/>
          <w:lang w:val="sr-Latn-ME"/>
        </w:rPr>
      </w:pPr>
    </w:p>
    <w:p w14:paraId="140EFF93" w14:textId="60E8B093" w:rsidR="000C7B6F" w:rsidRPr="005B51C6" w:rsidRDefault="00AD382D" w:rsidP="00F645E1">
      <w:pPr>
        <w:tabs>
          <w:tab w:val="left" w:pos="284"/>
          <w:tab w:val="center" w:pos="4536"/>
          <w:tab w:val="right" w:pos="9072"/>
        </w:tabs>
        <w:jc w:val="both"/>
        <w:rPr>
          <w:szCs w:val="22"/>
          <w:lang w:val="sr-Latn-ME"/>
        </w:rPr>
      </w:pPr>
      <w:r w:rsidRPr="005B51C6">
        <w:rPr>
          <w:i/>
          <w:szCs w:val="22"/>
          <w:lang w:val="sr-Latn-ME"/>
        </w:rPr>
        <w:t>Kalijumove soli, heparin, diuretici koji štede kalijum i ostale aktivne supstance koje povećavaju nivo kalijuma u krvi (uključujući angiotenzin II antagoniste, trimetoprim, takrolimus i ciklosporin):</w:t>
      </w:r>
      <w:r w:rsidRPr="005B51C6">
        <w:rPr>
          <w:szCs w:val="22"/>
          <w:lang w:val="sr-Latn-ME"/>
        </w:rPr>
        <w:t xml:space="preserve"> Iako kalijum u serumu obično ostaje unutar normalnih granica, hiperkalemija se može pojaviti kod nekih pacijenata liječenih ramipril</w:t>
      </w:r>
      <w:r w:rsidR="002932CA" w:rsidRPr="005B51C6">
        <w:rPr>
          <w:szCs w:val="22"/>
          <w:lang w:val="sr-Latn-ME"/>
        </w:rPr>
        <w:t>om</w:t>
      </w:r>
      <w:r w:rsidRPr="005B51C6">
        <w:rPr>
          <w:szCs w:val="22"/>
          <w:lang w:val="sr-Latn-ME" w:eastAsia="sr-Latn-CS"/>
        </w:rPr>
        <w:t xml:space="preserve"> Diuretici koji štede kalijum (npr. spironolakton, triamteren ili amilorid), suplementi kalijuma ili zamjene za so koje sadrže kalijum mogu dovesti do značajnog povećanja kalijuma u serumu. </w:t>
      </w:r>
      <w:r w:rsidRPr="005B51C6">
        <w:rPr>
          <w:szCs w:val="22"/>
          <w:lang w:val="sr-Latn-ME"/>
        </w:rPr>
        <w:t>Potreban je oprez i kada se ramipril</w:t>
      </w:r>
      <w:r w:rsidR="002932CA" w:rsidRPr="005B51C6">
        <w:rPr>
          <w:szCs w:val="22"/>
          <w:lang w:val="sr-Latn-ME"/>
        </w:rPr>
        <w:t xml:space="preserve"> </w:t>
      </w:r>
      <w:r w:rsidRPr="005B51C6">
        <w:rPr>
          <w:szCs w:val="22"/>
          <w:lang w:val="sr-Latn-ME"/>
        </w:rPr>
        <w:t>istovremeno primjenjuje sa drugim supstancama koje povećavaju serumski kalijum, poput trimetoprima i kotrimoksazola (sulfametoksazol/trimetoprim), jer je poznato da trimetoprim djeluje kao diuretik koji štedi kalijum poput amilorida. Stoga se kombinacija ramipril</w:t>
      </w:r>
      <w:r w:rsidR="002932CA" w:rsidRPr="005B51C6">
        <w:rPr>
          <w:szCs w:val="22"/>
          <w:lang w:val="sr-Latn-ME"/>
        </w:rPr>
        <w:t>a</w:t>
      </w:r>
      <w:r w:rsidRPr="005B51C6">
        <w:rPr>
          <w:szCs w:val="22"/>
          <w:lang w:val="sr-Latn-ME"/>
        </w:rPr>
        <w:t xml:space="preserve"> sa gore pomenutim ljekovima ne preporučuje. Ukoliko je indikovana istovremena upotreba, potrebno ih je koristiti sa oprezom i uz česte provjere serumskog kalijuma.</w:t>
      </w:r>
    </w:p>
    <w:p w14:paraId="1E6F5D6E" w14:textId="77777777" w:rsidR="000C7B6F" w:rsidRPr="005B51C6" w:rsidRDefault="000C7B6F" w:rsidP="00F645E1">
      <w:pPr>
        <w:autoSpaceDE w:val="0"/>
        <w:autoSpaceDN w:val="0"/>
        <w:adjustRightInd w:val="0"/>
        <w:jc w:val="both"/>
        <w:rPr>
          <w:szCs w:val="22"/>
          <w:lang w:val="sr-Latn-ME"/>
        </w:rPr>
      </w:pPr>
    </w:p>
    <w:p w14:paraId="31601330" w14:textId="59CAE3AC" w:rsidR="000C7B6F" w:rsidRPr="005B51C6" w:rsidRDefault="00AD382D" w:rsidP="00F645E1">
      <w:pPr>
        <w:widowControl w:val="0"/>
        <w:tabs>
          <w:tab w:val="left" w:pos="8647"/>
        </w:tabs>
        <w:rPr>
          <w:i/>
          <w:szCs w:val="22"/>
          <w:lang w:val="sr-Latn-ME"/>
        </w:rPr>
      </w:pPr>
      <w:r w:rsidRPr="005B51C6">
        <w:rPr>
          <w:i/>
          <w:szCs w:val="22"/>
          <w:lang w:val="sr-Latn-ME"/>
        </w:rPr>
        <w:t xml:space="preserve">Ciklosporin: </w:t>
      </w:r>
      <w:r w:rsidRPr="005B51C6">
        <w:rPr>
          <w:szCs w:val="22"/>
          <w:lang w:val="sr-Latn-ME"/>
        </w:rPr>
        <w:t xml:space="preserve">Hiperkalemija se može pojaviti tokom istovremene primjene ACE inhibitora sa </w:t>
      </w:r>
      <w:r w:rsidR="002932CA" w:rsidRPr="005B51C6">
        <w:rPr>
          <w:szCs w:val="22"/>
          <w:lang w:val="sr-Latn-ME"/>
        </w:rPr>
        <w:t>c</w:t>
      </w:r>
      <w:r w:rsidRPr="005B51C6">
        <w:rPr>
          <w:szCs w:val="22"/>
          <w:lang w:val="sr-Latn-ME"/>
        </w:rPr>
        <w:t>iklosporinom. Preporučuje se praćenje serumskog kalijuma.</w:t>
      </w:r>
    </w:p>
    <w:p w14:paraId="4DCCE431" w14:textId="77777777" w:rsidR="000C7B6F" w:rsidRPr="005B51C6" w:rsidRDefault="00AD382D" w:rsidP="00F645E1">
      <w:pPr>
        <w:tabs>
          <w:tab w:val="left" w:pos="57"/>
          <w:tab w:val="center" w:pos="4320"/>
          <w:tab w:val="right" w:pos="8640"/>
        </w:tabs>
        <w:ind w:right="143"/>
        <w:jc w:val="both"/>
        <w:rPr>
          <w:i/>
          <w:szCs w:val="22"/>
          <w:lang w:val="sr-Latn-ME"/>
        </w:rPr>
      </w:pPr>
      <w:r w:rsidRPr="005B51C6">
        <w:rPr>
          <w:i/>
          <w:szCs w:val="22"/>
          <w:lang w:val="sr-Latn-ME"/>
        </w:rPr>
        <w:t xml:space="preserve">Heparin: </w:t>
      </w:r>
      <w:r w:rsidRPr="005B51C6">
        <w:rPr>
          <w:szCs w:val="22"/>
          <w:lang w:val="sr-Latn-ME"/>
        </w:rPr>
        <w:t>Hiperkalemija se može pojaviti tokom istovremene primjene ACE inhibitora sa heparinom. Preporučuje se praćenje serumskog kalijuma.</w:t>
      </w:r>
    </w:p>
    <w:p w14:paraId="485AF7C7" w14:textId="77777777" w:rsidR="000C7B6F" w:rsidRPr="005B51C6" w:rsidRDefault="000C7B6F" w:rsidP="00F645E1">
      <w:pPr>
        <w:tabs>
          <w:tab w:val="left" w:pos="284"/>
          <w:tab w:val="center" w:pos="4536"/>
          <w:tab w:val="right" w:pos="9072"/>
        </w:tabs>
        <w:jc w:val="both"/>
        <w:rPr>
          <w:szCs w:val="22"/>
          <w:lang w:val="sr-Latn-ME"/>
        </w:rPr>
      </w:pPr>
    </w:p>
    <w:p w14:paraId="64E06E2C" w14:textId="77777777" w:rsidR="000C7B6F" w:rsidRPr="005B51C6" w:rsidRDefault="00AD382D" w:rsidP="00F645E1">
      <w:pPr>
        <w:tabs>
          <w:tab w:val="left" w:pos="284"/>
          <w:tab w:val="center" w:pos="4536"/>
          <w:tab w:val="right" w:pos="9072"/>
        </w:tabs>
        <w:jc w:val="both"/>
        <w:rPr>
          <w:szCs w:val="22"/>
          <w:lang w:val="sr-Latn-ME"/>
        </w:rPr>
      </w:pPr>
      <w:r w:rsidRPr="005B51C6">
        <w:rPr>
          <w:i/>
          <w:szCs w:val="22"/>
          <w:lang w:val="sr-Latn-ME"/>
        </w:rPr>
        <w:t xml:space="preserve">Antihipertenzivi (npr. diuretici) i ostale supstance koje mogu sniziti krvni pritisak (npr. nitrati, triciklični antidepresivi, anestetici, akutni alkoholizam, baklofen, alfuzosin, doksazosin, prazosin, tamsulosin, terazosin): </w:t>
      </w:r>
      <w:r w:rsidRPr="005B51C6">
        <w:rPr>
          <w:szCs w:val="22"/>
          <w:lang w:val="sr-Latn-ME"/>
        </w:rPr>
        <w:t>može se očekivati potenciranje rizika za pojavu hipotenzije (vidjeti dio 4.2 o diureticima).</w:t>
      </w:r>
    </w:p>
    <w:p w14:paraId="10EF88DF" w14:textId="77777777" w:rsidR="000C7B6F" w:rsidRPr="005B51C6" w:rsidRDefault="000C7B6F" w:rsidP="00F645E1">
      <w:pPr>
        <w:tabs>
          <w:tab w:val="left" w:pos="284"/>
          <w:tab w:val="center" w:pos="4536"/>
          <w:tab w:val="right" w:pos="9072"/>
        </w:tabs>
        <w:jc w:val="both"/>
        <w:rPr>
          <w:szCs w:val="22"/>
          <w:lang w:val="sr-Latn-ME"/>
        </w:rPr>
      </w:pPr>
    </w:p>
    <w:p w14:paraId="5062824A" w14:textId="77777777" w:rsidR="000C7B6F" w:rsidRPr="005B51C6" w:rsidRDefault="00AD382D" w:rsidP="00F645E1">
      <w:pPr>
        <w:tabs>
          <w:tab w:val="left" w:pos="284"/>
          <w:tab w:val="center" w:pos="4536"/>
          <w:tab w:val="right" w:pos="9072"/>
        </w:tabs>
        <w:jc w:val="both"/>
        <w:rPr>
          <w:szCs w:val="22"/>
          <w:lang w:val="sr-Latn-ME"/>
        </w:rPr>
      </w:pPr>
      <w:r w:rsidRPr="005B51C6">
        <w:rPr>
          <w:i/>
          <w:szCs w:val="22"/>
          <w:lang w:val="sr-Latn-ME"/>
        </w:rPr>
        <w:t>Vazopresorni simpatikomimetici i ostale supstance (npr. izoproterenol, dobutamin, dopamin, epinefrin) koje mogu smanjiti antihipertenzivno dejstvo lijeka Ampril:</w:t>
      </w:r>
      <w:r w:rsidRPr="005B51C6">
        <w:rPr>
          <w:szCs w:val="22"/>
          <w:lang w:val="sr-Latn-ME"/>
        </w:rPr>
        <w:t xml:space="preserve"> preporučuje se praćenje krvnog pritiska.</w:t>
      </w:r>
    </w:p>
    <w:p w14:paraId="6E2D4252" w14:textId="77777777" w:rsidR="000C7B6F" w:rsidRPr="005B51C6" w:rsidRDefault="000C7B6F" w:rsidP="00F645E1">
      <w:pPr>
        <w:tabs>
          <w:tab w:val="left" w:pos="284"/>
          <w:tab w:val="center" w:pos="4536"/>
          <w:tab w:val="right" w:pos="9072"/>
        </w:tabs>
        <w:jc w:val="both"/>
        <w:rPr>
          <w:szCs w:val="22"/>
          <w:lang w:val="sr-Latn-ME"/>
        </w:rPr>
      </w:pPr>
    </w:p>
    <w:p w14:paraId="59564424" w14:textId="77777777" w:rsidR="000C7B6F" w:rsidRPr="005B51C6" w:rsidRDefault="00AD382D" w:rsidP="00F645E1">
      <w:pPr>
        <w:tabs>
          <w:tab w:val="left" w:pos="284"/>
          <w:tab w:val="center" w:pos="4536"/>
          <w:tab w:val="right" w:pos="9072"/>
        </w:tabs>
        <w:jc w:val="both"/>
        <w:rPr>
          <w:szCs w:val="22"/>
          <w:lang w:val="sr-Latn-ME"/>
        </w:rPr>
      </w:pPr>
      <w:r w:rsidRPr="005B51C6">
        <w:rPr>
          <w:i/>
          <w:szCs w:val="22"/>
          <w:lang w:val="sr-Latn-ME"/>
        </w:rPr>
        <w:t>Alopurinol, imunosupresivi, kortikosteroidi, prokainamid, citostatici i ostale supstance koje mogu da dovedu do promjene broja krvnih ćelija:</w:t>
      </w:r>
      <w:r w:rsidRPr="005B51C6">
        <w:rPr>
          <w:szCs w:val="22"/>
          <w:lang w:val="sr-Latn-ME"/>
        </w:rPr>
        <w:t xml:space="preserve"> Porast vjerovatnoće za pojavu hematoloških reakcija (vidjeti dio 4.4).</w:t>
      </w:r>
    </w:p>
    <w:p w14:paraId="5D80F8C3" w14:textId="77777777" w:rsidR="000C7B6F" w:rsidRPr="005B51C6" w:rsidRDefault="000C7B6F" w:rsidP="00F645E1">
      <w:pPr>
        <w:tabs>
          <w:tab w:val="left" w:pos="284"/>
          <w:tab w:val="center" w:pos="4536"/>
          <w:tab w:val="right" w:pos="9072"/>
        </w:tabs>
        <w:jc w:val="both"/>
        <w:rPr>
          <w:szCs w:val="22"/>
          <w:lang w:val="sr-Latn-ME"/>
        </w:rPr>
      </w:pPr>
    </w:p>
    <w:p w14:paraId="37D428F5" w14:textId="77777777" w:rsidR="000C7B6F" w:rsidRPr="005B51C6" w:rsidRDefault="00AD382D" w:rsidP="00F645E1">
      <w:pPr>
        <w:tabs>
          <w:tab w:val="left" w:pos="284"/>
          <w:tab w:val="center" w:pos="4536"/>
          <w:tab w:val="right" w:pos="9072"/>
        </w:tabs>
        <w:jc w:val="both"/>
        <w:rPr>
          <w:szCs w:val="22"/>
          <w:lang w:val="sr-Latn-ME"/>
        </w:rPr>
      </w:pPr>
      <w:r w:rsidRPr="005B51C6">
        <w:rPr>
          <w:i/>
          <w:szCs w:val="22"/>
          <w:lang w:val="sr-Latn-ME"/>
        </w:rPr>
        <w:t>Soli litijuma:</w:t>
      </w:r>
      <w:r w:rsidRPr="005B51C6">
        <w:rPr>
          <w:szCs w:val="22"/>
          <w:lang w:val="sr-Latn-ME"/>
        </w:rPr>
        <w:t xml:space="preserve"> Izlučivanje litijuma može biti smanjeno tokom primjene ACE inhibitora, i toksičnost litijuma može biti povećana. Mora se pratiti nivo litijuma u krvi.</w:t>
      </w:r>
    </w:p>
    <w:p w14:paraId="613409DB" w14:textId="77777777" w:rsidR="000C7B6F" w:rsidRPr="005B51C6" w:rsidRDefault="000C7B6F" w:rsidP="00F645E1">
      <w:pPr>
        <w:tabs>
          <w:tab w:val="left" w:pos="284"/>
          <w:tab w:val="center" w:pos="4536"/>
          <w:tab w:val="right" w:pos="9072"/>
        </w:tabs>
        <w:jc w:val="both"/>
        <w:rPr>
          <w:i/>
          <w:szCs w:val="22"/>
          <w:lang w:val="sr-Latn-ME"/>
        </w:rPr>
      </w:pPr>
    </w:p>
    <w:p w14:paraId="246B0202" w14:textId="77777777" w:rsidR="000C7B6F" w:rsidRPr="005B51C6" w:rsidRDefault="00AD382D" w:rsidP="00F645E1">
      <w:pPr>
        <w:tabs>
          <w:tab w:val="left" w:pos="0"/>
          <w:tab w:val="center" w:pos="4320"/>
          <w:tab w:val="right" w:pos="8640"/>
        </w:tabs>
        <w:jc w:val="both"/>
        <w:rPr>
          <w:i/>
          <w:szCs w:val="22"/>
          <w:lang w:val="sr-Latn-ME"/>
        </w:rPr>
      </w:pPr>
      <w:r w:rsidRPr="005B51C6">
        <w:rPr>
          <w:i/>
          <w:szCs w:val="22"/>
          <w:lang w:val="sr-Latn-ME"/>
        </w:rPr>
        <w:t>Antidijabetici, uključujući insulin</w:t>
      </w:r>
      <w:r w:rsidRPr="005B51C6">
        <w:rPr>
          <w:szCs w:val="22"/>
          <w:lang w:val="sr-Latn-ME"/>
        </w:rPr>
        <w:t xml:space="preserve">: mogu se javiti hipoglikemijske reakcije. Preporučuje se monitoring nivoa glukoze u krvi. </w:t>
      </w:r>
    </w:p>
    <w:p w14:paraId="3838CC56" w14:textId="77777777" w:rsidR="000C7B6F" w:rsidRPr="005B51C6" w:rsidRDefault="000C7B6F" w:rsidP="00F645E1">
      <w:pPr>
        <w:tabs>
          <w:tab w:val="left" w:pos="284"/>
        </w:tabs>
        <w:jc w:val="both"/>
        <w:rPr>
          <w:i/>
          <w:szCs w:val="22"/>
          <w:lang w:val="sr-Latn-ME"/>
        </w:rPr>
      </w:pPr>
    </w:p>
    <w:p w14:paraId="7603CF43" w14:textId="77777777" w:rsidR="000C7B6F" w:rsidRPr="005B51C6" w:rsidRDefault="00AD382D" w:rsidP="00F645E1">
      <w:pPr>
        <w:tabs>
          <w:tab w:val="left" w:pos="284"/>
        </w:tabs>
        <w:jc w:val="both"/>
        <w:rPr>
          <w:szCs w:val="22"/>
          <w:lang w:val="sr-Latn-ME"/>
        </w:rPr>
      </w:pPr>
      <w:r w:rsidRPr="005B51C6">
        <w:rPr>
          <w:i/>
          <w:szCs w:val="22"/>
          <w:lang w:val="sr-Latn-ME"/>
        </w:rPr>
        <w:t xml:space="preserve">Nesteroidni antiinflamatorni ljekovi i acetilsalicilna kiselina: </w:t>
      </w:r>
      <w:r w:rsidRPr="005B51C6">
        <w:rPr>
          <w:szCs w:val="22"/>
          <w:lang w:val="sr-Latn-ME"/>
        </w:rPr>
        <w:t>može se očekivati smanjenje antihipertenzivnog dejstva lijeka Ampril. Takođe, istovremena upotreba ACE inhibitora i NSAIL može da dovede do povećanog rizika za pogoršanje renalne funkcije i povećanja kalijemije.</w:t>
      </w:r>
    </w:p>
    <w:p w14:paraId="0B333D3F" w14:textId="77777777" w:rsidR="000C7B6F" w:rsidRPr="005B51C6" w:rsidRDefault="000C7B6F" w:rsidP="00F645E1">
      <w:pPr>
        <w:tabs>
          <w:tab w:val="left" w:pos="284"/>
        </w:tabs>
        <w:jc w:val="both"/>
        <w:rPr>
          <w:szCs w:val="22"/>
          <w:lang w:val="sr-Latn-ME"/>
        </w:rPr>
      </w:pPr>
    </w:p>
    <w:p w14:paraId="47C14FC3" w14:textId="77777777" w:rsidR="000C7B6F" w:rsidRPr="005B51C6" w:rsidRDefault="00AD382D" w:rsidP="00F645E1">
      <w:pPr>
        <w:tabs>
          <w:tab w:val="left" w:pos="284"/>
        </w:tabs>
        <w:jc w:val="both"/>
        <w:rPr>
          <w:iCs/>
          <w:szCs w:val="22"/>
          <w:lang w:val="sr-Latn-ME"/>
        </w:rPr>
      </w:pPr>
      <w:r w:rsidRPr="005B51C6">
        <w:rPr>
          <w:i/>
          <w:iCs/>
          <w:szCs w:val="22"/>
          <w:lang w:val="sr-Latn-ME"/>
        </w:rPr>
        <w:t>mTOR inhibitori ili vidagliptin:</w:t>
      </w:r>
      <w:r w:rsidRPr="005B51C6">
        <w:rPr>
          <w:iCs/>
          <w:szCs w:val="22"/>
          <w:lang w:val="sr-Latn-ME"/>
        </w:rPr>
        <w:t xml:space="preserve"> Povećan rizik od nastanka angioedema moguć je kod pacijenata koji se istovremeno liječe mTOR inhibitorima (npr. temsirolimus, everolimus, sirolimus) ili vildagliptinom. Potreban je oprez pri započinjanju terapije (vidjeti dio 4.4).</w:t>
      </w:r>
    </w:p>
    <w:p w14:paraId="5E1DB651" w14:textId="77777777" w:rsidR="000C7B6F" w:rsidRPr="005B51C6" w:rsidRDefault="000C7B6F" w:rsidP="00F645E1">
      <w:pPr>
        <w:tabs>
          <w:tab w:val="left" w:pos="284"/>
        </w:tabs>
        <w:jc w:val="both"/>
        <w:rPr>
          <w:iCs/>
          <w:szCs w:val="22"/>
          <w:lang w:val="sr-Latn-ME"/>
        </w:rPr>
      </w:pPr>
    </w:p>
    <w:p w14:paraId="34E83065" w14:textId="77777777" w:rsidR="000C7B6F" w:rsidRPr="005B51C6" w:rsidRDefault="00AD382D" w:rsidP="00F645E1">
      <w:pPr>
        <w:jc w:val="both"/>
        <w:rPr>
          <w:i/>
          <w:szCs w:val="22"/>
          <w:lang w:val="sr-Latn-ME"/>
        </w:rPr>
      </w:pPr>
      <w:r w:rsidRPr="005B51C6">
        <w:rPr>
          <w:i/>
          <w:szCs w:val="22"/>
          <w:lang w:val="sr-Latn-ME"/>
        </w:rPr>
        <w:t xml:space="preserve">Neprilizin (NEP) inhibitori: </w:t>
      </w:r>
      <w:r w:rsidRPr="005B51C6">
        <w:rPr>
          <w:szCs w:val="22"/>
          <w:lang w:val="sr-Latn-ME"/>
        </w:rPr>
        <w:t>Prijavljen je povećan rizik od pojave angioedema kod istovremene upotrebe ACE inhibitora i NEP inhibitora poput racekadotrila (vidjeti dio 4.4).</w:t>
      </w:r>
    </w:p>
    <w:p w14:paraId="4A956CE8" w14:textId="77777777" w:rsidR="000C7B6F" w:rsidRPr="005B51C6" w:rsidRDefault="00AD382D" w:rsidP="00F645E1">
      <w:pPr>
        <w:jc w:val="both"/>
        <w:rPr>
          <w:szCs w:val="22"/>
          <w:lang w:val="sr-Latn-ME"/>
        </w:rPr>
      </w:pPr>
      <w:r w:rsidRPr="005B51C6">
        <w:rPr>
          <w:i/>
          <w:szCs w:val="22"/>
          <w:lang w:val="sr-Latn-ME"/>
        </w:rPr>
        <w:t xml:space="preserve">Kotrimoksazol (sulfametoksazol/trimetoprim): </w:t>
      </w:r>
      <w:r w:rsidRPr="005B51C6">
        <w:rPr>
          <w:szCs w:val="22"/>
          <w:lang w:val="sr-Latn-ME"/>
        </w:rPr>
        <w:t>Pacijenti koji istovremeno uzimaju kotrimoksazol (sulfametoksazol/trimetoprim) mogu biti izloženi povećanom riziku od hiperkalemije (vidjeti dio 4.4).</w:t>
      </w:r>
    </w:p>
    <w:p w14:paraId="617FCE6E" w14:textId="77777777" w:rsidR="000C7B6F" w:rsidRPr="005B51C6" w:rsidRDefault="000C7B6F" w:rsidP="00F645E1">
      <w:pPr>
        <w:widowControl w:val="0"/>
        <w:jc w:val="both"/>
        <w:rPr>
          <w:szCs w:val="22"/>
          <w:lang w:val="sr-Latn-ME"/>
        </w:rPr>
      </w:pPr>
    </w:p>
    <w:p w14:paraId="7F1F3D1B" w14:textId="77777777" w:rsidR="000C7B6F" w:rsidRPr="005B51C6" w:rsidRDefault="00AD382D" w:rsidP="00F645E1">
      <w:pPr>
        <w:widowControl w:val="0"/>
        <w:ind w:left="567" w:hanging="567"/>
        <w:jc w:val="both"/>
        <w:outlineLvl w:val="0"/>
        <w:rPr>
          <w:b/>
          <w:bCs/>
          <w:szCs w:val="22"/>
          <w:lang w:val="sr-Latn-ME"/>
        </w:rPr>
      </w:pPr>
      <w:r w:rsidRPr="005B51C6">
        <w:rPr>
          <w:b/>
          <w:szCs w:val="22"/>
          <w:lang w:val="sr-Latn-ME"/>
        </w:rPr>
        <w:t>4.6</w:t>
      </w:r>
      <w:r w:rsidRPr="005B51C6">
        <w:rPr>
          <w:b/>
          <w:szCs w:val="22"/>
          <w:lang w:val="sr-Latn-ME"/>
        </w:rPr>
        <w:tab/>
      </w:r>
      <w:r w:rsidRPr="005B51C6">
        <w:rPr>
          <w:b/>
          <w:bCs/>
          <w:szCs w:val="22"/>
          <w:lang w:val="sr-Latn-ME"/>
        </w:rPr>
        <w:t>Plodnost, trudnoća i dojenje</w:t>
      </w:r>
    </w:p>
    <w:p w14:paraId="6C782B45" w14:textId="77777777" w:rsidR="000C7B6F" w:rsidRPr="005B51C6" w:rsidRDefault="000C7B6F" w:rsidP="00F645E1">
      <w:pPr>
        <w:widowControl w:val="0"/>
        <w:jc w:val="both"/>
        <w:rPr>
          <w:szCs w:val="22"/>
          <w:lang w:val="sr-Latn-ME"/>
        </w:rPr>
      </w:pPr>
    </w:p>
    <w:p w14:paraId="4CE2BEB5" w14:textId="277ECD33" w:rsidR="002932CA" w:rsidRPr="005B51C6" w:rsidRDefault="00AD382D" w:rsidP="00F645E1">
      <w:pPr>
        <w:tabs>
          <w:tab w:val="left" w:pos="284"/>
          <w:tab w:val="center" w:pos="4536"/>
          <w:tab w:val="right" w:pos="9072"/>
        </w:tabs>
        <w:jc w:val="both"/>
        <w:rPr>
          <w:bCs/>
          <w:szCs w:val="22"/>
          <w:u w:val="single"/>
          <w:lang w:val="sr-Latn-ME"/>
        </w:rPr>
      </w:pPr>
      <w:r w:rsidRPr="005B51C6">
        <w:rPr>
          <w:bCs/>
          <w:szCs w:val="22"/>
          <w:u w:val="single"/>
          <w:lang w:val="sr-Latn-ME"/>
        </w:rPr>
        <w:t>Trudnoća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7B6F" w:rsidRPr="005B51C6" w14:paraId="74F22C0F" w14:textId="77777777">
        <w:tc>
          <w:tcPr>
            <w:tcW w:w="9855" w:type="dxa"/>
            <w:shd w:val="clear" w:color="auto" w:fill="auto"/>
          </w:tcPr>
          <w:p w14:paraId="5BD77D63" w14:textId="77777777" w:rsidR="000C7B6F" w:rsidRPr="005B51C6" w:rsidRDefault="00AD382D" w:rsidP="00F645E1">
            <w:pPr>
              <w:tabs>
                <w:tab w:val="center" w:pos="4536"/>
                <w:tab w:val="right" w:pos="9072"/>
              </w:tabs>
              <w:jc w:val="both"/>
              <w:rPr>
                <w:bCs/>
                <w:szCs w:val="22"/>
                <w:lang w:val="sr-Latn-ME"/>
              </w:rPr>
            </w:pPr>
            <w:r w:rsidRPr="005B51C6">
              <w:rPr>
                <w:bCs/>
                <w:szCs w:val="22"/>
                <w:lang w:val="sr-Latn-ME"/>
              </w:rPr>
              <w:t xml:space="preserve">Upotreba lijeka Ampril se ne preporučuje tokom prvog trimestra trudnoće </w:t>
            </w:r>
            <w:bookmarkStart w:id="9" w:name="OLE_LINK10"/>
            <w:bookmarkStart w:id="10" w:name="OLE_LINK11"/>
            <w:r w:rsidRPr="005B51C6">
              <w:rPr>
                <w:bCs/>
                <w:szCs w:val="22"/>
                <w:lang w:val="sr-Latn-ME"/>
              </w:rPr>
              <w:t xml:space="preserve">(vidjeti dio 4.4) </w:t>
            </w:r>
            <w:bookmarkEnd w:id="9"/>
            <w:bookmarkEnd w:id="10"/>
            <w:r w:rsidRPr="005B51C6">
              <w:rPr>
                <w:bCs/>
                <w:szCs w:val="22"/>
                <w:lang w:val="sr-Latn-ME"/>
              </w:rPr>
              <w:t>i kontraindikovana je tokom drugog i trećeg trimestra trudnoće (vidjeti dio 4.3).</w:t>
            </w:r>
          </w:p>
        </w:tc>
      </w:tr>
    </w:tbl>
    <w:p w14:paraId="09912746" w14:textId="77777777" w:rsidR="000C7B6F" w:rsidRPr="005B51C6" w:rsidRDefault="000C7B6F" w:rsidP="00F645E1">
      <w:pPr>
        <w:tabs>
          <w:tab w:val="left" w:pos="284"/>
          <w:tab w:val="center" w:pos="4536"/>
          <w:tab w:val="right" w:pos="9072"/>
        </w:tabs>
        <w:jc w:val="both"/>
        <w:rPr>
          <w:bCs/>
          <w:szCs w:val="22"/>
          <w:u w:val="single"/>
          <w:lang w:val="sr-Latn-ME"/>
        </w:rPr>
      </w:pPr>
    </w:p>
    <w:p w14:paraId="209C6A98" w14:textId="77777777" w:rsidR="000C7B6F" w:rsidRPr="005B51C6" w:rsidRDefault="00AD382D" w:rsidP="00F645E1">
      <w:pPr>
        <w:tabs>
          <w:tab w:val="left" w:pos="284"/>
          <w:tab w:val="center" w:pos="4536"/>
          <w:tab w:val="right" w:pos="9072"/>
        </w:tabs>
        <w:jc w:val="both"/>
        <w:rPr>
          <w:bCs/>
          <w:szCs w:val="22"/>
          <w:lang w:val="sr-Latn-ME"/>
        </w:rPr>
      </w:pPr>
      <w:r w:rsidRPr="005B51C6">
        <w:rPr>
          <w:bCs/>
          <w:szCs w:val="22"/>
          <w:lang w:val="sr-Latn-ME"/>
        </w:rPr>
        <w:t>Epidemiološki dokazi u pogledu rizika od teratogenog dejstva usljed izlaganja ACE inhibitorima tokom prvog trimestra trudnoće nijesu bili u potpunosti ubjedljivi; međutim, mali porast rizika ipak ne može biti isključen. Terapiju ACE inhibitorima kod pacijentkinja koje planiraju trudnoću treba zamijeniti alternativnom antihipertenzivnom terapijom koja ima utvrđen bezbjednosni profil za upotrebu tokom trudnoće, osim ako se nastavak terapije ACE inhibitorima smatra neophodnim. Terapiju ACE inhibitorima treba prekinuti odmah nakon utvrđivanja trudnoće i, ako je potrebno, započeti adekvatnu alternativnu terapiju.</w:t>
      </w:r>
    </w:p>
    <w:p w14:paraId="68741099" w14:textId="4B7D1962" w:rsidR="000C7B6F" w:rsidRPr="005B51C6" w:rsidRDefault="00AD382D" w:rsidP="00F645E1">
      <w:pPr>
        <w:tabs>
          <w:tab w:val="left" w:pos="284"/>
          <w:tab w:val="center" w:pos="4536"/>
          <w:tab w:val="right" w:pos="9072"/>
        </w:tabs>
        <w:jc w:val="both"/>
        <w:rPr>
          <w:bCs/>
          <w:szCs w:val="22"/>
          <w:lang w:val="sr-Latn-ME"/>
        </w:rPr>
      </w:pPr>
      <w:r w:rsidRPr="005B51C6">
        <w:rPr>
          <w:bCs/>
          <w:szCs w:val="22"/>
          <w:lang w:val="sr-Latn-ME"/>
        </w:rPr>
        <w:t>Poznato je da izloženost ACE inhibitorima/ blokatorima angiotenzin II receptora tokom drugog i trećeg trimestra trudnoće indukuje fetotoksičnost (smanjenje renalne funkcije, oligohidramnioza, usporeno okoštavanja lobanje) i neonatalnu toksičnost (bubrežna insuficijencija, hipotenzija, hiperkalijemija) (vidjeti dio 5.3). Ukoliko je izloženost ACE inhibitorima nastupila u drugom ili trećem trimestru trudnoće, preporučuje se ultrazvučni pregled renalne funkcije i kostiju lobanje. Novorođenčad, čije majke su uzimale ACE inhibitore, treba posebno pratiti zbog mogućnosti pojave hipotenzije, oligurije i hiperkalijemije (vidjeti dio 4.3 i 4.4).</w:t>
      </w:r>
    </w:p>
    <w:p w14:paraId="1943B0A7" w14:textId="77777777" w:rsidR="00F645E1" w:rsidRPr="005B51C6" w:rsidRDefault="00F645E1" w:rsidP="00F645E1">
      <w:pPr>
        <w:tabs>
          <w:tab w:val="left" w:pos="284"/>
          <w:tab w:val="center" w:pos="4536"/>
          <w:tab w:val="right" w:pos="9072"/>
        </w:tabs>
        <w:jc w:val="both"/>
        <w:rPr>
          <w:bCs/>
          <w:szCs w:val="22"/>
          <w:lang w:val="sr-Latn-ME"/>
        </w:rPr>
      </w:pPr>
    </w:p>
    <w:p w14:paraId="47ADAEE0" w14:textId="77777777" w:rsidR="000C7B6F" w:rsidRPr="005B51C6" w:rsidRDefault="00AD382D" w:rsidP="00F645E1">
      <w:pPr>
        <w:tabs>
          <w:tab w:val="left" w:pos="284"/>
          <w:tab w:val="center" w:pos="4536"/>
          <w:tab w:val="right" w:pos="9072"/>
        </w:tabs>
        <w:jc w:val="both"/>
        <w:rPr>
          <w:bCs/>
          <w:szCs w:val="22"/>
          <w:u w:val="single"/>
          <w:lang w:val="sr-Latn-ME"/>
        </w:rPr>
      </w:pPr>
      <w:r w:rsidRPr="005B51C6">
        <w:rPr>
          <w:bCs/>
          <w:szCs w:val="22"/>
          <w:u w:val="single"/>
          <w:lang w:val="sr-Latn-ME"/>
        </w:rPr>
        <w:t>Dojenje</w:t>
      </w:r>
    </w:p>
    <w:p w14:paraId="6D1A936D" w14:textId="2363FDC6" w:rsidR="000C7B6F" w:rsidRPr="005B51C6" w:rsidRDefault="00AD382D" w:rsidP="00F645E1">
      <w:pPr>
        <w:tabs>
          <w:tab w:val="left" w:pos="284"/>
        </w:tabs>
        <w:jc w:val="both"/>
        <w:rPr>
          <w:b/>
          <w:bCs/>
          <w:szCs w:val="22"/>
          <w:lang w:val="sr-Latn-ME"/>
        </w:rPr>
      </w:pPr>
      <w:r w:rsidRPr="005B51C6">
        <w:rPr>
          <w:bCs/>
          <w:szCs w:val="22"/>
          <w:lang w:val="sr-Latn-ME"/>
        </w:rPr>
        <w:t>Usljed nedostatka dostupnih informacija o upotrebi ramiprila tokom dojenja (vidjeti dio 5.2), primjena lijeka Ampril se ne preporučuje, i alternativna terapija sa bolje ustanovljenim profilom bezbjednosti primjene tokom dojenja se preporučuje, posebno tokom dojenja novorođenčadi ili pr</w:t>
      </w:r>
      <w:r w:rsidR="002932CA" w:rsidRPr="005B51C6">
        <w:rPr>
          <w:bCs/>
          <w:szCs w:val="22"/>
          <w:lang w:val="sr-Latn-ME"/>
        </w:rPr>
        <w:t>ij</w:t>
      </w:r>
      <w:r w:rsidRPr="005B51C6">
        <w:rPr>
          <w:bCs/>
          <w:szCs w:val="22"/>
          <w:lang w:val="sr-Latn-ME"/>
        </w:rPr>
        <w:t>evremeno rođene odojčadi.</w:t>
      </w:r>
    </w:p>
    <w:p w14:paraId="2F96A473" w14:textId="77777777" w:rsidR="000C7B6F" w:rsidRPr="005B51C6" w:rsidRDefault="000C7B6F" w:rsidP="00F645E1">
      <w:pPr>
        <w:jc w:val="both"/>
        <w:rPr>
          <w:szCs w:val="22"/>
          <w:u w:val="single"/>
          <w:lang w:val="sr-Latn-ME"/>
        </w:rPr>
      </w:pPr>
    </w:p>
    <w:p w14:paraId="412FA053" w14:textId="77777777" w:rsidR="000C7B6F" w:rsidRPr="005B51C6" w:rsidRDefault="00AD382D" w:rsidP="00F645E1">
      <w:pPr>
        <w:widowControl w:val="0"/>
        <w:ind w:left="567" w:hanging="567"/>
        <w:jc w:val="both"/>
        <w:outlineLvl w:val="0"/>
        <w:rPr>
          <w:szCs w:val="22"/>
          <w:lang w:val="sr-Latn-ME"/>
        </w:rPr>
      </w:pPr>
      <w:r w:rsidRPr="005B51C6">
        <w:rPr>
          <w:b/>
          <w:szCs w:val="22"/>
          <w:lang w:val="sr-Latn-ME"/>
        </w:rPr>
        <w:t>4.7</w:t>
      </w:r>
      <w:r w:rsidRPr="005B51C6">
        <w:rPr>
          <w:b/>
          <w:szCs w:val="22"/>
          <w:lang w:val="sr-Latn-ME"/>
        </w:rPr>
        <w:tab/>
      </w:r>
      <w:r w:rsidRPr="005B51C6">
        <w:rPr>
          <w:b/>
          <w:bCs/>
          <w:szCs w:val="22"/>
          <w:lang w:val="sr-Latn-ME"/>
        </w:rPr>
        <w:t xml:space="preserve">Uticaj na sposobnost upravljanja vozilima i rukovanje mašinama </w:t>
      </w:r>
    </w:p>
    <w:p w14:paraId="5B26741B" w14:textId="77777777" w:rsidR="000C7B6F" w:rsidRPr="005B51C6" w:rsidRDefault="000C7B6F" w:rsidP="00F645E1">
      <w:pPr>
        <w:widowControl w:val="0"/>
        <w:jc w:val="both"/>
        <w:rPr>
          <w:szCs w:val="22"/>
          <w:lang w:val="sr-Latn-ME"/>
        </w:rPr>
      </w:pPr>
    </w:p>
    <w:p w14:paraId="6D41157C"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Neka neželjena dejstva (npr. simptomi smanjenja krvnog pritiska, kao što je vrtoglavica) mogu smanjiti koncentraciju i sposobnost pacijenta da reaguje, i zbog toga predstavljaju opasnost u situacijama u kojima su ove sposobnosti od posebnog značaja (npr. upravljanje vozilom ili mašinama).</w:t>
      </w:r>
    </w:p>
    <w:p w14:paraId="74E2228A" w14:textId="77777777" w:rsidR="000C7B6F" w:rsidRPr="005B51C6" w:rsidRDefault="00AD382D" w:rsidP="00F645E1">
      <w:pPr>
        <w:tabs>
          <w:tab w:val="left" w:pos="284"/>
        </w:tabs>
        <w:jc w:val="both"/>
        <w:rPr>
          <w:szCs w:val="22"/>
          <w:lang w:val="sr-Latn-ME"/>
        </w:rPr>
      </w:pPr>
      <w:r w:rsidRPr="005B51C6">
        <w:rPr>
          <w:szCs w:val="22"/>
          <w:lang w:val="sr-Latn-ME"/>
        </w:rPr>
        <w:t>To se može dogoditi posebno na početku terapije, ili pri zamjeni preparata. Poslije prve doze ili povećanja doze ne preporučuje se vožnja ili upravljanje mašinama u roku od nekoliko sati.</w:t>
      </w:r>
    </w:p>
    <w:p w14:paraId="225408F0" w14:textId="77777777" w:rsidR="000C7B6F" w:rsidRPr="005B51C6" w:rsidRDefault="000C7B6F" w:rsidP="00F645E1">
      <w:pPr>
        <w:widowControl w:val="0"/>
        <w:jc w:val="both"/>
        <w:rPr>
          <w:szCs w:val="22"/>
          <w:lang w:val="sr-Latn-ME"/>
        </w:rPr>
      </w:pPr>
    </w:p>
    <w:p w14:paraId="0CE79BF5" w14:textId="77777777" w:rsidR="000C7B6F" w:rsidRPr="005B51C6" w:rsidRDefault="00AD382D" w:rsidP="00F645E1">
      <w:pPr>
        <w:widowControl w:val="0"/>
        <w:numPr>
          <w:ilvl w:val="1"/>
          <w:numId w:val="11"/>
        </w:numPr>
        <w:spacing w:line="240" w:lineRule="auto"/>
        <w:jc w:val="both"/>
        <w:outlineLvl w:val="0"/>
        <w:rPr>
          <w:b/>
          <w:szCs w:val="22"/>
          <w:lang w:val="sr-Latn-ME"/>
        </w:rPr>
      </w:pPr>
      <w:r w:rsidRPr="005B51C6">
        <w:rPr>
          <w:b/>
          <w:szCs w:val="22"/>
          <w:lang w:val="sr-Latn-ME"/>
        </w:rPr>
        <w:t>Neželjena dejstva</w:t>
      </w:r>
    </w:p>
    <w:p w14:paraId="2C56C565" w14:textId="77777777" w:rsidR="000C7B6F" w:rsidRPr="005B51C6" w:rsidRDefault="000C7B6F" w:rsidP="00F645E1">
      <w:pPr>
        <w:pStyle w:val="Default"/>
        <w:widowControl w:val="0"/>
        <w:jc w:val="both"/>
        <w:rPr>
          <w:sz w:val="22"/>
          <w:szCs w:val="22"/>
          <w:lang w:val="sr-Latn-ME"/>
        </w:rPr>
      </w:pPr>
    </w:p>
    <w:tbl>
      <w:tblPr>
        <w:tblW w:w="9828" w:type="dxa"/>
        <w:tblLayout w:type="fixed"/>
        <w:tblLook w:val="04A0" w:firstRow="1" w:lastRow="0" w:firstColumn="1" w:lastColumn="0" w:noHBand="0" w:noVBand="1"/>
      </w:tblPr>
      <w:tblGrid>
        <w:gridCol w:w="1795"/>
        <w:gridCol w:w="1800"/>
        <w:gridCol w:w="1620"/>
        <w:gridCol w:w="1620"/>
        <w:gridCol w:w="1193"/>
        <w:gridCol w:w="1408"/>
        <w:gridCol w:w="392"/>
      </w:tblGrid>
      <w:tr w:rsidR="000C7B6F" w:rsidRPr="005B51C6" w14:paraId="4046276B" w14:textId="77777777">
        <w:trPr>
          <w:gridAfter w:val="1"/>
          <w:wAfter w:w="392" w:type="dxa"/>
        </w:trPr>
        <w:tc>
          <w:tcPr>
            <w:tcW w:w="9436" w:type="dxa"/>
            <w:gridSpan w:val="6"/>
            <w:vAlign w:val="center"/>
            <w:hideMark/>
          </w:tcPr>
          <w:p w14:paraId="17DF80CC" w14:textId="77777777" w:rsidR="000C7B6F" w:rsidRPr="005B51C6" w:rsidRDefault="00AD382D" w:rsidP="00F645E1">
            <w:pPr>
              <w:jc w:val="both"/>
              <w:rPr>
                <w:i/>
                <w:iCs/>
                <w:szCs w:val="22"/>
                <w:u w:val="single"/>
                <w:lang w:val="sr-Latn-ME"/>
              </w:rPr>
            </w:pPr>
            <w:r w:rsidRPr="005B51C6">
              <w:rPr>
                <w:i/>
                <w:iCs/>
                <w:szCs w:val="22"/>
                <w:u w:val="single"/>
                <w:lang w:val="sr-Latn-ME"/>
              </w:rPr>
              <w:t>Sažetak bezbjednosnog profila</w:t>
            </w:r>
          </w:p>
          <w:p w14:paraId="745CC210" w14:textId="77777777" w:rsidR="000C7B6F" w:rsidRPr="005B51C6" w:rsidRDefault="000C7B6F" w:rsidP="00F645E1">
            <w:pPr>
              <w:jc w:val="both"/>
              <w:rPr>
                <w:i/>
                <w:iCs/>
                <w:szCs w:val="22"/>
                <w:u w:val="single"/>
                <w:lang w:val="sr-Latn-ME"/>
              </w:rPr>
            </w:pPr>
          </w:p>
          <w:p w14:paraId="258DC33F" w14:textId="77777777" w:rsidR="000C7B6F" w:rsidRPr="005B51C6" w:rsidRDefault="00AD382D" w:rsidP="00F645E1">
            <w:pPr>
              <w:jc w:val="both"/>
              <w:rPr>
                <w:szCs w:val="22"/>
                <w:lang w:val="sr-Latn-ME"/>
              </w:rPr>
            </w:pPr>
            <w:r w:rsidRPr="005B51C6">
              <w:rPr>
                <w:szCs w:val="22"/>
                <w:lang w:val="sr-Latn-ME"/>
              </w:rPr>
              <w:lastRenderedPageBreak/>
              <w:t>Bezbjednosni profil ramiprila uključuje uporni suvi kašalj i reakcije vezane za pojavu hipotenzije. Ozbiljne neželjene reakcije uključuju angioedem, hiperkalemiju, insuficijenciju bubrega ili jetre, pankreatitis, ozbiljne reakcije na koži i neutropeniju/agranulocitozu.</w:t>
            </w:r>
          </w:p>
          <w:p w14:paraId="4A87FCDC" w14:textId="77777777" w:rsidR="000C7B6F" w:rsidRPr="005B51C6" w:rsidRDefault="00AD382D" w:rsidP="00F645E1">
            <w:pPr>
              <w:jc w:val="both"/>
              <w:rPr>
                <w:i/>
                <w:iCs/>
                <w:szCs w:val="22"/>
                <w:u w:val="single"/>
                <w:lang w:val="sr-Latn-ME"/>
              </w:rPr>
            </w:pPr>
            <w:r w:rsidRPr="005B51C6">
              <w:rPr>
                <w:i/>
                <w:iCs/>
                <w:szCs w:val="22"/>
                <w:u w:val="single"/>
                <w:lang w:val="sr-Latn-ME"/>
              </w:rPr>
              <w:t>Tabelarni prikaz neželjenih reakcija</w:t>
            </w:r>
          </w:p>
          <w:p w14:paraId="5DFC6DDE" w14:textId="77777777" w:rsidR="000C7B6F" w:rsidRPr="005B51C6" w:rsidRDefault="000C7B6F" w:rsidP="00F645E1">
            <w:pPr>
              <w:jc w:val="both"/>
              <w:rPr>
                <w:i/>
                <w:iCs/>
                <w:szCs w:val="22"/>
                <w:u w:val="single"/>
                <w:lang w:val="sr-Latn-ME"/>
              </w:rPr>
            </w:pPr>
          </w:p>
          <w:p w14:paraId="380FD7B5" w14:textId="77777777" w:rsidR="000C7B6F" w:rsidRPr="005B51C6" w:rsidRDefault="00AD382D" w:rsidP="00F645E1">
            <w:pPr>
              <w:jc w:val="both"/>
              <w:rPr>
                <w:szCs w:val="22"/>
                <w:lang w:val="sr-Latn-ME"/>
              </w:rPr>
            </w:pPr>
            <w:r w:rsidRPr="005B51C6">
              <w:rPr>
                <w:szCs w:val="22"/>
                <w:lang w:val="sr-Latn-ME"/>
              </w:rPr>
              <w:t>Učestalost neželjenih reakcija u tabeli definisana je sljedećom konvencijom: veoma često (≥ 1/10), često (≥ 1/100 do &lt; 1/10); povremeno (≥ 1/1 000 do &lt; 1/100); rijetko (≥1/10000 do &lt;1/1000), veoma rijetko (&lt;1/10000) i nepoznato (ne može se procijeniti na osnovu dostupnih podataka).</w:t>
            </w:r>
          </w:p>
          <w:p w14:paraId="52D31079" w14:textId="77777777" w:rsidR="000C7B6F" w:rsidRPr="005B51C6" w:rsidRDefault="000C7B6F" w:rsidP="00F645E1">
            <w:pPr>
              <w:jc w:val="both"/>
              <w:rPr>
                <w:szCs w:val="22"/>
                <w:lang w:val="sr-Latn-ME"/>
              </w:rPr>
            </w:pPr>
          </w:p>
          <w:p w14:paraId="062BC402" w14:textId="77777777" w:rsidR="000C7B6F" w:rsidRPr="005B51C6" w:rsidRDefault="00AD382D" w:rsidP="00F645E1">
            <w:pPr>
              <w:jc w:val="both"/>
              <w:rPr>
                <w:szCs w:val="22"/>
                <w:lang w:val="sr-Latn-ME"/>
              </w:rPr>
            </w:pPr>
            <w:r w:rsidRPr="005B51C6">
              <w:rPr>
                <w:szCs w:val="22"/>
                <w:lang w:val="sr-Latn-ME"/>
              </w:rPr>
              <w:t>U okviru svake grupe učestalosti neželjena dejstva su prikazana prema opadajućoj ozbiljnosti.</w:t>
            </w:r>
          </w:p>
          <w:p w14:paraId="580B303B" w14:textId="77777777" w:rsidR="000C7B6F" w:rsidRPr="005B51C6" w:rsidRDefault="000C7B6F" w:rsidP="00F645E1">
            <w:pPr>
              <w:tabs>
                <w:tab w:val="left" w:pos="8959"/>
              </w:tabs>
              <w:ind w:right="-108"/>
              <w:jc w:val="both"/>
              <w:rPr>
                <w:szCs w:val="22"/>
                <w:lang w:val="sr-Latn-ME"/>
              </w:rPr>
            </w:pPr>
          </w:p>
        </w:tc>
      </w:tr>
      <w:tr w:rsidR="000C7B6F" w:rsidRPr="005B51C6" w14:paraId="27FAE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5E63017F" w14:textId="77777777" w:rsidR="000C7B6F" w:rsidRPr="005B51C6" w:rsidRDefault="000C7B6F" w:rsidP="00F645E1">
            <w:pPr>
              <w:jc w:val="both"/>
              <w:rPr>
                <w:b/>
                <w:szCs w:val="22"/>
                <w:lang w:val="sr-Latn-ME"/>
              </w:rPr>
            </w:pPr>
          </w:p>
        </w:tc>
        <w:tc>
          <w:tcPr>
            <w:tcW w:w="1800" w:type="dxa"/>
            <w:shd w:val="clear" w:color="auto" w:fill="auto"/>
            <w:vAlign w:val="center"/>
          </w:tcPr>
          <w:p w14:paraId="173D45DF" w14:textId="77777777" w:rsidR="000C7B6F" w:rsidRPr="005B51C6" w:rsidRDefault="00AD382D" w:rsidP="00F645E1">
            <w:pPr>
              <w:jc w:val="both"/>
              <w:rPr>
                <w:b/>
                <w:szCs w:val="22"/>
                <w:lang w:val="sr-Latn-ME"/>
              </w:rPr>
            </w:pPr>
            <w:r w:rsidRPr="005B51C6">
              <w:rPr>
                <w:b/>
                <w:szCs w:val="22"/>
                <w:lang w:val="sr-Latn-ME"/>
              </w:rPr>
              <w:t>Često</w:t>
            </w:r>
          </w:p>
        </w:tc>
        <w:tc>
          <w:tcPr>
            <w:tcW w:w="1620" w:type="dxa"/>
            <w:shd w:val="clear" w:color="auto" w:fill="auto"/>
            <w:vAlign w:val="center"/>
          </w:tcPr>
          <w:p w14:paraId="24AE4299" w14:textId="77777777" w:rsidR="000C7B6F" w:rsidRPr="005B51C6" w:rsidRDefault="00AD382D" w:rsidP="00F645E1">
            <w:pPr>
              <w:jc w:val="both"/>
              <w:rPr>
                <w:b/>
                <w:szCs w:val="22"/>
                <w:lang w:val="sr-Latn-ME"/>
              </w:rPr>
            </w:pPr>
            <w:r w:rsidRPr="005B51C6">
              <w:rPr>
                <w:b/>
                <w:szCs w:val="22"/>
                <w:lang w:val="sr-Latn-ME"/>
              </w:rPr>
              <w:t>Povremeno</w:t>
            </w:r>
          </w:p>
        </w:tc>
        <w:tc>
          <w:tcPr>
            <w:tcW w:w="1620" w:type="dxa"/>
            <w:shd w:val="clear" w:color="auto" w:fill="auto"/>
            <w:vAlign w:val="center"/>
          </w:tcPr>
          <w:p w14:paraId="4C3D9F1A" w14:textId="77777777" w:rsidR="000C7B6F" w:rsidRPr="005B51C6" w:rsidRDefault="00AD382D" w:rsidP="00F645E1">
            <w:pPr>
              <w:jc w:val="both"/>
              <w:rPr>
                <w:b/>
                <w:szCs w:val="22"/>
                <w:lang w:val="sr-Latn-ME"/>
              </w:rPr>
            </w:pPr>
            <w:r w:rsidRPr="005B51C6">
              <w:rPr>
                <w:b/>
                <w:szCs w:val="22"/>
                <w:lang w:val="sr-Latn-ME"/>
              </w:rPr>
              <w:t>Rijetko</w:t>
            </w:r>
          </w:p>
        </w:tc>
        <w:tc>
          <w:tcPr>
            <w:tcW w:w="1193" w:type="dxa"/>
            <w:shd w:val="clear" w:color="auto" w:fill="auto"/>
            <w:vAlign w:val="center"/>
          </w:tcPr>
          <w:p w14:paraId="730D9922" w14:textId="77777777" w:rsidR="000C7B6F" w:rsidRPr="005B51C6" w:rsidRDefault="00AD382D" w:rsidP="00F645E1">
            <w:pPr>
              <w:jc w:val="both"/>
              <w:rPr>
                <w:b/>
                <w:szCs w:val="22"/>
                <w:lang w:val="sr-Latn-ME"/>
              </w:rPr>
            </w:pPr>
            <w:r w:rsidRPr="005B51C6">
              <w:rPr>
                <w:b/>
                <w:szCs w:val="22"/>
                <w:lang w:val="sr-Latn-ME"/>
              </w:rPr>
              <w:t>Veoma rijetko</w:t>
            </w:r>
          </w:p>
        </w:tc>
        <w:tc>
          <w:tcPr>
            <w:tcW w:w="1800" w:type="dxa"/>
            <w:gridSpan w:val="2"/>
            <w:shd w:val="clear" w:color="auto" w:fill="auto"/>
            <w:vAlign w:val="center"/>
          </w:tcPr>
          <w:p w14:paraId="6BB8B4BF" w14:textId="77777777" w:rsidR="000C7B6F" w:rsidRPr="005B51C6" w:rsidRDefault="00AD382D" w:rsidP="00F645E1">
            <w:pPr>
              <w:jc w:val="both"/>
              <w:rPr>
                <w:b/>
                <w:szCs w:val="22"/>
                <w:lang w:val="sr-Latn-ME"/>
              </w:rPr>
            </w:pPr>
            <w:r w:rsidRPr="005B51C6">
              <w:rPr>
                <w:b/>
                <w:szCs w:val="22"/>
                <w:lang w:val="sr-Latn-ME"/>
              </w:rPr>
              <w:t>Nepoznato</w:t>
            </w:r>
          </w:p>
        </w:tc>
      </w:tr>
      <w:tr w:rsidR="000C7B6F" w:rsidRPr="005B51C6" w14:paraId="70FB3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5F533CD0" w14:textId="77777777" w:rsidR="000C7B6F" w:rsidRPr="005B51C6" w:rsidRDefault="00AD382D" w:rsidP="00F645E1">
            <w:pPr>
              <w:jc w:val="both"/>
              <w:rPr>
                <w:szCs w:val="22"/>
                <w:lang w:val="sr-Latn-ME"/>
              </w:rPr>
            </w:pPr>
            <w:r w:rsidRPr="005B51C6">
              <w:rPr>
                <w:b/>
                <w:szCs w:val="22"/>
                <w:lang w:val="sr-Latn-ME"/>
              </w:rPr>
              <w:t>Poremećaji  krvi i limfnog sistema</w:t>
            </w:r>
          </w:p>
        </w:tc>
        <w:tc>
          <w:tcPr>
            <w:tcW w:w="1800" w:type="dxa"/>
            <w:shd w:val="clear" w:color="auto" w:fill="auto"/>
          </w:tcPr>
          <w:p w14:paraId="1750EC9A" w14:textId="77777777" w:rsidR="000C7B6F" w:rsidRPr="005B51C6" w:rsidRDefault="000C7B6F" w:rsidP="00F645E1">
            <w:pPr>
              <w:rPr>
                <w:szCs w:val="22"/>
                <w:lang w:val="sr-Latn-ME"/>
              </w:rPr>
            </w:pPr>
          </w:p>
        </w:tc>
        <w:tc>
          <w:tcPr>
            <w:tcW w:w="1620" w:type="dxa"/>
            <w:shd w:val="clear" w:color="auto" w:fill="auto"/>
          </w:tcPr>
          <w:p w14:paraId="16919F26" w14:textId="77777777" w:rsidR="000C7B6F" w:rsidRPr="005B51C6" w:rsidRDefault="00AD382D" w:rsidP="00F645E1">
            <w:pPr>
              <w:jc w:val="both"/>
              <w:rPr>
                <w:szCs w:val="22"/>
                <w:lang w:val="sr-Latn-ME"/>
              </w:rPr>
            </w:pPr>
            <w:r w:rsidRPr="005B51C6">
              <w:rPr>
                <w:szCs w:val="22"/>
                <w:lang w:val="sr-Latn-ME"/>
              </w:rPr>
              <w:t>Eozinofilija</w:t>
            </w:r>
          </w:p>
        </w:tc>
        <w:tc>
          <w:tcPr>
            <w:tcW w:w="1620" w:type="dxa"/>
            <w:shd w:val="clear" w:color="auto" w:fill="auto"/>
          </w:tcPr>
          <w:p w14:paraId="6B93280E" w14:textId="578D2961" w:rsidR="000C7B6F" w:rsidRPr="005B51C6" w:rsidRDefault="00AD382D" w:rsidP="00F645E1">
            <w:pPr>
              <w:jc w:val="both"/>
              <w:rPr>
                <w:szCs w:val="22"/>
                <w:lang w:val="sr-Latn-ME"/>
              </w:rPr>
            </w:pPr>
            <w:r w:rsidRPr="005B51C6">
              <w:rPr>
                <w:szCs w:val="22"/>
                <w:lang w:val="sr-Latn-ME"/>
              </w:rPr>
              <w:t>Smanjenje broja leukocita (uključujući neutropeniju ili agranulocitozu),</w:t>
            </w:r>
            <w:r w:rsidR="002932CA" w:rsidRPr="005B51C6">
              <w:rPr>
                <w:szCs w:val="22"/>
                <w:lang w:val="sr-Latn-ME"/>
              </w:rPr>
              <w:t xml:space="preserve"> </w:t>
            </w:r>
            <w:r w:rsidRPr="005B51C6">
              <w:rPr>
                <w:szCs w:val="22"/>
                <w:lang w:val="sr-Latn-ME"/>
              </w:rPr>
              <w:t>smanjenje broja eritrocita, smanjenje nivoa hemoglobina, smanjenje broja trombocita</w:t>
            </w:r>
          </w:p>
        </w:tc>
        <w:tc>
          <w:tcPr>
            <w:tcW w:w="1193" w:type="dxa"/>
            <w:shd w:val="clear" w:color="auto" w:fill="auto"/>
          </w:tcPr>
          <w:p w14:paraId="07748438" w14:textId="77777777" w:rsidR="000C7B6F" w:rsidRPr="005B51C6" w:rsidRDefault="000C7B6F" w:rsidP="00F645E1">
            <w:pPr>
              <w:jc w:val="both"/>
              <w:rPr>
                <w:szCs w:val="22"/>
                <w:lang w:val="sr-Latn-ME"/>
              </w:rPr>
            </w:pPr>
          </w:p>
        </w:tc>
        <w:tc>
          <w:tcPr>
            <w:tcW w:w="1800" w:type="dxa"/>
            <w:gridSpan w:val="2"/>
            <w:shd w:val="clear" w:color="auto" w:fill="auto"/>
          </w:tcPr>
          <w:p w14:paraId="1C0117CF" w14:textId="77777777" w:rsidR="000C7B6F" w:rsidRPr="005B51C6" w:rsidRDefault="00AD382D" w:rsidP="00F645E1">
            <w:pPr>
              <w:jc w:val="both"/>
              <w:rPr>
                <w:szCs w:val="22"/>
                <w:lang w:val="sr-Latn-ME"/>
              </w:rPr>
            </w:pPr>
            <w:r w:rsidRPr="005B51C6">
              <w:rPr>
                <w:szCs w:val="22"/>
                <w:lang w:val="sr-Latn-ME"/>
              </w:rPr>
              <w:t>Insuficijencija koštane srži, pancitopenija, hemolitička anemija</w:t>
            </w:r>
          </w:p>
        </w:tc>
      </w:tr>
      <w:tr w:rsidR="000C7B6F" w:rsidRPr="005B51C6" w14:paraId="7FC51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70110D43" w14:textId="77777777" w:rsidR="000C7B6F" w:rsidRPr="005B51C6" w:rsidRDefault="00AD382D" w:rsidP="00F645E1">
            <w:pPr>
              <w:rPr>
                <w:b/>
                <w:szCs w:val="22"/>
                <w:lang w:val="sr-Latn-ME"/>
              </w:rPr>
            </w:pPr>
            <w:r w:rsidRPr="005B51C6">
              <w:rPr>
                <w:b/>
                <w:szCs w:val="22"/>
                <w:lang w:val="sr-Latn-ME"/>
              </w:rPr>
              <w:t>Imunološki poremećaji</w:t>
            </w:r>
          </w:p>
        </w:tc>
        <w:tc>
          <w:tcPr>
            <w:tcW w:w="1800" w:type="dxa"/>
            <w:shd w:val="clear" w:color="auto" w:fill="auto"/>
          </w:tcPr>
          <w:p w14:paraId="5936A738" w14:textId="77777777" w:rsidR="000C7B6F" w:rsidRPr="005B51C6" w:rsidRDefault="000C7B6F" w:rsidP="00F645E1">
            <w:pPr>
              <w:rPr>
                <w:szCs w:val="22"/>
                <w:lang w:val="sr-Latn-ME"/>
              </w:rPr>
            </w:pPr>
          </w:p>
        </w:tc>
        <w:tc>
          <w:tcPr>
            <w:tcW w:w="1620" w:type="dxa"/>
            <w:shd w:val="clear" w:color="auto" w:fill="auto"/>
          </w:tcPr>
          <w:p w14:paraId="20B9EE21" w14:textId="77777777" w:rsidR="000C7B6F" w:rsidRPr="005B51C6" w:rsidRDefault="000C7B6F" w:rsidP="00F645E1">
            <w:pPr>
              <w:rPr>
                <w:szCs w:val="22"/>
                <w:lang w:val="sr-Latn-ME"/>
              </w:rPr>
            </w:pPr>
          </w:p>
        </w:tc>
        <w:tc>
          <w:tcPr>
            <w:tcW w:w="1620" w:type="dxa"/>
            <w:shd w:val="clear" w:color="auto" w:fill="auto"/>
          </w:tcPr>
          <w:p w14:paraId="17F13937" w14:textId="77777777" w:rsidR="000C7B6F" w:rsidRPr="005B51C6" w:rsidRDefault="000C7B6F" w:rsidP="00F645E1">
            <w:pPr>
              <w:rPr>
                <w:szCs w:val="22"/>
                <w:lang w:val="sr-Latn-ME"/>
              </w:rPr>
            </w:pPr>
          </w:p>
        </w:tc>
        <w:tc>
          <w:tcPr>
            <w:tcW w:w="1193" w:type="dxa"/>
            <w:shd w:val="clear" w:color="auto" w:fill="auto"/>
          </w:tcPr>
          <w:p w14:paraId="1C2CA290" w14:textId="77777777" w:rsidR="000C7B6F" w:rsidRPr="005B51C6" w:rsidRDefault="000C7B6F" w:rsidP="00F645E1">
            <w:pPr>
              <w:rPr>
                <w:szCs w:val="22"/>
                <w:lang w:val="sr-Latn-ME"/>
              </w:rPr>
            </w:pPr>
          </w:p>
        </w:tc>
        <w:tc>
          <w:tcPr>
            <w:tcW w:w="1800" w:type="dxa"/>
            <w:gridSpan w:val="2"/>
            <w:shd w:val="clear" w:color="auto" w:fill="auto"/>
          </w:tcPr>
          <w:p w14:paraId="77652EE6" w14:textId="77777777" w:rsidR="000C7B6F" w:rsidRPr="005B51C6" w:rsidRDefault="00AD382D" w:rsidP="00F645E1">
            <w:pPr>
              <w:rPr>
                <w:szCs w:val="22"/>
                <w:lang w:val="sr-Latn-ME"/>
              </w:rPr>
            </w:pPr>
            <w:r w:rsidRPr="005B51C6">
              <w:rPr>
                <w:szCs w:val="22"/>
                <w:lang w:val="sr-Latn-ME"/>
              </w:rPr>
              <w:t>Anafilaktičke ili anafilaktoidne reakcije, povećanje antinuklearnih antitijela</w:t>
            </w:r>
          </w:p>
        </w:tc>
      </w:tr>
      <w:tr w:rsidR="000C7B6F" w:rsidRPr="005B51C6" w14:paraId="795D8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4806996B" w14:textId="77777777" w:rsidR="000C7B6F" w:rsidRPr="005B51C6" w:rsidRDefault="00AD382D" w:rsidP="00F645E1">
            <w:pPr>
              <w:jc w:val="both"/>
              <w:rPr>
                <w:b/>
                <w:color w:val="FF0000"/>
                <w:szCs w:val="22"/>
                <w:lang w:val="sr-Latn-ME"/>
              </w:rPr>
            </w:pPr>
            <w:r w:rsidRPr="005B51C6">
              <w:rPr>
                <w:b/>
                <w:szCs w:val="22"/>
                <w:lang w:val="sr-Latn-ME"/>
              </w:rPr>
              <w:t>Endokrini poremećaji</w:t>
            </w:r>
          </w:p>
        </w:tc>
        <w:tc>
          <w:tcPr>
            <w:tcW w:w="1800" w:type="dxa"/>
            <w:shd w:val="clear" w:color="auto" w:fill="auto"/>
            <w:vAlign w:val="center"/>
          </w:tcPr>
          <w:p w14:paraId="403867FA" w14:textId="77777777" w:rsidR="000C7B6F" w:rsidRPr="005B51C6" w:rsidRDefault="000C7B6F" w:rsidP="00F645E1">
            <w:pPr>
              <w:jc w:val="both"/>
              <w:rPr>
                <w:color w:val="FF0000"/>
                <w:szCs w:val="22"/>
                <w:lang w:val="sr-Latn-ME"/>
              </w:rPr>
            </w:pPr>
          </w:p>
        </w:tc>
        <w:tc>
          <w:tcPr>
            <w:tcW w:w="1620" w:type="dxa"/>
            <w:shd w:val="clear" w:color="auto" w:fill="auto"/>
            <w:vAlign w:val="center"/>
          </w:tcPr>
          <w:p w14:paraId="4EF9ADF2" w14:textId="77777777" w:rsidR="000C7B6F" w:rsidRPr="005B51C6" w:rsidRDefault="000C7B6F" w:rsidP="00F645E1">
            <w:pPr>
              <w:jc w:val="both"/>
              <w:rPr>
                <w:color w:val="FF0000"/>
                <w:szCs w:val="22"/>
                <w:lang w:val="sr-Latn-ME"/>
              </w:rPr>
            </w:pPr>
          </w:p>
        </w:tc>
        <w:tc>
          <w:tcPr>
            <w:tcW w:w="1620" w:type="dxa"/>
            <w:shd w:val="clear" w:color="auto" w:fill="auto"/>
            <w:vAlign w:val="center"/>
          </w:tcPr>
          <w:p w14:paraId="5B930BBB" w14:textId="77777777" w:rsidR="000C7B6F" w:rsidRPr="005B51C6" w:rsidRDefault="000C7B6F" w:rsidP="00F645E1">
            <w:pPr>
              <w:jc w:val="both"/>
              <w:rPr>
                <w:color w:val="FF0000"/>
                <w:szCs w:val="22"/>
                <w:lang w:val="sr-Latn-ME"/>
              </w:rPr>
            </w:pPr>
          </w:p>
        </w:tc>
        <w:tc>
          <w:tcPr>
            <w:tcW w:w="1193" w:type="dxa"/>
            <w:shd w:val="clear" w:color="auto" w:fill="auto"/>
            <w:vAlign w:val="center"/>
          </w:tcPr>
          <w:p w14:paraId="3335F793" w14:textId="77777777" w:rsidR="000C7B6F" w:rsidRPr="005B51C6" w:rsidRDefault="000C7B6F" w:rsidP="00F645E1">
            <w:pPr>
              <w:jc w:val="both"/>
              <w:rPr>
                <w:color w:val="FF0000"/>
                <w:szCs w:val="22"/>
                <w:lang w:val="sr-Latn-ME"/>
              </w:rPr>
            </w:pPr>
          </w:p>
        </w:tc>
        <w:tc>
          <w:tcPr>
            <w:tcW w:w="1800" w:type="dxa"/>
            <w:gridSpan w:val="2"/>
            <w:shd w:val="clear" w:color="auto" w:fill="auto"/>
            <w:vAlign w:val="center"/>
          </w:tcPr>
          <w:p w14:paraId="386798CC" w14:textId="77777777" w:rsidR="000C7B6F" w:rsidRPr="005B51C6" w:rsidRDefault="00AD382D" w:rsidP="00F645E1">
            <w:pPr>
              <w:rPr>
                <w:color w:val="FF0000"/>
                <w:szCs w:val="22"/>
                <w:lang w:val="sr-Latn-ME"/>
              </w:rPr>
            </w:pPr>
            <w:r w:rsidRPr="005B51C6">
              <w:rPr>
                <w:szCs w:val="22"/>
                <w:lang w:val="sr-Latn-ME"/>
              </w:rPr>
              <w:t>Sindrom neodgovarajućeg izlučivanja antidiuretskog hormona (SIADH)</w:t>
            </w:r>
          </w:p>
        </w:tc>
      </w:tr>
      <w:tr w:rsidR="000C7B6F" w:rsidRPr="005B51C6" w14:paraId="077C1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1522F896" w14:textId="77777777" w:rsidR="000C7B6F" w:rsidRPr="005B51C6" w:rsidRDefault="00AD382D" w:rsidP="00F645E1">
            <w:pPr>
              <w:jc w:val="both"/>
              <w:rPr>
                <w:szCs w:val="22"/>
                <w:lang w:val="sr-Latn-ME"/>
              </w:rPr>
            </w:pPr>
            <w:r w:rsidRPr="005B51C6">
              <w:rPr>
                <w:b/>
                <w:szCs w:val="22"/>
                <w:lang w:val="sr-Latn-ME"/>
              </w:rPr>
              <w:t>Poremećaji metabolizma i ishrane</w:t>
            </w:r>
          </w:p>
        </w:tc>
        <w:tc>
          <w:tcPr>
            <w:tcW w:w="1800" w:type="dxa"/>
            <w:shd w:val="clear" w:color="auto" w:fill="auto"/>
          </w:tcPr>
          <w:p w14:paraId="79A74F8E" w14:textId="77777777" w:rsidR="000C7B6F" w:rsidRPr="005B51C6" w:rsidRDefault="00AD382D" w:rsidP="00F645E1">
            <w:pPr>
              <w:rPr>
                <w:szCs w:val="22"/>
                <w:lang w:val="sr-Latn-ME"/>
              </w:rPr>
            </w:pPr>
            <w:r w:rsidRPr="005B51C6">
              <w:rPr>
                <w:szCs w:val="22"/>
                <w:lang w:val="sr-Latn-ME"/>
              </w:rPr>
              <w:t>Povećanje nivoa kalijuma u krvi</w:t>
            </w:r>
          </w:p>
        </w:tc>
        <w:tc>
          <w:tcPr>
            <w:tcW w:w="1620" w:type="dxa"/>
            <w:shd w:val="clear" w:color="auto" w:fill="auto"/>
          </w:tcPr>
          <w:p w14:paraId="22A3FC37" w14:textId="77777777" w:rsidR="000C7B6F" w:rsidRPr="005B51C6" w:rsidRDefault="00AD382D" w:rsidP="00F645E1">
            <w:pPr>
              <w:rPr>
                <w:szCs w:val="22"/>
                <w:lang w:val="sr-Latn-ME"/>
              </w:rPr>
            </w:pPr>
            <w:r w:rsidRPr="005B51C6">
              <w:rPr>
                <w:szCs w:val="22"/>
                <w:lang w:val="sr-Latn-ME"/>
              </w:rPr>
              <w:t>Anoreksija, smanjenje apetita</w:t>
            </w:r>
          </w:p>
          <w:p w14:paraId="080F86C0" w14:textId="77777777" w:rsidR="000C7B6F" w:rsidRPr="005B51C6" w:rsidRDefault="000C7B6F" w:rsidP="00F645E1">
            <w:pPr>
              <w:rPr>
                <w:szCs w:val="22"/>
                <w:lang w:val="sr-Latn-ME"/>
              </w:rPr>
            </w:pPr>
          </w:p>
        </w:tc>
        <w:tc>
          <w:tcPr>
            <w:tcW w:w="1620" w:type="dxa"/>
            <w:shd w:val="clear" w:color="auto" w:fill="auto"/>
          </w:tcPr>
          <w:p w14:paraId="56B13323" w14:textId="77777777" w:rsidR="000C7B6F" w:rsidRPr="005B51C6" w:rsidRDefault="000C7B6F" w:rsidP="00F645E1">
            <w:pPr>
              <w:rPr>
                <w:szCs w:val="22"/>
                <w:lang w:val="sr-Latn-ME"/>
              </w:rPr>
            </w:pPr>
          </w:p>
        </w:tc>
        <w:tc>
          <w:tcPr>
            <w:tcW w:w="1193" w:type="dxa"/>
            <w:shd w:val="clear" w:color="auto" w:fill="auto"/>
          </w:tcPr>
          <w:p w14:paraId="6703B92D" w14:textId="77777777" w:rsidR="000C7B6F" w:rsidRPr="005B51C6" w:rsidRDefault="000C7B6F" w:rsidP="00F645E1">
            <w:pPr>
              <w:rPr>
                <w:szCs w:val="22"/>
                <w:lang w:val="sr-Latn-ME"/>
              </w:rPr>
            </w:pPr>
          </w:p>
        </w:tc>
        <w:tc>
          <w:tcPr>
            <w:tcW w:w="1800" w:type="dxa"/>
            <w:gridSpan w:val="2"/>
            <w:shd w:val="clear" w:color="auto" w:fill="auto"/>
          </w:tcPr>
          <w:p w14:paraId="14E3F008" w14:textId="77777777" w:rsidR="000C7B6F" w:rsidRPr="005B51C6" w:rsidRDefault="00AD382D" w:rsidP="00F645E1">
            <w:pPr>
              <w:rPr>
                <w:szCs w:val="22"/>
                <w:lang w:val="sr-Latn-ME"/>
              </w:rPr>
            </w:pPr>
            <w:r w:rsidRPr="005B51C6">
              <w:rPr>
                <w:szCs w:val="22"/>
                <w:lang w:val="sr-Latn-ME"/>
              </w:rPr>
              <w:t>Smanjenje nivoa natrijuma u krvi</w:t>
            </w:r>
          </w:p>
        </w:tc>
      </w:tr>
      <w:tr w:rsidR="000C7B6F" w:rsidRPr="005B51C6" w14:paraId="2CDCB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3FE36EB8" w14:textId="77777777" w:rsidR="000C7B6F" w:rsidRPr="005B51C6" w:rsidRDefault="00AD382D" w:rsidP="00F645E1">
            <w:pPr>
              <w:jc w:val="both"/>
              <w:rPr>
                <w:szCs w:val="22"/>
                <w:lang w:val="sr-Latn-ME"/>
              </w:rPr>
            </w:pPr>
            <w:r w:rsidRPr="005B51C6">
              <w:rPr>
                <w:b/>
                <w:szCs w:val="22"/>
                <w:lang w:val="sr-Latn-ME"/>
              </w:rPr>
              <w:t>Psihijatrijski poremećaji</w:t>
            </w:r>
          </w:p>
        </w:tc>
        <w:tc>
          <w:tcPr>
            <w:tcW w:w="1800" w:type="dxa"/>
            <w:shd w:val="clear" w:color="auto" w:fill="auto"/>
          </w:tcPr>
          <w:p w14:paraId="131B6BD4" w14:textId="77777777" w:rsidR="000C7B6F" w:rsidRPr="005B51C6" w:rsidRDefault="000C7B6F" w:rsidP="00F645E1">
            <w:pPr>
              <w:rPr>
                <w:szCs w:val="22"/>
                <w:lang w:val="sr-Latn-ME"/>
              </w:rPr>
            </w:pPr>
          </w:p>
        </w:tc>
        <w:tc>
          <w:tcPr>
            <w:tcW w:w="1620" w:type="dxa"/>
            <w:shd w:val="clear" w:color="auto" w:fill="auto"/>
          </w:tcPr>
          <w:p w14:paraId="1E045578" w14:textId="77777777" w:rsidR="000C7B6F" w:rsidRPr="005B51C6" w:rsidRDefault="00AD382D" w:rsidP="00F645E1">
            <w:pPr>
              <w:rPr>
                <w:szCs w:val="22"/>
                <w:lang w:val="sr-Latn-ME"/>
              </w:rPr>
            </w:pPr>
            <w:r w:rsidRPr="005B51C6">
              <w:rPr>
                <w:szCs w:val="22"/>
                <w:lang w:val="sr-Latn-ME"/>
              </w:rPr>
              <w:t>Depresivno raspoloženje, anksioznost, nervoza, uznemirenost, poremećaj spavanja uključujući somnolenciju</w:t>
            </w:r>
          </w:p>
        </w:tc>
        <w:tc>
          <w:tcPr>
            <w:tcW w:w="1620" w:type="dxa"/>
            <w:shd w:val="clear" w:color="auto" w:fill="auto"/>
          </w:tcPr>
          <w:p w14:paraId="274FB1F0" w14:textId="77777777" w:rsidR="000C7B6F" w:rsidRPr="005B51C6" w:rsidRDefault="00AD382D" w:rsidP="00F645E1">
            <w:pPr>
              <w:rPr>
                <w:szCs w:val="22"/>
                <w:lang w:val="sr-Latn-ME"/>
              </w:rPr>
            </w:pPr>
            <w:r w:rsidRPr="005B51C6">
              <w:rPr>
                <w:szCs w:val="22"/>
                <w:lang w:val="sr-Latn-ME"/>
              </w:rPr>
              <w:t>Stanje konfuzije</w:t>
            </w:r>
          </w:p>
        </w:tc>
        <w:tc>
          <w:tcPr>
            <w:tcW w:w="1193" w:type="dxa"/>
            <w:shd w:val="clear" w:color="auto" w:fill="auto"/>
          </w:tcPr>
          <w:p w14:paraId="376A19C2" w14:textId="77777777" w:rsidR="000C7B6F" w:rsidRPr="005B51C6" w:rsidRDefault="000C7B6F" w:rsidP="00F645E1">
            <w:pPr>
              <w:rPr>
                <w:szCs w:val="22"/>
                <w:lang w:val="sr-Latn-ME"/>
              </w:rPr>
            </w:pPr>
          </w:p>
        </w:tc>
        <w:tc>
          <w:tcPr>
            <w:tcW w:w="1800" w:type="dxa"/>
            <w:gridSpan w:val="2"/>
            <w:shd w:val="clear" w:color="auto" w:fill="auto"/>
          </w:tcPr>
          <w:p w14:paraId="7C6AEB95" w14:textId="77777777" w:rsidR="000C7B6F" w:rsidRPr="005B51C6" w:rsidRDefault="00AD382D" w:rsidP="00F645E1">
            <w:pPr>
              <w:rPr>
                <w:szCs w:val="22"/>
                <w:lang w:val="sr-Latn-ME"/>
              </w:rPr>
            </w:pPr>
            <w:r w:rsidRPr="005B51C6">
              <w:rPr>
                <w:szCs w:val="22"/>
                <w:lang w:val="sr-Latn-ME"/>
              </w:rPr>
              <w:t>Smanjenje pažnje</w:t>
            </w:r>
          </w:p>
        </w:tc>
      </w:tr>
      <w:tr w:rsidR="000C7B6F" w:rsidRPr="005B51C6" w14:paraId="5FD09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2A7C6E2E" w14:textId="77777777" w:rsidR="000C7B6F" w:rsidRPr="005B51C6" w:rsidRDefault="00AD382D" w:rsidP="00F645E1">
            <w:pPr>
              <w:jc w:val="both"/>
              <w:rPr>
                <w:szCs w:val="22"/>
                <w:lang w:val="sr-Latn-ME"/>
              </w:rPr>
            </w:pPr>
            <w:r w:rsidRPr="005B51C6">
              <w:rPr>
                <w:b/>
                <w:szCs w:val="22"/>
                <w:lang w:val="sr-Latn-ME"/>
              </w:rPr>
              <w:t>Poremećaji nervnog sistema</w:t>
            </w:r>
          </w:p>
        </w:tc>
        <w:tc>
          <w:tcPr>
            <w:tcW w:w="1800" w:type="dxa"/>
            <w:shd w:val="clear" w:color="auto" w:fill="auto"/>
          </w:tcPr>
          <w:p w14:paraId="029BAF62" w14:textId="77777777" w:rsidR="000C7B6F" w:rsidRPr="005B51C6" w:rsidRDefault="00AD382D" w:rsidP="00F645E1">
            <w:pPr>
              <w:rPr>
                <w:szCs w:val="22"/>
                <w:lang w:val="sr-Latn-ME"/>
              </w:rPr>
            </w:pPr>
            <w:r w:rsidRPr="005B51C6">
              <w:rPr>
                <w:szCs w:val="22"/>
                <w:lang w:val="sr-Latn-ME"/>
              </w:rPr>
              <w:t>Glavobolja, nesvjestica</w:t>
            </w:r>
          </w:p>
        </w:tc>
        <w:tc>
          <w:tcPr>
            <w:tcW w:w="1620" w:type="dxa"/>
            <w:shd w:val="clear" w:color="auto" w:fill="auto"/>
          </w:tcPr>
          <w:p w14:paraId="29A3FFD2" w14:textId="77777777" w:rsidR="000C7B6F" w:rsidRPr="005B51C6" w:rsidRDefault="00AD382D" w:rsidP="00F645E1">
            <w:pPr>
              <w:rPr>
                <w:szCs w:val="22"/>
                <w:lang w:val="sr-Latn-ME"/>
              </w:rPr>
            </w:pPr>
            <w:r w:rsidRPr="005B51C6">
              <w:rPr>
                <w:szCs w:val="22"/>
                <w:lang w:val="sr-Latn-ME"/>
              </w:rPr>
              <w:t>Vrtoglavica, parestezija,  poremećaj ukusa ili gubitak ukusa</w:t>
            </w:r>
          </w:p>
        </w:tc>
        <w:tc>
          <w:tcPr>
            <w:tcW w:w="1620" w:type="dxa"/>
            <w:shd w:val="clear" w:color="auto" w:fill="auto"/>
          </w:tcPr>
          <w:p w14:paraId="1399DE21" w14:textId="77777777" w:rsidR="000C7B6F" w:rsidRPr="005B51C6" w:rsidRDefault="00AD382D" w:rsidP="00F645E1">
            <w:pPr>
              <w:rPr>
                <w:szCs w:val="22"/>
                <w:lang w:val="sr-Latn-ME"/>
              </w:rPr>
            </w:pPr>
            <w:r w:rsidRPr="005B51C6">
              <w:rPr>
                <w:szCs w:val="22"/>
                <w:lang w:val="sr-Latn-ME"/>
              </w:rPr>
              <w:t>Tremor, poremećaj ravnoteže</w:t>
            </w:r>
          </w:p>
        </w:tc>
        <w:tc>
          <w:tcPr>
            <w:tcW w:w="1193" w:type="dxa"/>
            <w:shd w:val="clear" w:color="auto" w:fill="auto"/>
          </w:tcPr>
          <w:p w14:paraId="10EB635F" w14:textId="77777777" w:rsidR="000C7B6F" w:rsidRPr="005B51C6" w:rsidRDefault="000C7B6F" w:rsidP="00F645E1">
            <w:pPr>
              <w:rPr>
                <w:szCs w:val="22"/>
                <w:lang w:val="sr-Latn-ME"/>
              </w:rPr>
            </w:pPr>
          </w:p>
        </w:tc>
        <w:tc>
          <w:tcPr>
            <w:tcW w:w="1800" w:type="dxa"/>
            <w:gridSpan w:val="2"/>
            <w:shd w:val="clear" w:color="auto" w:fill="auto"/>
          </w:tcPr>
          <w:p w14:paraId="314FDCA6" w14:textId="77777777" w:rsidR="000C7B6F" w:rsidRPr="005B51C6" w:rsidRDefault="00AD382D" w:rsidP="00F645E1">
            <w:pPr>
              <w:rPr>
                <w:szCs w:val="22"/>
                <w:lang w:val="sr-Latn-ME"/>
              </w:rPr>
            </w:pPr>
            <w:r w:rsidRPr="005B51C6">
              <w:rPr>
                <w:szCs w:val="22"/>
                <w:lang w:val="sr-Latn-ME"/>
              </w:rPr>
              <w:t xml:space="preserve">Cerebralna ishemija, uključujući ishemijski udar i prolazni </w:t>
            </w:r>
            <w:r w:rsidRPr="005B51C6">
              <w:rPr>
                <w:szCs w:val="22"/>
                <w:lang w:val="sr-Latn-ME"/>
              </w:rPr>
              <w:lastRenderedPageBreak/>
              <w:t>ishemijski napad, oštećenje psihomotornih sposobnosti, osjećaj peckanja, parosmija</w:t>
            </w:r>
          </w:p>
        </w:tc>
      </w:tr>
      <w:tr w:rsidR="000C7B6F" w:rsidRPr="005B51C6" w14:paraId="2B11A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60E79D9B" w14:textId="77777777" w:rsidR="000C7B6F" w:rsidRPr="005B51C6" w:rsidRDefault="00AD382D" w:rsidP="00F645E1">
            <w:pPr>
              <w:jc w:val="both"/>
              <w:rPr>
                <w:b/>
                <w:szCs w:val="22"/>
                <w:lang w:val="sr-Latn-ME"/>
              </w:rPr>
            </w:pPr>
            <w:r w:rsidRPr="005B51C6">
              <w:rPr>
                <w:b/>
                <w:szCs w:val="22"/>
                <w:lang w:val="sr-Latn-ME"/>
              </w:rPr>
              <w:lastRenderedPageBreak/>
              <w:t>Poremećaji  oka</w:t>
            </w:r>
          </w:p>
        </w:tc>
        <w:tc>
          <w:tcPr>
            <w:tcW w:w="1800" w:type="dxa"/>
            <w:shd w:val="clear" w:color="auto" w:fill="auto"/>
          </w:tcPr>
          <w:p w14:paraId="30962A90" w14:textId="77777777" w:rsidR="000C7B6F" w:rsidRPr="005B51C6" w:rsidRDefault="000C7B6F" w:rsidP="00F645E1">
            <w:pPr>
              <w:rPr>
                <w:szCs w:val="22"/>
                <w:lang w:val="sr-Latn-ME"/>
              </w:rPr>
            </w:pPr>
          </w:p>
        </w:tc>
        <w:tc>
          <w:tcPr>
            <w:tcW w:w="1620" w:type="dxa"/>
            <w:shd w:val="clear" w:color="auto" w:fill="auto"/>
          </w:tcPr>
          <w:p w14:paraId="0BEB9555" w14:textId="77777777" w:rsidR="000C7B6F" w:rsidRPr="005B51C6" w:rsidRDefault="00AD382D" w:rsidP="00F645E1">
            <w:pPr>
              <w:rPr>
                <w:szCs w:val="22"/>
                <w:lang w:val="sr-Latn-ME"/>
              </w:rPr>
            </w:pPr>
            <w:r w:rsidRPr="005B51C6">
              <w:rPr>
                <w:szCs w:val="22"/>
                <w:lang w:val="sr-Latn-ME"/>
              </w:rPr>
              <w:t>Poremećaji  vida uključujući zamućenje vida</w:t>
            </w:r>
          </w:p>
        </w:tc>
        <w:tc>
          <w:tcPr>
            <w:tcW w:w="1620" w:type="dxa"/>
            <w:shd w:val="clear" w:color="auto" w:fill="auto"/>
          </w:tcPr>
          <w:p w14:paraId="67CC8823" w14:textId="77777777" w:rsidR="000C7B6F" w:rsidRPr="005B51C6" w:rsidRDefault="00AD382D" w:rsidP="00F645E1">
            <w:pPr>
              <w:rPr>
                <w:szCs w:val="22"/>
                <w:lang w:val="sr-Latn-ME"/>
              </w:rPr>
            </w:pPr>
            <w:r w:rsidRPr="005B51C6">
              <w:rPr>
                <w:szCs w:val="22"/>
                <w:lang w:val="sr-Latn-ME"/>
              </w:rPr>
              <w:t>Konjunktivitis</w:t>
            </w:r>
          </w:p>
        </w:tc>
        <w:tc>
          <w:tcPr>
            <w:tcW w:w="1193" w:type="dxa"/>
            <w:shd w:val="clear" w:color="auto" w:fill="auto"/>
          </w:tcPr>
          <w:p w14:paraId="2C8F91A4" w14:textId="77777777" w:rsidR="000C7B6F" w:rsidRPr="005B51C6" w:rsidRDefault="000C7B6F" w:rsidP="00F645E1">
            <w:pPr>
              <w:rPr>
                <w:szCs w:val="22"/>
                <w:lang w:val="sr-Latn-ME"/>
              </w:rPr>
            </w:pPr>
          </w:p>
        </w:tc>
        <w:tc>
          <w:tcPr>
            <w:tcW w:w="1800" w:type="dxa"/>
            <w:gridSpan w:val="2"/>
            <w:shd w:val="clear" w:color="auto" w:fill="auto"/>
          </w:tcPr>
          <w:p w14:paraId="1AD2FBC6" w14:textId="77777777" w:rsidR="000C7B6F" w:rsidRPr="005B51C6" w:rsidRDefault="000C7B6F" w:rsidP="00F645E1">
            <w:pPr>
              <w:rPr>
                <w:szCs w:val="22"/>
                <w:lang w:val="sr-Latn-ME"/>
              </w:rPr>
            </w:pPr>
          </w:p>
        </w:tc>
      </w:tr>
      <w:tr w:rsidR="000C7B6F" w:rsidRPr="005B51C6" w14:paraId="22E08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5E6B1C9A" w14:textId="77777777" w:rsidR="000C7B6F" w:rsidRPr="005B51C6" w:rsidRDefault="00AD382D" w:rsidP="00F645E1">
            <w:pPr>
              <w:jc w:val="both"/>
              <w:rPr>
                <w:b/>
                <w:szCs w:val="22"/>
                <w:lang w:val="sr-Latn-ME"/>
              </w:rPr>
            </w:pPr>
            <w:r w:rsidRPr="005B51C6">
              <w:rPr>
                <w:b/>
                <w:szCs w:val="22"/>
                <w:lang w:val="sr-Latn-ME"/>
              </w:rPr>
              <w:t>Poremećaji  uha i centra za ravnotežu</w:t>
            </w:r>
          </w:p>
        </w:tc>
        <w:tc>
          <w:tcPr>
            <w:tcW w:w="1800" w:type="dxa"/>
            <w:shd w:val="clear" w:color="auto" w:fill="auto"/>
          </w:tcPr>
          <w:p w14:paraId="4E3534C2" w14:textId="77777777" w:rsidR="000C7B6F" w:rsidRPr="005B51C6" w:rsidRDefault="000C7B6F" w:rsidP="00F645E1">
            <w:pPr>
              <w:rPr>
                <w:szCs w:val="22"/>
                <w:lang w:val="sr-Latn-ME"/>
              </w:rPr>
            </w:pPr>
          </w:p>
        </w:tc>
        <w:tc>
          <w:tcPr>
            <w:tcW w:w="1620" w:type="dxa"/>
            <w:shd w:val="clear" w:color="auto" w:fill="auto"/>
          </w:tcPr>
          <w:p w14:paraId="6A35D722" w14:textId="77777777" w:rsidR="000C7B6F" w:rsidRPr="005B51C6" w:rsidRDefault="000C7B6F" w:rsidP="00F645E1">
            <w:pPr>
              <w:rPr>
                <w:szCs w:val="22"/>
                <w:lang w:val="sr-Latn-ME"/>
              </w:rPr>
            </w:pPr>
          </w:p>
        </w:tc>
        <w:tc>
          <w:tcPr>
            <w:tcW w:w="1620" w:type="dxa"/>
            <w:shd w:val="clear" w:color="auto" w:fill="auto"/>
          </w:tcPr>
          <w:p w14:paraId="2E8B1955" w14:textId="77777777" w:rsidR="000C7B6F" w:rsidRPr="005B51C6" w:rsidRDefault="00AD382D" w:rsidP="00F645E1">
            <w:pPr>
              <w:rPr>
                <w:szCs w:val="22"/>
                <w:lang w:val="sr-Latn-ME"/>
              </w:rPr>
            </w:pPr>
            <w:r w:rsidRPr="005B51C6">
              <w:rPr>
                <w:szCs w:val="22"/>
                <w:lang w:val="sr-Latn-ME"/>
              </w:rPr>
              <w:t>Oštećenje sluha, tinitus</w:t>
            </w:r>
          </w:p>
        </w:tc>
        <w:tc>
          <w:tcPr>
            <w:tcW w:w="1193" w:type="dxa"/>
            <w:shd w:val="clear" w:color="auto" w:fill="auto"/>
          </w:tcPr>
          <w:p w14:paraId="29578D86" w14:textId="77777777" w:rsidR="000C7B6F" w:rsidRPr="005B51C6" w:rsidRDefault="000C7B6F" w:rsidP="00F645E1">
            <w:pPr>
              <w:rPr>
                <w:szCs w:val="22"/>
                <w:lang w:val="sr-Latn-ME"/>
              </w:rPr>
            </w:pPr>
          </w:p>
        </w:tc>
        <w:tc>
          <w:tcPr>
            <w:tcW w:w="1800" w:type="dxa"/>
            <w:gridSpan w:val="2"/>
            <w:shd w:val="clear" w:color="auto" w:fill="auto"/>
          </w:tcPr>
          <w:p w14:paraId="1EDD17A3" w14:textId="77777777" w:rsidR="000C7B6F" w:rsidRPr="005B51C6" w:rsidRDefault="000C7B6F" w:rsidP="00F645E1">
            <w:pPr>
              <w:rPr>
                <w:szCs w:val="22"/>
                <w:lang w:val="sr-Latn-ME"/>
              </w:rPr>
            </w:pPr>
          </w:p>
        </w:tc>
      </w:tr>
      <w:tr w:rsidR="000C7B6F" w:rsidRPr="005B51C6" w14:paraId="78545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1A91147B" w14:textId="77777777" w:rsidR="000C7B6F" w:rsidRPr="005B51C6" w:rsidRDefault="00AD382D" w:rsidP="00F645E1">
            <w:pPr>
              <w:jc w:val="both"/>
              <w:rPr>
                <w:b/>
                <w:szCs w:val="22"/>
                <w:lang w:val="sr-Latn-ME"/>
              </w:rPr>
            </w:pPr>
            <w:r w:rsidRPr="005B51C6">
              <w:rPr>
                <w:b/>
                <w:szCs w:val="22"/>
                <w:lang w:val="sr-Latn-ME"/>
              </w:rPr>
              <w:t>Kardiološki poremećaji</w:t>
            </w:r>
          </w:p>
        </w:tc>
        <w:tc>
          <w:tcPr>
            <w:tcW w:w="1800" w:type="dxa"/>
            <w:shd w:val="clear" w:color="auto" w:fill="auto"/>
            <w:vAlign w:val="center"/>
          </w:tcPr>
          <w:p w14:paraId="4ACB7E36" w14:textId="77777777" w:rsidR="000C7B6F" w:rsidRPr="005B51C6" w:rsidRDefault="000C7B6F" w:rsidP="00F645E1">
            <w:pPr>
              <w:jc w:val="both"/>
              <w:rPr>
                <w:color w:val="FF0000"/>
                <w:szCs w:val="22"/>
                <w:lang w:val="sr-Latn-ME"/>
              </w:rPr>
            </w:pPr>
          </w:p>
        </w:tc>
        <w:tc>
          <w:tcPr>
            <w:tcW w:w="1620" w:type="dxa"/>
            <w:shd w:val="clear" w:color="auto" w:fill="auto"/>
            <w:vAlign w:val="center"/>
          </w:tcPr>
          <w:p w14:paraId="7BB5BB0D" w14:textId="77777777" w:rsidR="000C7B6F" w:rsidRPr="005B51C6" w:rsidRDefault="00AD382D" w:rsidP="00F645E1">
            <w:pPr>
              <w:jc w:val="both"/>
              <w:rPr>
                <w:color w:val="FF0000"/>
                <w:szCs w:val="22"/>
                <w:lang w:val="sr-Latn-ME"/>
              </w:rPr>
            </w:pPr>
            <w:r w:rsidRPr="005B51C6">
              <w:rPr>
                <w:szCs w:val="22"/>
                <w:lang w:val="sr-Latn-ME"/>
              </w:rPr>
              <w:t>Ishemija miokarda uključujući anginu pektoris ili infarkt miokarda, tahikardija, aritmija, palpitacije, periferni edem</w:t>
            </w:r>
          </w:p>
        </w:tc>
        <w:tc>
          <w:tcPr>
            <w:tcW w:w="1620" w:type="dxa"/>
            <w:shd w:val="clear" w:color="auto" w:fill="auto"/>
            <w:vAlign w:val="center"/>
          </w:tcPr>
          <w:p w14:paraId="05D5CEF9" w14:textId="77777777" w:rsidR="000C7B6F" w:rsidRPr="005B51C6" w:rsidRDefault="000C7B6F" w:rsidP="00F645E1">
            <w:pPr>
              <w:jc w:val="both"/>
              <w:rPr>
                <w:color w:val="FF0000"/>
                <w:szCs w:val="22"/>
                <w:lang w:val="sr-Latn-ME"/>
              </w:rPr>
            </w:pPr>
          </w:p>
        </w:tc>
        <w:tc>
          <w:tcPr>
            <w:tcW w:w="1193" w:type="dxa"/>
            <w:shd w:val="clear" w:color="auto" w:fill="auto"/>
            <w:vAlign w:val="center"/>
          </w:tcPr>
          <w:p w14:paraId="7671D3A3" w14:textId="77777777" w:rsidR="000C7B6F" w:rsidRPr="005B51C6" w:rsidRDefault="000C7B6F" w:rsidP="00F645E1">
            <w:pPr>
              <w:jc w:val="both"/>
              <w:rPr>
                <w:color w:val="FF0000"/>
                <w:szCs w:val="22"/>
                <w:lang w:val="sr-Latn-ME"/>
              </w:rPr>
            </w:pPr>
          </w:p>
        </w:tc>
        <w:tc>
          <w:tcPr>
            <w:tcW w:w="1800" w:type="dxa"/>
            <w:gridSpan w:val="2"/>
            <w:shd w:val="clear" w:color="auto" w:fill="auto"/>
            <w:vAlign w:val="center"/>
          </w:tcPr>
          <w:p w14:paraId="07D1025D" w14:textId="77777777" w:rsidR="000C7B6F" w:rsidRPr="005B51C6" w:rsidRDefault="000C7B6F" w:rsidP="00F645E1">
            <w:pPr>
              <w:jc w:val="both"/>
              <w:rPr>
                <w:color w:val="FF0000"/>
                <w:szCs w:val="22"/>
                <w:lang w:val="sr-Latn-ME"/>
              </w:rPr>
            </w:pPr>
          </w:p>
        </w:tc>
      </w:tr>
      <w:tr w:rsidR="000C7B6F" w:rsidRPr="005B51C6" w14:paraId="0E0BC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57A1A3FA" w14:textId="77777777" w:rsidR="000C7B6F" w:rsidRPr="005B51C6" w:rsidRDefault="00AD382D" w:rsidP="00F645E1">
            <w:pPr>
              <w:jc w:val="both"/>
              <w:rPr>
                <w:szCs w:val="22"/>
                <w:lang w:val="sr-Latn-ME"/>
              </w:rPr>
            </w:pPr>
            <w:r w:rsidRPr="005B51C6">
              <w:rPr>
                <w:b/>
                <w:szCs w:val="22"/>
                <w:lang w:val="sr-Latn-ME"/>
              </w:rPr>
              <w:t>Vaskularni poremećaji</w:t>
            </w:r>
          </w:p>
        </w:tc>
        <w:tc>
          <w:tcPr>
            <w:tcW w:w="1800" w:type="dxa"/>
            <w:shd w:val="clear" w:color="auto" w:fill="auto"/>
          </w:tcPr>
          <w:p w14:paraId="6F1C8CC0" w14:textId="77777777" w:rsidR="000C7B6F" w:rsidRPr="005B51C6" w:rsidRDefault="00AD382D" w:rsidP="00F645E1">
            <w:pPr>
              <w:jc w:val="both"/>
              <w:rPr>
                <w:szCs w:val="22"/>
                <w:lang w:val="sr-Latn-ME"/>
              </w:rPr>
            </w:pPr>
            <w:r w:rsidRPr="005B51C6">
              <w:rPr>
                <w:szCs w:val="22"/>
                <w:lang w:val="sr-Latn-ME"/>
              </w:rPr>
              <w:t>Hipotenzija,  ortostatska hipotenzija, sinkopa</w:t>
            </w:r>
          </w:p>
        </w:tc>
        <w:tc>
          <w:tcPr>
            <w:tcW w:w="1620" w:type="dxa"/>
            <w:shd w:val="clear" w:color="auto" w:fill="auto"/>
          </w:tcPr>
          <w:p w14:paraId="3550A746" w14:textId="77777777" w:rsidR="000C7B6F" w:rsidRPr="005B51C6" w:rsidRDefault="00AD382D" w:rsidP="00F645E1">
            <w:pPr>
              <w:jc w:val="both"/>
              <w:rPr>
                <w:szCs w:val="22"/>
                <w:lang w:val="sr-Latn-ME"/>
              </w:rPr>
            </w:pPr>
            <w:r w:rsidRPr="005B51C6">
              <w:rPr>
                <w:szCs w:val="22"/>
                <w:lang w:val="sr-Latn-ME"/>
              </w:rPr>
              <w:t>Naleti vrućine</w:t>
            </w:r>
          </w:p>
        </w:tc>
        <w:tc>
          <w:tcPr>
            <w:tcW w:w="1620" w:type="dxa"/>
            <w:shd w:val="clear" w:color="auto" w:fill="auto"/>
          </w:tcPr>
          <w:p w14:paraId="722DF647" w14:textId="77777777" w:rsidR="000C7B6F" w:rsidRPr="005B51C6" w:rsidRDefault="00AD382D" w:rsidP="00F645E1">
            <w:pPr>
              <w:jc w:val="both"/>
              <w:rPr>
                <w:szCs w:val="22"/>
                <w:lang w:val="sr-Latn-ME"/>
              </w:rPr>
            </w:pPr>
            <w:r w:rsidRPr="005B51C6">
              <w:rPr>
                <w:szCs w:val="22"/>
                <w:lang w:val="sr-Latn-ME"/>
              </w:rPr>
              <w:t>Vaskularna stenoza, hipoperfuzija, vaskulitis</w:t>
            </w:r>
          </w:p>
        </w:tc>
        <w:tc>
          <w:tcPr>
            <w:tcW w:w="1193" w:type="dxa"/>
            <w:shd w:val="clear" w:color="auto" w:fill="auto"/>
          </w:tcPr>
          <w:p w14:paraId="684DF76E" w14:textId="77777777" w:rsidR="000C7B6F" w:rsidRPr="005B51C6" w:rsidRDefault="000C7B6F" w:rsidP="00F645E1">
            <w:pPr>
              <w:jc w:val="both"/>
              <w:rPr>
                <w:szCs w:val="22"/>
                <w:lang w:val="sr-Latn-ME"/>
              </w:rPr>
            </w:pPr>
          </w:p>
        </w:tc>
        <w:tc>
          <w:tcPr>
            <w:tcW w:w="1800" w:type="dxa"/>
            <w:gridSpan w:val="2"/>
            <w:shd w:val="clear" w:color="auto" w:fill="auto"/>
          </w:tcPr>
          <w:p w14:paraId="121A17B2" w14:textId="77777777" w:rsidR="000C7B6F" w:rsidRPr="005B51C6" w:rsidRDefault="00AD382D" w:rsidP="00F645E1">
            <w:pPr>
              <w:jc w:val="both"/>
              <w:rPr>
                <w:szCs w:val="22"/>
                <w:lang w:val="sr-Latn-ME"/>
              </w:rPr>
            </w:pPr>
            <w:r w:rsidRPr="005B51C6">
              <w:rPr>
                <w:szCs w:val="22"/>
                <w:lang w:val="sr-Latn-ME"/>
              </w:rPr>
              <w:t>Raynaud-ov fenomen</w:t>
            </w:r>
          </w:p>
        </w:tc>
      </w:tr>
      <w:tr w:rsidR="000C7B6F" w:rsidRPr="005B51C6" w14:paraId="5FFD1C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75F424C5" w14:textId="77777777" w:rsidR="000C7B6F" w:rsidRPr="005B51C6" w:rsidRDefault="00AD382D" w:rsidP="00F645E1">
            <w:pPr>
              <w:jc w:val="both"/>
              <w:rPr>
                <w:b/>
                <w:bCs/>
                <w:szCs w:val="22"/>
                <w:lang w:val="sr-Latn-ME"/>
              </w:rPr>
            </w:pPr>
            <w:r w:rsidRPr="005B51C6">
              <w:rPr>
                <w:b/>
                <w:bCs/>
                <w:szCs w:val="22"/>
                <w:lang w:val="sr-Latn-ME"/>
              </w:rPr>
              <w:t>Respiratorni, torakalni i medijastinalni poremećaji</w:t>
            </w:r>
          </w:p>
          <w:p w14:paraId="32338A42" w14:textId="77777777" w:rsidR="000C7B6F" w:rsidRPr="005B51C6" w:rsidRDefault="000C7B6F" w:rsidP="00F645E1">
            <w:pPr>
              <w:jc w:val="both"/>
              <w:rPr>
                <w:b/>
                <w:bCs/>
                <w:szCs w:val="22"/>
                <w:lang w:val="sr-Latn-ME"/>
              </w:rPr>
            </w:pPr>
          </w:p>
        </w:tc>
        <w:tc>
          <w:tcPr>
            <w:tcW w:w="1800" w:type="dxa"/>
            <w:shd w:val="clear" w:color="auto" w:fill="auto"/>
            <w:vAlign w:val="center"/>
          </w:tcPr>
          <w:p w14:paraId="7E4BE701" w14:textId="77777777" w:rsidR="000C7B6F" w:rsidRPr="005B51C6" w:rsidRDefault="00AD382D" w:rsidP="00F645E1">
            <w:pPr>
              <w:jc w:val="both"/>
              <w:rPr>
                <w:szCs w:val="22"/>
                <w:lang w:val="sr-Latn-ME"/>
              </w:rPr>
            </w:pPr>
            <w:r w:rsidRPr="005B51C6">
              <w:rPr>
                <w:szCs w:val="22"/>
                <w:lang w:val="sr-Latn-ME"/>
              </w:rPr>
              <w:t>Neproduktivan kašalj sa osjećajem golicanja u grlu, bronhitis, sinuzitis, dispnea</w:t>
            </w:r>
          </w:p>
        </w:tc>
        <w:tc>
          <w:tcPr>
            <w:tcW w:w="1620" w:type="dxa"/>
            <w:shd w:val="clear" w:color="auto" w:fill="auto"/>
            <w:vAlign w:val="center"/>
          </w:tcPr>
          <w:p w14:paraId="40EA1A2F" w14:textId="77777777" w:rsidR="000C7B6F" w:rsidRPr="005B51C6" w:rsidRDefault="00AD382D" w:rsidP="00F645E1">
            <w:pPr>
              <w:jc w:val="both"/>
              <w:rPr>
                <w:szCs w:val="22"/>
                <w:lang w:val="sr-Latn-ME"/>
              </w:rPr>
            </w:pPr>
            <w:r w:rsidRPr="005B51C6">
              <w:rPr>
                <w:szCs w:val="22"/>
                <w:lang w:val="sr-Latn-ME"/>
              </w:rPr>
              <w:t>Bronhospazam uključujući pogoršanje astme, nazalna kongestija</w:t>
            </w:r>
          </w:p>
        </w:tc>
        <w:tc>
          <w:tcPr>
            <w:tcW w:w="1620" w:type="dxa"/>
            <w:shd w:val="clear" w:color="auto" w:fill="auto"/>
            <w:vAlign w:val="center"/>
          </w:tcPr>
          <w:p w14:paraId="6FFB4A9F" w14:textId="77777777" w:rsidR="000C7B6F" w:rsidRPr="005B51C6" w:rsidRDefault="000C7B6F" w:rsidP="00F645E1">
            <w:pPr>
              <w:jc w:val="both"/>
              <w:rPr>
                <w:color w:val="FF0000"/>
                <w:szCs w:val="22"/>
                <w:lang w:val="sr-Latn-ME"/>
              </w:rPr>
            </w:pPr>
          </w:p>
        </w:tc>
        <w:tc>
          <w:tcPr>
            <w:tcW w:w="1193" w:type="dxa"/>
            <w:shd w:val="clear" w:color="auto" w:fill="auto"/>
            <w:vAlign w:val="center"/>
          </w:tcPr>
          <w:p w14:paraId="166AB5E4" w14:textId="77777777" w:rsidR="000C7B6F" w:rsidRPr="005B51C6" w:rsidRDefault="000C7B6F" w:rsidP="00F645E1">
            <w:pPr>
              <w:jc w:val="both"/>
              <w:rPr>
                <w:color w:val="FF0000"/>
                <w:szCs w:val="22"/>
                <w:lang w:val="sr-Latn-ME"/>
              </w:rPr>
            </w:pPr>
          </w:p>
        </w:tc>
        <w:tc>
          <w:tcPr>
            <w:tcW w:w="1800" w:type="dxa"/>
            <w:gridSpan w:val="2"/>
            <w:shd w:val="clear" w:color="auto" w:fill="auto"/>
            <w:vAlign w:val="center"/>
          </w:tcPr>
          <w:p w14:paraId="16D0B6AF" w14:textId="77777777" w:rsidR="000C7B6F" w:rsidRPr="005B51C6" w:rsidRDefault="000C7B6F" w:rsidP="00F645E1">
            <w:pPr>
              <w:jc w:val="both"/>
              <w:rPr>
                <w:color w:val="FF0000"/>
                <w:szCs w:val="22"/>
                <w:lang w:val="sr-Latn-ME"/>
              </w:rPr>
            </w:pPr>
          </w:p>
        </w:tc>
      </w:tr>
      <w:tr w:rsidR="000C7B6F" w:rsidRPr="005B51C6" w14:paraId="52FEE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0C414502" w14:textId="77777777" w:rsidR="000C7B6F" w:rsidRPr="005B51C6" w:rsidRDefault="00AD382D" w:rsidP="00F645E1">
            <w:pPr>
              <w:jc w:val="both"/>
              <w:rPr>
                <w:b/>
                <w:bCs/>
                <w:szCs w:val="22"/>
                <w:lang w:val="sr-Latn-ME"/>
              </w:rPr>
            </w:pPr>
            <w:r w:rsidRPr="005B51C6">
              <w:rPr>
                <w:b/>
                <w:szCs w:val="22"/>
                <w:lang w:val="sr-Latn-ME"/>
              </w:rPr>
              <w:t>Gastrointestinalni poremećaji</w:t>
            </w:r>
          </w:p>
        </w:tc>
        <w:tc>
          <w:tcPr>
            <w:tcW w:w="1800" w:type="dxa"/>
            <w:shd w:val="clear" w:color="auto" w:fill="auto"/>
            <w:vAlign w:val="center"/>
          </w:tcPr>
          <w:p w14:paraId="3F010763" w14:textId="77777777" w:rsidR="000C7B6F" w:rsidRPr="005B51C6" w:rsidRDefault="00AD382D" w:rsidP="00F645E1">
            <w:pPr>
              <w:jc w:val="both"/>
              <w:rPr>
                <w:szCs w:val="22"/>
                <w:lang w:val="sr-Latn-ME"/>
              </w:rPr>
            </w:pPr>
            <w:r w:rsidRPr="005B51C6">
              <w:rPr>
                <w:szCs w:val="22"/>
                <w:lang w:val="sr-Latn-ME"/>
              </w:rPr>
              <w:t>Gastrointestinalna inflamacija, smetnje pri varenju, abdominalna nelagodnost, dispepsija, dijareja, nauzeja, povraćanje</w:t>
            </w:r>
          </w:p>
        </w:tc>
        <w:tc>
          <w:tcPr>
            <w:tcW w:w="1620" w:type="dxa"/>
            <w:shd w:val="clear" w:color="auto" w:fill="auto"/>
            <w:vAlign w:val="center"/>
          </w:tcPr>
          <w:p w14:paraId="25853A82" w14:textId="77777777" w:rsidR="000C7B6F" w:rsidRPr="005B51C6" w:rsidRDefault="00AD382D" w:rsidP="00F645E1">
            <w:pPr>
              <w:jc w:val="both"/>
              <w:rPr>
                <w:szCs w:val="22"/>
                <w:lang w:val="sr-Latn-ME"/>
              </w:rPr>
            </w:pPr>
            <w:r w:rsidRPr="005B51C6">
              <w:rPr>
                <w:szCs w:val="22"/>
                <w:lang w:val="sr-Latn-ME"/>
              </w:rPr>
              <w:t>Pankreatitis (slučajevi sa fatalnim ishodom su izuzetno rijetko prijavljivani kod ACE inhibitora), povećan nivo enzima pankreasa, angioedem tankog crijeva, bol u gornjem abdomenu uključujući gastritis, konstipacija, suvoća usta</w:t>
            </w:r>
          </w:p>
        </w:tc>
        <w:tc>
          <w:tcPr>
            <w:tcW w:w="1620" w:type="dxa"/>
            <w:shd w:val="clear" w:color="auto" w:fill="auto"/>
            <w:vAlign w:val="center"/>
          </w:tcPr>
          <w:p w14:paraId="03224307" w14:textId="77777777" w:rsidR="000C7B6F" w:rsidRPr="005B51C6" w:rsidRDefault="00AD382D" w:rsidP="00F645E1">
            <w:pPr>
              <w:jc w:val="both"/>
              <w:rPr>
                <w:szCs w:val="22"/>
                <w:lang w:val="sr-Latn-ME"/>
              </w:rPr>
            </w:pPr>
            <w:r w:rsidRPr="005B51C6">
              <w:rPr>
                <w:szCs w:val="22"/>
                <w:lang w:val="sr-Latn-ME"/>
              </w:rPr>
              <w:t>Glositis</w:t>
            </w:r>
          </w:p>
        </w:tc>
        <w:tc>
          <w:tcPr>
            <w:tcW w:w="1193" w:type="dxa"/>
            <w:shd w:val="clear" w:color="auto" w:fill="auto"/>
            <w:vAlign w:val="center"/>
          </w:tcPr>
          <w:p w14:paraId="5472270D" w14:textId="77777777" w:rsidR="000C7B6F" w:rsidRPr="005B51C6" w:rsidRDefault="000C7B6F" w:rsidP="00F645E1">
            <w:pPr>
              <w:jc w:val="both"/>
              <w:rPr>
                <w:szCs w:val="22"/>
                <w:lang w:val="sr-Latn-ME"/>
              </w:rPr>
            </w:pPr>
          </w:p>
        </w:tc>
        <w:tc>
          <w:tcPr>
            <w:tcW w:w="1800" w:type="dxa"/>
            <w:gridSpan w:val="2"/>
            <w:shd w:val="clear" w:color="auto" w:fill="auto"/>
            <w:vAlign w:val="center"/>
          </w:tcPr>
          <w:p w14:paraId="3A5110D1" w14:textId="77777777" w:rsidR="000C7B6F" w:rsidRPr="005B51C6" w:rsidRDefault="00AD382D" w:rsidP="00F645E1">
            <w:pPr>
              <w:jc w:val="both"/>
              <w:rPr>
                <w:szCs w:val="22"/>
                <w:lang w:val="sr-Latn-ME"/>
              </w:rPr>
            </w:pPr>
            <w:r w:rsidRPr="005B51C6">
              <w:rPr>
                <w:szCs w:val="22"/>
                <w:lang w:val="sr-Latn-ME"/>
              </w:rPr>
              <w:t>Aftozni stomatitis</w:t>
            </w:r>
          </w:p>
        </w:tc>
      </w:tr>
      <w:tr w:rsidR="000C7B6F" w:rsidRPr="005B51C6" w14:paraId="02FED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18C01A64" w14:textId="77777777" w:rsidR="000C7B6F" w:rsidRPr="005B51C6" w:rsidRDefault="00AD382D" w:rsidP="00F645E1">
            <w:pPr>
              <w:jc w:val="both"/>
              <w:rPr>
                <w:b/>
                <w:szCs w:val="22"/>
                <w:lang w:val="sr-Latn-ME"/>
              </w:rPr>
            </w:pPr>
            <w:r w:rsidRPr="005B51C6">
              <w:rPr>
                <w:b/>
                <w:szCs w:val="22"/>
                <w:lang w:val="sr-Latn-ME"/>
              </w:rPr>
              <w:t>Hepatobilijarni poremećaji</w:t>
            </w:r>
          </w:p>
        </w:tc>
        <w:tc>
          <w:tcPr>
            <w:tcW w:w="1800" w:type="dxa"/>
            <w:shd w:val="clear" w:color="auto" w:fill="auto"/>
          </w:tcPr>
          <w:p w14:paraId="1CC1222E" w14:textId="77777777" w:rsidR="000C7B6F" w:rsidRPr="005B51C6" w:rsidRDefault="000C7B6F" w:rsidP="00F645E1">
            <w:pPr>
              <w:jc w:val="both"/>
              <w:rPr>
                <w:szCs w:val="22"/>
                <w:lang w:val="sr-Latn-ME"/>
              </w:rPr>
            </w:pPr>
          </w:p>
        </w:tc>
        <w:tc>
          <w:tcPr>
            <w:tcW w:w="1620" w:type="dxa"/>
            <w:shd w:val="clear" w:color="auto" w:fill="auto"/>
          </w:tcPr>
          <w:p w14:paraId="38490CDD" w14:textId="77777777" w:rsidR="000C7B6F" w:rsidRPr="005B51C6" w:rsidRDefault="00AD382D" w:rsidP="00F645E1">
            <w:pPr>
              <w:jc w:val="both"/>
              <w:rPr>
                <w:szCs w:val="22"/>
                <w:lang w:val="sr-Latn-ME"/>
              </w:rPr>
            </w:pPr>
            <w:r w:rsidRPr="005B51C6">
              <w:rPr>
                <w:szCs w:val="22"/>
                <w:lang w:val="sr-Latn-ME"/>
              </w:rPr>
              <w:t xml:space="preserve">Povećanje nivoa enzima jetre i/ili </w:t>
            </w:r>
            <w:r w:rsidRPr="005B51C6">
              <w:rPr>
                <w:szCs w:val="22"/>
                <w:lang w:val="sr-Latn-ME"/>
              </w:rPr>
              <w:lastRenderedPageBreak/>
              <w:t>konjugovanog bilirubina</w:t>
            </w:r>
          </w:p>
        </w:tc>
        <w:tc>
          <w:tcPr>
            <w:tcW w:w="1620" w:type="dxa"/>
            <w:shd w:val="clear" w:color="auto" w:fill="auto"/>
          </w:tcPr>
          <w:p w14:paraId="657F3F11" w14:textId="77777777" w:rsidR="000C7B6F" w:rsidRPr="005B51C6" w:rsidRDefault="00AD382D" w:rsidP="00F645E1">
            <w:pPr>
              <w:jc w:val="both"/>
              <w:rPr>
                <w:szCs w:val="22"/>
                <w:lang w:val="sr-Latn-ME"/>
              </w:rPr>
            </w:pPr>
            <w:r w:rsidRPr="005B51C6">
              <w:rPr>
                <w:szCs w:val="22"/>
                <w:lang w:val="sr-Latn-ME"/>
              </w:rPr>
              <w:lastRenderedPageBreak/>
              <w:t xml:space="preserve">Holestatska žutica, </w:t>
            </w:r>
            <w:r w:rsidRPr="005B51C6">
              <w:rPr>
                <w:szCs w:val="22"/>
                <w:lang w:val="sr-Latn-ME"/>
              </w:rPr>
              <w:lastRenderedPageBreak/>
              <w:t>hepatocelularna oštećenja</w:t>
            </w:r>
          </w:p>
        </w:tc>
        <w:tc>
          <w:tcPr>
            <w:tcW w:w="1193" w:type="dxa"/>
            <w:shd w:val="clear" w:color="auto" w:fill="auto"/>
          </w:tcPr>
          <w:p w14:paraId="5DA365A3" w14:textId="77777777" w:rsidR="000C7B6F" w:rsidRPr="005B51C6" w:rsidRDefault="000C7B6F" w:rsidP="00F645E1">
            <w:pPr>
              <w:jc w:val="both"/>
              <w:rPr>
                <w:szCs w:val="22"/>
                <w:lang w:val="sr-Latn-ME"/>
              </w:rPr>
            </w:pPr>
          </w:p>
        </w:tc>
        <w:tc>
          <w:tcPr>
            <w:tcW w:w="1800" w:type="dxa"/>
            <w:gridSpan w:val="2"/>
            <w:shd w:val="clear" w:color="auto" w:fill="auto"/>
          </w:tcPr>
          <w:p w14:paraId="607EFEB9" w14:textId="77777777" w:rsidR="000C7B6F" w:rsidRPr="005B51C6" w:rsidRDefault="00AD382D" w:rsidP="00F645E1">
            <w:pPr>
              <w:jc w:val="both"/>
              <w:rPr>
                <w:szCs w:val="22"/>
                <w:lang w:val="sr-Latn-ME"/>
              </w:rPr>
            </w:pPr>
            <w:r w:rsidRPr="005B51C6">
              <w:rPr>
                <w:szCs w:val="22"/>
                <w:lang w:val="sr-Latn-ME"/>
              </w:rPr>
              <w:t xml:space="preserve">Akutna hepatička insuficijencija, holestatski ili </w:t>
            </w:r>
            <w:r w:rsidRPr="005B51C6">
              <w:rPr>
                <w:szCs w:val="22"/>
                <w:lang w:val="sr-Latn-ME"/>
              </w:rPr>
              <w:lastRenderedPageBreak/>
              <w:t>citolitički hepatitis (izuzetno rijetko sa fatalnim ishodom)</w:t>
            </w:r>
          </w:p>
        </w:tc>
      </w:tr>
      <w:tr w:rsidR="000C7B6F" w:rsidRPr="005B51C6" w14:paraId="4B303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05947624" w14:textId="77777777" w:rsidR="000C7B6F" w:rsidRPr="005B51C6" w:rsidRDefault="00AD382D" w:rsidP="00F645E1">
            <w:pPr>
              <w:jc w:val="both"/>
              <w:rPr>
                <w:b/>
                <w:bCs/>
                <w:szCs w:val="22"/>
                <w:lang w:val="sr-Latn-ME"/>
              </w:rPr>
            </w:pPr>
            <w:r w:rsidRPr="005B51C6">
              <w:rPr>
                <w:b/>
                <w:bCs/>
                <w:szCs w:val="22"/>
                <w:lang w:val="sr-Latn-ME"/>
              </w:rPr>
              <w:lastRenderedPageBreak/>
              <w:t>Poremećaji  kože i potkožnog tkiva</w:t>
            </w:r>
          </w:p>
        </w:tc>
        <w:tc>
          <w:tcPr>
            <w:tcW w:w="1800" w:type="dxa"/>
            <w:shd w:val="clear" w:color="auto" w:fill="auto"/>
            <w:vAlign w:val="center"/>
          </w:tcPr>
          <w:p w14:paraId="2B84E5EC" w14:textId="77777777" w:rsidR="000C7B6F" w:rsidRPr="005B51C6" w:rsidRDefault="00AD382D" w:rsidP="00F645E1">
            <w:pPr>
              <w:jc w:val="both"/>
              <w:rPr>
                <w:szCs w:val="22"/>
                <w:lang w:val="sr-Latn-ME"/>
              </w:rPr>
            </w:pPr>
            <w:r w:rsidRPr="005B51C6">
              <w:rPr>
                <w:szCs w:val="22"/>
                <w:lang w:val="sr-Latn-ME"/>
              </w:rPr>
              <w:t>Osip, posebno makulopapularni</w:t>
            </w:r>
          </w:p>
        </w:tc>
        <w:tc>
          <w:tcPr>
            <w:tcW w:w="1620" w:type="dxa"/>
            <w:shd w:val="clear" w:color="auto" w:fill="auto"/>
            <w:vAlign w:val="center"/>
          </w:tcPr>
          <w:p w14:paraId="24756AF7" w14:textId="77777777" w:rsidR="000C7B6F" w:rsidRPr="005B51C6" w:rsidRDefault="00AD382D" w:rsidP="00F645E1">
            <w:pPr>
              <w:jc w:val="both"/>
              <w:rPr>
                <w:szCs w:val="22"/>
                <w:lang w:val="sr-Latn-ME"/>
              </w:rPr>
            </w:pPr>
            <w:r w:rsidRPr="005B51C6">
              <w:rPr>
                <w:szCs w:val="22"/>
                <w:lang w:val="sr-Latn-ME"/>
              </w:rPr>
              <w:t>Angioedem, izuzetno rijetko opstrukcija disajnih puteva usljed angioedema može imati fatalan ishod; pruritus, hiperhidroza</w:t>
            </w:r>
          </w:p>
        </w:tc>
        <w:tc>
          <w:tcPr>
            <w:tcW w:w="1620" w:type="dxa"/>
            <w:shd w:val="clear" w:color="auto" w:fill="auto"/>
            <w:vAlign w:val="center"/>
          </w:tcPr>
          <w:p w14:paraId="479540F6" w14:textId="77777777" w:rsidR="000C7B6F" w:rsidRPr="005B51C6" w:rsidRDefault="00AD382D" w:rsidP="00F645E1">
            <w:pPr>
              <w:jc w:val="both"/>
              <w:rPr>
                <w:szCs w:val="22"/>
                <w:lang w:val="sr-Latn-ME"/>
              </w:rPr>
            </w:pPr>
            <w:r w:rsidRPr="005B51C6">
              <w:rPr>
                <w:szCs w:val="22"/>
                <w:lang w:val="sr-Latn-ME"/>
              </w:rPr>
              <w:t>Eksfolijativni dermatitis, urtikarija, oniholiza</w:t>
            </w:r>
          </w:p>
        </w:tc>
        <w:tc>
          <w:tcPr>
            <w:tcW w:w="1193" w:type="dxa"/>
            <w:shd w:val="clear" w:color="auto" w:fill="auto"/>
            <w:vAlign w:val="center"/>
          </w:tcPr>
          <w:p w14:paraId="43E9FA8A" w14:textId="77777777" w:rsidR="000C7B6F" w:rsidRPr="005B51C6" w:rsidRDefault="00AD382D" w:rsidP="00F645E1">
            <w:pPr>
              <w:jc w:val="both"/>
              <w:rPr>
                <w:szCs w:val="22"/>
                <w:lang w:val="sr-Latn-ME"/>
              </w:rPr>
            </w:pPr>
            <w:r w:rsidRPr="005B51C6">
              <w:rPr>
                <w:szCs w:val="22"/>
                <w:lang w:val="sr-Latn-ME"/>
              </w:rPr>
              <w:t>Fotosenzitivne reakcije</w:t>
            </w:r>
          </w:p>
        </w:tc>
        <w:tc>
          <w:tcPr>
            <w:tcW w:w="1800" w:type="dxa"/>
            <w:gridSpan w:val="2"/>
            <w:shd w:val="clear" w:color="auto" w:fill="auto"/>
            <w:vAlign w:val="center"/>
          </w:tcPr>
          <w:p w14:paraId="023D6823" w14:textId="140AD3B2" w:rsidR="000C7B6F" w:rsidRPr="005B51C6" w:rsidRDefault="00AD382D" w:rsidP="00F645E1">
            <w:pPr>
              <w:jc w:val="both"/>
              <w:rPr>
                <w:szCs w:val="22"/>
                <w:lang w:val="sr-Latn-ME"/>
              </w:rPr>
            </w:pPr>
            <w:r w:rsidRPr="005B51C6">
              <w:rPr>
                <w:szCs w:val="22"/>
                <w:lang w:val="sr-Latn-ME"/>
              </w:rPr>
              <w:t xml:space="preserve">Toksična epidermalna nekroliza, Stevens Johnson-ov sindrom, </w:t>
            </w:r>
            <w:r w:rsidRPr="005B51C6">
              <w:rPr>
                <w:i/>
                <w:szCs w:val="22"/>
                <w:lang w:val="sr-Latn-ME"/>
              </w:rPr>
              <w:t>er</w:t>
            </w:r>
            <w:r w:rsidR="002932CA" w:rsidRPr="005B51C6">
              <w:rPr>
                <w:i/>
                <w:szCs w:val="22"/>
                <w:lang w:val="sr-Latn-ME"/>
              </w:rPr>
              <w:t>yth</w:t>
            </w:r>
            <w:r w:rsidRPr="005B51C6">
              <w:rPr>
                <w:i/>
                <w:szCs w:val="22"/>
                <w:lang w:val="sr-Latn-ME"/>
              </w:rPr>
              <w:t>ema multiforme</w:t>
            </w:r>
            <w:r w:rsidRPr="005B51C6">
              <w:rPr>
                <w:szCs w:val="22"/>
                <w:lang w:val="sr-Latn-ME"/>
              </w:rPr>
              <w:t>, pemfigus, pogoršanje psorijaze, psorijaziformni dermatitis, pemfigoidni ili lihenoidni egzantem ili enantem, alopecija</w:t>
            </w:r>
          </w:p>
          <w:p w14:paraId="08D0BEB1" w14:textId="77777777" w:rsidR="000C7B6F" w:rsidRPr="005B51C6" w:rsidRDefault="000C7B6F" w:rsidP="00F645E1">
            <w:pPr>
              <w:jc w:val="both"/>
              <w:rPr>
                <w:szCs w:val="22"/>
                <w:lang w:val="sr-Latn-ME"/>
              </w:rPr>
            </w:pPr>
          </w:p>
        </w:tc>
      </w:tr>
      <w:tr w:rsidR="000C7B6F" w:rsidRPr="005B51C6" w14:paraId="49040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133CD2C8" w14:textId="77777777" w:rsidR="000C7B6F" w:rsidRPr="005B51C6" w:rsidRDefault="00AD382D" w:rsidP="00F645E1">
            <w:pPr>
              <w:jc w:val="both"/>
              <w:rPr>
                <w:b/>
                <w:bCs/>
                <w:szCs w:val="22"/>
                <w:lang w:val="sr-Latn-ME"/>
              </w:rPr>
            </w:pPr>
            <w:r w:rsidRPr="005B51C6">
              <w:rPr>
                <w:b/>
                <w:szCs w:val="22"/>
                <w:lang w:val="sr-Latn-ME"/>
              </w:rPr>
              <w:t>Poremećaji mišićno-skeletnog i vezivnog tkiva</w:t>
            </w:r>
          </w:p>
        </w:tc>
        <w:tc>
          <w:tcPr>
            <w:tcW w:w="1800" w:type="dxa"/>
            <w:shd w:val="clear" w:color="auto" w:fill="auto"/>
            <w:vAlign w:val="center"/>
          </w:tcPr>
          <w:p w14:paraId="1F6F0F03" w14:textId="77777777" w:rsidR="000C7B6F" w:rsidRPr="005B51C6" w:rsidRDefault="00AD382D" w:rsidP="00F645E1">
            <w:pPr>
              <w:jc w:val="both"/>
              <w:rPr>
                <w:szCs w:val="22"/>
                <w:lang w:val="sr-Latn-ME"/>
              </w:rPr>
            </w:pPr>
            <w:r w:rsidRPr="005B51C6">
              <w:rPr>
                <w:szCs w:val="22"/>
                <w:lang w:val="sr-Latn-ME"/>
              </w:rPr>
              <w:t>Mišićni spazam, mialgija</w:t>
            </w:r>
          </w:p>
        </w:tc>
        <w:tc>
          <w:tcPr>
            <w:tcW w:w="1620" w:type="dxa"/>
            <w:shd w:val="clear" w:color="auto" w:fill="auto"/>
            <w:vAlign w:val="center"/>
          </w:tcPr>
          <w:p w14:paraId="029F9D17" w14:textId="77777777" w:rsidR="000C7B6F" w:rsidRPr="005B51C6" w:rsidRDefault="00AD382D" w:rsidP="00F645E1">
            <w:pPr>
              <w:jc w:val="both"/>
              <w:rPr>
                <w:szCs w:val="22"/>
                <w:lang w:val="sr-Latn-ME"/>
              </w:rPr>
            </w:pPr>
            <w:r w:rsidRPr="005B51C6">
              <w:rPr>
                <w:szCs w:val="22"/>
                <w:lang w:val="sr-Latn-ME"/>
              </w:rPr>
              <w:t>Artralgija</w:t>
            </w:r>
          </w:p>
        </w:tc>
        <w:tc>
          <w:tcPr>
            <w:tcW w:w="1620" w:type="dxa"/>
            <w:shd w:val="clear" w:color="auto" w:fill="auto"/>
            <w:vAlign w:val="center"/>
          </w:tcPr>
          <w:p w14:paraId="405A3B45" w14:textId="77777777" w:rsidR="000C7B6F" w:rsidRPr="005B51C6" w:rsidRDefault="000C7B6F" w:rsidP="00F645E1">
            <w:pPr>
              <w:jc w:val="both"/>
              <w:rPr>
                <w:szCs w:val="22"/>
                <w:lang w:val="sr-Latn-ME"/>
              </w:rPr>
            </w:pPr>
          </w:p>
        </w:tc>
        <w:tc>
          <w:tcPr>
            <w:tcW w:w="1193" w:type="dxa"/>
            <w:shd w:val="clear" w:color="auto" w:fill="auto"/>
            <w:vAlign w:val="center"/>
          </w:tcPr>
          <w:p w14:paraId="60A09D95" w14:textId="77777777" w:rsidR="000C7B6F" w:rsidRPr="005B51C6" w:rsidRDefault="000C7B6F" w:rsidP="00F645E1">
            <w:pPr>
              <w:jc w:val="both"/>
              <w:rPr>
                <w:szCs w:val="22"/>
                <w:lang w:val="sr-Latn-ME"/>
              </w:rPr>
            </w:pPr>
          </w:p>
        </w:tc>
        <w:tc>
          <w:tcPr>
            <w:tcW w:w="1800" w:type="dxa"/>
            <w:gridSpan w:val="2"/>
            <w:shd w:val="clear" w:color="auto" w:fill="auto"/>
            <w:vAlign w:val="center"/>
          </w:tcPr>
          <w:p w14:paraId="0CCA53F8" w14:textId="77777777" w:rsidR="000C7B6F" w:rsidRPr="005B51C6" w:rsidRDefault="000C7B6F" w:rsidP="00F645E1">
            <w:pPr>
              <w:jc w:val="both"/>
              <w:rPr>
                <w:szCs w:val="22"/>
                <w:lang w:val="sr-Latn-ME"/>
              </w:rPr>
            </w:pPr>
          </w:p>
        </w:tc>
      </w:tr>
      <w:tr w:rsidR="000C7B6F" w:rsidRPr="005B51C6" w14:paraId="16DE5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3AA8E148" w14:textId="77777777" w:rsidR="000C7B6F" w:rsidRPr="005B51C6" w:rsidRDefault="00AD382D" w:rsidP="00F645E1">
            <w:pPr>
              <w:jc w:val="both"/>
              <w:rPr>
                <w:szCs w:val="22"/>
                <w:lang w:val="sr-Latn-ME"/>
              </w:rPr>
            </w:pPr>
            <w:r w:rsidRPr="005B51C6">
              <w:rPr>
                <w:b/>
                <w:szCs w:val="22"/>
                <w:lang w:val="sr-Latn-ME"/>
              </w:rPr>
              <w:t>Poremećaji  bubrega i urinarnog sistema</w:t>
            </w:r>
          </w:p>
        </w:tc>
        <w:tc>
          <w:tcPr>
            <w:tcW w:w="1800" w:type="dxa"/>
            <w:shd w:val="clear" w:color="auto" w:fill="auto"/>
          </w:tcPr>
          <w:p w14:paraId="7BD74CE9" w14:textId="77777777" w:rsidR="000C7B6F" w:rsidRPr="005B51C6" w:rsidRDefault="000C7B6F" w:rsidP="00F645E1">
            <w:pPr>
              <w:rPr>
                <w:szCs w:val="22"/>
                <w:lang w:val="sr-Latn-ME"/>
              </w:rPr>
            </w:pPr>
          </w:p>
        </w:tc>
        <w:tc>
          <w:tcPr>
            <w:tcW w:w="1620" w:type="dxa"/>
            <w:shd w:val="clear" w:color="auto" w:fill="auto"/>
          </w:tcPr>
          <w:p w14:paraId="0DAE8AF9" w14:textId="77777777" w:rsidR="000C7B6F" w:rsidRPr="005B51C6" w:rsidRDefault="00AD382D" w:rsidP="00F645E1">
            <w:pPr>
              <w:jc w:val="both"/>
              <w:rPr>
                <w:szCs w:val="22"/>
                <w:lang w:val="sr-Latn-ME"/>
              </w:rPr>
            </w:pPr>
            <w:r w:rsidRPr="005B51C6">
              <w:rPr>
                <w:szCs w:val="22"/>
                <w:lang w:val="sr-Latn-ME"/>
              </w:rPr>
              <w:t>Oštećenje renalne funkcije uključujući akutnu renalnu insuficijenciju, povećano izlučivanje mokraće, pogoršanje već postojeće proteinurije, povećanje nivoa ureje u krvi, povećanje nivoa kreatinina u krvi</w:t>
            </w:r>
          </w:p>
        </w:tc>
        <w:tc>
          <w:tcPr>
            <w:tcW w:w="1620" w:type="dxa"/>
            <w:shd w:val="clear" w:color="auto" w:fill="auto"/>
          </w:tcPr>
          <w:p w14:paraId="7C161D8A" w14:textId="77777777" w:rsidR="000C7B6F" w:rsidRPr="005B51C6" w:rsidRDefault="000C7B6F" w:rsidP="00F645E1">
            <w:pPr>
              <w:rPr>
                <w:szCs w:val="22"/>
                <w:lang w:val="sr-Latn-ME"/>
              </w:rPr>
            </w:pPr>
          </w:p>
        </w:tc>
        <w:tc>
          <w:tcPr>
            <w:tcW w:w="1193" w:type="dxa"/>
            <w:shd w:val="clear" w:color="auto" w:fill="auto"/>
          </w:tcPr>
          <w:p w14:paraId="777821FA" w14:textId="77777777" w:rsidR="000C7B6F" w:rsidRPr="005B51C6" w:rsidRDefault="000C7B6F" w:rsidP="00F645E1">
            <w:pPr>
              <w:rPr>
                <w:szCs w:val="22"/>
                <w:lang w:val="sr-Latn-ME"/>
              </w:rPr>
            </w:pPr>
          </w:p>
        </w:tc>
        <w:tc>
          <w:tcPr>
            <w:tcW w:w="1800" w:type="dxa"/>
            <w:gridSpan w:val="2"/>
            <w:shd w:val="clear" w:color="auto" w:fill="auto"/>
          </w:tcPr>
          <w:p w14:paraId="56BC74EC" w14:textId="77777777" w:rsidR="000C7B6F" w:rsidRPr="005B51C6" w:rsidRDefault="000C7B6F" w:rsidP="00F645E1">
            <w:pPr>
              <w:rPr>
                <w:szCs w:val="22"/>
                <w:lang w:val="sr-Latn-ME"/>
              </w:rPr>
            </w:pPr>
          </w:p>
        </w:tc>
      </w:tr>
      <w:tr w:rsidR="000C7B6F" w:rsidRPr="005B51C6" w14:paraId="02961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tcPr>
          <w:p w14:paraId="6B3DEA24" w14:textId="77777777" w:rsidR="000C7B6F" w:rsidRPr="005B51C6" w:rsidRDefault="00AD382D" w:rsidP="00F645E1">
            <w:pPr>
              <w:jc w:val="both"/>
              <w:rPr>
                <w:b/>
                <w:szCs w:val="22"/>
                <w:lang w:val="sr-Latn-ME"/>
              </w:rPr>
            </w:pPr>
            <w:r w:rsidRPr="005B51C6">
              <w:rPr>
                <w:b/>
                <w:szCs w:val="22"/>
                <w:lang w:val="sr-Latn-ME"/>
              </w:rPr>
              <w:t>Poremećaji  reproduktivnog sistema i dojki</w:t>
            </w:r>
          </w:p>
        </w:tc>
        <w:tc>
          <w:tcPr>
            <w:tcW w:w="1800" w:type="dxa"/>
            <w:shd w:val="clear" w:color="auto" w:fill="auto"/>
          </w:tcPr>
          <w:p w14:paraId="414C5C0B" w14:textId="77777777" w:rsidR="000C7B6F" w:rsidRPr="005B51C6" w:rsidRDefault="000C7B6F" w:rsidP="00F645E1">
            <w:pPr>
              <w:jc w:val="both"/>
              <w:rPr>
                <w:szCs w:val="22"/>
                <w:lang w:val="sr-Latn-ME"/>
              </w:rPr>
            </w:pPr>
          </w:p>
        </w:tc>
        <w:tc>
          <w:tcPr>
            <w:tcW w:w="1620" w:type="dxa"/>
            <w:shd w:val="clear" w:color="auto" w:fill="auto"/>
          </w:tcPr>
          <w:p w14:paraId="2973DA4E" w14:textId="77777777" w:rsidR="000C7B6F" w:rsidRPr="005B51C6" w:rsidRDefault="00AD382D" w:rsidP="00F645E1">
            <w:pPr>
              <w:jc w:val="both"/>
              <w:rPr>
                <w:szCs w:val="22"/>
                <w:lang w:val="sr-Latn-ME"/>
              </w:rPr>
            </w:pPr>
            <w:r w:rsidRPr="005B51C6">
              <w:rPr>
                <w:szCs w:val="22"/>
                <w:lang w:val="sr-Latn-ME"/>
              </w:rPr>
              <w:t>Prolazna erektilna impotencija, smanjenje libida</w:t>
            </w:r>
          </w:p>
        </w:tc>
        <w:tc>
          <w:tcPr>
            <w:tcW w:w="1620" w:type="dxa"/>
            <w:shd w:val="clear" w:color="auto" w:fill="auto"/>
          </w:tcPr>
          <w:p w14:paraId="5C8AA0AD" w14:textId="77777777" w:rsidR="000C7B6F" w:rsidRPr="005B51C6" w:rsidRDefault="000C7B6F" w:rsidP="00F645E1">
            <w:pPr>
              <w:jc w:val="both"/>
              <w:rPr>
                <w:szCs w:val="22"/>
                <w:lang w:val="sr-Latn-ME"/>
              </w:rPr>
            </w:pPr>
          </w:p>
        </w:tc>
        <w:tc>
          <w:tcPr>
            <w:tcW w:w="1193" w:type="dxa"/>
            <w:shd w:val="clear" w:color="auto" w:fill="auto"/>
          </w:tcPr>
          <w:p w14:paraId="4D42EB7B" w14:textId="77777777" w:rsidR="000C7B6F" w:rsidRPr="005B51C6" w:rsidRDefault="000C7B6F" w:rsidP="00F645E1">
            <w:pPr>
              <w:jc w:val="both"/>
              <w:rPr>
                <w:szCs w:val="22"/>
                <w:lang w:val="sr-Latn-ME"/>
              </w:rPr>
            </w:pPr>
          </w:p>
        </w:tc>
        <w:tc>
          <w:tcPr>
            <w:tcW w:w="1800" w:type="dxa"/>
            <w:gridSpan w:val="2"/>
            <w:shd w:val="clear" w:color="auto" w:fill="auto"/>
          </w:tcPr>
          <w:p w14:paraId="1B50B756" w14:textId="77777777" w:rsidR="000C7B6F" w:rsidRPr="005B51C6" w:rsidRDefault="00AD382D" w:rsidP="00F645E1">
            <w:pPr>
              <w:jc w:val="both"/>
              <w:rPr>
                <w:szCs w:val="22"/>
                <w:lang w:val="sr-Latn-ME"/>
              </w:rPr>
            </w:pPr>
            <w:r w:rsidRPr="005B51C6">
              <w:rPr>
                <w:szCs w:val="22"/>
                <w:lang w:val="sr-Latn-ME"/>
              </w:rPr>
              <w:t>Ginekomastija</w:t>
            </w:r>
          </w:p>
        </w:tc>
      </w:tr>
      <w:tr w:rsidR="000C7B6F" w:rsidRPr="005B51C6" w14:paraId="2B732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5" w:type="dxa"/>
            <w:shd w:val="clear" w:color="auto" w:fill="auto"/>
            <w:vAlign w:val="center"/>
          </w:tcPr>
          <w:p w14:paraId="52D94A04" w14:textId="77777777" w:rsidR="000C7B6F" w:rsidRPr="005B51C6" w:rsidRDefault="00AD382D" w:rsidP="00F645E1">
            <w:pPr>
              <w:jc w:val="both"/>
              <w:rPr>
                <w:b/>
                <w:szCs w:val="22"/>
                <w:lang w:val="sr-Latn-ME"/>
              </w:rPr>
            </w:pPr>
            <w:r w:rsidRPr="005B51C6">
              <w:rPr>
                <w:b/>
                <w:szCs w:val="22"/>
                <w:lang w:val="sr-Latn-ME"/>
              </w:rPr>
              <w:t>Opšti poremećaji i reakcije na mjestu primjene</w:t>
            </w:r>
          </w:p>
        </w:tc>
        <w:tc>
          <w:tcPr>
            <w:tcW w:w="1800" w:type="dxa"/>
            <w:shd w:val="clear" w:color="auto" w:fill="auto"/>
            <w:vAlign w:val="center"/>
          </w:tcPr>
          <w:p w14:paraId="74F94C00" w14:textId="77777777" w:rsidR="000C7B6F" w:rsidRPr="005B51C6" w:rsidRDefault="00AD382D" w:rsidP="00F645E1">
            <w:pPr>
              <w:jc w:val="both"/>
              <w:rPr>
                <w:szCs w:val="22"/>
                <w:lang w:val="sr-Latn-ME"/>
              </w:rPr>
            </w:pPr>
            <w:r w:rsidRPr="005B51C6">
              <w:rPr>
                <w:szCs w:val="22"/>
                <w:lang w:val="sr-Latn-ME"/>
              </w:rPr>
              <w:t>Bol u grudima, zamor</w:t>
            </w:r>
          </w:p>
        </w:tc>
        <w:tc>
          <w:tcPr>
            <w:tcW w:w="1620" w:type="dxa"/>
            <w:shd w:val="clear" w:color="auto" w:fill="auto"/>
            <w:vAlign w:val="center"/>
          </w:tcPr>
          <w:p w14:paraId="1AE596F6" w14:textId="77777777" w:rsidR="000C7B6F" w:rsidRPr="005B51C6" w:rsidRDefault="00AD382D" w:rsidP="00F645E1">
            <w:pPr>
              <w:jc w:val="both"/>
              <w:rPr>
                <w:szCs w:val="22"/>
                <w:lang w:val="sr-Latn-ME"/>
              </w:rPr>
            </w:pPr>
            <w:r w:rsidRPr="005B51C6">
              <w:rPr>
                <w:szCs w:val="22"/>
                <w:lang w:val="sr-Latn-ME"/>
              </w:rPr>
              <w:t>Pireksija</w:t>
            </w:r>
          </w:p>
        </w:tc>
        <w:tc>
          <w:tcPr>
            <w:tcW w:w="1620" w:type="dxa"/>
            <w:shd w:val="clear" w:color="auto" w:fill="auto"/>
            <w:vAlign w:val="center"/>
          </w:tcPr>
          <w:p w14:paraId="74DD11B0" w14:textId="77777777" w:rsidR="000C7B6F" w:rsidRPr="005B51C6" w:rsidRDefault="00AD382D" w:rsidP="00F645E1">
            <w:pPr>
              <w:jc w:val="both"/>
              <w:rPr>
                <w:szCs w:val="22"/>
                <w:lang w:val="sr-Latn-ME"/>
              </w:rPr>
            </w:pPr>
            <w:r w:rsidRPr="005B51C6">
              <w:rPr>
                <w:szCs w:val="22"/>
                <w:lang w:val="sr-Latn-ME"/>
              </w:rPr>
              <w:t>Astenija</w:t>
            </w:r>
          </w:p>
        </w:tc>
        <w:tc>
          <w:tcPr>
            <w:tcW w:w="1193" w:type="dxa"/>
            <w:shd w:val="clear" w:color="auto" w:fill="auto"/>
            <w:vAlign w:val="center"/>
          </w:tcPr>
          <w:p w14:paraId="5FFC8139" w14:textId="77777777" w:rsidR="000C7B6F" w:rsidRPr="005B51C6" w:rsidRDefault="000C7B6F" w:rsidP="00F645E1">
            <w:pPr>
              <w:jc w:val="both"/>
              <w:rPr>
                <w:szCs w:val="22"/>
                <w:lang w:val="sr-Latn-ME"/>
              </w:rPr>
            </w:pPr>
          </w:p>
        </w:tc>
        <w:tc>
          <w:tcPr>
            <w:tcW w:w="1800" w:type="dxa"/>
            <w:gridSpan w:val="2"/>
            <w:shd w:val="clear" w:color="auto" w:fill="auto"/>
            <w:vAlign w:val="center"/>
          </w:tcPr>
          <w:p w14:paraId="74F6644F" w14:textId="77777777" w:rsidR="000C7B6F" w:rsidRPr="005B51C6" w:rsidRDefault="000C7B6F" w:rsidP="00F645E1">
            <w:pPr>
              <w:jc w:val="both"/>
              <w:rPr>
                <w:szCs w:val="22"/>
                <w:lang w:val="sr-Latn-ME"/>
              </w:rPr>
            </w:pPr>
          </w:p>
        </w:tc>
      </w:tr>
    </w:tbl>
    <w:p w14:paraId="7CA64D36" w14:textId="77777777" w:rsidR="000C7B6F" w:rsidRPr="005B51C6" w:rsidRDefault="000C7B6F" w:rsidP="00F645E1">
      <w:pPr>
        <w:widowControl w:val="0"/>
        <w:autoSpaceDE w:val="0"/>
        <w:autoSpaceDN w:val="0"/>
        <w:adjustRightInd w:val="0"/>
        <w:rPr>
          <w:szCs w:val="22"/>
          <w:u w:val="single"/>
          <w:lang w:val="sr-Latn-ME"/>
        </w:rPr>
      </w:pPr>
    </w:p>
    <w:p w14:paraId="12ED012A" w14:textId="77777777" w:rsidR="000C7B6F" w:rsidRPr="005B51C6" w:rsidRDefault="00AD382D" w:rsidP="00F645E1">
      <w:pPr>
        <w:jc w:val="both"/>
        <w:rPr>
          <w:szCs w:val="22"/>
          <w:u w:val="single"/>
          <w:lang w:val="sr-Latn-ME"/>
        </w:rPr>
      </w:pPr>
      <w:r w:rsidRPr="005B51C6">
        <w:rPr>
          <w:szCs w:val="22"/>
          <w:u w:val="single"/>
          <w:lang w:val="sr-Latn-ME"/>
        </w:rPr>
        <w:lastRenderedPageBreak/>
        <w:t>Pedijatrijska populacija</w:t>
      </w:r>
    </w:p>
    <w:p w14:paraId="29525524" w14:textId="77777777" w:rsidR="000C7B6F" w:rsidRPr="005B51C6" w:rsidRDefault="000C7B6F" w:rsidP="00F645E1">
      <w:pPr>
        <w:jc w:val="both"/>
        <w:rPr>
          <w:szCs w:val="22"/>
          <w:u w:val="single"/>
          <w:lang w:val="sr-Latn-ME"/>
        </w:rPr>
      </w:pPr>
    </w:p>
    <w:p w14:paraId="56991859" w14:textId="7E680916" w:rsidR="000C7B6F" w:rsidRPr="005B51C6" w:rsidRDefault="00AD382D" w:rsidP="00F645E1">
      <w:pPr>
        <w:jc w:val="both"/>
        <w:rPr>
          <w:szCs w:val="22"/>
          <w:lang w:val="sr-Latn-ME"/>
        </w:rPr>
      </w:pPr>
      <w:r w:rsidRPr="005B51C6">
        <w:rPr>
          <w:szCs w:val="22"/>
          <w:lang w:val="sr-Latn-ME"/>
        </w:rPr>
        <w:t xml:space="preserve">Bezbjednost ramiprila je praćena kod 325 djece i adolescenata </w:t>
      </w:r>
      <w:r w:rsidR="002932CA" w:rsidRPr="005B51C6">
        <w:rPr>
          <w:szCs w:val="22"/>
          <w:lang w:val="sr-Latn-ME"/>
        </w:rPr>
        <w:t>uzrasta</w:t>
      </w:r>
      <w:r w:rsidRPr="005B51C6">
        <w:rPr>
          <w:szCs w:val="22"/>
          <w:lang w:val="sr-Latn-ME"/>
        </w:rPr>
        <w:t xml:space="preserve"> od 2-16 godina, tokom 2 kliničke studije. Dok je priroda i težina neželjenih dejstava slična onima koja se javljaju kod odraslih, učestalost sljedećih neželjenih dejstava je veća kod djece:</w:t>
      </w:r>
    </w:p>
    <w:p w14:paraId="4A47F91B" w14:textId="77777777" w:rsidR="000C7B6F" w:rsidRPr="005B51C6" w:rsidRDefault="00AD382D" w:rsidP="00F645E1">
      <w:pPr>
        <w:jc w:val="both"/>
        <w:rPr>
          <w:szCs w:val="22"/>
          <w:lang w:val="sr-Latn-ME"/>
        </w:rPr>
      </w:pPr>
      <w:r w:rsidRPr="005B51C6">
        <w:rPr>
          <w:szCs w:val="22"/>
          <w:lang w:val="sr-Latn-ME"/>
        </w:rPr>
        <w:t>Tahikardija, nazalna kongestija i rinitis, „često” (≥ 1/100 do &lt; 1/10) u pedijatrijskoj, ”povremeno” (≥ 1/1 000 do &lt; 1/100) u populaciji odraslih.</w:t>
      </w:r>
    </w:p>
    <w:p w14:paraId="462C546E" w14:textId="77777777" w:rsidR="000C7B6F" w:rsidRPr="005B51C6" w:rsidRDefault="00AD382D" w:rsidP="00F645E1">
      <w:pPr>
        <w:jc w:val="both"/>
        <w:rPr>
          <w:szCs w:val="22"/>
          <w:lang w:val="sr-Latn-ME"/>
        </w:rPr>
      </w:pPr>
      <w:r w:rsidRPr="005B51C6">
        <w:rPr>
          <w:szCs w:val="22"/>
          <w:lang w:val="sr-Latn-ME"/>
        </w:rPr>
        <w:t>Konjunktivitis, „često” (≥ 1/100 do &lt; 1/10) u pedijatrijskoj u odnosu na “rijetko” (≥1/10000 do &lt;1/1000) u populaciji odraslih.</w:t>
      </w:r>
    </w:p>
    <w:p w14:paraId="2DAFCEB6" w14:textId="77777777" w:rsidR="000C7B6F" w:rsidRPr="005B51C6" w:rsidRDefault="00AD382D" w:rsidP="00F645E1">
      <w:pPr>
        <w:jc w:val="both"/>
        <w:rPr>
          <w:szCs w:val="22"/>
          <w:lang w:val="sr-Latn-ME"/>
        </w:rPr>
      </w:pPr>
      <w:r w:rsidRPr="005B51C6">
        <w:rPr>
          <w:szCs w:val="22"/>
          <w:lang w:val="sr-Latn-ME"/>
        </w:rPr>
        <w:t>Tremor i urtikarija, ”povremeno” (≥ 1/1 000 do &lt; 1/100) u pedijatrijskoj populaciji u odnosu na “rijetko” (≥1/10000 do &lt;1/1000) u populaciji odraslih.</w:t>
      </w:r>
    </w:p>
    <w:p w14:paraId="4C99F249" w14:textId="77777777" w:rsidR="000C7B6F" w:rsidRPr="005B51C6" w:rsidRDefault="000C7B6F" w:rsidP="00F645E1">
      <w:pPr>
        <w:jc w:val="both"/>
        <w:rPr>
          <w:szCs w:val="22"/>
          <w:lang w:val="sr-Latn-ME"/>
        </w:rPr>
      </w:pPr>
    </w:p>
    <w:p w14:paraId="48F0B003" w14:textId="77777777" w:rsidR="000C7B6F" w:rsidRPr="005B51C6" w:rsidRDefault="00AD382D" w:rsidP="00F645E1">
      <w:pPr>
        <w:jc w:val="both"/>
        <w:rPr>
          <w:szCs w:val="22"/>
          <w:lang w:val="sr-Latn-ME"/>
        </w:rPr>
      </w:pPr>
      <w:r w:rsidRPr="005B51C6">
        <w:rPr>
          <w:szCs w:val="22"/>
          <w:lang w:val="sr-Latn-ME"/>
        </w:rPr>
        <w:t>Cjelokupan bezbjednosni profil ramiprila u pedijatrijskoj populaciji ne razlikuje se bitno od bezbjednosnog profila u populaciji odraslih.</w:t>
      </w:r>
    </w:p>
    <w:p w14:paraId="549D4698" w14:textId="77777777" w:rsidR="000C7B6F" w:rsidRPr="005B51C6" w:rsidRDefault="000C7B6F" w:rsidP="00F645E1">
      <w:pPr>
        <w:widowControl w:val="0"/>
        <w:autoSpaceDE w:val="0"/>
        <w:autoSpaceDN w:val="0"/>
        <w:adjustRightInd w:val="0"/>
        <w:rPr>
          <w:szCs w:val="22"/>
          <w:u w:val="single"/>
          <w:lang w:val="sr-Latn-ME"/>
        </w:rPr>
      </w:pPr>
    </w:p>
    <w:p w14:paraId="30AA1773" w14:textId="77777777" w:rsidR="000C7B6F" w:rsidRPr="005B51C6" w:rsidRDefault="00AD382D" w:rsidP="00F645E1">
      <w:pPr>
        <w:spacing w:line="276" w:lineRule="auto"/>
        <w:rPr>
          <w:rFonts w:eastAsia="Calibri"/>
          <w:szCs w:val="22"/>
          <w:u w:val="single"/>
          <w:lang w:val="sr-Latn-ME"/>
        </w:rPr>
      </w:pPr>
      <w:r w:rsidRPr="005B51C6">
        <w:rPr>
          <w:rFonts w:eastAsia="Calibri"/>
          <w:szCs w:val="22"/>
          <w:u w:val="single"/>
          <w:lang w:val="sr-Latn-ME"/>
        </w:rPr>
        <w:t>Prijavljivanje sumnji na neželjena dejstva</w:t>
      </w:r>
    </w:p>
    <w:p w14:paraId="085275A4"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E77C667"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 xml:space="preserve">Institut za ljekove i medicinska sredstva </w:t>
      </w:r>
    </w:p>
    <w:p w14:paraId="3403559B"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Odjeljenje za farmakovigilancu</w:t>
      </w:r>
    </w:p>
    <w:p w14:paraId="7EF7DC45"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Bulevar Ivana Crnojevića 64a, 81000 Podgorica</w:t>
      </w:r>
    </w:p>
    <w:p w14:paraId="05CA2F6B" w14:textId="77777777" w:rsidR="000C7B6F" w:rsidRPr="005B51C6" w:rsidRDefault="000C7B6F" w:rsidP="00F645E1">
      <w:pPr>
        <w:tabs>
          <w:tab w:val="clear" w:pos="567"/>
        </w:tabs>
        <w:spacing w:line="240" w:lineRule="auto"/>
        <w:rPr>
          <w:rFonts w:eastAsia="Calibri"/>
          <w:szCs w:val="22"/>
          <w:lang w:val="sr-Latn-ME"/>
        </w:rPr>
      </w:pPr>
    </w:p>
    <w:p w14:paraId="3889C229"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tel: +382 (0) 20 310 280</w:t>
      </w:r>
    </w:p>
    <w:p w14:paraId="17EA71C5" w14:textId="77777777" w:rsidR="000C7B6F" w:rsidRPr="005B51C6" w:rsidRDefault="00AD382D" w:rsidP="00F645E1">
      <w:pPr>
        <w:tabs>
          <w:tab w:val="clear" w:pos="567"/>
          <w:tab w:val="left" w:pos="6720"/>
        </w:tabs>
        <w:spacing w:line="240" w:lineRule="auto"/>
        <w:jc w:val="both"/>
        <w:rPr>
          <w:rFonts w:eastAsia="Calibri"/>
          <w:szCs w:val="22"/>
          <w:lang w:val="sr-Latn-ME"/>
        </w:rPr>
      </w:pPr>
      <w:r w:rsidRPr="005B51C6">
        <w:rPr>
          <w:rFonts w:eastAsia="Calibri"/>
          <w:szCs w:val="22"/>
          <w:lang w:val="sr-Latn-ME"/>
        </w:rPr>
        <w:t>fax: +382 (0) 20 310 581</w:t>
      </w:r>
      <w:r w:rsidRPr="005B51C6">
        <w:rPr>
          <w:rFonts w:eastAsia="Calibri"/>
          <w:szCs w:val="22"/>
          <w:lang w:val="sr-Latn-ME"/>
        </w:rPr>
        <w:tab/>
      </w:r>
    </w:p>
    <w:p w14:paraId="181B4200" w14:textId="77777777" w:rsidR="000C7B6F" w:rsidRPr="005B51C6" w:rsidRDefault="00BF0034" w:rsidP="00F645E1">
      <w:pPr>
        <w:tabs>
          <w:tab w:val="clear" w:pos="567"/>
        </w:tabs>
        <w:spacing w:line="240" w:lineRule="auto"/>
        <w:jc w:val="both"/>
        <w:rPr>
          <w:rFonts w:eastAsia="Calibri"/>
          <w:szCs w:val="22"/>
          <w:lang w:val="sr-Latn-ME"/>
        </w:rPr>
      </w:pPr>
      <w:hyperlink r:id="rId7" w:history="1">
        <w:r w:rsidR="00AD382D" w:rsidRPr="005B51C6">
          <w:rPr>
            <w:rFonts w:eastAsia="Calibri"/>
            <w:color w:val="0563C1"/>
            <w:szCs w:val="22"/>
            <w:u w:val="single"/>
            <w:lang w:val="sr-Latn-ME"/>
          </w:rPr>
          <w:t>www.cinmed.me</w:t>
        </w:r>
      </w:hyperlink>
    </w:p>
    <w:p w14:paraId="68BFACA6" w14:textId="77777777" w:rsidR="000C7B6F" w:rsidRPr="005B51C6" w:rsidRDefault="00BF0034" w:rsidP="00F645E1">
      <w:pPr>
        <w:tabs>
          <w:tab w:val="clear" w:pos="567"/>
        </w:tabs>
        <w:spacing w:line="240" w:lineRule="auto"/>
        <w:jc w:val="both"/>
        <w:rPr>
          <w:rFonts w:eastAsia="Calibri"/>
          <w:color w:val="0000FF"/>
          <w:szCs w:val="22"/>
          <w:u w:val="single"/>
          <w:lang w:val="sr-Latn-ME"/>
        </w:rPr>
      </w:pPr>
      <w:hyperlink r:id="rId8" w:history="1">
        <w:r w:rsidR="00AD382D" w:rsidRPr="005B51C6">
          <w:rPr>
            <w:rFonts w:eastAsia="Calibri"/>
            <w:color w:val="0563C1"/>
            <w:szCs w:val="22"/>
            <w:u w:val="single"/>
            <w:lang w:val="sr-Latn-ME"/>
          </w:rPr>
          <w:t>nezeljenadejstva@cinmed.me</w:t>
        </w:r>
      </w:hyperlink>
    </w:p>
    <w:p w14:paraId="1C4F546B"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putem IS zdravstvene zaštite</w:t>
      </w:r>
    </w:p>
    <w:p w14:paraId="2A6646DE" w14:textId="77777777" w:rsidR="000C7B6F" w:rsidRPr="005B51C6" w:rsidRDefault="00AD382D" w:rsidP="00F645E1">
      <w:pPr>
        <w:tabs>
          <w:tab w:val="clear" w:pos="567"/>
        </w:tabs>
        <w:spacing w:line="240" w:lineRule="auto"/>
        <w:jc w:val="both"/>
        <w:rPr>
          <w:rFonts w:eastAsia="Calibri"/>
          <w:szCs w:val="22"/>
          <w:lang w:val="sr-Latn-ME"/>
        </w:rPr>
      </w:pPr>
      <w:r w:rsidRPr="005B51C6">
        <w:rPr>
          <w:rFonts w:eastAsia="Calibri"/>
          <w:szCs w:val="22"/>
          <w:lang w:val="sr-Latn-ME"/>
        </w:rPr>
        <w:t>QR kod za online prijavu sumnje na neželjeno dejstvo lijeka:</w:t>
      </w:r>
    </w:p>
    <w:p w14:paraId="30B97CC1" w14:textId="77777777" w:rsidR="000C7B6F" w:rsidRPr="005B51C6" w:rsidRDefault="000C7B6F" w:rsidP="00F645E1">
      <w:pPr>
        <w:tabs>
          <w:tab w:val="clear" w:pos="567"/>
        </w:tabs>
        <w:spacing w:line="240" w:lineRule="auto"/>
        <w:jc w:val="both"/>
        <w:rPr>
          <w:rFonts w:eastAsia="Calibri"/>
          <w:szCs w:val="22"/>
          <w:lang w:val="sr-Latn-ME"/>
        </w:rPr>
      </w:pPr>
    </w:p>
    <w:p w14:paraId="56F3C43D" w14:textId="7262B7D2" w:rsidR="000C7B6F" w:rsidRPr="005B51C6" w:rsidRDefault="00EA0B9B" w:rsidP="00F645E1">
      <w:pPr>
        <w:tabs>
          <w:tab w:val="clear" w:pos="567"/>
        </w:tabs>
        <w:spacing w:line="240" w:lineRule="auto"/>
        <w:rPr>
          <w:rFonts w:eastAsia="Calibri"/>
          <w:szCs w:val="22"/>
          <w:lang w:val="sr-Latn-ME"/>
        </w:rPr>
      </w:pPr>
      <w:r w:rsidRPr="005B51C6">
        <w:rPr>
          <w:b/>
          <w:bCs/>
          <w:noProof/>
          <w:szCs w:val="22"/>
          <w:lang w:val="en-US"/>
        </w:rPr>
        <w:drawing>
          <wp:inline distT="0" distB="0" distL="0" distR="0" wp14:anchorId="52BFF4C3" wp14:editId="291DC0DF">
            <wp:extent cx="980796" cy="97200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1FBD776" w14:textId="41B81529" w:rsidR="000C7B6F" w:rsidRPr="005B51C6" w:rsidRDefault="000C7B6F" w:rsidP="00F645E1">
      <w:pPr>
        <w:widowControl w:val="0"/>
        <w:rPr>
          <w:szCs w:val="22"/>
          <w:lang w:val="sr-Latn-ME"/>
        </w:rPr>
      </w:pPr>
    </w:p>
    <w:p w14:paraId="2585A043" w14:textId="77777777" w:rsidR="000C7B6F" w:rsidRPr="005B51C6" w:rsidRDefault="00AD382D" w:rsidP="00F645E1">
      <w:pPr>
        <w:widowControl w:val="0"/>
        <w:ind w:left="567" w:hanging="567"/>
        <w:outlineLvl w:val="0"/>
        <w:rPr>
          <w:b/>
          <w:szCs w:val="22"/>
          <w:lang w:val="sr-Latn-ME"/>
        </w:rPr>
      </w:pPr>
      <w:r w:rsidRPr="005B51C6">
        <w:rPr>
          <w:b/>
          <w:szCs w:val="22"/>
          <w:lang w:val="sr-Latn-ME"/>
        </w:rPr>
        <w:t>4.9</w:t>
      </w:r>
      <w:r w:rsidRPr="005B51C6">
        <w:rPr>
          <w:b/>
          <w:szCs w:val="22"/>
          <w:lang w:val="sr-Latn-ME"/>
        </w:rPr>
        <w:tab/>
        <w:t>Predoziranje</w:t>
      </w:r>
    </w:p>
    <w:p w14:paraId="1261EE61" w14:textId="77777777" w:rsidR="000C7B6F" w:rsidRPr="005B51C6" w:rsidRDefault="000C7B6F" w:rsidP="00F645E1">
      <w:pPr>
        <w:widowControl w:val="0"/>
        <w:ind w:left="567" w:hanging="567"/>
        <w:outlineLvl w:val="0"/>
        <w:rPr>
          <w:szCs w:val="22"/>
          <w:lang w:val="sr-Latn-ME"/>
        </w:rPr>
      </w:pPr>
    </w:p>
    <w:p w14:paraId="5202B004" w14:textId="77777777" w:rsidR="000C7B6F" w:rsidRPr="005B51C6" w:rsidRDefault="00AD382D" w:rsidP="00F645E1">
      <w:pPr>
        <w:tabs>
          <w:tab w:val="left" w:pos="284"/>
        </w:tabs>
        <w:jc w:val="both"/>
        <w:rPr>
          <w:bCs/>
          <w:i/>
          <w:szCs w:val="22"/>
          <w:u w:val="single"/>
          <w:lang w:val="sr-Latn-ME"/>
        </w:rPr>
      </w:pPr>
      <w:r w:rsidRPr="005B51C6">
        <w:rPr>
          <w:bCs/>
          <w:i/>
          <w:szCs w:val="22"/>
          <w:u w:val="single"/>
          <w:lang w:val="sr-Latn-ME"/>
        </w:rPr>
        <w:t xml:space="preserve">Simptomi </w:t>
      </w:r>
    </w:p>
    <w:p w14:paraId="4C276CCF" w14:textId="77777777" w:rsidR="000C7B6F" w:rsidRPr="005B51C6" w:rsidRDefault="000C7B6F" w:rsidP="00F645E1">
      <w:pPr>
        <w:tabs>
          <w:tab w:val="left" w:pos="284"/>
        </w:tabs>
        <w:jc w:val="both"/>
        <w:rPr>
          <w:bCs/>
          <w:szCs w:val="22"/>
          <w:lang w:val="sr-Latn-ME"/>
        </w:rPr>
      </w:pPr>
    </w:p>
    <w:p w14:paraId="1F86157F" w14:textId="77777777" w:rsidR="000C7B6F" w:rsidRPr="005B51C6" w:rsidRDefault="00AD382D" w:rsidP="00F645E1">
      <w:pPr>
        <w:tabs>
          <w:tab w:val="left" w:pos="284"/>
        </w:tabs>
        <w:jc w:val="both"/>
        <w:rPr>
          <w:bCs/>
          <w:szCs w:val="22"/>
          <w:lang w:val="sr-Latn-ME"/>
        </w:rPr>
      </w:pPr>
      <w:r w:rsidRPr="005B51C6">
        <w:rPr>
          <w:bCs/>
          <w:szCs w:val="22"/>
          <w:lang w:val="sr-Latn-ME"/>
        </w:rPr>
        <w:t xml:space="preserve">Simptomi vezani za predoziranje ACE inhibitorima mogu obuhvatati prejaku perifernu vazodilataciju (sa izraženom hipotenzijom, šokom), bradikardiju, poremećaj elektrolita i renalnu insuficijenciju. </w:t>
      </w:r>
    </w:p>
    <w:p w14:paraId="75F369DF" w14:textId="77777777" w:rsidR="000C7B6F" w:rsidRPr="005B51C6" w:rsidRDefault="000C7B6F" w:rsidP="00F645E1">
      <w:pPr>
        <w:tabs>
          <w:tab w:val="left" w:pos="284"/>
        </w:tabs>
        <w:jc w:val="both"/>
        <w:rPr>
          <w:bCs/>
          <w:szCs w:val="22"/>
          <w:lang w:val="sr-Latn-ME"/>
        </w:rPr>
      </w:pPr>
    </w:p>
    <w:p w14:paraId="16318DD2" w14:textId="77777777" w:rsidR="000C7B6F" w:rsidRPr="005B51C6" w:rsidRDefault="00AD382D" w:rsidP="00F645E1">
      <w:pPr>
        <w:tabs>
          <w:tab w:val="left" w:pos="284"/>
        </w:tabs>
        <w:jc w:val="both"/>
        <w:rPr>
          <w:bCs/>
          <w:i/>
          <w:szCs w:val="22"/>
          <w:u w:val="single"/>
          <w:lang w:val="sr-Latn-ME"/>
        </w:rPr>
      </w:pPr>
      <w:r w:rsidRPr="005B51C6">
        <w:rPr>
          <w:bCs/>
          <w:i/>
          <w:szCs w:val="22"/>
          <w:u w:val="single"/>
          <w:lang w:val="sr-Latn-ME"/>
        </w:rPr>
        <w:t>Terapija</w:t>
      </w:r>
    </w:p>
    <w:p w14:paraId="061A63DF" w14:textId="77777777" w:rsidR="000C7B6F" w:rsidRPr="005B51C6" w:rsidRDefault="000C7B6F" w:rsidP="00F645E1">
      <w:pPr>
        <w:tabs>
          <w:tab w:val="left" w:pos="284"/>
        </w:tabs>
        <w:jc w:val="both"/>
        <w:rPr>
          <w:bCs/>
          <w:szCs w:val="22"/>
          <w:lang w:val="sr-Latn-ME"/>
        </w:rPr>
      </w:pPr>
    </w:p>
    <w:p w14:paraId="3D76066D" w14:textId="77777777" w:rsidR="000C7B6F" w:rsidRPr="005B51C6" w:rsidRDefault="00AD382D" w:rsidP="00F645E1">
      <w:pPr>
        <w:tabs>
          <w:tab w:val="left" w:pos="284"/>
        </w:tabs>
        <w:jc w:val="both"/>
        <w:rPr>
          <w:bCs/>
          <w:szCs w:val="22"/>
          <w:lang w:val="sr-Latn-ME"/>
        </w:rPr>
      </w:pPr>
      <w:r w:rsidRPr="005B51C6">
        <w:rPr>
          <w:bCs/>
          <w:szCs w:val="22"/>
          <w:lang w:val="sr-Latn-ME"/>
        </w:rPr>
        <w:t>Pacijent treba da bude pod strogim nadzorom, a terapija treba da bude simptomatska i suportivna. Predložene mjere uključuju primarnu detoksikaciju (gastrična lavaža, primjena adsorbenasa) i mjere za povratak hemodinamske stabilnosti, uključujući primjenu alfa 1 adrenergičkih agonista ili angiotenzina II (angiotenzinamid). Ramiprilat, aktivni metabolit ramiprila, slabo se uklanja iz cirkulacije hemodijalizom.</w:t>
      </w:r>
    </w:p>
    <w:p w14:paraId="73E16813" w14:textId="0B79D982" w:rsidR="000C7B6F" w:rsidRPr="005B51C6" w:rsidRDefault="000C7B6F" w:rsidP="00F645E1">
      <w:pPr>
        <w:widowControl w:val="0"/>
        <w:rPr>
          <w:szCs w:val="22"/>
          <w:lang w:val="sr-Latn-ME"/>
        </w:rPr>
      </w:pPr>
    </w:p>
    <w:p w14:paraId="5C99FE75" w14:textId="77777777" w:rsidR="00F645E1" w:rsidRPr="005B51C6" w:rsidRDefault="00F645E1" w:rsidP="00F645E1">
      <w:pPr>
        <w:widowControl w:val="0"/>
        <w:rPr>
          <w:szCs w:val="22"/>
          <w:lang w:val="sr-Latn-ME"/>
        </w:rPr>
      </w:pPr>
    </w:p>
    <w:p w14:paraId="296290FF" w14:textId="77777777" w:rsidR="000C7B6F" w:rsidRPr="005B51C6" w:rsidRDefault="00AD382D" w:rsidP="00F645E1">
      <w:pPr>
        <w:widowControl w:val="0"/>
        <w:ind w:left="567" w:hanging="567"/>
        <w:rPr>
          <w:szCs w:val="22"/>
          <w:lang w:val="sr-Latn-ME"/>
        </w:rPr>
      </w:pPr>
      <w:r w:rsidRPr="005B51C6">
        <w:rPr>
          <w:b/>
          <w:szCs w:val="22"/>
          <w:lang w:val="sr-Latn-ME"/>
        </w:rPr>
        <w:t>5.</w:t>
      </w:r>
      <w:r w:rsidRPr="005B51C6">
        <w:rPr>
          <w:b/>
          <w:szCs w:val="22"/>
          <w:lang w:val="sr-Latn-ME"/>
        </w:rPr>
        <w:tab/>
      </w:r>
      <w:r w:rsidRPr="005B51C6">
        <w:rPr>
          <w:b/>
          <w:bCs/>
          <w:szCs w:val="22"/>
          <w:lang w:val="sr-Latn-ME"/>
        </w:rPr>
        <w:t>FARMAKOLOŠKI PODACI</w:t>
      </w:r>
    </w:p>
    <w:p w14:paraId="45615649" w14:textId="77777777" w:rsidR="000C7B6F" w:rsidRPr="005B51C6" w:rsidRDefault="000C7B6F" w:rsidP="00F645E1">
      <w:pPr>
        <w:widowControl w:val="0"/>
        <w:rPr>
          <w:szCs w:val="22"/>
          <w:lang w:val="sr-Latn-ME"/>
        </w:rPr>
      </w:pPr>
    </w:p>
    <w:p w14:paraId="42380B95" w14:textId="77777777" w:rsidR="000C7B6F" w:rsidRPr="005B51C6" w:rsidRDefault="00AD382D" w:rsidP="00F645E1">
      <w:pPr>
        <w:widowControl w:val="0"/>
        <w:ind w:left="567" w:hanging="567"/>
        <w:outlineLvl w:val="0"/>
        <w:rPr>
          <w:szCs w:val="22"/>
          <w:lang w:val="sr-Latn-ME"/>
        </w:rPr>
      </w:pPr>
      <w:r w:rsidRPr="005B51C6">
        <w:rPr>
          <w:b/>
          <w:szCs w:val="22"/>
          <w:lang w:val="sr-Latn-ME"/>
        </w:rPr>
        <w:t>5.1</w:t>
      </w:r>
      <w:r w:rsidRPr="005B51C6">
        <w:rPr>
          <w:b/>
          <w:szCs w:val="22"/>
          <w:lang w:val="sr-Latn-ME"/>
        </w:rPr>
        <w:tab/>
      </w:r>
      <w:r w:rsidRPr="005B51C6">
        <w:rPr>
          <w:b/>
          <w:bCs/>
          <w:szCs w:val="22"/>
          <w:lang w:val="sr-Latn-ME"/>
        </w:rPr>
        <w:t>Farmakodinamski podaci</w:t>
      </w:r>
    </w:p>
    <w:p w14:paraId="7B211D88" w14:textId="77777777" w:rsidR="000C7B6F" w:rsidRPr="005B51C6" w:rsidRDefault="000C7B6F" w:rsidP="00F645E1">
      <w:pPr>
        <w:widowControl w:val="0"/>
        <w:rPr>
          <w:szCs w:val="22"/>
          <w:lang w:val="sr-Latn-ME"/>
        </w:rPr>
      </w:pPr>
    </w:p>
    <w:p w14:paraId="4076D268" w14:textId="77777777" w:rsidR="000C7B6F" w:rsidRPr="005B51C6" w:rsidRDefault="00AD382D" w:rsidP="00F645E1">
      <w:pPr>
        <w:tabs>
          <w:tab w:val="left" w:pos="284"/>
        </w:tabs>
        <w:jc w:val="both"/>
        <w:rPr>
          <w:szCs w:val="22"/>
          <w:lang w:val="sr-Latn-ME"/>
        </w:rPr>
      </w:pPr>
      <w:r w:rsidRPr="005B51C6">
        <w:rPr>
          <w:b/>
          <w:bCs/>
          <w:szCs w:val="22"/>
          <w:lang w:val="sr-Latn-ME"/>
        </w:rPr>
        <w:t xml:space="preserve">Farmakoterapijska grupa: </w:t>
      </w:r>
      <w:r w:rsidRPr="005B51C6">
        <w:rPr>
          <w:szCs w:val="22"/>
          <w:lang w:val="sr-Latn-ME"/>
        </w:rPr>
        <w:t>ACE inhibitori, monokomponentni</w:t>
      </w:r>
    </w:p>
    <w:p w14:paraId="2972BE1E" w14:textId="77777777" w:rsidR="000C7B6F" w:rsidRPr="005B51C6" w:rsidRDefault="000C7B6F" w:rsidP="00F645E1">
      <w:pPr>
        <w:tabs>
          <w:tab w:val="left" w:pos="284"/>
        </w:tabs>
        <w:jc w:val="both"/>
        <w:rPr>
          <w:szCs w:val="22"/>
          <w:lang w:val="sr-Latn-ME"/>
        </w:rPr>
      </w:pPr>
    </w:p>
    <w:p w14:paraId="31F452AD" w14:textId="77777777" w:rsidR="000C7B6F" w:rsidRPr="005B51C6" w:rsidRDefault="00AD382D" w:rsidP="00F645E1">
      <w:pPr>
        <w:tabs>
          <w:tab w:val="left" w:pos="284"/>
        </w:tabs>
        <w:jc w:val="both"/>
        <w:rPr>
          <w:szCs w:val="22"/>
          <w:lang w:val="sr-Latn-ME"/>
        </w:rPr>
      </w:pPr>
      <w:r w:rsidRPr="005B51C6">
        <w:rPr>
          <w:b/>
          <w:bCs/>
          <w:szCs w:val="22"/>
          <w:lang w:val="sr-Latn-ME"/>
        </w:rPr>
        <w:t xml:space="preserve">ATC kod: </w:t>
      </w:r>
      <w:r w:rsidRPr="005B51C6">
        <w:rPr>
          <w:szCs w:val="22"/>
          <w:lang w:val="sr-Latn-ME"/>
        </w:rPr>
        <w:t>C09AA05</w:t>
      </w:r>
    </w:p>
    <w:p w14:paraId="05147F28" w14:textId="77777777" w:rsidR="000C7B6F" w:rsidRPr="005B51C6" w:rsidRDefault="000C7B6F" w:rsidP="00F645E1">
      <w:pPr>
        <w:widowControl w:val="0"/>
        <w:autoSpaceDE w:val="0"/>
        <w:autoSpaceDN w:val="0"/>
        <w:adjustRightInd w:val="0"/>
        <w:rPr>
          <w:color w:val="000000"/>
          <w:szCs w:val="22"/>
          <w:lang w:val="sr-Latn-ME"/>
        </w:rPr>
      </w:pPr>
    </w:p>
    <w:tbl>
      <w:tblPr>
        <w:tblW w:w="9436" w:type="dxa"/>
        <w:tblLayout w:type="fixed"/>
        <w:tblLook w:val="04A0" w:firstRow="1" w:lastRow="0" w:firstColumn="1" w:lastColumn="0" w:noHBand="0" w:noVBand="1"/>
      </w:tblPr>
      <w:tblGrid>
        <w:gridCol w:w="9436"/>
      </w:tblGrid>
      <w:tr w:rsidR="000C7B6F" w:rsidRPr="005B51C6" w14:paraId="7141830D" w14:textId="77777777">
        <w:trPr>
          <w:trHeight w:val="866"/>
        </w:trPr>
        <w:tc>
          <w:tcPr>
            <w:tcW w:w="9436" w:type="dxa"/>
            <w:vAlign w:val="center"/>
            <w:hideMark/>
          </w:tcPr>
          <w:p w14:paraId="7E5EDFDE" w14:textId="77777777" w:rsidR="000C7B6F" w:rsidRPr="005B51C6" w:rsidRDefault="00AD382D" w:rsidP="00F645E1">
            <w:pPr>
              <w:autoSpaceDE w:val="0"/>
              <w:autoSpaceDN w:val="0"/>
              <w:adjustRightInd w:val="0"/>
              <w:ind w:left="-110"/>
              <w:jc w:val="both"/>
              <w:rPr>
                <w:i/>
                <w:iCs/>
                <w:szCs w:val="22"/>
                <w:u w:val="single"/>
                <w:lang w:val="sr-Latn-ME" w:eastAsia="zh-TW"/>
              </w:rPr>
            </w:pPr>
            <w:r w:rsidRPr="005B51C6">
              <w:rPr>
                <w:i/>
                <w:iCs/>
                <w:szCs w:val="22"/>
                <w:u w:val="single"/>
                <w:lang w:val="sr-Latn-ME" w:eastAsia="zh-TW"/>
              </w:rPr>
              <w:t>Mehanizam dejstva</w:t>
            </w:r>
          </w:p>
          <w:p w14:paraId="18BF4CA6"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Ramiprilat, aktivni metabolit prolijeka ramiprila, inhibira enzim dipeptidilkarboksipeptidazu I (sinonimi: angiotenzin konvertujući enzim; kininaza II). U plazmi i tkivu ovaj enzim katalizuje konverziju angiotenzina I u aktivnu vazokonstriktornu supstancu angiotenzin II, kao i razgradnju aktivnog vazodilatatora bradikinina. Smanjenje stvaranja angiotenzina II i inhibicija razgradnje bradikinina dovode do vazodilatacije.</w:t>
            </w:r>
          </w:p>
          <w:p w14:paraId="7DEC3FA9"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Pošto angiotenzin II takođe stimuliše oslobađanje aldosterona, ramiprilat izaziva redukciju sekrecije aldosterona. Prosječan odgovor na monoterapiju ACE inhibitorima je manji kod ljudi crne rase (afro-karipska grupa) sa hipertenzijom (uglavnom kod pacijenata sa hipertenzijom koji imaju nizak nivo renina) nego kod ljudi drugih rasa.</w:t>
            </w:r>
          </w:p>
          <w:p w14:paraId="6B5341E9"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p w14:paraId="741469DF" w14:textId="77777777" w:rsidR="000C7B6F" w:rsidRPr="005B51C6" w:rsidRDefault="00AD382D" w:rsidP="00F645E1">
            <w:pPr>
              <w:autoSpaceDE w:val="0"/>
              <w:autoSpaceDN w:val="0"/>
              <w:adjustRightInd w:val="0"/>
              <w:ind w:left="-110"/>
              <w:jc w:val="both"/>
              <w:rPr>
                <w:iCs/>
                <w:szCs w:val="22"/>
                <w:u w:val="single"/>
                <w:lang w:val="sr-Latn-ME" w:eastAsia="zh-TW"/>
              </w:rPr>
            </w:pPr>
            <w:r w:rsidRPr="005B51C6">
              <w:rPr>
                <w:iCs/>
                <w:szCs w:val="22"/>
                <w:u w:val="single"/>
                <w:lang w:val="sr-Latn-ME" w:eastAsia="zh-TW"/>
              </w:rPr>
              <w:t>Farmakodinamski efekti</w:t>
            </w:r>
          </w:p>
          <w:p w14:paraId="4E2E954F" w14:textId="77777777" w:rsidR="000C7B6F" w:rsidRPr="005B51C6" w:rsidRDefault="000C7B6F" w:rsidP="00F645E1">
            <w:pPr>
              <w:autoSpaceDE w:val="0"/>
              <w:autoSpaceDN w:val="0"/>
              <w:adjustRightInd w:val="0"/>
              <w:ind w:left="-110"/>
              <w:jc w:val="both"/>
              <w:rPr>
                <w:iCs/>
                <w:szCs w:val="22"/>
                <w:u w:val="single"/>
                <w:lang w:val="sr-Latn-ME" w:eastAsia="zh-TW"/>
              </w:rPr>
            </w:pPr>
          </w:p>
          <w:p w14:paraId="6C22D6EE"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Antihipertenzivna svojstva</w:t>
            </w:r>
          </w:p>
          <w:p w14:paraId="0F9C637F"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7DA1BC80"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Primjena ramiprila dovodi do izraženog smanjenja periferne arterijske rezistencije. Po pravilu, nema značajne promjene renalnog protoka plazme i brzine glomerularne filtracije. Primjena ramiprila kod pacijenata sa hipertenzijom dovodi do sniženja krvnog pritiska u ležećem i stojećem stavu, bez kompenzatornog ubrzavanja srčanog ritma.</w:t>
            </w:r>
          </w:p>
          <w:p w14:paraId="40C971A3"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0B194CDD"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 xml:space="preserve">Kod većine pacijenata, antihipertenzivno dejstvo nastaje za približno 1 do 2 sata nakon pojedinačne oralno primijenjene doze. Maksimalno dejstvo pojedinačne doze obično se dostiže za 3 do 6 sati nakon oralne primjene. Antihipertenzivno dejstvo pojedinačne doze traje 24 časa. </w:t>
            </w:r>
          </w:p>
          <w:p w14:paraId="64A67B2C"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61D02C5C"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Maksimalno antihipertenzivno dejstvo kod kontinuirane primjene ramiprila  se zapaža nakon 3 do 4 nedjelje od početka primjene. Pokazalo se da se antihipertenzivno dejstvo održava čak i tokom dugotrajne terapije od 2 godine.</w:t>
            </w:r>
          </w:p>
          <w:p w14:paraId="0A42BC69"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3D42CCB4"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Nagli prekid primjene ramiprila neće dovesti do brzog i pretjeranog skoka krvnog pritiska („</w:t>
            </w:r>
            <w:r w:rsidRPr="005B51C6">
              <w:rPr>
                <w:i/>
                <w:szCs w:val="22"/>
                <w:lang w:val="sr-Latn-ME"/>
              </w:rPr>
              <w:t>rebound</w:t>
            </w:r>
            <w:r w:rsidRPr="005B51C6">
              <w:rPr>
                <w:szCs w:val="22"/>
                <w:lang w:val="sr-Latn-ME"/>
              </w:rPr>
              <w:t>“ efekat).</w:t>
            </w:r>
          </w:p>
          <w:p w14:paraId="46B3F6F2"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01158ECA"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Srčana insuficijencija:</w:t>
            </w:r>
          </w:p>
          <w:p w14:paraId="33138BF0" w14:textId="77777777" w:rsidR="000C7B6F" w:rsidRPr="005B51C6" w:rsidRDefault="000C7B6F" w:rsidP="00F645E1">
            <w:pPr>
              <w:tabs>
                <w:tab w:val="clear" w:pos="567"/>
                <w:tab w:val="left" w:pos="570"/>
                <w:tab w:val="center" w:pos="4320"/>
                <w:tab w:val="right" w:pos="8640"/>
              </w:tabs>
              <w:ind w:left="-110"/>
              <w:jc w:val="both"/>
              <w:rPr>
                <w:szCs w:val="22"/>
                <w:lang w:val="sr-Latn-ME"/>
              </w:rPr>
            </w:pPr>
          </w:p>
          <w:p w14:paraId="0FEC44A4" w14:textId="77777777" w:rsidR="000C7B6F" w:rsidRPr="005B51C6" w:rsidRDefault="00AD382D" w:rsidP="00F645E1">
            <w:pPr>
              <w:tabs>
                <w:tab w:val="clear" w:pos="567"/>
                <w:tab w:val="left" w:pos="570"/>
                <w:tab w:val="center" w:pos="4320"/>
                <w:tab w:val="right" w:pos="8640"/>
              </w:tabs>
              <w:ind w:left="-110"/>
              <w:jc w:val="both"/>
              <w:rPr>
                <w:szCs w:val="22"/>
                <w:lang w:val="sr-Latn-ME"/>
              </w:rPr>
            </w:pPr>
            <w:r w:rsidRPr="005B51C6">
              <w:rPr>
                <w:szCs w:val="22"/>
                <w:lang w:val="sr-Latn-ME"/>
              </w:rPr>
              <w:t xml:space="preserve">Pokazalo se da je ramipril efikasan kao dodatak konvencionalnoj terapiji diureticima i izabranim kardiotoničnim glikozidima kod pacijenata sa funkcionalnim klasama II-IV </w:t>
            </w:r>
            <w:r w:rsidRPr="005B51C6">
              <w:rPr>
                <w:i/>
                <w:szCs w:val="22"/>
                <w:lang w:val="sr-Latn-ME"/>
              </w:rPr>
              <w:t>New York Heart</w:t>
            </w:r>
            <w:r w:rsidRPr="005B51C6">
              <w:rPr>
                <w:szCs w:val="22"/>
                <w:lang w:val="sr-Latn-ME"/>
              </w:rPr>
              <w:t xml:space="preserve"> Asocijacije (NYHA). Lijek ima korisno dejstvo na hemodinamiku srca (smanjuje pritisak punjenja lijeve i desne srčane komore, smanjuje ukupni periferni vaskularni otpor, povećava srčani rad i poboljšava srčani indeks). Takođe, smanjuje neuroendokrinu aktivaciju. </w:t>
            </w:r>
          </w:p>
          <w:p w14:paraId="76120D5F"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p w14:paraId="2D97EA24" w14:textId="77777777" w:rsidR="000C7B6F" w:rsidRPr="005B51C6" w:rsidRDefault="00AD382D" w:rsidP="00F645E1">
            <w:pPr>
              <w:autoSpaceDE w:val="0"/>
              <w:autoSpaceDN w:val="0"/>
              <w:adjustRightInd w:val="0"/>
              <w:ind w:left="-110"/>
              <w:jc w:val="both"/>
              <w:rPr>
                <w:rFonts w:eastAsia="TimesNewRoman"/>
                <w:iCs/>
                <w:szCs w:val="22"/>
                <w:u w:val="single"/>
                <w:lang w:val="sr-Latn-ME" w:eastAsia="zh-TW"/>
              </w:rPr>
            </w:pPr>
            <w:r w:rsidRPr="005B51C6">
              <w:rPr>
                <w:rFonts w:eastAsia="TimesNewRoman"/>
                <w:iCs/>
                <w:szCs w:val="22"/>
                <w:u w:val="single"/>
                <w:lang w:val="sr-Latn-ME" w:eastAsia="zh-TW"/>
              </w:rPr>
              <w:t>Klinička efikasnost i bezbjednost primjene</w:t>
            </w:r>
          </w:p>
          <w:p w14:paraId="37FE233F"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2B9AFC42" w14:textId="77777777" w:rsidR="000C7B6F" w:rsidRPr="005B51C6" w:rsidRDefault="00AD382D" w:rsidP="00F645E1">
            <w:pPr>
              <w:autoSpaceDE w:val="0"/>
              <w:autoSpaceDN w:val="0"/>
              <w:adjustRightInd w:val="0"/>
              <w:ind w:left="-110"/>
              <w:jc w:val="both"/>
              <w:rPr>
                <w:rFonts w:eastAsia="TimesNewRoman"/>
                <w:szCs w:val="22"/>
                <w:u w:val="single"/>
                <w:lang w:val="sr-Latn-ME" w:eastAsia="zh-TW"/>
              </w:rPr>
            </w:pPr>
            <w:r w:rsidRPr="005B51C6">
              <w:rPr>
                <w:rFonts w:eastAsia="TimesNewRoman"/>
                <w:szCs w:val="22"/>
                <w:u w:val="single"/>
                <w:lang w:val="sr-Latn-ME" w:eastAsia="zh-TW"/>
              </w:rPr>
              <w:t>Kardiovaskularna prevencija/ Nefroprotekcija</w:t>
            </w:r>
          </w:p>
          <w:p w14:paraId="73CC37AE" w14:textId="77777777" w:rsidR="000C7B6F" w:rsidRPr="005B51C6" w:rsidRDefault="000C7B6F" w:rsidP="00F645E1">
            <w:pPr>
              <w:autoSpaceDE w:val="0"/>
              <w:autoSpaceDN w:val="0"/>
              <w:adjustRightInd w:val="0"/>
              <w:ind w:left="-110"/>
              <w:jc w:val="both"/>
              <w:rPr>
                <w:rFonts w:eastAsia="TimesNewRoman"/>
                <w:szCs w:val="22"/>
                <w:u w:val="single"/>
                <w:lang w:val="sr-Latn-ME" w:eastAsia="zh-TW"/>
              </w:rPr>
            </w:pPr>
          </w:p>
          <w:p w14:paraId="7C8107E4" w14:textId="28920DF0" w:rsidR="000C7B6F" w:rsidRPr="005B51C6" w:rsidRDefault="00AD382D" w:rsidP="00F645E1">
            <w:pPr>
              <w:autoSpaceDE w:val="0"/>
              <w:autoSpaceDN w:val="0"/>
              <w:adjustRightInd w:val="0"/>
              <w:ind w:left="-110"/>
              <w:jc w:val="both"/>
              <w:rPr>
                <w:rFonts w:eastAsia="TimesNewRoman"/>
                <w:color w:val="FF0000"/>
                <w:szCs w:val="22"/>
                <w:lang w:val="sr-Latn-ME" w:eastAsia="zh-TW"/>
              </w:rPr>
            </w:pPr>
            <w:r w:rsidRPr="005B51C6">
              <w:rPr>
                <w:rFonts w:eastAsia="TimesNewRoman"/>
                <w:szCs w:val="22"/>
                <w:lang w:val="sr-Latn-ME" w:eastAsia="zh-TW"/>
              </w:rPr>
              <w:t>Sprovedena je preventivna placebo</w:t>
            </w:r>
            <w:r w:rsidR="001517A5" w:rsidRPr="005B51C6">
              <w:rPr>
                <w:rFonts w:eastAsia="TimesNewRoman"/>
                <w:szCs w:val="22"/>
                <w:lang w:val="sr-Latn-ME" w:eastAsia="zh-TW"/>
              </w:rPr>
              <w:t>m</w:t>
            </w:r>
            <w:r w:rsidRPr="005B51C6">
              <w:rPr>
                <w:rFonts w:eastAsia="TimesNewRoman"/>
                <w:szCs w:val="22"/>
                <w:lang w:val="sr-Latn-ME" w:eastAsia="zh-TW"/>
              </w:rPr>
              <w:t xml:space="preserve"> kontrolisana studija (HOPE studija) u kojoj je ramipril dodat standardnoj terapiji kod više od 9200 pacijenata. U studiju su bili uključeni pacijenti sa povećanim rizikom od pojave kardiovaskularnih bolesti usljed aterotrombotičkih kardiovaskularnih poremećaja (koronarna bolest srca, moždani udar ili periferna arterijska bolest u anamnezi) ili zbog diabetes mellitusa-a sa najmanje još jednim dodatnim faktorom rizika (zabilježenom mikroalbuminurijom, hipertenzijom, povišenim nivoom ukupnog holesterola, smanjenim nivoom HDL holesterola ili pušenjem).</w:t>
            </w:r>
            <w:r w:rsidRPr="005B51C6">
              <w:rPr>
                <w:rFonts w:eastAsia="TimesNewRoman"/>
                <w:color w:val="FF0000"/>
                <w:szCs w:val="22"/>
                <w:lang w:val="sr-Latn-ME" w:eastAsia="zh-TW"/>
              </w:rPr>
              <w:t xml:space="preserve"> </w:t>
            </w:r>
          </w:p>
          <w:p w14:paraId="7D18B56D"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lastRenderedPageBreak/>
              <w:t>Ovo ispitivanje je pokazalo da ramipril statistički značajno smanjuje incidencu infarkta miokarda, smrti usljed kardiovaskularnih uzroka i moždanog udara, primijenjen sam ili u kombinaciji (primarno kombinovani događaji).</w:t>
            </w:r>
          </w:p>
          <w:p w14:paraId="37F523B0" w14:textId="77777777" w:rsidR="000C7B6F" w:rsidRPr="005B51C6" w:rsidRDefault="000C7B6F" w:rsidP="00F645E1">
            <w:pPr>
              <w:autoSpaceDE w:val="0"/>
              <w:autoSpaceDN w:val="0"/>
              <w:adjustRightInd w:val="0"/>
              <w:ind w:left="-110"/>
              <w:jc w:val="both"/>
              <w:rPr>
                <w:rFonts w:eastAsia="TimesNewRoman"/>
                <w:b/>
                <w:color w:val="FF0000"/>
                <w:szCs w:val="22"/>
                <w:lang w:val="sr-Latn-ME" w:eastAsia="zh-TW"/>
              </w:rPr>
            </w:pPr>
          </w:p>
          <w:p w14:paraId="5266F1F9"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HOPE studija: glavni rezultati</w:t>
            </w:r>
          </w:p>
          <w:p w14:paraId="525DD1E5" w14:textId="77777777" w:rsidR="000C7B6F" w:rsidRPr="005B51C6" w:rsidRDefault="000C7B6F" w:rsidP="00F645E1">
            <w:pPr>
              <w:autoSpaceDE w:val="0"/>
              <w:autoSpaceDN w:val="0"/>
              <w:adjustRightInd w:val="0"/>
              <w:ind w:left="-110"/>
              <w:jc w:val="both"/>
              <w:rPr>
                <w:rFonts w:eastAsia="TimesNewRoman"/>
                <w:b/>
                <w:szCs w:val="22"/>
                <w:lang w:val="sr-Latn-ME" w:eastAsia="zh-TW"/>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7"/>
              <w:gridCol w:w="1351"/>
              <w:gridCol w:w="1199"/>
              <w:gridCol w:w="1693"/>
              <w:gridCol w:w="1159"/>
            </w:tblGrid>
            <w:tr w:rsidR="000C7B6F" w:rsidRPr="005B51C6" w14:paraId="542A2593" w14:textId="77777777" w:rsidTr="00EA5B3D">
              <w:trPr>
                <w:trHeight w:val="791"/>
              </w:trPr>
              <w:tc>
                <w:tcPr>
                  <w:tcW w:w="2157" w:type="pct"/>
                  <w:vMerge w:val="restart"/>
                  <w:shd w:val="clear" w:color="auto" w:fill="auto"/>
                </w:tcPr>
                <w:p w14:paraId="744A225E"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c>
                <w:tcPr>
                  <w:tcW w:w="711" w:type="pct"/>
                  <w:shd w:val="clear" w:color="auto" w:fill="auto"/>
                </w:tcPr>
                <w:p w14:paraId="5B156ABB"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Ramipril</w:t>
                  </w:r>
                </w:p>
              </w:tc>
              <w:tc>
                <w:tcPr>
                  <w:tcW w:w="631" w:type="pct"/>
                  <w:shd w:val="clear" w:color="auto" w:fill="auto"/>
                </w:tcPr>
                <w:p w14:paraId="5FAC6811"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Placebo</w:t>
                  </w:r>
                </w:p>
              </w:tc>
              <w:tc>
                <w:tcPr>
                  <w:tcW w:w="891" w:type="pct"/>
                  <w:vMerge w:val="restart"/>
                  <w:shd w:val="clear" w:color="auto" w:fill="auto"/>
                </w:tcPr>
                <w:p w14:paraId="74212FBC" w14:textId="77777777" w:rsidR="000C7B6F" w:rsidRPr="005B51C6" w:rsidRDefault="00AD382D" w:rsidP="00332BDA">
                  <w:pPr>
                    <w:autoSpaceDE w:val="0"/>
                    <w:autoSpaceDN w:val="0"/>
                    <w:adjustRightInd w:val="0"/>
                    <w:ind w:left="-110"/>
                    <w:rPr>
                      <w:rFonts w:eastAsia="TimesNewRoman"/>
                      <w:szCs w:val="22"/>
                      <w:lang w:val="sr-Latn-ME" w:eastAsia="zh-TW"/>
                    </w:rPr>
                  </w:pPr>
                  <w:r w:rsidRPr="005B51C6">
                    <w:rPr>
                      <w:rFonts w:eastAsia="TimesNewRoman"/>
                      <w:szCs w:val="22"/>
                      <w:lang w:val="sr-Latn-ME" w:eastAsia="zh-TW"/>
                    </w:rPr>
                    <w:t>Relativni rizik (95% interval pouzdanosti)</w:t>
                  </w:r>
                </w:p>
              </w:tc>
              <w:tc>
                <w:tcPr>
                  <w:tcW w:w="611" w:type="pct"/>
                  <w:vMerge w:val="restart"/>
                  <w:shd w:val="clear" w:color="auto" w:fill="auto"/>
                </w:tcPr>
                <w:p w14:paraId="38313E2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p-vrijednost</w:t>
                  </w:r>
                </w:p>
              </w:tc>
            </w:tr>
            <w:tr w:rsidR="000C7B6F" w:rsidRPr="005B51C6" w14:paraId="0E20348B" w14:textId="77777777" w:rsidTr="00EA5B3D">
              <w:trPr>
                <w:trHeight w:val="287"/>
              </w:trPr>
              <w:tc>
                <w:tcPr>
                  <w:tcW w:w="2157" w:type="pct"/>
                  <w:vMerge/>
                  <w:shd w:val="clear" w:color="auto" w:fill="auto"/>
                </w:tcPr>
                <w:p w14:paraId="6FF05636"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c>
                <w:tcPr>
                  <w:tcW w:w="711" w:type="pct"/>
                  <w:shd w:val="clear" w:color="auto" w:fill="auto"/>
                </w:tcPr>
                <w:p w14:paraId="72283F5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w:t>
                  </w:r>
                </w:p>
              </w:tc>
              <w:tc>
                <w:tcPr>
                  <w:tcW w:w="631" w:type="pct"/>
                  <w:shd w:val="clear" w:color="auto" w:fill="auto"/>
                </w:tcPr>
                <w:p w14:paraId="0D12D1D6"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w:t>
                  </w:r>
                </w:p>
              </w:tc>
              <w:tc>
                <w:tcPr>
                  <w:tcW w:w="891" w:type="pct"/>
                  <w:vMerge/>
                  <w:shd w:val="clear" w:color="auto" w:fill="auto"/>
                </w:tcPr>
                <w:p w14:paraId="2608C181"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c>
                <w:tcPr>
                  <w:tcW w:w="611" w:type="pct"/>
                  <w:vMerge/>
                  <w:shd w:val="clear" w:color="auto" w:fill="auto"/>
                </w:tcPr>
                <w:p w14:paraId="38F445A2"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r>
            <w:tr w:rsidR="000C7B6F" w:rsidRPr="005B51C6" w14:paraId="57614F67" w14:textId="77777777" w:rsidTr="00EA5B3D">
              <w:trPr>
                <w:trHeight w:val="552"/>
              </w:trPr>
              <w:tc>
                <w:tcPr>
                  <w:tcW w:w="2157" w:type="pct"/>
                  <w:shd w:val="clear" w:color="auto" w:fill="auto"/>
                </w:tcPr>
                <w:p w14:paraId="048C6010"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Svi pacijenti</w:t>
                  </w:r>
                </w:p>
              </w:tc>
              <w:tc>
                <w:tcPr>
                  <w:tcW w:w="711" w:type="pct"/>
                  <w:shd w:val="clear" w:color="auto" w:fill="auto"/>
                </w:tcPr>
                <w:p w14:paraId="184DF5B2"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n=4,645</w:t>
                  </w:r>
                </w:p>
              </w:tc>
              <w:tc>
                <w:tcPr>
                  <w:tcW w:w="631" w:type="pct"/>
                  <w:shd w:val="clear" w:color="auto" w:fill="auto"/>
                </w:tcPr>
                <w:p w14:paraId="01D763C4"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N=4,652</w:t>
                  </w:r>
                </w:p>
              </w:tc>
              <w:tc>
                <w:tcPr>
                  <w:tcW w:w="891" w:type="pct"/>
                  <w:shd w:val="clear" w:color="auto" w:fill="auto"/>
                </w:tcPr>
                <w:p w14:paraId="3F1B0F39"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c>
                <w:tcPr>
                  <w:tcW w:w="611" w:type="pct"/>
                  <w:shd w:val="clear" w:color="auto" w:fill="auto"/>
                </w:tcPr>
                <w:p w14:paraId="0C23E052" w14:textId="77777777" w:rsidR="000C7B6F" w:rsidRPr="005B51C6" w:rsidRDefault="000C7B6F" w:rsidP="00F645E1">
                  <w:pPr>
                    <w:autoSpaceDE w:val="0"/>
                    <w:autoSpaceDN w:val="0"/>
                    <w:adjustRightInd w:val="0"/>
                    <w:ind w:left="-110"/>
                    <w:jc w:val="both"/>
                    <w:rPr>
                      <w:rFonts w:eastAsia="TimesNewRoman"/>
                      <w:szCs w:val="22"/>
                      <w:lang w:val="sr-Latn-ME" w:eastAsia="zh-TW"/>
                    </w:rPr>
                  </w:pPr>
                </w:p>
              </w:tc>
            </w:tr>
            <w:tr w:rsidR="000C7B6F" w:rsidRPr="005B51C6" w14:paraId="02718751" w14:textId="77777777" w:rsidTr="00EA5B3D">
              <w:trPr>
                <w:trHeight w:val="575"/>
              </w:trPr>
              <w:tc>
                <w:tcPr>
                  <w:tcW w:w="2157" w:type="pct"/>
                  <w:shd w:val="clear" w:color="auto" w:fill="auto"/>
                </w:tcPr>
                <w:p w14:paraId="4B30034D"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Primarni kombinovani događaji</w:t>
                  </w:r>
                </w:p>
              </w:tc>
              <w:tc>
                <w:tcPr>
                  <w:tcW w:w="711" w:type="pct"/>
                  <w:shd w:val="clear" w:color="auto" w:fill="auto"/>
                </w:tcPr>
                <w:p w14:paraId="0BFB757F"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14,0</w:t>
                  </w:r>
                </w:p>
              </w:tc>
              <w:tc>
                <w:tcPr>
                  <w:tcW w:w="631" w:type="pct"/>
                  <w:shd w:val="clear" w:color="auto" w:fill="auto"/>
                </w:tcPr>
                <w:p w14:paraId="48D7386B"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17,8</w:t>
                  </w:r>
                </w:p>
              </w:tc>
              <w:tc>
                <w:tcPr>
                  <w:tcW w:w="891" w:type="pct"/>
                  <w:shd w:val="clear" w:color="auto" w:fill="auto"/>
                </w:tcPr>
                <w:p w14:paraId="039C2BF4"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0,78 (0,70-0,86)</w:t>
                  </w:r>
                </w:p>
              </w:tc>
              <w:tc>
                <w:tcPr>
                  <w:tcW w:w="611" w:type="pct"/>
                  <w:shd w:val="clear" w:color="auto" w:fill="auto"/>
                </w:tcPr>
                <w:p w14:paraId="194EE345"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&lt;0,001</w:t>
                  </w:r>
                </w:p>
              </w:tc>
            </w:tr>
            <w:tr w:rsidR="000C7B6F" w:rsidRPr="005B51C6" w14:paraId="2D2298F7" w14:textId="77777777" w:rsidTr="00EA5B3D">
              <w:trPr>
                <w:trHeight w:val="552"/>
              </w:trPr>
              <w:tc>
                <w:tcPr>
                  <w:tcW w:w="2157" w:type="pct"/>
                  <w:shd w:val="clear" w:color="auto" w:fill="auto"/>
                </w:tcPr>
                <w:p w14:paraId="5860D935"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Infarkt miokarda</w:t>
                  </w:r>
                </w:p>
              </w:tc>
              <w:tc>
                <w:tcPr>
                  <w:tcW w:w="711" w:type="pct"/>
                  <w:shd w:val="clear" w:color="auto" w:fill="auto"/>
                </w:tcPr>
                <w:p w14:paraId="1679BB99"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9,9</w:t>
                  </w:r>
                </w:p>
              </w:tc>
              <w:tc>
                <w:tcPr>
                  <w:tcW w:w="631" w:type="pct"/>
                  <w:shd w:val="clear" w:color="auto" w:fill="auto"/>
                </w:tcPr>
                <w:p w14:paraId="571E91EE"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12,3</w:t>
                  </w:r>
                </w:p>
              </w:tc>
              <w:tc>
                <w:tcPr>
                  <w:tcW w:w="891" w:type="pct"/>
                  <w:shd w:val="clear" w:color="auto" w:fill="auto"/>
                </w:tcPr>
                <w:p w14:paraId="4AD13DE3"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0,80 (0,70-0,90)</w:t>
                  </w:r>
                </w:p>
              </w:tc>
              <w:tc>
                <w:tcPr>
                  <w:tcW w:w="611" w:type="pct"/>
                  <w:shd w:val="clear" w:color="auto" w:fill="auto"/>
                </w:tcPr>
                <w:p w14:paraId="584012EB"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&lt;0,001</w:t>
                  </w:r>
                  <w:r w:rsidRPr="005B51C6">
                    <w:rPr>
                      <w:rFonts w:eastAsia="TimesNewRoman"/>
                      <w:szCs w:val="22"/>
                      <w:lang w:val="sr-Latn-ME" w:eastAsia="zh-TW"/>
                    </w:rPr>
                    <w:tab/>
                  </w:r>
                </w:p>
              </w:tc>
            </w:tr>
            <w:tr w:rsidR="000C7B6F" w:rsidRPr="005B51C6" w14:paraId="70EF8BE2" w14:textId="77777777" w:rsidTr="00EA5B3D">
              <w:trPr>
                <w:trHeight w:val="575"/>
              </w:trPr>
              <w:tc>
                <w:tcPr>
                  <w:tcW w:w="2157" w:type="pct"/>
                  <w:shd w:val="clear" w:color="auto" w:fill="auto"/>
                </w:tcPr>
                <w:p w14:paraId="2352FC2C"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Smrt usljed kardiovaskularnih uzroka</w:t>
                  </w:r>
                </w:p>
              </w:tc>
              <w:tc>
                <w:tcPr>
                  <w:tcW w:w="711" w:type="pct"/>
                  <w:shd w:val="clear" w:color="auto" w:fill="auto"/>
                </w:tcPr>
                <w:p w14:paraId="41A0DF8D"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6,1</w:t>
                  </w:r>
                </w:p>
              </w:tc>
              <w:tc>
                <w:tcPr>
                  <w:tcW w:w="631" w:type="pct"/>
                  <w:shd w:val="clear" w:color="auto" w:fill="auto"/>
                </w:tcPr>
                <w:p w14:paraId="53AD0D92"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8,1</w:t>
                  </w:r>
                </w:p>
              </w:tc>
              <w:tc>
                <w:tcPr>
                  <w:tcW w:w="891" w:type="pct"/>
                  <w:shd w:val="clear" w:color="auto" w:fill="auto"/>
                </w:tcPr>
                <w:p w14:paraId="30EE82B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0,74 (0,64-0,87)</w:t>
                  </w:r>
                </w:p>
              </w:tc>
              <w:tc>
                <w:tcPr>
                  <w:tcW w:w="611" w:type="pct"/>
                  <w:shd w:val="clear" w:color="auto" w:fill="auto"/>
                </w:tcPr>
                <w:p w14:paraId="491976CE"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&lt;0,001</w:t>
                  </w:r>
                </w:p>
              </w:tc>
            </w:tr>
            <w:tr w:rsidR="000C7B6F" w:rsidRPr="005B51C6" w14:paraId="531BE7A3" w14:textId="77777777" w:rsidTr="00EA5B3D">
              <w:trPr>
                <w:trHeight w:val="575"/>
              </w:trPr>
              <w:tc>
                <w:tcPr>
                  <w:tcW w:w="2157" w:type="pct"/>
                  <w:shd w:val="clear" w:color="auto" w:fill="auto"/>
                </w:tcPr>
                <w:p w14:paraId="30D64F25"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Moždani udar</w:t>
                  </w:r>
                </w:p>
              </w:tc>
              <w:tc>
                <w:tcPr>
                  <w:tcW w:w="711" w:type="pct"/>
                  <w:shd w:val="clear" w:color="auto" w:fill="auto"/>
                </w:tcPr>
                <w:p w14:paraId="28A7039A"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3,4</w:t>
                  </w:r>
                </w:p>
              </w:tc>
              <w:tc>
                <w:tcPr>
                  <w:tcW w:w="631" w:type="pct"/>
                  <w:shd w:val="clear" w:color="auto" w:fill="auto"/>
                </w:tcPr>
                <w:p w14:paraId="2A41F786"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4,9</w:t>
                  </w:r>
                </w:p>
              </w:tc>
              <w:tc>
                <w:tcPr>
                  <w:tcW w:w="891" w:type="pct"/>
                  <w:shd w:val="clear" w:color="auto" w:fill="auto"/>
                </w:tcPr>
                <w:p w14:paraId="3FC19B95"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0,68 (0,56-0,84)</w:t>
                  </w:r>
                </w:p>
              </w:tc>
              <w:tc>
                <w:tcPr>
                  <w:tcW w:w="611" w:type="pct"/>
                  <w:shd w:val="clear" w:color="auto" w:fill="auto"/>
                </w:tcPr>
                <w:p w14:paraId="017A7D0C"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&lt;0,001</w:t>
                  </w:r>
                </w:p>
              </w:tc>
            </w:tr>
            <w:tr w:rsidR="000C7B6F" w:rsidRPr="005B51C6" w14:paraId="41560600" w14:textId="77777777" w:rsidTr="00EA5B3D">
              <w:trPr>
                <w:trHeight w:val="575"/>
              </w:trPr>
              <w:tc>
                <w:tcPr>
                  <w:tcW w:w="2157" w:type="pct"/>
                  <w:shd w:val="clear" w:color="auto" w:fill="auto"/>
                </w:tcPr>
                <w:p w14:paraId="70922D7B" w14:textId="77777777" w:rsidR="000C7B6F" w:rsidRPr="005B51C6" w:rsidRDefault="00AD382D" w:rsidP="00F645E1">
                  <w:pPr>
                    <w:autoSpaceDE w:val="0"/>
                    <w:autoSpaceDN w:val="0"/>
                    <w:adjustRightInd w:val="0"/>
                    <w:ind w:left="-110"/>
                    <w:jc w:val="both"/>
                    <w:rPr>
                      <w:rFonts w:eastAsia="TimesNewRoman"/>
                      <w:b/>
                      <w:szCs w:val="22"/>
                      <w:lang w:val="sr-Latn-ME" w:eastAsia="zh-TW"/>
                    </w:rPr>
                  </w:pPr>
                  <w:r w:rsidRPr="005B51C6">
                    <w:rPr>
                      <w:rFonts w:eastAsia="TimesNewRoman"/>
                      <w:b/>
                      <w:szCs w:val="22"/>
                      <w:lang w:val="sr-Latn-ME" w:eastAsia="zh-TW"/>
                    </w:rPr>
                    <w:t>Sekundarni cilj</w:t>
                  </w:r>
                </w:p>
              </w:tc>
              <w:tc>
                <w:tcPr>
                  <w:tcW w:w="711" w:type="pct"/>
                  <w:shd w:val="clear" w:color="auto" w:fill="auto"/>
                </w:tcPr>
                <w:p w14:paraId="32E7C81D"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tc>
              <w:tc>
                <w:tcPr>
                  <w:tcW w:w="631" w:type="pct"/>
                  <w:shd w:val="clear" w:color="auto" w:fill="auto"/>
                </w:tcPr>
                <w:p w14:paraId="00F4C0E7"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tc>
              <w:tc>
                <w:tcPr>
                  <w:tcW w:w="891" w:type="pct"/>
                  <w:shd w:val="clear" w:color="auto" w:fill="auto"/>
                </w:tcPr>
                <w:p w14:paraId="48991284"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tc>
              <w:tc>
                <w:tcPr>
                  <w:tcW w:w="611" w:type="pct"/>
                  <w:shd w:val="clear" w:color="auto" w:fill="auto"/>
                </w:tcPr>
                <w:p w14:paraId="33683F6D"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tc>
            </w:tr>
            <w:tr w:rsidR="000C7B6F" w:rsidRPr="005B51C6" w14:paraId="00F13B8C" w14:textId="77777777" w:rsidTr="00EA5B3D">
              <w:trPr>
                <w:trHeight w:val="552"/>
              </w:trPr>
              <w:tc>
                <w:tcPr>
                  <w:tcW w:w="2157" w:type="pct"/>
                  <w:shd w:val="clear" w:color="auto" w:fill="auto"/>
                </w:tcPr>
                <w:p w14:paraId="1C30F9D4"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i/>
                      <w:szCs w:val="22"/>
                      <w:lang w:val="sr-Latn-ME" w:eastAsia="zh-TW"/>
                    </w:rPr>
                    <w:t>Smrt zbog bilo kog uzroka</w:t>
                  </w:r>
                </w:p>
              </w:tc>
              <w:tc>
                <w:tcPr>
                  <w:tcW w:w="711" w:type="pct"/>
                  <w:shd w:val="clear" w:color="auto" w:fill="auto"/>
                </w:tcPr>
                <w:p w14:paraId="1DED0CF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10,4</w:t>
                  </w:r>
                </w:p>
              </w:tc>
              <w:tc>
                <w:tcPr>
                  <w:tcW w:w="631" w:type="pct"/>
                  <w:shd w:val="clear" w:color="auto" w:fill="auto"/>
                </w:tcPr>
                <w:p w14:paraId="2A171621"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12,2</w:t>
                  </w:r>
                </w:p>
              </w:tc>
              <w:tc>
                <w:tcPr>
                  <w:tcW w:w="891" w:type="pct"/>
                  <w:shd w:val="clear" w:color="auto" w:fill="auto"/>
                </w:tcPr>
                <w:p w14:paraId="52B8C4E2"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0,84 (0,75-0,95)</w:t>
                  </w:r>
                </w:p>
              </w:tc>
              <w:tc>
                <w:tcPr>
                  <w:tcW w:w="611" w:type="pct"/>
                  <w:shd w:val="clear" w:color="auto" w:fill="auto"/>
                </w:tcPr>
                <w:p w14:paraId="1565E43A"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0,005</w:t>
                  </w:r>
                </w:p>
              </w:tc>
            </w:tr>
            <w:tr w:rsidR="000C7B6F" w:rsidRPr="005B51C6" w14:paraId="65E94331" w14:textId="77777777" w:rsidTr="00EA5B3D">
              <w:trPr>
                <w:trHeight w:val="575"/>
              </w:trPr>
              <w:tc>
                <w:tcPr>
                  <w:tcW w:w="2157" w:type="pct"/>
                  <w:shd w:val="clear" w:color="auto" w:fill="auto"/>
                </w:tcPr>
                <w:p w14:paraId="41861F5C"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Potreba za revaskularizacijom</w:t>
                  </w:r>
                </w:p>
              </w:tc>
              <w:tc>
                <w:tcPr>
                  <w:tcW w:w="711" w:type="pct"/>
                  <w:shd w:val="clear" w:color="auto" w:fill="auto"/>
                </w:tcPr>
                <w:p w14:paraId="516DDA6C"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16,0</w:t>
                  </w:r>
                </w:p>
              </w:tc>
              <w:tc>
                <w:tcPr>
                  <w:tcW w:w="631" w:type="pct"/>
                  <w:shd w:val="clear" w:color="auto" w:fill="auto"/>
                </w:tcPr>
                <w:p w14:paraId="7E6149E8"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18,3</w:t>
                  </w:r>
                </w:p>
              </w:tc>
              <w:tc>
                <w:tcPr>
                  <w:tcW w:w="891" w:type="pct"/>
                  <w:shd w:val="clear" w:color="auto" w:fill="auto"/>
                </w:tcPr>
                <w:p w14:paraId="755D3FF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0,85 (0,77-0,94)</w:t>
                  </w:r>
                </w:p>
              </w:tc>
              <w:tc>
                <w:tcPr>
                  <w:tcW w:w="611" w:type="pct"/>
                  <w:shd w:val="clear" w:color="auto" w:fill="auto"/>
                </w:tcPr>
                <w:p w14:paraId="156BDC25"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0,002</w:t>
                  </w:r>
                </w:p>
              </w:tc>
            </w:tr>
            <w:tr w:rsidR="000C7B6F" w:rsidRPr="005B51C6" w14:paraId="68D15B3D" w14:textId="77777777" w:rsidTr="00EA5B3D">
              <w:trPr>
                <w:trHeight w:val="552"/>
              </w:trPr>
              <w:tc>
                <w:tcPr>
                  <w:tcW w:w="2157" w:type="pct"/>
                  <w:shd w:val="clear" w:color="auto" w:fill="auto"/>
                </w:tcPr>
                <w:p w14:paraId="40C3A124"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Hospitalizacija zbog nestabilne angine</w:t>
                  </w:r>
                </w:p>
              </w:tc>
              <w:tc>
                <w:tcPr>
                  <w:tcW w:w="711" w:type="pct"/>
                  <w:shd w:val="clear" w:color="auto" w:fill="auto"/>
                </w:tcPr>
                <w:p w14:paraId="2C09C2F6"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12,1</w:t>
                  </w:r>
                </w:p>
              </w:tc>
              <w:tc>
                <w:tcPr>
                  <w:tcW w:w="631" w:type="pct"/>
                  <w:shd w:val="clear" w:color="auto" w:fill="auto"/>
                </w:tcPr>
                <w:p w14:paraId="0D892BE4"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12,3</w:t>
                  </w:r>
                </w:p>
              </w:tc>
              <w:tc>
                <w:tcPr>
                  <w:tcW w:w="891" w:type="pct"/>
                  <w:shd w:val="clear" w:color="auto" w:fill="auto"/>
                </w:tcPr>
                <w:p w14:paraId="6265791B"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0,98 (0,87-1,10)</w:t>
                  </w:r>
                </w:p>
              </w:tc>
              <w:tc>
                <w:tcPr>
                  <w:tcW w:w="611" w:type="pct"/>
                  <w:shd w:val="clear" w:color="auto" w:fill="auto"/>
                </w:tcPr>
                <w:p w14:paraId="69E3F23F"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NS</w:t>
                  </w:r>
                </w:p>
              </w:tc>
            </w:tr>
            <w:tr w:rsidR="000C7B6F" w:rsidRPr="005B51C6" w14:paraId="7BF0F194" w14:textId="77777777" w:rsidTr="00EA5B3D">
              <w:trPr>
                <w:trHeight w:val="575"/>
              </w:trPr>
              <w:tc>
                <w:tcPr>
                  <w:tcW w:w="2157" w:type="pct"/>
                  <w:shd w:val="clear" w:color="auto" w:fill="auto"/>
                </w:tcPr>
                <w:p w14:paraId="42A612C5"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Hospitalizacija zbog srčane insuficijencije</w:t>
                  </w:r>
                </w:p>
              </w:tc>
              <w:tc>
                <w:tcPr>
                  <w:tcW w:w="711" w:type="pct"/>
                  <w:shd w:val="clear" w:color="auto" w:fill="auto"/>
                </w:tcPr>
                <w:p w14:paraId="782AE0B6"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3,2</w:t>
                  </w:r>
                </w:p>
              </w:tc>
              <w:tc>
                <w:tcPr>
                  <w:tcW w:w="631" w:type="pct"/>
                  <w:shd w:val="clear" w:color="auto" w:fill="auto"/>
                </w:tcPr>
                <w:p w14:paraId="1FFB9B75"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3,5</w:t>
                  </w:r>
                </w:p>
              </w:tc>
              <w:tc>
                <w:tcPr>
                  <w:tcW w:w="891" w:type="pct"/>
                  <w:shd w:val="clear" w:color="auto" w:fill="auto"/>
                </w:tcPr>
                <w:p w14:paraId="12879C5E"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0,88 (0,70-1,10)</w:t>
                  </w:r>
                </w:p>
              </w:tc>
              <w:tc>
                <w:tcPr>
                  <w:tcW w:w="611" w:type="pct"/>
                  <w:shd w:val="clear" w:color="auto" w:fill="auto"/>
                </w:tcPr>
                <w:p w14:paraId="778672D9"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0,25</w:t>
                  </w:r>
                </w:p>
              </w:tc>
            </w:tr>
            <w:tr w:rsidR="000C7B6F" w:rsidRPr="005B51C6" w14:paraId="0C074FA8" w14:textId="77777777" w:rsidTr="00EA5B3D">
              <w:trPr>
                <w:trHeight w:val="575"/>
              </w:trPr>
              <w:tc>
                <w:tcPr>
                  <w:tcW w:w="2157" w:type="pct"/>
                  <w:shd w:val="clear" w:color="auto" w:fill="auto"/>
                </w:tcPr>
                <w:p w14:paraId="6570B99E" w14:textId="77777777" w:rsidR="000C7B6F" w:rsidRPr="005B51C6" w:rsidRDefault="00AD382D" w:rsidP="00F645E1">
                  <w:pPr>
                    <w:autoSpaceDE w:val="0"/>
                    <w:autoSpaceDN w:val="0"/>
                    <w:adjustRightInd w:val="0"/>
                    <w:ind w:left="-110"/>
                    <w:jc w:val="both"/>
                    <w:rPr>
                      <w:rFonts w:eastAsia="TimesNewRoman"/>
                      <w:i/>
                      <w:szCs w:val="22"/>
                      <w:lang w:val="sr-Latn-ME" w:eastAsia="zh-TW"/>
                    </w:rPr>
                  </w:pPr>
                  <w:r w:rsidRPr="005B51C6">
                    <w:rPr>
                      <w:rFonts w:eastAsia="TimesNewRoman"/>
                      <w:i/>
                      <w:szCs w:val="22"/>
                      <w:lang w:val="sr-Latn-ME" w:eastAsia="zh-TW"/>
                    </w:rPr>
                    <w:t>Komplikacije vezane za dijabetes</w:t>
                  </w:r>
                </w:p>
              </w:tc>
              <w:tc>
                <w:tcPr>
                  <w:tcW w:w="711" w:type="pct"/>
                  <w:shd w:val="clear" w:color="auto" w:fill="auto"/>
                </w:tcPr>
                <w:p w14:paraId="308DD02B"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6,4</w:t>
                  </w:r>
                </w:p>
              </w:tc>
              <w:tc>
                <w:tcPr>
                  <w:tcW w:w="631" w:type="pct"/>
                  <w:shd w:val="clear" w:color="auto" w:fill="auto"/>
                </w:tcPr>
                <w:p w14:paraId="4B77DF6E"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7,6</w:t>
                  </w:r>
                </w:p>
              </w:tc>
              <w:tc>
                <w:tcPr>
                  <w:tcW w:w="891" w:type="pct"/>
                  <w:shd w:val="clear" w:color="auto" w:fill="auto"/>
                </w:tcPr>
                <w:p w14:paraId="50C368AF"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0,84 (0,72-0,98)</w:t>
                  </w:r>
                </w:p>
              </w:tc>
              <w:tc>
                <w:tcPr>
                  <w:tcW w:w="611" w:type="pct"/>
                  <w:shd w:val="clear" w:color="auto" w:fill="auto"/>
                </w:tcPr>
                <w:p w14:paraId="7393E6B9"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0,03</w:t>
                  </w:r>
                </w:p>
              </w:tc>
            </w:tr>
          </w:tbl>
          <w:p w14:paraId="0F878AAB"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p w14:paraId="5DDF8328"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U MICRO HOPE studiji, prethodno definisanoj podstudiji glavne HOPE studije, ispitivan je efekat dodavanja ramiprila u dozi od 10 mg postojećem režimu liječenja u odnosu na placebo kod 3577 pacijenata starosti ≥55 godina (bez gornje granice starosti), od kojih je većina imala dijabetes tip 2 (i najmanje još jedan KV faktor rizika), sa normalnim ili povišenim krvnim pritiskom.</w:t>
            </w:r>
          </w:p>
          <w:p w14:paraId="62B788D8"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3609B53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Primarna analiza je pokazala da se kod 117 (6,5%)  pacijenata koji su primjenjivali ramipril i 149 (8,4%) koji su bili na placebu razvila jasna nefropatija, što odgovara RRR 24%; 95% CI [3-40], p=0.027.</w:t>
            </w:r>
          </w:p>
          <w:p w14:paraId="2D79C44A"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336C2566" w14:textId="78317E62"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REIN studija, multicentrična, randomizovana, dvostruko slijepa, placebo</w:t>
            </w:r>
            <w:r w:rsidR="001517A5" w:rsidRPr="005B51C6">
              <w:rPr>
                <w:rFonts w:eastAsia="TimesNewRoman"/>
                <w:szCs w:val="22"/>
                <w:lang w:val="sr-Latn-ME" w:eastAsia="zh-TW"/>
              </w:rPr>
              <w:t>m</w:t>
            </w:r>
            <w:r w:rsidRPr="005B51C6">
              <w:rPr>
                <w:rFonts w:eastAsia="TimesNewRoman"/>
                <w:szCs w:val="22"/>
                <w:lang w:val="sr-Latn-ME" w:eastAsia="zh-TW"/>
              </w:rPr>
              <w:t xml:space="preserve"> kontrolisana studija na paralelnim grupama, imala je za cilj da procijeni dejstvo ramiprila na stopu opadanja glomerularne funkcije (GF) kod 352 pacijenata sa normalnim ili povišenim krvnim pritiskom (18-70 godina starosti) koji pate od blage (tj. srednja urinarna ekskrecija proteina &gt;1 i &lt;3 g/24 h) ili teške proteinurije (≥3 g/24 h) usljed hronične nedijabetičke nefropatije. Obje subpopulacije su prospektivno stratifikovane.</w:t>
            </w:r>
          </w:p>
          <w:p w14:paraId="56E37DB7"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705AB024" w14:textId="1DCA7D4D"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Glavna analiza pacijenata sa najtežom proteinurijom (dio pacijenata kod kojih je prerano prekinuto ispitivanje  zbog boljih rezultata ramipril grupe) pokazala je da je prosječno smanjenje brzine  glomerularne filtracije (GFR) po mjesecu bio manji kod primjene ramiprila u odnosu na primjenu placeba; -0,54 (0,66) prema 0,88 (1,03) ml/min/mjesec, p=0,038. </w:t>
            </w:r>
          </w:p>
          <w:p w14:paraId="62244D09"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25AC4B21"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lastRenderedPageBreak/>
              <w:t xml:space="preserve">Razlika između grupa je prema tome bila 0,34 (0,03-0,65) po mjesecu, i oko 4 ml/min po godini; 23,1% pacijenata u ramipril grupi dostiglo je kombinovani sekundarni cilj ispitivanja tj. dupliranje početnih vrijednosti koncentracije kreatinina i/ili terminalni stadijum renalne bolesti (ESRD) (kada je potrebna dijaliza ili transplatacija), u odnosu na 45,5% u placebo grupi (p=0.02). </w:t>
            </w:r>
          </w:p>
          <w:p w14:paraId="5DCB0A4D"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51571998" w14:textId="77777777" w:rsidR="000C7B6F" w:rsidRPr="005B51C6" w:rsidRDefault="00AD382D" w:rsidP="00F645E1">
            <w:pPr>
              <w:autoSpaceDE w:val="0"/>
              <w:autoSpaceDN w:val="0"/>
              <w:adjustRightInd w:val="0"/>
              <w:ind w:left="-110"/>
              <w:jc w:val="both"/>
              <w:rPr>
                <w:szCs w:val="22"/>
                <w:lang w:val="sr-Latn-ME"/>
              </w:rPr>
            </w:pPr>
            <w:r w:rsidRPr="005B51C6">
              <w:rPr>
                <w:rFonts w:eastAsia="TimesNewRoman"/>
                <w:szCs w:val="22"/>
                <w:lang w:val="sr-Latn-ME" w:eastAsia="zh-TW"/>
              </w:rPr>
              <w:t>Dvostruka blokada sistema renin-angiotenzin-aldosteron (RAAS):</w:t>
            </w:r>
            <w:r w:rsidRPr="005B51C6">
              <w:rPr>
                <w:szCs w:val="22"/>
                <w:lang w:val="sr-Latn-ME"/>
              </w:rPr>
              <w:t xml:space="preserve"> </w:t>
            </w:r>
          </w:p>
          <w:p w14:paraId="157DAC18" w14:textId="7C35A4A6" w:rsidR="000C7B6F" w:rsidRPr="005B51C6" w:rsidRDefault="00AD382D" w:rsidP="00F645E1">
            <w:pPr>
              <w:autoSpaceDE w:val="0"/>
              <w:autoSpaceDN w:val="0"/>
              <w:adjustRightInd w:val="0"/>
              <w:ind w:left="-110"/>
              <w:jc w:val="both"/>
              <w:rPr>
                <w:szCs w:val="22"/>
                <w:lang w:val="sr-Latn-ME"/>
              </w:rPr>
            </w:pPr>
            <w:r w:rsidRPr="005B51C6">
              <w:rPr>
                <w:rFonts w:eastAsia="TimesNewRoman"/>
                <w:szCs w:val="22"/>
                <w:lang w:val="sr-Latn-ME" w:eastAsia="zh-TW"/>
              </w:rPr>
              <w:t>Dva velika randomiz</w:t>
            </w:r>
            <w:r w:rsidR="002647CA" w:rsidRPr="005B51C6">
              <w:rPr>
                <w:rFonts w:eastAsia="TimesNewRoman"/>
                <w:szCs w:val="22"/>
                <w:lang w:val="sr-Latn-ME" w:eastAsia="zh-TW"/>
              </w:rPr>
              <w:t>ovana</w:t>
            </w:r>
            <w:r w:rsidRPr="005B51C6">
              <w:rPr>
                <w:rFonts w:eastAsia="TimesNewRoman"/>
                <w:szCs w:val="22"/>
                <w:lang w:val="sr-Latn-ME" w:eastAsia="zh-TW"/>
              </w:rPr>
              <w:t xml:space="preserve">, kontrolisana ispitivanja (ONTARGET (eng. </w:t>
            </w:r>
            <w:r w:rsidRPr="005B51C6">
              <w:rPr>
                <w:rFonts w:eastAsia="TimesNewRoman"/>
                <w:i/>
                <w:szCs w:val="22"/>
                <w:lang w:val="sr-Latn-ME" w:eastAsia="zh-TW"/>
              </w:rPr>
              <w:t>ONgoing Telmisartan Alone and in combination with Ramipril Global Endpoint Trial</w:t>
            </w:r>
            <w:r w:rsidRPr="005B51C6">
              <w:rPr>
                <w:rFonts w:eastAsia="TimesNewRoman"/>
                <w:szCs w:val="22"/>
                <w:lang w:val="sr-Latn-ME" w:eastAsia="zh-TW"/>
              </w:rPr>
              <w:t xml:space="preserve">) i VA NEPHRON-D (eng. </w:t>
            </w:r>
            <w:r w:rsidRPr="005B51C6">
              <w:rPr>
                <w:rFonts w:eastAsia="TimesNewRoman"/>
                <w:i/>
                <w:szCs w:val="22"/>
                <w:lang w:val="sr-Latn-ME" w:eastAsia="zh-TW"/>
              </w:rPr>
              <w:t>The Veterans Affairs Nephropathy in Diabetes</w:t>
            </w:r>
            <w:r w:rsidRPr="005B51C6">
              <w:rPr>
                <w:rFonts w:eastAsia="TimesNewRoman"/>
                <w:szCs w:val="22"/>
                <w:lang w:val="sr-Latn-ME" w:eastAsia="zh-TW"/>
              </w:rPr>
              <w:t>)) ispitivala su primjenu kombinacije ACE inhibitora sa blokatorom angiotenzin II receptora.</w:t>
            </w:r>
            <w:r w:rsidRPr="005B51C6">
              <w:rPr>
                <w:szCs w:val="22"/>
                <w:lang w:val="sr-Latn-ME"/>
              </w:rPr>
              <w:t xml:space="preserve"> </w:t>
            </w:r>
          </w:p>
          <w:p w14:paraId="113FE053" w14:textId="77777777" w:rsidR="000C7B6F" w:rsidRPr="005B51C6" w:rsidRDefault="000C7B6F" w:rsidP="00F645E1">
            <w:pPr>
              <w:autoSpaceDE w:val="0"/>
              <w:autoSpaceDN w:val="0"/>
              <w:adjustRightInd w:val="0"/>
              <w:ind w:left="-110"/>
              <w:jc w:val="both"/>
              <w:rPr>
                <w:szCs w:val="22"/>
                <w:lang w:val="sr-Latn-ME"/>
              </w:rPr>
            </w:pPr>
          </w:p>
          <w:p w14:paraId="5A8D8E31" w14:textId="77777777" w:rsidR="000C7B6F" w:rsidRPr="005B51C6" w:rsidRDefault="00AD382D" w:rsidP="00F645E1">
            <w:pPr>
              <w:autoSpaceDE w:val="0"/>
              <w:autoSpaceDN w:val="0"/>
              <w:adjustRightInd w:val="0"/>
              <w:ind w:left="-110"/>
              <w:jc w:val="both"/>
              <w:rPr>
                <w:szCs w:val="22"/>
                <w:lang w:val="sr-Latn-ME"/>
              </w:rPr>
            </w:pPr>
            <w:r w:rsidRPr="005B51C6">
              <w:rPr>
                <w:rFonts w:eastAsia="TimesNewRoman"/>
                <w:szCs w:val="22"/>
                <w:lang w:val="sr-Latn-ME" w:eastAsia="zh-TW"/>
              </w:rPr>
              <w:t>ONTARGET je bilo ispitivanje vršeno kod pacijenata sa kardiovaskularnom ili cerebrovaskularnom bolešću u anamnezi, ili sa šećernom bolešću tipa 2, uz dokaze oštećenja ciljanih organa. VA NEPHRON-D je bilo ispitivanje kod pacijenata sa šećernom bolešću tipa 2 i dijabetičkom nefropatijom.</w:t>
            </w:r>
            <w:r w:rsidRPr="005B51C6">
              <w:rPr>
                <w:szCs w:val="22"/>
                <w:lang w:val="sr-Latn-ME"/>
              </w:rPr>
              <w:t xml:space="preserve"> </w:t>
            </w:r>
          </w:p>
          <w:p w14:paraId="0394D6EE" w14:textId="77777777" w:rsidR="000C7B6F" w:rsidRPr="005B51C6" w:rsidRDefault="000C7B6F" w:rsidP="00F645E1">
            <w:pPr>
              <w:autoSpaceDE w:val="0"/>
              <w:autoSpaceDN w:val="0"/>
              <w:adjustRightInd w:val="0"/>
              <w:ind w:left="-110"/>
              <w:jc w:val="both"/>
              <w:rPr>
                <w:szCs w:val="22"/>
                <w:lang w:val="sr-Latn-ME"/>
              </w:rPr>
            </w:pPr>
          </w:p>
          <w:p w14:paraId="000615DF" w14:textId="100A36F2"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Ta ispitivanja nisu pokazala nikakav značajan povoljan efekat na bubrežne i/ili kardiovaskularne ishode i smrtnost, a bio je uočen povećani rizik od hiperkalijemije, akutne </w:t>
            </w:r>
            <w:r w:rsidR="002647CA" w:rsidRPr="005B51C6">
              <w:rPr>
                <w:rFonts w:eastAsia="TimesNewRoman"/>
                <w:szCs w:val="22"/>
                <w:lang w:val="sr-Latn-ME" w:eastAsia="zh-TW"/>
              </w:rPr>
              <w:t>povrede</w:t>
            </w:r>
            <w:r w:rsidRPr="005B51C6">
              <w:rPr>
                <w:rFonts w:eastAsia="TimesNewRoman"/>
                <w:szCs w:val="22"/>
                <w:lang w:val="sr-Latn-ME" w:eastAsia="zh-TW"/>
              </w:rPr>
              <w:t xml:space="preserve"> bubrega i/ili hipotenzije u poređenju  sa monoterapijom. S obzirom na njihova slična farmakodinamička svojstva, ti rezultati su relevantni i za druge ACE inhibitore i blokatore angiotenzin II receptora. </w:t>
            </w:r>
          </w:p>
          <w:p w14:paraId="0481C257"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01092B2C"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ACE inhibitori i blokatori angiotenzin II receptora stoga se ne smiju istovremeno primjenjivati kod pacijenata sa dijabetičkom nefropatijom. </w:t>
            </w:r>
          </w:p>
          <w:p w14:paraId="57C9F485"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79B6692D"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ALTITUDE (eng. </w:t>
            </w:r>
            <w:r w:rsidRPr="005B51C6">
              <w:rPr>
                <w:rFonts w:eastAsia="TimesNewRoman"/>
                <w:i/>
                <w:szCs w:val="22"/>
                <w:lang w:val="sr-Latn-ME" w:eastAsia="zh-TW"/>
              </w:rPr>
              <w:t>Aliskiren Trial in Type 2 Diabetes Using Cardiovascular and Renal Disease Endpoints</w:t>
            </w:r>
            <w:r w:rsidRPr="005B51C6">
              <w:rPr>
                <w:rFonts w:eastAsia="TimesNewRoman"/>
                <w:szCs w:val="22"/>
                <w:lang w:val="sr-Latn-ME" w:eastAsia="zh-TW"/>
              </w:rPr>
              <w:t>) je bilo ispitivanje osmišljeno za testiranje koristi dodavanja aliskirena standardnoj terapiji sa ACE inhibitorom ili blokatorom angiotenzin II receptora kod pacijenata sa šećernom bolešću tipa 2 i hroničnom bolešću bubrega, kardiovaskularnom bolešću ili oboje. Ispitivanje je bilo prijevremeno prekinuto zbog povećanog rizika od štetnih ishoda. I kardiovaskularna smrt i moždani udar su numerički bili učestaliji u grupi koja je primala aliskiren nego u onoj koja je primala placebo, a štetni događaji i ozbiljni štetni događaji od značaja (hiperkalijemija, hipotenzija i bubrežna disfunkcija) bili su učestalije zabilježeni u grupi koja je primala aliskiren nego u onoj koja je primala placebo.</w:t>
            </w:r>
          </w:p>
          <w:p w14:paraId="65EDD4DD"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p w14:paraId="700C0351" w14:textId="77777777" w:rsidR="000C7B6F" w:rsidRPr="005B51C6" w:rsidRDefault="00AD382D" w:rsidP="00F645E1">
            <w:pPr>
              <w:autoSpaceDE w:val="0"/>
              <w:autoSpaceDN w:val="0"/>
              <w:adjustRightInd w:val="0"/>
              <w:ind w:left="-110"/>
              <w:jc w:val="both"/>
              <w:rPr>
                <w:rFonts w:eastAsia="TimesNewRoman"/>
                <w:szCs w:val="22"/>
                <w:u w:val="single"/>
                <w:lang w:val="sr-Latn-ME" w:eastAsia="zh-TW"/>
              </w:rPr>
            </w:pPr>
            <w:r w:rsidRPr="005B51C6">
              <w:rPr>
                <w:rFonts w:eastAsia="TimesNewRoman"/>
                <w:szCs w:val="22"/>
                <w:u w:val="single"/>
                <w:lang w:val="sr-Latn-ME" w:eastAsia="zh-TW"/>
              </w:rPr>
              <w:t>Sekundarna prevencija nakon akutnog infarkta miokarda</w:t>
            </w:r>
          </w:p>
          <w:p w14:paraId="17E81CE2" w14:textId="77777777" w:rsidR="000C7B6F" w:rsidRPr="005B51C6" w:rsidRDefault="000C7B6F" w:rsidP="00F645E1">
            <w:pPr>
              <w:autoSpaceDE w:val="0"/>
              <w:autoSpaceDN w:val="0"/>
              <w:adjustRightInd w:val="0"/>
              <w:ind w:left="-110"/>
              <w:jc w:val="both"/>
              <w:rPr>
                <w:rFonts w:eastAsia="TimesNewRoman"/>
                <w:szCs w:val="22"/>
                <w:u w:val="single"/>
                <w:lang w:val="sr-Latn-ME" w:eastAsia="zh-TW"/>
              </w:rPr>
            </w:pPr>
          </w:p>
          <w:p w14:paraId="3EA8D7A7"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Sprovedena je AIRE studija u kojoj je učestvovalo više od 2000 pacijenata sa prolaznim/postojanim kliničkim znacima srčane insuficijencije nakon zabilježenog infarkta miokarda. Liječenje ramiprilom je započeto 3 do 10 dana nakon akutnog infarkta miokarda. Studija je pokazala da je nakon prosječnog vremena praćenja od 15 mjeseci mortalitet kod pacijenata koji su primjenjivali ramipril bio 16.9%, a kod pacijenata koji su primjenjivali placebo 22.6%. Ovo znači da je apsolutni mortalitet smanjen za 5.7%, a relativni rizik za 27% (95% CI [11-40%]).</w:t>
            </w:r>
          </w:p>
          <w:p w14:paraId="6E65FB6E" w14:textId="77777777" w:rsidR="000C7B6F" w:rsidRPr="005B51C6" w:rsidRDefault="000C7B6F" w:rsidP="00F645E1">
            <w:pPr>
              <w:autoSpaceDE w:val="0"/>
              <w:autoSpaceDN w:val="0"/>
              <w:adjustRightInd w:val="0"/>
              <w:ind w:left="-110"/>
              <w:jc w:val="both"/>
              <w:rPr>
                <w:rFonts w:eastAsia="TimesNewRoman"/>
                <w:color w:val="FF0000"/>
                <w:szCs w:val="22"/>
                <w:lang w:val="sr-Latn-ME" w:eastAsia="zh-TW"/>
              </w:rPr>
            </w:pPr>
          </w:p>
          <w:p w14:paraId="596B9C07" w14:textId="77777777" w:rsidR="000C7B6F" w:rsidRPr="005B51C6" w:rsidRDefault="00AD382D" w:rsidP="00F645E1">
            <w:pPr>
              <w:autoSpaceDE w:val="0"/>
              <w:autoSpaceDN w:val="0"/>
              <w:adjustRightInd w:val="0"/>
              <w:ind w:left="-110"/>
              <w:jc w:val="both"/>
              <w:rPr>
                <w:rFonts w:eastAsia="TimesNewRoman"/>
                <w:szCs w:val="22"/>
                <w:u w:val="single"/>
                <w:lang w:val="sr-Latn-ME" w:eastAsia="zh-TW"/>
              </w:rPr>
            </w:pPr>
            <w:r w:rsidRPr="005B51C6">
              <w:rPr>
                <w:rFonts w:eastAsia="TimesNewRoman"/>
                <w:szCs w:val="22"/>
                <w:u w:val="single"/>
                <w:lang w:val="sr-Latn-ME" w:eastAsia="zh-TW"/>
              </w:rPr>
              <w:t>Pedijatrijska populacija</w:t>
            </w:r>
          </w:p>
          <w:p w14:paraId="104D9622"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U randomizovanoj, dvostruko slijepoj, placebo kontrolisanoj kliničkoj studiji koja je uključila 244 pedijatrijska pacijenata sa hipertenzijom (73% primarna hipertenzija), uzrasta 6 do 16 godina, pacijenti su dobijali malu, srednju ili visoku dozu ramiprila u cilju postizanja koncentracija ramiprilata u plazmi </w:t>
            </w:r>
          </w:p>
          <w:p w14:paraId="0B8544D0" w14:textId="77777777"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koje odgovaraju dozama kod odraslih od 1,25 mg, 5 mg i 20 mg, na osnovu tjelesne mase. Nakon 4 nedjelje, ramipril se pokazao neefikasnim u ishodu sniženja sistolnog krvnog pritiska, ali je doveo do sniženja dijastolnog krvnog pritiska pri primjeni najviših doza. Kod primjene srednjih i visokih doza ramiprila, došlo je do značajnog sniženja kako sistolnog tako i dijastolnog krvnog pritiska kod djece sa potvrđenom hipertenzijom.</w:t>
            </w:r>
          </w:p>
          <w:p w14:paraId="12AD845B" w14:textId="77777777" w:rsidR="000C7B6F" w:rsidRPr="005B51C6" w:rsidRDefault="000C7B6F" w:rsidP="00F645E1">
            <w:pPr>
              <w:autoSpaceDE w:val="0"/>
              <w:autoSpaceDN w:val="0"/>
              <w:adjustRightInd w:val="0"/>
              <w:ind w:left="-110"/>
              <w:jc w:val="both"/>
              <w:rPr>
                <w:rFonts w:eastAsia="TimesNewRoman"/>
                <w:szCs w:val="22"/>
                <w:lang w:val="sr-Latn-ME" w:eastAsia="zh-TW"/>
              </w:rPr>
            </w:pPr>
          </w:p>
          <w:p w14:paraId="1E384F28" w14:textId="1D73F64C" w:rsidR="000C7B6F" w:rsidRPr="005B51C6" w:rsidRDefault="00AD382D" w:rsidP="00F645E1">
            <w:pPr>
              <w:autoSpaceDE w:val="0"/>
              <w:autoSpaceDN w:val="0"/>
              <w:adjustRightInd w:val="0"/>
              <w:ind w:left="-110"/>
              <w:jc w:val="both"/>
              <w:rPr>
                <w:rFonts w:eastAsia="TimesNewRoman"/>
                <w:szCs w:val="22"/>
                <w:lang w:val="sr-Latn-ME" w:eastAsia="zh-TW"/>
              </w:rPr>
            </w:pPr>
            <w:r w:rsidRPr="005B51C6">
              <w:rPr>
                <w:rFonts w:eastAsia="TimesNewRoman"/>
                <w:szCs w:val="22"/>
                <w:lang w:val="sr-Latn-ME" w:eastAsia="zh-TW"/>
              </w:rPr>
              <w:t xml:space="preserve">Ovo dejstvo nije zabilježeno u četvoronedjeljnoj, dozno eskalacionoj, randomizovanoj, dvostruko slijepoj studiji povlačenja sprovedenoj kod 218 pedijatrijskih pacijenata uzrasta 6 do 16 godina (75% primarna hipertenzija), gdje su  sistolni  i dijastolni pritisak pokazali umjeren, ali ne i statistički značajan povratak na osnovne vrijednosti u sva tri testirana  dozna nivoa [niska doza (0.625 mg – 2.5 mg), srednja doza (2.5 </w:t>
            </w:r>
            <w:r w:rsidRPr="005B51C6">
              <w:rPr>
                <w:rFonts w:eastAsia="TimesNewRoman"/>
                <w:szCs w:val="22"/>
                <w:lang w:val="sr-Latn-ME" w:eastAsia="zh-TW"/>
              </w:rPr>
              <w:lastRenderedPageBreak/>
              <w:t>mg – 10 mg) ili visoka doza (5 mg – 20 mg)] na osnovu tjelesne mase. Ramipril nije imao linearan dozni odgovor u ispitivanoj pedijatrijskoj populaciji.</w:t>
            </w:r>
          </w:p>
        </w:tc>
      </w:tr>
    </w:tbl>
    <w:p w14:paraId="2C8933AD" w14:textId="4847920E" w:rsidR="000C7B6F" w:rsidRPr="005B51C6" w:rsidRDefault="00AD382D" w:rsidP="00F645E1">
      <w:pPr>
        <w:widowControl w:val="0"/>
        <w:ind w:left="567" w:hanging="567"/>
        <w:outlineLvl w:val="0"/>
        <w:rPr>
          <w:b/>
          <w:szCs w:val="22"/>
          <w:lang w:val="sr-Latn-ME"/>
        </w:rPr>
      </w:pPr>
      <w:r w:rsidRPr="005B51C6">
        <w:rPr>
          <w:b/>
          <w:szCs w:val="22"/>
          <w:lang w:val="sr-Latn-ME"/>
        </w:rPr>
        <w:lastRenderedPageBreak/>
        <w:t>5.2</w:t>
      </w:r>
      <w:r w:rsidRPr="005B51C6">
        <w:rPr>
          <w:b/>
          <w:szCs w:val="22"/>
          <w:lang w:val="sr-Latn-ME"/>
        </w:rPr>
        <w:tab/>
      </w:r>
      <w:r w:rsidRPr="005B51C6">
        <w:rPr>
          <w:b/>
          <w:bCs/>
          <w:szCs w:val="22"/>
          <w:lang w:val="sr-Latn-ME"/>
        </w:rPr>
        <w:t>Farmakokinetički podaci</w:t>
      </w:r>
    </w:p>
    <w:p w14:paraId="269045E5" w14:textId="77777777" w:rsidR="000C7B6F" w:rsidRPr="005B51C6" w:rsidRDefault="000C7B6F" w:rsidP="00F645E1">
      <w:pPr>
        <w:widowControl w:val="0"/>
        <w:jc w:val="both"/>
        <w:rPr>
          <w:szCs w:val="22"/>
          <w:lang w:val="sr-Latn-ME"/>
        </w:rPr>
      </w:pPr>
    </w:p>
    <w:p w14:paraId="07D63810" w14:textId="77777777" w:rsidR="000C7B6F" w:rsidRPr="005B51C6" w:rsidRDefault="00AD382D" w:rsidP="00F645E1">
      <w:pPr>
        <w:autoSpaceDE w:val="0"/>
        <w:autoSpaceDN w:val="0"/>
        <w:adjustRightInd w:val="0"/>
        <w:jc w:val="both"/>
        <w:rPr>
          <w:i/>
          <w:iCs/>
          <w:szCs w:val="22"/>
          <w:u w:val="single"/>
          <w:lang w:val="sr-Latn-ME" w:eastAsia="zh-TW"/>
        </w:rPr>
      </w:pPr>
      <w:r w:rsidRPr="005B51C6">
        <w:rPr>
          <w:i/>
          <w:iCs/>
          <w:szCs w:val="22"/>
          <w:u w:val="single"/>
          <w:lang w:val="sr-Latn-ME" w:eastAsia="zh-TW"/>
        </w:rPr>
        <w:t>Farmakokinetika i metabolizam</w:t>
      </w:r>
    </w:p>
    <w:p w14:paraId="4031776F" w14:textId="77777777" w:rsidR="000C7B6F" w:rsidRPr="005B51C6" w:rsidRDefault="000C7B6F" w:rsidP="00F645E1">
      <w:pPr>
        <w:autoSpaceDE w:val="0"/>
        <w:autoSpaceDN w:val="0"/>
        <w:adjustRightInd w:val="0"/>
        <w:jc w:val="both"/>
        <w:rPr>
          <w:i/>
          <w:iCs/>
          <w:szCs w:val="22"/>
          <w:u w:val="single"/>
          <w:lang w:val="sr-Latn-ME" w:eastAsia="zh-TW"/>
        </w:rPr>
      </w:pPr>
    </w:p>
    <w:p w14:paraId="44BFAAF3" w14:textId="77777777" w:rsidR="000C7B6F" w:rsidRPr="005B51C6" w:rsidRDefault="00AD382D" w:rsidP="00F645E1">
      <w:pPr>
        <w:tabs>
          <w:tab w:val="clear" w:pos="567"/>
          <w:tab w:val="left" w:pos="570"/>
          <w:tab w:val="center" w:pos="4320"/>
          <w:tab w:val="right" w:pos="8640"/>
        </w:tabs>
        <w:jc w:val="both"/>
        <w:rPr>
          <w:szCs w:val="22"/>
          <w:u w:val="single"/>
          <w:lang w:val="sr-Latn-ME"/>
        </w:rPr>
      </w:pPr>
      <w:r w:rsidRPr="005B51C6">
        <w:rPr>
          <w:szCs w:val="22"/>
          <w:u w:val="single"/>
          <w:lang w:val="sr-Latn-ME"/>
        </w:rPr>
        <w:t>Resorpcija</w:t>
      </w:r>
    </w:p>
    <w:p w14:paraId="080E0D03"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Poslije oralne primjene, ramipril se brzo resorbuje iz gastrointestinalnog trakta: maksimalne koncentracije ramiprila u plazmi se postižu u okviru jednog časa od primjene. Na osnovu urinarne ekskrecije može se zaključiti da je obim resorpcije najmanje 56% i da na nju značajno ne utiče prisustvo hrane u gastrointestinalnom traktu. Bioraspoloživost aktivnog metabolita ramiprilata poslije oralne primjene 2.5 mg i 5 mg  je 45%.</w:t>
      </w:r>
    </w:p>
    <w:p w14:paraId="1E15F2AD" w14:textId="77777777" w:rsidR="000C7B6F" w:rsidRPr="005B51C6" w:rsidRDefault="000C7B6F" w:rsidP="00F645E1">
      <w:pPr>
        <w:tabs>
          <w:tab w:val="clear" w:pos="567"/>
          <w:tab w:val="left" w:pos="570"/>
          <w:tab w:val="center" w:pos="4320"/>
          <w:tab w:val="right" w:pos="8640"/>
        </w:tabs>
        <w:jc w:val="both"/>
        <w:rPr>
          <w:szCs w:val="22"/>
          <w:lang w:val="sr-Latn-ME"/>
        </w:rPr>
      </w:pPr>
    </w:p>
    <w:p w14:paraId="4B0B8E5F"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Maksimalna  koncentracija ramiprilata, jedinog aktivnog metabolita ramiprila, u plazmi se postiže za 2-4 časa nakon primjene ramiprila. Ravnotežno stanje  koncentracije lijeka u plazmi nakon primjene jednom dnevno, u dozama uobičajenim za ramipril, postiže se otprilike četvrtog dana liječenja.</w:t>
      </w:r>
    </w:p>
    <w:p w14:paraId="15619CD8" w14:textId="77777777" w:rsidR="000C7B6F" w:rsidRPr="005B51C6" w:rsidRDefault="000C7B6F" w:rsidP="00F645E1">
      <w:pPr>
        <w:autoSpaceDE w:val="0"/>
        <w:autoSpaceDN w:val="0"/>
        <w:adjustRightInd w:val="0"/>
        <w:jc w:val="both"/>
        <w:rPr>
          <w:rFonts w:eastAsia="TimesNewRoman"/>
          <w:color w:val="FF0000"/>
          <w:szCs w:val="22"/>
          <w:u w:val="single"/>
          <w:lang w:val="sr-Latn-ME" w:eastAsia="zh-TW"/>
        </w:rPr>
      </w:pPr>
    </w:p>
    <w:p w14:paraId="5CCAC523"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Distribucija</w:t>
      </w:r>
    </w:p>
    <w:p w14:paraId="69F9B22B" w14:textId="77777777" w:rsidR="000C7B6F" w:rsidRPr="005B51C6" w:rsidRDefault="00AD382D" w:rsidP="00F645E1">
      <w:pPr>
        <w:tabs>
          <w:tab w:val="left" w:pos="284"/>
          <w:tab w:val="center" w:pos="4536"/>
          <w:tab w:val="right" w:pos="9072"/>
        </w:tabs>
        <w:jc w:val="both"/>
        <w:rPr>
          <w:rFonts w:eastAsia="TimesNewRoman"/>
          <w:szCs w:val="22"/>
          <w:lang w:val="sr-Latn-ME" w:eastAsia="zh-TW"/>
        </w:rPr>
      </w:pPr>
      <w:r w:rsidRPr="005B51C6">
        <w:rPr>
          <w:rFonts w:eastAsia="TimesNewRoman"/>
          <w:szCs w:val="22"/>
          <w:lang w:val="sr-Latn-ME" w:eastAsia="zh-TW"/>
        </w:rPr>
        <w:t>73% ramiprila se vezuje za proteine plazme, od čega je 56% u obliku ramiprilata.</w:t>
      </w:r>
    </w:p>
    <w:p w14:paraId="2B350F63" w14:textId="77777777" w:rsidR="000C7B6F" w:rsidRPr="005B51C6" w:rsidRDefault="000C7B6F" w:rsidP="00F645E1">
      <w:pPr>
        <w:tabs>
          <w:tab w:val="left" w:pos="284"/>
        </w:tabs>
        <w:jc w:val="both"/>
        <w:rPr>
          <w:rFonts w:eastAsia="TimesNewRoman"/>
          <w:szCs w:val="22"/>
          <w:lang w:val="sr-Latn-ME" w:eastAsia="zh-TW"/>
        </w:rPr>
      </w:pPr>
    </w:p>
    <w:p w14:paraId="2D9C14CB"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Metabolizam</w:t>
      </w:r>
    </w:p>
    <w:p w14:paraId="57D682B1"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Ramipril se skoro u potpunosti metaboliše u ramiprilat, u estar diketopiperazina, diketopiperazinsku kiselinu i glukuronide ramiprila i ramiprilata.</w:t>
      </w:r>
    </w:p>
    <w:p w14:paraId="5B609D10" w14:textId="77777777" w:rsidR="000C7B6F" w:rsidRPr="005B51C6" w:rsidRDefault="000C7B6F" w:rsidP="00F645E1">
      <w:pPr>
        <w:autoSpaceDE w:val="0"/>
        <w:autoSpaceDN w:val="0"/>
        <w:adjustRightInd w:val="0"/>
        <w:jc w:val="both"/>
        <w:rPr>
          <w:rFonts w:eastAsia="TimesNewRoman"/>
          <w:szCs w:val="22"/>
          <w:lang w:val="sr-Latn-ME" w:eastAsia="zh-TW"/>
        </w:rPr>
      </w:pPr>
    </w:p>
    <w:p w14:paraId="247643B5" w14:textId="77777777" w:rsidR="000C7B6F" w:rsidRPr="005B51C6" w:rsidRDefault="00AD382D" w:rsidP="00F645E1">
      <w:pPr>
        <w:autoSpaceDE w:val="0"/>
        <w:autoSpaceDN w:val="0"/>
        <w:adjustRightInd w:val="0"/>
        <w:jc w:val="both"/>
        <w:rPr>
          <w:rFonts w:eastAsia="TimesNewRoman"/>
          <w:szCs w:val="22"/>
          <w:u w:val="single"/>
          <w:lang w:val="sr-Latn-ME" w:eastAsia="zh-TW"/>
        </w:rPr>
      </w:pPr>
      <w:r w:rsidRPr="005B51C6">
        <w:rPr>
          <w:rFonts w:eastAsia="TimesNewRoman"/>
          <w:szCs w:val="22"/>
          <w:u w:val="single"/>
          <w:lang w:val="sr-Latn-ME" w:eastAsia="zh-TW"/>
        </w:rPr>
        <w:t>Eliminacija</w:t>
      </w:r>
    </w:p>
    <w:p w14:paraId="681048E0" w14:textId="77777777" w:rsidR="000C7B6F" w:rsidRPr="005B51C6" w:rsidRDefault="00AD382D" w:rsidP="00F645E1">
      <w:pPr>
        <w:tabs>
          <w:tab w:val="center" w:pos="4536"/>
          <w:tab w:val="right" w:pos="9072"/>
        </w:tabs>
        <w:jc w:val="both"/>
        <w:rPr>
          <w:szCs w:val="22"/>
          <w:lang w:val="sr-Latn-ME"/>
        </w:rPr>
      </w:pPr>
      <w:r w:rsidRPr="005B51C6">
        <w:rPr>
          <w:szCs w:val="22"/>
          <w:lang w:val="sr-Latn-ME"/>
        </w:rPr>
        <w:t>Izlučivanje metabolita primarno se vrši putem bubrega.</w:t>
      </w:r>
    </w:p>
    <w:p w14:paraId="53C89636" w14:textId="77777777" w:rsidR="000C7B6F" w:rsidRPr="005B51C6" w:rsidRDefault="00AD382D" w:rsidP="00F645E1">
      <w:pPr>
        <w:tabs>
          <w:tab w:val="center" w:pos="4536"/>
          <w:tab w:val="right" w:pos="9072"/>
        </w:tabs>
        <w:jc w:val="both"/>
        <w:rPr>
          <w:szCs w:val="22"/>
          <w:lang w:val="sr-Latn-ME"/>
        </w:rPr>
      </w:pPr>
      <w:r w:rsidRPr="005B51C6">
        <w:rPr>
          <w:szCs w:val="22"/>
          <w:lang w:val="sr-Latn-ME"/>
        </w:rPr>
        <w:t xml:space="preserve">Koncentracija ramiprilata u plazmi opada na polifazni način. Zbog svog snažnog saturacionog vezivanja za angiotenzin konvertujući enzim (ACE) i zbog spore disocijacije sa enzima, ramiprilat pokazuje produženu fazu terminalne eliminacije pri veoma malim koncentracijama u plazmi. </w:t>
      </w:r>
    </w:p>
    <w:p w14:paraId="5137717B" w14:textId="77777777" w:rsidR="000C7B6F" w:rsidRPr="005B51C6" w:rsidRDefault="00AD382D" w:rsidP="00F645E1">
      <w:pPr>
        <w:tabs>
          <w:tab w:val="center" w:pos="4536"/>
          <w:tab w:val="right" w:pos="9072"/>
        </w:tabs>
        <w:jc w:val="both"/>
        <w:rPr>
          <w:szCs w:val="22"/>
          <w:lang w:val="sr-Latn-ME"/>
        </w:rPr>
      </w:pPr>
      <w:r w:rsidRPr="005B51C6">
        <w:rPr>
          <w:szCs w:val="22"/>
          <w:lang w:val="sr-Latn-ME"/>
        </w:rPr>
        <w:t>Nakon ponovljenih jednodnevnih doza ramiprila, efektivne vrijednosti poluvremena eliminacije za ramiprilat su bile 13 - 17 časova za doze 5 - 10 mg, a za niže doze od 1.25 - 2.5 mg i duži. Ova razlika je povezana sa saturacionim kapacitetom enzima za vezivanje ramiprilata.</w:t>
      </w:r>
    </w:p>
    <w:p w14:paraId="1A5C9BCA" w14:textId="77777777" w:rsidR="000C7B6F" w:rsidRPr="005B51C6" w:rsidRDefault="000C7B6F" w:rsidP="00F645E1">
      <w:pPr>
        <w:tabs>
          <w:tab w:val="center" w:pos="4536"/>
          <w:tab w:val="right" w:pos="9072"/>
        </w:tabs>
        <w:jc w:val="both"/>
        <w:rPr>
          <w:szCs w:val="22"/>
          <w:lang w:val="sr-Latn-ME"/>
        </w:rPr>
      </w:pPr>
    </w:p>
    <w:p w14:paraId="6DD1465C" w14:textId="77777777" w:rsidR="000C7B6F" w:rsidRPr="005B51C6" w:rsidRDefault="00AD382D" w:rsidP="00F645E1">
      <w:pPr>
        <w:tabs>
          <w:tab w:val="center" w:pos="4536"/>
          <w:tab w:val="right" w:pos="9072"/>
        </w:tabs>
        <w:jc w:val="both"/>
        <w:rPr>
          <w:szCs w:val="22"/>
          <w:lang w:val="sr-Latn-ME"/>
        </w:rPr>
      </w:pPr>
      <w:r w:rsidRPr="005B51C6">
        <w:rPr>
          <w:szCs w:val="22"/>
          <w:lang w:val="sr-Latn-ME"/>
        </w:rPr>
        <w:t>Poslije primjene pojedinačne oralne doze, koncentracija ramiprila i njegovih metabolita u mlijeku je ispod nivoa detekcije. Međutim, dejstvo ponovljenih doza nije poznato.</w:t>
      </w:r>
    </w:p>
    <w:p w14:paraId="1085172F" w14:textId="77777777" w:rsidR="000C7B6F" w:rsidRPr="005B51C6" w:rsidRDefault="000C7B6F" w:rsidP="00F645E1">
      <w:pPr>
        <w:tabs>
          <w:tab w:val="center" w:pos="4536"/>
          <w:tab w:val="right" w:pos="9072"/>
        </w:tabs>
        <w:jc w:val="both"/>
        <w:rPr>
          <w:color w:val="FF0000"/>
          <w:szCs w:val="22"/>
          <w:lang w:val="sr-Latn-ME"/>
        </w:rPr>
      </w:pPr>
    </w:p>
    <w:p w14:paraId="277C1E31" w14:textId="77777777" w:rsidR="00DE287F" w:rsidRPr="005B51C6" w:rsidRDefault="00DE287F" w:rsidP="00F645E1">
      <w:pPr>
        <w:tabs>
          <w:tab w:val="center" w:pos="4536"/>
          <w:tab w:val="right" w:pos="9072"/>
        </w:tabs>
        <w:jc w:val="both"/>
        <w:rPr>
          <w:szCs w:val="22"/>
          <w:lang w:val="sr-Latn-ME"/>
        </w:rPr>
      </w:pPr>
    </w:p>
    <w:p w14:paraId="5CD71EF2" w14:textId="429D4C12" w:rsidR="000C7B6F" w:rsidRPr="005B51C6" w:rsidRDefault="00AD382D" w:rsidP="00F645E1">
      <w:pPr>
        <w:tabs>
          <w:tab w:val="center" w:pos="4536"/>
          <w:tab w:val="right" w:pos="9072"/>
        </w:tabs>
        <w:jc w:val="both"/>
        <w:rPr>
          <w:szCs w:val="22"/>
          <w:lang w:val="sr-Latn-ME"/>
        </w:rPr>
      </w:pPr>
      <w:r w:rsidRPr="005B51C6">
        <w:rPr>
          <w:szCs w:val="22"/>
          <w:lang w:val="sr-Latn-ME"/>
        </w:rPr>
        <w:t>Pacijenti sa renalnim oštećenjem (vidjeti dio 4.2)</w:t>
      </w:r>
    </w:p>
    <w:p w14:paraId="43CAFE95" w14:textId="77777777" w:rsidR="000C7B6F" w:rsidRPr="005B51C6" w:rsidRDefault="00AD382D" w:rsidP="00F645E1">
      <w:pPr>
        <w:tabs>
          <w:tab w:val="center" w:pos="4536"/>
          <w:tab w:val="right" w:pos="9072"/>
        </w:tabs>
        <w:jc w:val="both"/>
        <w:rPr>
          <w:szCs w:val="22"/>
          <w:lang w:val="sr-Latn-ME"/>
        </w:rPr>
      </w:pPr>
      <w:r w:rsidRPr="005B51C6">
        <w:rPr>
          <w:szCs w:val="22"/>
          <w:lang w:val="sr-Latn-ME"/>
        </w:rPr>
        <w:t>Izlučivanje ramiprilata putem bubrega je smanjeno kod pacijenata sa oštećenom funkcijom bubrega, a renalni klirens ramiprilata je proporcionalan klirensu kreatinina. Posljedica ovoga su povišene koncentracije ramiprilata u plazmi, koje opadaju sporije nego kod pacijenata sa normalnom renalnom funkcijom.</w:t>
      </w:r>
    </w:p>
    <w:p w14:paraId="5D957DB5" w14:textId="77777777" w:rsidR="000C7B6F" w:rsidRPr="005B51C6" w:rsidRDefault="000C7B6F" w:rsidP="00F645E1">
      <w:pPr>
        <w:tabs>
          <w:tab w:val="center" w:pos="4536"/>
          <w:tab w:val="right" w:pos="9072"/>
        </w:tabs>
        <w:jc w:val="both"/>
        <w:rPr>
          <w:szCs w:val="22"/>
          <w:lang w:val="sr-Latn-ME"/>
        </w:rPr>
      </w:pPr>
    </w:p>
    <w:p w14:paraId="4B0471F4" w14:textId="77777777" w:rsidR="000C7B6F" w:rsidRPr="005B51C6" w:rsidRDefault="00AD382D" w:rsidP="00F645E1">
      <w:pPr>
        <w:tabs>
          <w:tab w:val="center" w:pos="4536"/>
          <w:tab w:val="right" w:pos="9072"/>
        </w:tabs>
        <w:jc w:val="both"/>
        <w:rPr>
          <w:szCs w:val="22"/>
          <w:lang w:val="sr-Latn-ME"/>
        </w:rPr>
      </w:pPr>
      <w:r w:rsidRPr="005B51C6">
        <w:rPr>
          <w:szCs w:val="22"/>
          <w:lang w:val="sr-Latn-ME"/>
        </w:rPr>
        <w:t>Pacijenti sa hepatičkim oštećenjem (vidjeti dio 4.2)</w:t>
      </w:r>
    </w:p>
    <w:p w14:paraId="04947862" w14:textId="77777777" w:rsidR="000C7B6F" w:rsidRPr="005B51C6" w:rsidRDefault="00AD382D" w:rsidP="00F645E1">
      <w:pPr>
        <w:tabs>
          <w:tab w:val="left" w:pos="284"/>
        </w:tabs>
        <w:jc w:val="both"/>
        <w:rPr>
          <w:szCs w:val="22"/>
          <w:lang w:val="sr-Latn-ME"/>
        </w:rPr>
      </w:pPr>
      <w:r w:rsidRPr="005B51C6">
        <w:rPr>
          <w:szCs w:val="22"/>
          <w:lang w:val="sr-Latn-ME"/>
        </w:rPr>
        <w:t>Kod pacijenata sa oštećenom funkcijom jetre, metabolizam ramiprila do ramiprilata je odložen usljed smanjene aktivnosti hepatičnih esteraza, pa je koncentracija ramiprila u plazmi kod ovih pacijenata povećana. Maksimalna koncentracija ramiprilata u krvi kod ovih pacijenata se, međutim, ne razlikuje od koncentracije kod pacijenata sa normalnom hepatičnom funkcijom.</w:t>
      </w:r>
    </w:p>
    <w:p w14:paraId="4EDAF9CE" w14:textId="77777777" w:rsidR="000C7B6F" w:rsidRPr="005B51C6" w:rsidRDefault="000C7B6F" w:rsidP="00F645E1">
      <w:pPr>
        <w:tabs>
          <w:tab w:val="left" w:pos="284"/>
        </w:tabs>
        <w:jc w:val="both"/>
        <w:rPr>
          <w:color w:val="FF0000"/>
          <w:szCs w:val="22"/>
          <w:u w:val="single"/>
          <w:lang w:val="sr-Latn-ME"/>
        </w:rPr>
      </w:pPr>
    </w:p>
    <w:p w14:paraId="41AE2223" w14:textId="77777777" w:rsidR="000C7B6F" w:rsidRPr="005B51C6" w:rsidRDefault="00AD382D" w:rsidP="00F645E1">
      <w:pPr>
        <w:tabs>
          <w:tab w:val="left" w:pos="284"/>
        </w:tabs>
        <w:jc w:val="both"/>
        <w:rPr>
          <w:i/>
          <w:szCs w:val="22"/>
          <w:lang w:val="sr-Latn-ME"/>
        </w:rPr>
      </w:pPr>
      <w:r w:rsidRPr="005B51C6">
        <w:rPr>
          <w:i/>
          <w:szCs w:val="22"/>
          <w:lang w:val="sr-Latn-ME"/>
        </w:rPr>
        <w:t>Dojenje</w:t>
      </w:r>
    </w:p>
    <w:p w14:paraId="50606B6F" w14:textId="77777777" w:rsidR="000C7B6F" w:rsidRPr="005B51C6" w:rsidRDefault="00AD382D" w:rsidP="00F645E1">
      <w:pPr>
        <w:tabs>
          <w:tab w:val="left" w:pos="284"/>
        </w:tabs>
        <w:jc w:val="both"/>
        <w:rPr>
          <w:szCs w:val="22"/>
          <w:u w:val="single"/>
          <w:lang w:val="sr-Latn-ME"/>
        </w:rPr>
      </w:pPr>
      <w:r w:rsidRPr="005B51C6">
        <w:rPr>
          <w:szCs w:val="22"/>
          <w:lang w:val="sr-Latn-ME"/>
        </w:rPr>
        <w:t>Nakon primjene pojedinačne oralne doze od 10 mg ramiprila, nivoi u humanom mlijeku se nijesu mogli detektovati. Međutim, dejstvo ponovljenih doza nije poznato.</w:t>
      </w:r>
    </w:p>
    <w:p w14:paraId="1E066F8C" w14:textId="77777777" w:rsidR="000C7B6F" w:rsidRPr="005B51C6" w:rsidRDefault="000C7B6F" w:rsidP="00F645E1">
      <w:pPr>
        <w:tabs>
          <w:tab w:val="left" w:pos="284"/>
        </w:tabs>
        <w:jc w:val="both"/>
        <w:rPr>
          <w:color w:val="FF0000"/>
          <w:szCs w:val="22"/>
          <w:lang w:val="sr-Latn-ME"/>
        </w:rPr>
      </w:pPr>
    </w:p>
    <w:p w14:paraId="6CE6B001" w14:textId="77777777" w:rsidR="00EA5B3D" w:rsidRDefault="00EA5B3D" w:rsidP="00F645E1">
      <w:pPr>
        <w:tabs>
          <w:tab w:val="left" w:pos="284"/>
        </w:tabs>
        <w:jc w:val="both"/>
        <w:rPr>
          <w:i/>
          <w:szCs w:val="22"/>
          <w:lang w:val="sr-Latn-ME"/>
        </w:rPr>
      </w:pPr>
    </w:p>
    <w:p w14:paraId="77F208C0" w14:textId="1467CB15" w:rsidR="000C7B6F" w:rsidRPr="005B51C6" w:rsidRDefault="00AD382D" w:rsidP="00F645E1">
      <w:pPr>
        <w:tabs>
          <w:tab w:val="left" w:pos="284"/>
        </w:tabs>
        <w:jc w:val="both"/>
        <w:rPr>
          <w:i/>
          <w:szCs w:val="22"/>
          <w:lang w:val="sr-Latn-ME"/>
        </w:rPr>
      </w:pPr>
      <w:r w:rsidRPr="005B51C6">
        <w:rPr>
          <w:i/>
          <w:szCs w:val="22"/>
          <w:lang w:val="sr-Latn-ME"/>
        </w:rPr>
        <w:lastRenderedPageBreak/>
        <w:t>Pedijatrijska populacija</w:t>
      </w:r>
    </w:p>
    <w:p w14:paraId="1B46A51D" w14:textId="72EA8EB8"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Farmakokinetički profil ramiprila ispitivan je kod 30 pedijatrijskih pacijenata sa hipertenzijom, uzrasta 2 do 16 godina, tjelesne mase </w:t>
      </w:r>
      <w:r w:rsidR="00FE3031" w:rsidRPr="005B51C6">
        <w:rPr>
          <w:szCs w:val="22"/>
          <w:lang w:val="sr-Latn-ME"/>
        </w:rPr>
        <w:t>&gt;</w:t>
      </w:r>
      <w:r w:rsidRPr="005B51C6">
        <w:rPr>
          <w:szCs w:val="22"/>
          <w:lang w:val="sr-Latn-ME"/>
        </w:rPr>
        <w:t xml:space="preserve"> 10 kg. Nakon primjene doza od 0.05 do 0.2 mg/kg, ramipril se brzo i intenzivno metabolisao u ramiprilat. Maksimalna koncentracija u plazmi postizala se u okviru 2 – 3 sata. </w:t>
      </w:r>
    </w:p>
    <w:p w14:paraId="00390AA7" w14:textId="77777777" w:rsidR="000C7B6F" w:rsidRPr="005B51C6" w:rsidRDefault="00AD382D" w:rsidP="00F645E1">
      <w:pPr>
        <w:tabs>
          <w:tab w:val="left" w:pos="284"/>
        </w:tabs>
        <w:jc w:val="both"/>
        <w:rPr>
          <w:szCs w:val="22"/>
          <w:u w:val="single"/>
          <w:lang w:val="sr-Latn-ME"/>
        </w:rPr>
      </w:pPr>
      <w:r w:rsidRPr="005B51C6">
        <w:rPr>
          <w:szCs w:val="22"/>
          <w:lang w:val="sr-Latn-ME"/>
        </w:rPr>
        <w:t>Klirens ramiprila bio je u visokoj korelaciji sa  tjelesnom masom (p&lt;0.01), kao i sa  dozom (p&lt;0.001). Klirens i volumen distribucije su se uvećavali sa povećavanjem godina starosti u svakoj doznoj grupi. Doza od 0.05 mg/kg dostigla je nivoe izloženosti uporedive sa onima kod odraslih liječenih dozom od 5 mg. Primjena doze od 0.2 mg/kg kod djece imala je za posljedicu nivoe izloženosti veće od maksimalne preporučene doze od 10 mg dnevno kod odraslih.</w:t>
      </w:r>
    </w:p>
    <w:p w14:paraId="275A563A" w14:textId="77777777" w:rsidR="000C7B6F" w:rsidRPr="005B51C6" w:rsidRDefault="000C7B6F" w:rsidP="00F645E1">
      <w:pPr>
        <w:widowControl w:val="0"/>
        <w:jc w:val="both"/>
        <w:rPr>
          <w:szCs w:val="22"/>
          <w:lang w:val="sr-Latn-ME"/>
        </w:rPr>
      </w:pPr>
    </w:p>
    <w:p w14:paraId="4FAAB355" w14:textId="77777777" w:rsidR="000C7B6F" w:rsidRPr="005B51C6" w:rsidRDefault="00AD382D" w:rsidP="00F645E1">
      <w:pPr>
        <w:widowControl w:val="0"/>
        <w:ind w:left="567" w:hanging="567"/>
        <w:jc w:val="both"/>
        <w:outlineLvl w:val="0"/>
        <w:rPr>
          <w:szCs w:val="22"/>
          <w:lang w:val="sr-Latn-ME"/>
        </w:rPr>
      </w:pPr>
      <w:r w:rsidRPr="005B51C6">
        <w:rPr>
          <w:b/>
          <w:szCs w:val="22"/>
          <w:lang w:val="sr-Latn-ME"/>
        </w:rPr>
        <w:t>5.3</w:t>
      </w:r>
      <w:r w:rsidRPr="005B51C6">
        <w:rPr>
          <w:b/>
          <w:szCs w:val="22"/>
          <w:lang w:val="sr-Latn-ME"/>
        </w:rPr>
        <w:tab/>
      </w:r>
      <w:r w:rsidRPr="005B51C6">
        <w:rPr>
          <w:b/>
          <w:bCs/>
          <w:szCs w:val="22"/>
          <w:lang w:val="sr-Latn-ME"/>
        </w:rPr>
        <w:t>Pretklinički podaci o bezbjednosti</w:t>
      </w:r>
    </w:p>
    <w:p w14:paraId="62AE97F2" w14:textId="77777777" w:rsidR="000C7B6F" w:rsidRPr="005B51C6" w:rsidRDefault="00AD382D" w:rsidP="00F645E1">
      <w:pPr>
        <w:widowControl w:val="0"/>
        <w:jc w:val="both"/>
        <w:rPr>
          <w:szCs w:val="22"/>
          <w:lang w:val="sr-Latn-ME"/>
        </w:rPr>
      </w:pPr>
      <w:r w:rsidRPr="005B51C6">
        <w:rPr>
          <w:szCs w:val="22"/>
          <w:lang w:val="sr-Latn-ME"/>
        </w:rPr>
        <w:t xml:space="preserve"> </w:t>
      </w:r>
    </w:p>
    <w:p w14:paraId="5F081779"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Utvrđeno je da pri oralnoj primjeni ramipril ne izaziva akutnu toksičnost kod glodara i pasa. </w:t>
      </w:r>
    </w:p>
    <w:p w14:paraId="547960C3" w14:textId="21961E9A"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Sprovedene su studije hronične oralne primjene lijeka na pacovima, psima i majmunima. Promjene nivoa elektrolita u plazmi i promjena krvne slike zabilježene su kod </w:t>
      </w:r>
      <w:r w:rsidR="00FE3031" w:rsidRPr="005B51C6">
        <w:rPr>
          <w:szCs w:val="22"/>
          <w:lang w:val="sr-Latn-ME"/>
        </w:rPr>
        <w:t xml:space="preserve">sve </w:t>
      </w:r>
      <w:r w:rsidRPr="005B51C6">
        <w:rPr>
          <w:szCs w:val="22"/>
          <w:lang w:val="sr-Latn-ME"/>
        </w:rPr>
        <w:t xml:space="preserve">3 životinjske vrste.  </w:t>
      </w:r>
    </w:p>
    <w:p w14:paraId="4F81F095"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Kao posljedica farmakodinamske aktivnosti ramiprila, zabilježeno je izrazito uvećanje jukstaglomerularnog aparata kod pasa i majmuna pri dnevnim dozama od 250 mg/kg/dan. </w:t>
      </w:r>
    </w:p>
    <w:p w14:paraId="1924F88E" w14:textId="2B721A83"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Pacovi, psi i majmuni tolerisali su dnevne doze od 2, 2.5 odnosno 8 mg/kg/dan, bez štetnih dejstava. </w:t>
      </w:r>
    </w:p>
    <w:p w14:paraId="3A602352"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Ispitivanja reproduktivne toksičnosti ramiprila kod pacova, kunića i majmuna nijesu utvrdila postojanje teratogenog dejstva lijeka. </w:t>
      </w:r>
    </w:p>
    <w:p w14:paraId="1537E26C"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Plodnost nije bila oštećena ni kod mužjaka ni kod ženki pacova.</w:t>
      </w:r>
    </w:p>
    <w:p w14:paraId="1BF616B6"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Primjena ramiprila kod ženki pacova tokom fetalnog perioda i tokom laktacije u dnevnim dozama od 50 mg/kg tjelesne mase ili višim, dovodi do ireverzibilnog oštećenja bubrega (proširenje bubrežnih čašica) kod potomstva. </w:t>
      </w:r>
    </w:p>
    <w:p w14:paraId="2B6D56F0" w14:textId="055F4462" w:rsidR="00F0524B" w:rsidRPr="005B51C6" w:rsidRDefault="00F0524B" w:rsidP="00F645E1">
      <w:pPr>
        <w:tabs>
          <w:tab w:val="clear" w:pos="567"/>
          <w:tab w:val="left" w:pos="570"/>
          <w:tab w:val="center" w:pos="4320"/>
          <w:tab w:val="right" w:pos="8640"/>
        </w:tabs>
        <w:jc w:val="both"/>
        <w:rPr>
          <w:szCs w:val="22"/>
          <w:lang w:val="sr-Latn-ME"/>
        </w:rPr>
      </w:pPr>
      <w:r w:rsidRPr="005B51C6">
        <w:rPr>
          <w:szCs w:val="22"/>
          <w:lang w:val="sr-Latn-ME"/>
        </w:rPr>
        <w:t>Ireverzibilno oštećenje bubrega je zabilježeno kod veoma mladih pacova kojima je primijenjena pojedinačna doza ramiprila.</w:t>
      </w:r>
    </w:p>
    <w:p w14:paraId="78C5DDD4" w14:textId="79A78A30"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Opsežno testiranje mutagenosti pomoću nekoliko sistema testiranja, nije pokazalo da ramipril ima mutagena i genotoksična svojstva.</w:t>
      </w:r>
    </w:p>
    <w:p w14:paraId="6A98C666" w14:textId="77777777" w:rsidR="000C7B6F" w:rsidRPr="005B51C6" w:rsidRDefault="000C7B6F" w:rsidP="00F645E1">
      <w:pPr>
        <w:widowControl w:val="0"/>
        <w:rPr>
          <w:szCs w:val="22"/>
          <w:lang w:val="sr-Latn-ME"/>
        </w:rPr>
      </w:pPr>
    </w:p>
    <w:p w14:paraId="020021E8" w14:textId="77777777" w:rsidR="000C7B6F" w:rsidRPr="005B51C6" w:rsidRDefault="000C7B6F" w:rsidP="00F645E1">
      <w:pPr>
        <w:widowControl w:val="0"/>
        <w:rPr>
          <w:szCs w:val="22"/>
          <w:lang w:val="sr-Latn-ME"/>
        </w:rPr>
      </w:pPr>
    </w:p>
    <w:p w14:paraId="5A217581" w14:textId="77777777" w:rsidR="000C7B6F" w:rsidRPr="005B51C6" w:rsidRDefault="00AD382D" w:rsidP="00F645E1">
      <w:pPr>
        <w:widowControl w:val="0"/>
        <w:ind w:left="567" w:hanging="567"/>
        <w:rPr>
          <w:b/>
          <w:szCs w:val="22"/>
          <w:lang w:val="sr-Latn-ME"/>
        </w:rPr>
      </w:pPr>
      <w:r w:rsidRPr="005B51C6">
        <w:rPr>
          <w:b/>
          <w:szCs w:val="22"/>
          <w:lang w:val="sr-Latn-ME"/>
        </w:rPr>
        <w:t>6.</w:t>
      </w:r>
      <w:r w:rsidRPr="005B51C6">
        <w:rPr>
          <w:b/>
          <w:szCs w:val="22"/>
          <w:lang w:val="sr-Latn-ME"/>
        </w:rPr>
        <w:tab/>
        <w:t>FARMACEUTSKI PODACI</w:t>
      </w:r>
    </w:p>
    <w:p w14:paraId="50A5C6DB" w14:textId="77777777" w:rsidR="000C7B6F" w:rsidRPr="005B51C6" w:rsidRDefault="000C7B6F" w:rsidP="00F645E1">
      <w:pPr>
        <w:widowControl w:val="0"/>
        <w:rPr>
          <w:szCs w:val="22"/>
          <w:lang w:val="sr-Latn-ME"/>
        </w:rPr>
      </w:pPr>
    </w:p>
    <w:p w14:paraId="02CAAD1C" w14:textId="04D2A78A" w:rsidR="000C7B6F" w:rsidRPr="005B51C6" w:rsidRDefault="00AD382D" w:rsidP="00F645E1">
      <w:pPr>
        <w:widowControl w:val="0"/>
        <w:ind w:left="567" w:hanging="567"/>
        <w:outlineLvl w:val="0"/>
        <w:rPr>
          <w:b/>
          <w:bCs/>
          <w:szCs w:val="22"/>
          <w:lang w:val="sr-Latn-ME"/>
        </w:rPr>
      </w:pPr>
      <w:r w:rsidRPr="005B51C6">
        <w:rPr>
          <w:b/>
          <w:szCs w:val="22"/>
          <w:lang w:val="sr-Latn-ME"/>
        </w:rPr>
        <w:t>6.1</w:t>
      </w:r>
      <w:r w:rsidRPr="005B51C6">
        <w:rPr>
          <w:b/>
          <w:szCs w:val="22"/>
          <w:lang w:val="sr-Latn-ME"/>
        </w:rPr>
        <w:tab/>
      </w:r>
      <w:r w:rsidRPr="005B51C6">
        <w:rPr>
          <w:b/>
          <w:bCs/>
          <w:szCs w:val="22"/>
          <w:lang w:val="sr-Latn-ME"/>
        </w:rPr>
        <w:t>Lista pomoćnih supstanci (ekscipijenasa)</w:t>
      </w:r>
    </w:p>
    <w:p w14:paraId="2072051E" w14:textId="77777777" w:rsidR="00693BCE" w:rsidRPr="005B51C6" w:rsidRDefault="00693BCE" w:rsidP="00F645E1">
      <w:pPr>
        <w:widowControl w:val="0"/>
        <w:ind w:left="567" w:hanging="567"/>
        <w:outlineLvl w:val="0"/>
        <w:rPr>
          <w:szCs w:val="22"/>
          <w:lang w:val="sr-Latn-ME"/>
        </w:rPr>
      </w:pPr>
    </w:p>
    <w:p w14:paraId="345FADB7" w14:textId="5D15543D" w:rsidR="000C7B6F" w:rsidRPr="005B51C6" w:rsidRDefault="00804405" w:rsidP="00F645E1">
      <w:pPr>
        <w:tabs>
          <w:tab w:val="clear" w:pos="567"/>
          <w:tab w:val="left" w:pos="570"/>
          <w:tab w:val="center" w:pos="4320"/>
          <w:tab w:val="right" w:pos="8640"/>
        </w:tabs>
        <w:jc w:val="both"/>
        <w:rPr>
          <w:szCs w:val="22"/>
          <w:lang w:val="sr-Latn-ME"/>
        </w:rPr>
      </w:pPr>
      <w:r w:rsidRPr="005B51C6">
        <w:rPr>
          <w:szCs w:val="22"/>
          <w:lang w:val="sr-Latn-ME"/>
        </w:rPr>
        <w:t xml:space="preserve">natrijum </w:t>
      </w:r>
      <w:r w:rsidR="00AD382D" w:rsidRPr="005B51C6">
        <w:rPr>
          <w:szCs w:val="22"/>
          <w:lang w:val="sr-Latn-ME"/>
        </w:rPr>
        <w:t>hidrogenkarbonat</w:t>
      </w:r>
    </w:p>
    <w:p w14:paraId="55981535" w14:textId="302BF4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laktoza monohidrat</w:t>
      </w:r>
    </w:p>
    <w:p w14:paraId="467266EC"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eastAsia="hr-HR"/>
        </w:rPr>
        <w:t>kroskarmeloza natrijum</w:t>
      </w:r>
    </w:p>
    <w:p w14:paraId="2DE34F51"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 xml:space="preserve">skrob, preželatinizovan </w:t>
      </w:r>
    </w:p>
    <w:p w14:paraId="04669944"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natrijum stearil fumarat</w:t>
      </w:r>
    </w:p>
    <w:p w14:paraId="6F127A13"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gvožđe oksid, žuti (E172) – samo u tabletama od 2,5 mg i od 5 mg</w:t>
      </w:r>
    </w:p>
    <w:p w14:paraId="32E229D5" w14:textId="77777777" w:rsidR="000C7B6F" w:rsidRPr="005B51C6" w:rsidRDefault="00AD382D" w:rsidP="00F645E1">
      <w:pPr>
        <w:tabs>
          <w:tab w:val="clear" w:pos="567"/>
          <w:tab w:val="left" w:pos="570"/>
          <w:tab w:val="center" w:pos="4320"/>
          <w:tab w:val="right" w:pos="8640"/>
        </w:tabs>
        <w:jc w:val="both"/>
        <w:rPr>
          <w:szCs w:val="22"/>
          <w:lang w:val="sr-Latn-ME"/>
        </w:rPr>
      </w:pPr>
      <w:r w:rsidRPr="005B51C6">
        <w:rPr>
          <w:szCs w:val="22"/>
          <w:lang w:val="sr-Latn-ME"/>
        </w:rPr>
        <w:t>gvožđe oksid, crveni (E172) – samo u tabletama od 5 mg</w:t>
      </w:r>
    </w:p>
    <w:p w14:paraId="296B9ED5" w14:textId="77777777" w:rsidR="000C7B6F" w:rsidRPr="005B51C6" w:rsidRDefault="000C7B6F" w:rsidP="00F645E1">
      <w:pPr>
        <w:widowControl w:val="0"/>
        <w:rPr>
          <w:szCs w:val="22"/>
          <w:lang w:val="sr-Latn-ME"/>
        </w:rPr>
      </w:pPr>
    </w:p>
    <w:p w14:paraId="20B90BAD" w14:textId="77777777" w:rsidR="000C7B6F" w:rsidRPr="005B51C6" w:rsidRDefault="00AD382D" w:rsidP="00F645E1">
      <w:pPr>
        <w:widowControl w:val="0"/>
        <w:ind w:left="567" w:hanging="567"/>
        <w:outlineLvl w:val="0"/>
        <w:rPr>
          <w:szCs w:val="22"/>
          <w:lang w:val="sr-Latn-ME"/>
        </w:rPr>
      </w:pPr>
      <w:r w:rsidRPr="005B51C6">
        <w:rPr>
          <w:b/>
          <w:szCs w:val="22"/>
          <w:lang w:val="sr-Latn-ME"/>
        </w:rPr>
        <w:t>6.2</w:t>
      </w:r>
      <w:r w:rsidRPr="005B51C6">
        <w:rPr>
          <w:b/>
          <w:szCs w:val="22"/>
          <w:lang w:val="sr-Latn-ME"/>
        </w:rPr>
        <w:tab/>
        <w:t>Inkompatibilnosti</w:t>
      </w:r>
    </w:p>
    <w:p w14:paraId="7601AB75" w14:textId="77777777" w:rsidR="000C7B6F" w:rsidRPr="005B51C6" w:rsidRDefault="000C7B6F" w:rsidP="00F645E1">
      <w:pPr>
        <w:widowControl w:val="0"/>
        <w:rPr>
          <w:szCs w:val="22"/>
          <w:lang w:val="sr-Latn-ME"/>
        </w:rPr>
      </w:pPr>
    </w:p>
    <w:p w14:paraId="391BAFE0" w14:textId="518B711A" w:rsidR="000C7B6F" w:rsidRPr="005B51C6" w:rsidRDefault="00CB7E75" w:rsidP="00F645E1">
      <w:pPr>
        <w:widowControl w:val="0"/>
        <w:rPr>
          <w:szCs w:val="22"/>
          <w:lang w:val="sr-Latn-ME"/>
        </w:rPr>
      </w:pPr>
      <w:r w:rsidRPr="005B51C6">
        <w:rPr>
          <w:szCs w:val="22"/>
          <w:lang w:val="sr-Latn-ME"/>
        </w:rPr>
        <w:t>Nije primjenljivo</w:t>
      </w:r>
      <w:r w:rsidR="00AD382D" w:rsidRPr="005B51C6">
        <w:rPr>
          <w:szCs w:val="22"/>
          <w:lang w:val="sr-Latn-ME"/>
        </w:rPr>
        <w:t>.</w:t>
      </w:r>
    </w:p>
    <w:p w14:paraId="7636EE54" w14:textId="77777777" w:rsidR="000C7B6F" w:rsidRPr="005B51C6" w:rsidRDefault="000C7B6F" w:rsidP="00F645E1">
      <w:pPr>
        <w:widowControl w:val="0"/>
        <w:rPr>
          <w:szCs w:val="22"/>
          <w:lang w:val="sr-Latn-ME"/>
        </w:rPr>
      </w:pPr>
    </w:p>
    <w:p w14:paraId="3461F112" w14:textId="77777777" w:rsidR="000C7B6F" w:rsidRPr="005B51C6" w:rsidRDefault="00AD382D" w:rsidP="00F645E1">
      <w:pPr>
        <w:widowControl w:val="0"/>
        <w:ind w:left="567" w:hanging="567"/>
        <w:outlineLvl w:val="0"/>
        <w:rPr>
          <w:szCs w:val="22"/>
          <w:lang w:val="sr-Latn-ME"/>
        </w:rPr>
      </w:pPr>
      <w:r w:rsidRPr="005B51C6">
        <w:rPr>
          <w:b/>
          <w:szCs w:val="22"/>
          <w:lang w:val="sr-Latn-ME"/>
        </w:rPr>
        <w:t>6.3</w:t>
      </w:r>
      <w:r w:rsidRPr="005B51C6">
        <w:rPr>
          <w:b/>
          <w:szCs w:val="22"/>
          <w:lang w:val="sr-Latn-ME"/>
        </w:rPr>
        <w:tab/>
        <w:t>Rok upotrebe</w:t>
      </w:r>
    </w:p>
    <w:p w14:paraId="2C6A1063" w14:textId="77777777" w:rsidR="000C7B6F" w:rsidRPr="005B51C6" w:rsidRDefault="000C7B6F" w:rsidP="00F645E1">
      <w:pPr>
        <w:tabs>
          <w:tab w:val="left" w:pos="284"/>
        </w:tabs>
        <w:jc w:val="both"/>
        <w:rPr>
          <w:rFonts w:eastAsia="TimesNewRoman"/>
          <w:szCs w:val="22"/>
          <w:lang w:val="sr-Latn-ME" w:eastAsia="zh-TW"/>
        </w:rPr>
      </w:pPr>
    </w:p>
    <w:p w14:paraId="6C66F97A" w14:textId="631460F3" w:rsidR="000C7B6F" w:rsidRPr="005B51C6" w:rsidRDefault="00AD382D" w:rsidP="00F645E1">
      <w:pPr>
        <w:tabs>
          <w:tab w:val="left" w:pos="284"/>
        </w:tabs>
        <w:jc w:val="both"/>
        <w:rPr>
          <w:rFonts w:eastAsia="TimesNewRoman"/>
          <w:szCs w:val="22"/>
          <w:lang w:val="sr-Latn-ME" w:eastAsia="zh-TW"/>
        </w:rPr>
      </w:pPr>
      <w:r w:rsidRPr="005B51C6">
        <w:rPr>
          <w:rFonts w:eastAsia="TimesNewRoman"/>
          <w:szCs w:val="22"/>
          <w:lang w:val="sr-Latn-ME" w:eastAsia="zh-TW"/>
        </w:rPr>
        <w:t>3 godine</w:t>
      </w:r>
    </w:p>
    <w:p w14:paraId="457DBCED" w14:textId="77777777" w:rsidR="000C7B6F" w:rsidRPr="005B51C6" w:rsidRDefault="000C7B6F" w:rsidP="00F645E1">
      <w:pPr>
        <w:tabs>
          <w:tab w:val="left" w:pos="284"/>
        </w:tabs>
        <w:jc w:val="both"/>
        <w:rPr>
          <w:rFonts w:eastAsia="TimesNewRoman"/>
          <w:szCs w:val="22"/>
          <w:lang w:val="sr-Latn-ME" w:eastAsia="zh-TW"/>
        </w:rPr>
      </w:pPr>
    </w:p>
    <w:p w14:paraId="0F331A08" w14:textId="77777777" w:rsidR="000C7B6F" w:rsidRPr="005B51C6" w:rsidRDefault="00AD382D" w:rsidP="00F645E1">
      <w:pPr>
        <w:widowControl w:val="0"/>
        <w:ind w:left="567" w:hanging="567"/>
        <w:outlineLvl w:val="0"/>
        <w:rPr>
          <w:szCs w:val="22"/>
          <w:lang w:val="sr-Latn-ME"/>
        </w:rPr>
      </w:pPr>
      <w:r w:rsidRPr="005B51C6">
        <w:rPr>
          <w:b/>
          <w:szCs w:val="22"/>
          <w:lang w:val="sr-Latn-ME"/>
        </w:rPr>
        <w:t>6.4</w:t>
      </w:r>
      <w:r w:rsidRPr="005B51C6">
        <w:rPr>
          <w:b/>
          <w:szCs w:val="22"/>
          <w:lang w:val="sr-Latn-ME"/>
        </w:rPr>
        <w:tab/>
        <w:t>Posebne mjere upozorenja pri čuvanju lijeka</w:t>
      </w:r>
    </w:p>
    <w:p w14:paraId="367A6665" w14:textId="77777777" w:rsidR="000C7B6F" w:rsidRPr="005B51C6" w:rsidRDefault="000C7B6F" w:rsidP="00F645E1">
      <w:pPr>
        <w:widowControl w:val="0"/>
        <w:outlineLvl w:val="0"/>
        <w:rPr>
          <w:szCs w:val="22"/>
          <w:lang w:val="sr-Latn-ME"/>
        </w:rPr>
      </w:pPr>
    </w:p>
    <w:p w14:paraId="10B70118" w14:textId="77777777" w:rsidR="000C7B6F" w:rsidRPr="005B51C6" w:rsidRDefault="00AD382D" w:rsidP="00F645E1">
      <w:pPr>
        <w:autoSpaceDE w:val="0"/>
        <w:autoSpaceDN w:val="0"/>
        <w:adjustRightInd w:val="0"/>
        <w:jc w:val="both"/>
        <w:rPr>
          <w:rFonts w:eastAsia="TimesNewRoman"/>
          <w:szCs w:val="22"/>
          <w:lang w:val="sr-Latn-ME" w:eastAsia="zh-TW"/>
        </w:rPr>
      </w:pPr>
      <w:r w:rsidRPr="005B51C6">
        <w:rPr>
          <w:rFonts w:eastAsia="TimesNewRoman"/>
          <w:szCs w:val="22"/>
          <w:lang w:val="sr-Latn-ME" w:eastAsia="zh-TW"/>
        </w:rPr>
        <w:t>Lijek čuvati na temperaturi do 25ºC, u originalnom pakovanju, radi zaštite od vlage.</w:t>
      </w:r>
    </w:p>
    <w:p w14:paraId="55221B6E" w14:textId="77777777" w:rsidR="000C7B6F" w:rsidRPr="005B51C6" w:rsidRDefault="000C7B6F" w:rsidP="00F645E1">
      <w:pPr>
        <w:widowControl w:val="0"/>
        <w:rPr>
          <w:szCs w:val="22"/>
          <w:lang w:val="sr-Latn-ME"/>
        </w:rPr>
      </w:pPr>
    </w:p>
    <w:p w14:paraId="0894338E" w14:textId="77777777" w:rsidR="00EA5B3D" w:rsidRDefault="00EA5B3D" w:rsidP="00F645E1">
      <w:pPr>
        <w:widowControl w:val="0"/>
        <w:outlineLvl w:val="0"/>
        <w:rPr>
          <w:b/>
          <w:szCs w:val="22"/>
          <w:lang w:val="sr-Latn-ME"/>
        </w:rPr>
      </w:pPr>
    </w:p>
    <w:p w14:paraId="7467B033" w14:textId="77777777" w:rsidR="00EA5B3D" w:rsidRDefault="00EA5B3D" w:rsidP="00F645E1">
      <w:pPr>
        <w:widowControl w:val="0"/>
        <w:outlineLvl w:val="0"/>
        <w:rPr>
          <w:b/>
          <w:szCs w:val="22"/>
          <w:lang w:val="sr-Latn-ME"/>
        </w:rPr>
      </w:pPr>
    </w:p>
    <w:p w14:paraId="188336B6" w14:textId="646AE889" w:rsidR="000C7B6F" w:rsidRPr="005B51C6" w:rsidRDefault="00AD382D" w:rsidP="00F645E1">
      <w:pPr>
        <w:widowControl w:val="0"/>
        <w:outlineLvl w:val="0"/>
        <w:rPr>
          <w:b/>
          <w:szCs w:val="22"/>
          <w:lang w:val="sr-Latn-ME"/>
        </w:rPr>
      </w:pPr>
      <w:bookmarkStart w:id="11" w:name="_GoBack"/>
      <w:bookmarkEnd w:id="11"/>
      <w:r w:rsidRPr="005B51C6">
        <w:rPr>
          <w:b/>
          <w:szCs w:val="22"/>
          <w:lang w:val="sr-Latn-ME"/>
        </w:rPr>
        <w:lastRenderedPageBreak/>
        <w:t>6.5</w:t>
      </w:r>
      <w:r w:rsidRPr="005B51C6">
        <w:rPr>
          <w:b/>
          <w:szCs w:val="22"/>
          <w:lang w:val="sr-Latn-ME"/>
        </w:rPr>
        <w:tab/>
        <w:t>Vrsta i sadržaj pakovanja</w:t>
      </w:r>
    </w:p>
    <w:p w14:paraId="7CD69F3B" w14:textId="77777777" w:rsidR="000C7B6F" w:rsidRPr="005B51C6" w:rsidRDefault="000C7B6F" w:rsidP="00F645E1">
      <w:pPr>
        <w:widowControl w:val="0"/>
        <w:outlineLvl w:val="0"/>
        <w:rPr>
          <w:b/>
          <w:szCs w:val="22"/>
          <w:lang w:val="sr-Latn-ME"/>
        </w:rPr>
      </w:pPr>
    </w:p>
    <w:p w14:paraId="50A7A6B3" w14:textId="1FD841A4" w:rsidR="000C7B6F" w:rsidRPr="005B51C6" w:rsidRDefault="00CB7E75" w:rsidP="00F645E1">
      <w:pPr>
        <w:tabs>
          <w:tab w:val="left" w:pos="284"/>
        </w:tabs>
        <w:jc w:val="both"/>
        <w:rPr>
          <w:rFonts w:eastAsia="TimesNewRoman"/>
          <w:szCs w:val="22"/>
          <w:lang w:val="sr-Latn-ME" w:eastAsia="zh-TW"/>
        </w:rPr>
      </w:pPr>
      <w:r w:rsidRPr="005B51C6">
        <w:rPr>
          <w:rFonts w:eastAsia="TimesNewRoman"/>
          <w:szCs w:val="22"/>
          <w:lang w:val="sr-Latn-ME" w:eastAsia="zh-TW"/>
        </w:rPr>
        <w:t>Unutrašnje pakovanje je b</w:t>
      </w:r>
      <w:r w:rsidR="00AD382D" w:rsidRPr="005B51C6">
        <w:rPr>
          <w:rFonts w:eastAsia="TimesNewRoman"/>
          <w:szCs w:val="22"/>
          <w:lang w:val="sr-Latn-ME" w:eastAsia="zh-TW"/>
        </w:rPr>
        <w:t>lister (</w:t>
      </w:r>
      <w:r w:rsidR="00AD382D" w:rsidRPr="005B51C6">
        <w:rPr>
          <w:szCs w:val="22"/>
          <w:lang w:val="sr-Latn-ME"/>
        </w:rPr>
        <w:t>OPA/Al/PVC/AL</w:t>
      </w:r>
      <w:r w:rsidR="00AD382D" w:rsidRPr="005B51C6">
        <w:rPr>
          <w:rFonts w:eastAsia="TimesNewRoman"/>
          <w:szCs w:val="22"/>
          <w:lang w:val="sr-Latn-ME" w:eastAsia="zh-TW"/>
        </w:rPr>
        <w:t>)</w:t>
      </w:r>
      <w:r w:rsidRPr="005B51C6">
        <w:rPr>
          <w:rFonts w:eastAsia="TimesNewRoman"/>
          <w:szCs w:val="22"/>
          <w:lang w:val="sr-Latn-ME" w:eastAsia="zh-TW"/>
        </w:rPr>
        <w:t xml:space="preserve"> sa 10 tableta.</w:t>
      </w:r>
    </w:p>
    <w:p w14:paraId="4AB2FC11" w14:textId="465AF19E" w:rsidR="000C7B6F" w:rsidRPr="005B51C6" w:rsidRDefault="00CB7E75" w:rsidP="00F645E1">
      <w:pPr>
        <w:tabs>
          <w:tab w:val="left" w:pos="284"/>
        </w:tabs>
        <w:jc w:val="both"/>
        <w:rPr>
          <w:rFonts w:eastAsia="TimesNewRoman"/>
          <w:szCs w:val="22"/>
          <w:lang w:val="sr-Latn-ME" w:eastAsia="zh-TW"/>
        </w:rPr>
      </w:pPr>
      <w:r w:rsidRPr="005B51C6">
        <w:rPr>
          <w:rFonts w:eastAsia="TimesNewRoman"/>
          <w:szCs w:val="22"/>
          <w:lang w:val="sr-Latn-ME" w:eastAsia="zh-TW"/>
        </w:rPr>
        <w:t>Spoljašnje pakovanje je složiva kartonska kutija sa 3 blistera (ukupno 30 tableta) i Uputstvom za lijek.</w:t>
      </w:r>
    </w:p>
    <w:p w14:paraId="4F7CE640" w14:textId="77777777" w:rsidR="000C7B6F" w:rsidRPr="005B51C6" w:rsidRDefault="000C7B6F" w:rsidP="00F645E1">
      <w:pPr>
        <w:widowControl w:val="0"/>
        <w:rPr>
          <w:szCs w:val="22"/>
          <w:lang w:val="sr-Latn-ME"/>
        </w:rPr>
      </w:pPr>
    </w:p>
    <w:p w14:paraId="059A096F" w14:textId="77777777" w:rsidR="000C7B6F" w:rsidRPr="005B51C6" w:rsidRDefault="00AD382D" w:rsidP="00F645E1">
      <w:pPr>
        <w:widowControl w:val="0"/>
        <w:outlineLvl w:val="0"/>
        <w:rPr>
          <w:b/>
          <w:bCs/>
          <w:szCs w:val="22"/>
          <w:lang w:val="sr-Latn-ME"/>
        </w:rPr>
      </w:pPr>
      <w:r w:rsidRPr="005B51C6">
        <w:rPr>
          <w:b/>
          <w:szCs w:val="22"/>
          <w:lang w:val="sr-Latn-ME"/>
        </w:rPr>
        <w:t>6.6</w:t>
      </w:r>
      <w:r w:rsidRPr="005B51C6">
        <w:rPr>
          <w:b/>
          <w:szCs w:val="22"/>
          <w:lang w:val="sr-Latn-ME"/>
        </w:rPr>
        <w:tab/>
      </w:r>
      <w:r w:rsidRPr="005B51C6">
        <w:rPr>
          <w:b/>
          <w:bCs/>
          <w:szCs w:val="22"/>
          <w:lang w:val="sr-Latn-ME"/>
        </w:rPr>
        <w:t>Posebne mjere opreza pri odlaganju materijala koji treba odbaciti nakon primjene</w:t>
      </w:r>
      <w:bookmarkStart w:id="12" w:name="OLE_LINK2"/>
    </w:p>
    <w:bookmarkEnd w:id="12"/>
    <w:p w14:paraId="0168952F" w14:textId="77777777" w:rsidR="000C7B6F" w:rsidRPr="005B51C6" w:rsidRDefault="00AD382D" w:rsidP="00F645E1">
      <w:pPr>
        <w:widowControl w:val="0"/>
        <w:outlineLvl w:val="0"/>
        <w:rPr>
          <w:szCs w:val="22"/>
          <w:lang w:val="sr-Latn-ME"/>
        </w:rPr>
      </w:pPr>
      <w:r w:rsidRPr="005B51C6">
        <w:rPr>
          <w:b/>
          <w:bCs/>
          <w:szCs w:val="22"/>
          <w:lang w:val="sr-Latn-ME"/>
        </w:rPr>
        <w:t>lijeka (i druga uputstva za rukovanje lijekom)</w:t>
      </w:r>
    </w:p>
    <w:p w14:paraId="242FE5D9" w14:textId="77777777" w:rsidR="000C7B6F" w:rsidRPr="005B51C6" w:rsidRDefault="000C7B6F" w:rsidP="00F645E1">
      <w:pPr>
        <w:widowControl w:val="0"/>
        <w:rPr>
          <w:szCs w:val="22"/>
          <w:lang w:val="sr-Latn-ME"/>
        </w:rPr>
      </w:pPr>
    </w:p>
    <w:p w14:paraId="5C916B08" w14:textId="77777777" w:rsidR="000C7B6F" w:rsidRPr="005B51C6" w:rsidRDefault="00AD382D" w:rsidP="00F645E1">
      <w:pPr>
        <w:widowControl w:val="0"/>
        <w:rPr>
          <w:szCs w:val="22"/>
          <w:lang w:val="sr-Latn-ME"/>
        </w:rPr>
      </w:pPr>
      <w:r w:rsidRPr="005B51C6">
        <w:rPr>
          <w:szCs w:val="22"/>
          <w:lang w:val="sr-Latn-ME"/>
        </w:rPr>
        <w:t>Neupotrijebljeni lijek se uništava u skladu sa važećim propisima.</w:t>
      </w:r>
    </w:p>
    <w:p w14:paraId="51C3F5E6" w14:textId="77777777" w:rsidR="000C7B6F" w:rsidRPr="005B51C6" w:rsidRDefault="000C7B6F" w:rsidP="00F645E1">
      <w:pPr>
        <w:widowControl w:val="0"/>
        <w:rPr>
          <w:szCs w:val="22"/>
          <w:lang w:val="sr-Latn-ME"/>
        </w:rPr>
      </w:pPr>
    </w:p>
    <w:p w14:paraId="65BD4E92" w14:textId="77777777" w:rsidR="000C7B6F" w:rsidRPr="005B51C6" w:rsidRDefault="000C7B6F" w:rsidP="00F645E1">
      <w:pPr>
        <w:widowControl w:val="0"/>
        <w:rPr>
          <w:szCs w:val="22"/>
          <w:lang w:val="sr-Latn-ME"/>
        </w:rPr>
      </w:pPr>
    </w:p>
    <w:p w14:paraId="2A7C24F6" w14:textId="77777777" w:rsidR="000C7B6F" w:rsidRPr="005B51C6" w:rsidRDefault="00AD382D" w:rsidP="00F645E1">
      <w:pPr>
        <w:widowControl w:val="0"/>
        <w:ind w:left="567" w:hanging="567"/>
        <w:rPr>
          <w:szCs w:val="22"/>
          <w:lang w:val="sr-Latn-ME"/>
        </w:rPr>
      </w:pPr>
      <w:r w:rsidRPr="005B51C6">
        <w:rPr>
          <w:b/>
          <w:szCs w:val="22"/>
          <w:lang w:val="sr-Latn-ME"/>
        </w:rPr>
        <w:t>7.</w:t>
      </w:r>
      <w:r w:rsidRPr="005B51C6">
        <w:rPr>
          <w:b/>
          <w:szCs w:val="22"/>
          <w:lang w:val="sr-Latn-ME"/>
        </w:rPr>
        <w:tab/>
      </w:r>
      <w:r w:rsidRPr="005B51C6">
        <w:rPr>
          <w:b/>
          <w:bCs/>
          <w:szCs w:val="22"/>
          <w:lang w:val="sr-Latn-ME"/>
        </w:rPr>
        <w:t>NOSILAC DOZVOLE</w:t>
      </w:r>
    </w:p>
    <w:p w14:paraId="77A2B6BF" w14:textId="77777777" w:rsidR="000C7B6F" w:rsidRPr="005B51C6" w:rsidRDefault="000C7B6F" w:rsidP="00F645E1">
      <w:pPr>
        <w:widowControl w:val="0"/>
        <w:rPr>
          <w:szCs w:val="22"/>
          <w:lang w:val="sr-Latn-ME"/>
        </w:rPr>
      </w:pPr>
    </w:p>
    <w:p w14:paraId="3849C53C" w14:textId="77777777" w:rsidR="000C7B6F" w:rsidRPr="005B51C6" w:rsidRDefault="00AD382D" w:rsidP="00F645E1">
      <w:pPr>
        <w:autoSpaceDE w:val="0"/>
        <w:autoSpaceDN w:val="0"/>
        <w:adjustRightInd w:val="0"/>
        <w:ind w:left="1985" w:hanging="1985"/>
        <w:jc w:val="both"/>
        <w:rPr>
          <w:szCs w:val="22"/>
          <w:lang w:val="sr-Latn-ME"/>
        </w:rPr>
      </w:pPr>
      <w:r w:rsidRPr="005B51C6">
        <w:rPr>
          <w:szCs w:val="22"/>
          <w:lang w:val="sr-Latn-ME"/>
        </w:rPr>
        <w:t>DSD „KRKA, d.d., Novo mesto“ - predstavništvo Podgorica,</w:t>
      </w:r>
    </w:p>
    <w:p w14:paraId="01204E6A" w14:textId="77777777" w:rsidR="000C7B6F" w:rsidRPr="005B51C6" w:rsidRDefault="00AD382D" w:rsidP="00F645E1">
      <w:pPr>
        <w:autoSpaceDE w:val="0"/>
        <w:autoSpaceDN w:val="0"/>
        <w:adjustRightInd w:val="0"/>
        <w:ind w:right="71"/>
        <w:rPr>
          <w:szCs w:val="22"/>
          <w:lang w:val="sr-Latn-ME"/>
        </w:rPr>
      </w:pPr>
      <w:r w:rsidRPr="005B51C6">
        <w:rPr>
          <w:szCs w:val="22"/>
          <w:lang w:val="sr-Latn-ME"/>
        </w:rPr>
        <w:t>Svetlane Kane Radević br. 3, 81000 Podgorica, Crna Gora</w:t>
      </w:r>
    </w:p>
    <w:p w14:paraId="21DF4620" w14:textId="4F75CF42" w:rsidR="000C7B6F" w:rsidRPr="005B51C6" w:rsidRDefault="000C7B6F" w:rsidP="00F645E1">
      <w:pPr>
        <w:widowControl w:val="0"/>
        <w:rPr>
          <w:szCs w:val="22"/>
          <w:lang w:val="sr-Latn-ME"/>
        </w:rPr>
      </w:pPr>
    </w:p>
    <w:p w14:paraId="27E7A9BB" w14:textId="77777777" w:rsidR="00263612" w:rsidRPr="005B51C6" w:rsidRDefault="00263612" w:rsidP="00F645E1">
      <w:pPr>
        <w:tabs>
          <w:tab w:val="clear" w:pos="567"/>
          <w:tab w:val="left" w:pos="540"/>
          <w:tab w:val="left" w:pos="569"/>
        </w:tabs>
        <w:rPr>
          <w:b/>
          <w:bCs/>
          <w:szCs w:val="22"/>
          <w:lang w:val="sr-Latn-ME"/>
        </w:rPr>
      </w:pPr>
    </w:p>
    <w:p w14:paraId="0D920348" w14:textId="4BFDD3BB" w:rsidR="000C7B6F" w:rsidRPr="005B51C6" w:rsidRDefault="00AD382D" w:rsidP="00F645E1">
      <w:pPr>
        <w:tabs>
          <w:tab w:val="clear" w:pos="567"/>
          <w:tab w:val="left" w:pos="540"/>
          <w:tab w:val="left" w:pos="569"/>
        </w:tabs>
        <w:rPr>
          <w:b/>
          <w:bCs/>
          <w:szCs w:val="22"/>
          <w:lang w:val="sr-Latn-ME"/>
        </w:rPr>
      </w:pPr>
      <w:r w:rsidRPr="005B51C6">
        <w:rPr>
          <w:b/>
          <w:bCs/>
          <w:szCs w:val="22"/>
          <w:lang w:val="sr-Latn-ME"/>
        </w:rPr>
        <w:t xml:space="preserve">8. </w:t>
      </w:r>
      <w:r w:rsidRPr="005B51C6">
        <w:rPr>
          <w:b/>
          <w:bCs/>
          <w:szCs w:val="22"/>
          <w:lang w:val="sr-Latn-ME"/>
        </w:rPr>
        <w:tab/>
        <w:t>BROJ DOZVOLE ZA STAVLJANJE LIJEKA U PROMET</w:t>
      </w:r>
    </w:p>
    <w:p w14:paraId="63B08592" w14:textId="77777777" w:rsidR="00263612" w:rsidRPr="005B51C6" w:rsidRDefault="00263612" w:rsidP="00F645E1">
      <w:pPr>
        <w:tabs>
          <w:tab w:val="clear" w:pos="567"/>
          <w:tab w:val="left" w:pos="540"/>
          <w:tab w:val="left" w:pos="569"/>
        </w:tabs>
        <w:rPr>
          <w:b/>
          <w:bCs/>
          <w:szCs w:val="22"/>
          <w:lang w:val="sr-Latn-ME"/>
        </w:rPr>
      </w:pPr>
    </w:p>
    <w:p w14:paraId="2E8FA313" w14:textId="38FEAFA9" w:rsidR="00650F56" w:rsidRPr="005B51C6" w:rsidRDefault="00263612" w:rsidP="00F645E1">
      <w:pPr>
        <w:tabs>
          <w:tab w:val="clear" w:pos="567"/>
          <w:tab w:val="left" w:pos="540"/>
          <w:tab w:val="left" w:pos="569"/>
        </w:tabs>
        <w:rPr>
          <w:rFonts w:ascii="TimesNewRoman" w:eastAsia="TimesNewRoman" w:cs="TimesNewRoman"/>
          <w:szCs w:val="22"/>
          <w:lang w:val="sr-Latn-ME" w:eastAsia="sl-SI"/>
        </w:rPr>
      </w:pPr>
      <w:r w:rsidRPr="005B51C6">
        <w:rPr>
          <w:szCs w:val="22"/>
          <w:lang w:val="sr-Latn-ME"/>
        </w:rPr>
        <w:t>Ampril, tableta, 1,25 mg, blister, 30 (3x</w:t>
      </w:r>
      <w:r w:rsidR="00F645E1" w:rsidRPr="005B51C6">
        <w:rPr>
          <w:szCs w:val="22"/>
          <w:lang w:val="sr-Latn-ME"/>
        </w:rPr>
        <w:t xml:space="preserve">10) tableta: </w:t>
      </w:r>
      <w:r w:rsidR="00650F56" w:rsidRPr="005B51C6">
        <w:rPr>
          <w:szCs w:val="22"/>
          <w:lang w:val="sr-Latn-ME"/>
        </w:rPr>
        <w:t>2030/24/6581 – 3965</w:t>
      </w:r>
    </w:p>
    <w:p w14:paraId="67B23988" w14:textId="723506D5" w:rsidR="00650F56" w:rsidRPr="005B51C6" w:rsidRDefault="00263612" w:rsidP="00F645E1">
      <w:pPr>
        <w:tabs>
          <w:tab w:val="clear" w:pos="567"/>
          <w:tab w:val="left" w:pos="540"/>
          <w:tab w:val="left" w:pos="569"/>
        </w:tabs>
        <w:rPr>
          <w:szCs w:val="22"/>
          <w:lang w:val="sr-Latn-ME"/>
        </w:rPr>
      </w:pPr>
      <w:r w:rsidRPr="005B51C6">
        <w:rPr>
          <w:szCs w:val="22"/>
          <w:lang w:val="sr-Latn-ME"/>
        </w:rPr>
        <w:t>Ampril, tableta, 2,5 mg, blister, 30 (3x</w:t>
      </w:r>
      <w:r w:rsidR="00F645E1" w:rsidRPr="005B51C6">
        <w:rPr>
          <w:szCs w:val="22"/>
          <w:lang w:val="sr-Latn-ME"/>
        </w:rPr>
        <w:t xml:space="preserve">10) tableta: </w:t>
      </w:r>
      <w:r w:rsidR="00650F56" w:rsidRPr="005B51C6">
        <w:rPr>
          <w:szCs w:val="22"/>
          <w:lang w:val="sr-Latn-ME"/>
        </w:rPr>
        <w:t>2030/24/6582 – 3966</w:t>
      </w:r>
    </w:p>
    <w:p w14:paraId="0316125D" w14:textId="02411B41" w:rsidR="00650F56" w:rsidRPr="005B51C6" w:rsidRDefault="00263612" w:rsidP="00F645E1">
      <w:pPr>
        <w:tabs>
          <w:tab w:val="clear" w:pos="567"/>
          <w:tab w:val="left" w:pos="540"/>
          <w:tab w:val="left" w:pos="569"/>
        </w:tabs>
        <w:rPr>
          <w:szCs w:val="22"/>
          <w:lang w:val="sr-Latn-ME"/>
        </w:rPr>
      </w:pPr>
      <w:r w:rsidRPr="005B51C6">
        <w:rPr>
          <w:szCs w:val="22"/>
          <w:lang w:val="sr-Latn-ME"/>
        </w:rPr>
        <w:t>Ampril, tableta, 5 mg, blister, 30 (3x</w:t>
      </w:r>
      <w:r w:rsidR="00F645E1" w:rsidRPr="005B51C6">
        <w:rPr>
          <w:szCs w:val="22"/>
          <w:lang w:val="sr-Latn-ME"/>
        </w:rPr>
        <w:t xml:space="preserve">10) tableta: </w:t>
      </w:r>
      <w:r w:rsidR="00F81047" w:rsidRPr="005B51C6">
        <w:rPr>
          <w:szCs w:val="22"/>
          <w:lang w:val="sr-Latn-ME"/>
        </w:rPr>
        <w:t>2030/24/6583 – 3967</w:t>
      </w:r>
    </w:p>
    <w:p w14:paraId="46387D81" w14:textId="37E15B8F" w:rsidR="000C7B6F" w:rsidRPr="005B51C6" w:rsidRDefault="00263612" w:rsidP="00F645E1">
      <w:pPr>
        <w:tabs>
          <w:tab w:val="clear" w:pos="567"/>
          <w:tab w:val="left" w:pos="540"/>
          <w:tab w:val="left" w:pos="569"/>
        </w:tabs>
        <w:rPr>
          <w:b/>
          <w:bCs/>
          <w:szCs w:val="22"/>
          <w:lang w:val="sr-Latn-ME"/>
        </w:rPr>
      </w:pPr>
      <w:r w:rsidRPr="005B51C6">
        <w:rPr>
          <w:szCs w:val="22"/>
          <w:lang w:val="sr-Latn-ME"/>
        </w:rPr>
        <w:t>Ampril, tableta, 10 mg, blister, 30 (3x</w:t>
      </w:r>
      <w:r w:rsidR="00F645E1" w:rsidRPr="005B51C6">
        <w:rPr>
          <w:szCs w:val="22"/>
          <w:lang w:val="sr-Latn-ME"/>
        </w:rPr>
        <w:t>10) tableta:</w:t>
      </w:r>
      <w:r w:rsidR="00F81047" w:rsidRPr="005B51C6">
        <w:rPr>
          <w:szCs w:val="22"/>
          <w:lang w:val="sr-Latn-ME"/>
        </w:rPr>
        <w:t xml:space="preserve"> 2030/24/6584 – 3968</w:t>
      </w:r>
    </w:p>
    <w:p w14:paraId="003397C8" w14:textId="77777777" w:rsidR="000C7B6F" w:rsidRPr="005B51C6" w:rsidRDefault="000C7B6F" w:rsidP="00F645E1">
      <w:pPr>
        <w:tabs>
          <w:tab w:val="clear" w:pos="567"/>
          <w:tab w:val="left" w:pos="540"/>
          <w:tab w:val="left" w:pos="569"/>
        </w:tabs>
        <w:rPr>
          <w:b/>
          <w:bCs/>
          <w:szCs w:val="22"/>
          <w:lang w:val="sr-Latn-ME"/>
        </w:rPr>
      </w:pPr>
    </w:p>
    <w:p w14:paraId="01EF9DEE" w14:textId="77777777" w:rsidR="00650F56" w:rsidRPr="005B51C6" w:rsidRDefault="00650F56" w:rsidP="00F645E1">
      <w:pPr>
        <w:tabs>
          <w:tab w:val="clear" w:pos="567"/>
          <w:tab w:val="left" w:pos="540"/>
          <w:tab w:val="left" w:pos="569"/>
        </w:tabs>
        <w:rPr>
          <w:b/>
          <w:bCs/>
          <w:szCs w:val="22"/>
          <w:lang w:val="sr-Latn-ME"/>
        </w:rPr>
      </w:pPr>
    </w:p>
    <w:p w14:paraId="565285EF" w14:textId="055AA81A" w:rsidR="000C7B6F" w:rsidRPr="005B51C6" w:rsidRDefault="00AD382D" w:rsidP="00F645E1">
      <w:pPr>
        <w:tabs>
          <w:tab w:val="clear" w:pos="567"/>
          <w:tab w:val="left" w:pos="540"/>
          <w:tab w:val="left" w:pos="569"/>
        </w:tabs>
        <w:rPr>
          <w:b/>
          <w:bCs/>
          <w:szCs w:val="22"/>
          <w:lang w:val="sr-Latn-ME"/>
        </w:rPr>
      </w:pPr>
      <w:r w:rsidRPr="005B51C6">
        <w:rPr>
          <w:b/>
          <w:bCs/>
          <w:szCs w:val="22"/>
          <w:lang w:val="sr-Latn-ME"/>
        </w:rPr>
        <w:t xml:space="preserve">9. </w:t>
      </w:r>
      <w:r w:rsidRPr="005B51C6">
        <w:rPr>
          <w:b/>
          <w:bCs/>
          <w:szCs w:val="22"/>
          <w:lang w:val="sr-Latn-ME"/>
        </w:rPr>
        <w:tab/>
        <w:t>DATUM PRVE DOZVOLE/ OBNOVE DOZVOLE ZA STAVLJANJE LIJEKA U PROMET</w:t>
      </w:r>
    </w:p>
    <w:p w14:paraId="281EDF46" w14:textId="77777777" w:rsidR="00650F56" w:rsidRPr="005B51C6" w:rsidRDefault="00650F56" w:rsidP="00F645E1">
      <w:pPr>
        <w:tabs>
          <w:tab w:val="clear" w:pos="567"/>
          <w:tab w:val="left" w:pos="540"/>
          <w:tab w:val="left" w:pos="569"/>
        </w:tabs>
        <w:rPr>
          <w:b/>
          <w:bCs/>
          <w:szCs w:val="22"/>
          <w:lang w:val="sr-Latn-ME"/>
        </w:rPr>
      </w:pPr>
    </w:p>
    <w:p w14:paraId="52EC88A8" w14:textId="77777777" w:rsidR="00650F56" w:rsidRPr="005B51C6" w:rsidRDefault="00804405" w:rsidP="00F645E1">
      <w:pPr>
        <w:tabs>
          <w:tab w:val="clear" w:pos="567"/>
          <w:tab w:val="left" w:pos="540"/>
          <w:tab w:val="left" w:pos="569"/>
        </w:tabs>
        <w:rPr>
          <w:szCs w:val="22"/>
          <w:lang w:val="sr-Latn-ME" w:eastAsia="sr-Latn-ME"/>
        </w:rPr>
      </w:pPr>
      <w:r w:rsidRPr="005B51C6">
        <w:rPr>
          <w:szCs w:val="22"/>
          <w:lang w:val="sr-Latn-ME" w:eastAsia="sr-Latn-ME"/>
        </w:rPr>
        <w:t xml:space="preserve">Datum prve dozvole: </w:t>
      </w:r>
      <w:r w:rsidR="00F645E1" w:rsidRPr="005B51C6">
        <w:rPr>
          <w:szCs w:val="22"/>
          <w:lang w:val="sr-Latn-ME" w:eastAsia="sr-Latn-ME"/>
        </w:rPr>
        <w:t>03.12.2015. godine</w:t>
      </w:r>
    </w:p>
    <w:p w14:paraId="3299F032" w14:textId="22359D2D" w:rsidR="00804405" w:rsidRPr="005B51C6" w:rsidRDefault="00804405" w:rsidP="00F645E1">
      <w:pPr>
        <w:tabs>
          <w:tab w:val="clear" w:pos="567"/>
          <w:tab w:val="left" w:pos="540"/>
          <w:tab w:val="left" w:pos="569"/>
        </w:tabs>
        <w:rPr>
          <w:bCs/>
          <w:szCs w:val="22"/>
          <w:lang w:val="sr-Latn-ME"/>
        </w:rPr>
      </w:pPr>
      <w:r w:rsidRPr="005B51C6">
        <w:rPr>
          <w:szCs w:val="22"/>
          <w:lang w:val="sr-Latn-ME" w:eastAsia="sr-Latn-ME"/>
        </w:rPr>
        <w:t xml:space="preserve">Datum poslednje obnove dozvole: </w:t>
      </w:r>
      <w:r w:rsidR="00650F56" w:rsidRPr="005B51C6">
        <w:rPr>
          <w:szCs w:val="22"/>
          <w:lang w:val="sr-Latn-ME" w:eastAsia="sr-Latn-ME"/>
        </w:rPr>
        <w:t>10.12.2024. godine</w:t>
      </w:r>
    </w:p>
    <w:p w14:paraId="05202077" w14:textId="09F573BA" w:rsidR="000C7B6F" w:rsidRPr="005B51C6" w:rsidRDefault="000C7B6F" w:rsidP="00F645E1">
      <w:pPr>
        <w:tabs>
          <w:tab w:val="clear" w:pos="567"/>
          <w:tab w:val="left" w:pos="540"/>
          <w:tab w:val="left" w:pos="569"/>
        </w:tabs>
        <w:rPr>
          <w:bCs/>
          <w:szCs w:val="22"/>
          <w:lang w:val="sr-Latn-ME"/>
        </w:rPr>
      </w:pPr>
    </w:p>
    <w:p w14:paraId="2865521B" w14:textId="77777777" w:rsidR="00F645E1" w:rsidRPr="005B51C6" w:rsidRDefault="00F645E1" w:rsidP="00F645E1">
      <w:pPr>
        <w:tabs>
          <w:tab w:val="clear" w:pos="567"/>
          <w:tab w:val="left" w:pos="540"/>
          <w:tab w:val="left" w:pos="569"/>
        </w:tabs>
        <w:rPr>
          <w:bCs/>
          <w:szCs w:val="22"/>
          <w:lang w:val="sr-Latn-ME"/>
        </w:rPr>
      </w:pPr>
    </w:p>
    <w:p w14:paraId="3C8A31B3" w14:textId="77777777" w:rsidR="000C7B6F" w:rsidRPr="005B51C6" w:rsidRDefault="00AD382D" w:rsidP="00F645E1">
      <w:pPr>
        <w:tabs>
          <w:tab w:val="clear" w:pos="567"/>
          <w:tab w:val="left" w:pos="540"/>
          <w:tab w:val="left" w:pos="569"/>
        </w:tabs>
        <w:ind w:left="540" w:hanging="540"/>
        <w:rPr>
          <w:b/>
          <w:bCs/>
          <w:szCs w:val="22"/>
          <w:lang w:val="sr-Latn-ME"/>
        </w:rPr>
      </w:pPr>
      <w:r w:rsidRPr="005B51C6">
        <w:rPr>
          <w:b/>
          <w:bCs/>
          <w:szCs w:val="22"/>
          <w:lang w:val="sr-Latn-ME"/>
        </w:rPr>
        <w:t xml:space="preserve">10. </w:t>
      </w:r>
      <w:r w:rsidRPr="005B51C6">
        <w:rPr>
          <w:b/>
          <w:bCs/>
          <w:szCs w:val="22"/>
          <w:lang w:val="sr-Latn-ME"/>
        </w:rPr>
        <w:tab/>
        <w:t xml:space="preserve">DATUM  REVIZIJE TEKSTA </w:t>
      </w:r>
    </w:p>
    <w:p w14:paraId="1CA169E9" w14:textId="77777777" w:rsidR="000C7B6F" w:rsidRPr="005B51C6" w:rsidRDefault="000C7B6F" w:rsidP="00F645E1">
      <w:pPr>
        <w:tabs>
          <w:tab w:val="clear" w:pos="567"/>
          <w:tab w:val="left" w:pos="540"/>
          <w:tab w:val="left" w:pos="569"/>
        </w:tabs>
        <w:ind w:left="540" w:hanging="540"/>
        <w:rPr>
          <w:b/>
          <w:bCs/>
          <w:szCs w:val="22"/>
          <w:lang w:val="sr-Latn-ME"/>
        </w:rPr>
      </w:pPr>
    </w:p>
    <w:p w14:paraId="09A20779" w14:textId="486979DB" w:rsidR="000C7B6F" w:rsidRPr="005B51C6" w:rsidRDefault="00650F56" w:rsidP="00F645E1">
      <w:pPr>
        <w:rPr>
          <w:szCs w:val="22"/>
          <w:lang w:val="sr-Latn-ME"/>
        </w:rPr>
      </w:pPr>
      <w:r w:rsidRPr="005B51C6">
        <w:rPr>
          <w:szCs w:val="22"/>
          <w:lang w:val="sr-Latn-ME"/>
        </w:rPr>
        <w:t>Decembar, 2024. godine</w:t>
      </w:r>
    </w:p>
    <w:p w14:paraId="280551C0" w14:textId="77777777" w:rsidR="000C7B6F" w:rsidRPr="005B51C6" w:rsidRDefault="000C7B6F" w:rsidP="00F645E1">
      <w:pPr>
        <w:rPr>
          <w:szCs w:val="22"/>
          <w:lang w:val="sr-Latn-ME"/>
        </w:rPr>
      </w:pPr>
    </w:p>
    <w:p w14:paraId="6F1DED57" w14:textId="77777777" w:rsidR="000C7B6F" w:rsidRPr="005B51C6" w:rsidRDefault="000C7B6F" w:rsidP="00F645E1">
      <w:pPr>
        <w:rPr>
          <w:lang w:val="sr-Latn-ME"/>
        </w:rPr>
      </w:pPr>
    </w:p>
    <w:sectPr w:rsidR="000C7B6F" w:rsidRPr="005B51C6">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94CC" w14:textId="77777777" w:rsidR="00BF0034" w:rsidRDefault="00BF0034">
      <w:pPr>
        <w:spacing w:line="240" w:lineRule="auto"/>
      </w:pPr>
      <w:r>
        <w:separator/>
      </w:r>
    </w:p>
  </w:endnote>
  <w:endnote w:type="continuationSeparator" w:id="0">
    <w:p w14:paraId="7D51B167" w14:textId="77777777" w:rsidR="00BF0034" w:rsidRDefault="00BF0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8C02" w14:textId="6AEA71A8" w:rsidR="00650F56" w:rsidRPr="00181FD9" w:rsidRDefault="00650F56">
    <w:pPr>
      <w:pStyle w:val="Footer"/>
      <w:tabs>
        <w:tab w:val="right" w:pos="8931"/>
      </w:tabs>
      <w:ind w:right="96"/>
      <w:jc w:val="center"/>
      <w:rPr>
        <w:sz w:val="22"/>
        <w:szCs w:val="22"/>
      </w:rPr>
    </w:pPr>
    <w:r>
      <w:fldChar w:fldCharType="begin"/>
    </w:r>
    <w:r>
      <w:instrText xml:space="preserve"> EQ </w:instrText>
    </w:r>
    <w:r>
      <w:fldChar w:fldCharType="end"/>
    </w:r>
    <w:r w:rsidRPr="00181FD9">
      <w:rPr>
        <w:rStyle w:val="PageNumber"/>
        <w:rFonts w:ascii="Times New Roman" w:hAnsi="Times New Roman"/>
        <w:sz w:val="22"/>
        <w:szCs w:val="22"/>
      </w:rPr>
      <w:fldChar w:fldCharType="begin"/>
    </w:r>
    <w:r w:rsidRPr="00181FD9">
      <w:rPr>
        <w:rStyle w:val="PageNumber"/>
        <w:rFonts w:ascii="Times New Roman" w:hAnsi="Times New Roman"/>
        <w:sz w:val="22"/>
        <w:szCs w:val="22"/>
      </w:rPr>
      <w:instrText xml:space="preserve">PAGE  </w:instrText>
    </w:r>
    <w:r w:rsidRPr="00181FD9">
      <w:rPr>
        <w:rStyle w:val="PageNumber"/>
        <w:rFonts w:ascii="Times New Roman" w:hAnsi="Times New Roman"/>
        <w:sz w:val="22"/>
        <w:szCs w:val="22"/>
      </w:rPr>
      <w:fldChar w:fldCharType="separate"/>
    </w:r>
    <w:r w:rsidR="00EA5B3D">
      <w:rPr>
        <w:rStyle w:val="PageNumber"/>
        <w:rFonts w:ascii="Times New Roman" w:hAnsi="Times New Roman"/>
        <w:sz w:val="22"/>
        <w:szCs w:val="22"/>
      </w:rPr>
      <w:t>19</w:t>
    </w:r>
    <w:r w:rsidRPr="00181FD9">
      <w:rPr>
        <w:rStyle w:val="PageNumber"/>
        <w:rFonts w:ascii="Times New Roman" w:hAnsi="Times New Roman"/>
        <w:sz w:val="22"/>
        <w:szCs w:val="22"/>
      </w:rPr>
      <w:fldChar w:fldCharType="end"/>
    </w:r>
    <w:r w:rsidRPr="00181FD9">
      <w:rPr>
        <w:rStyle w:val="PageNumber"/>
        <w:rFonts w:ascii="Times New Roman" w:hAnsi="Times New Roman"/>
        <w:sz w:val="22"/>
        <w:szCs w:val="22"/>
      </w:rPr>
      <w:t>/</w:t>
    </w:r>
    <w:r>
      <w:rPr>
        <w:rStyle w:val="PageNumber"/>
        <w:rFonts w:ascii="Times New Roman" w:hAnsi="Times New Roman"/>
        <w:sz w:val="22"/>
        <w:szCs w:val="22"/>
      </w:rPr>
      <w: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25C31" w14:textId="0C2F7476" w:rsidR="00650F56" w:rsidRPr="00181FD9" w:rsidRDefault="00650F56" w:rsidP="00181FD9">
    <w:pPr>
      <w:tabs>
        <w:tab w:val="clear" w:pos="567"/>
        <w:tab w:val="center" w:pos="4320"/>
        <w:tab w:val="right" w:pos="8640"/>
      </w:tabs>
      <w:spacing w:line="240" w:lineRule="auto"/>
      <w:jc w:val="center"/>
      <w:rPr>
        <w:szCs w:val="22"/>
        <w:lang w:val="en-US"/>
      </w:rPr>
    </w:pPr>
    <w:r w:rsidRPr="0066661B">
      <w:rPr>
        <w:szCs w:val="22"/>
        <w:lang w:val="en-US"/>
      </w:rPr>
      <w:fldChar w:fldCharType="begin"/>
    </w:r>
    <w:r w:rsidRPr="0066661B">
      <w:rPr>
        <w:szCs w:val="22"/>
        <w:lang w:val="en-US"/>
      </w:rPr>
      <w:instrText xml:space="preserve"> PAGE </w:instrText>
    </w:r>
    <w:r w:rsidRPr="0066661B">
      <w:rPr>
        <w:szCs w:val="22"/>
        <w:lang w:val="en-US"/>
      </w:rPr>
      <w:fldChar w:fldCharType="separate"/>
    </w:r>
    <w:r w:rsidR="00EA5B3D">
      <w:rPr>
        <w:noProof/>
        <w:szCs w:val="22"/>
        <w:lang w:val="en-US"/>
      </w:rPr>
      <w:t>1</w:t>
    </w:r>
    <w:r w:rsidRPr="0066661B">
      <w:rPr>
        <w:szCs w:val="22"/>
        <w:lang w:val="en-US"/>
      </w:rPr>
      <w:fldChar w:fldCharType="end"/>
    </w:r>
    <w:r w:rsidRPr="0066661B">
      <w:rPr>
        <w:szCs w:val="22"/>
        <w:lang w:val="en-US"/>
      </w:rPr>
      <w:t xml:space="preserve"> / </w:t>
    </w:r>
    <w:r w:rsidRPr="0066661B">
      <w:rPr>
        <w:szCs w:val="22"/>
        <w:lang w:val="en-US"/>
      </w:rPr>
      <w:fldChar w:fldCharType="begin"/>
    </w:r>
    <w:r w:rsidRPr="0066661B">
      <w:rPr>
        <w:szCs w:val="22"/>
        <w:lang w:val="en-US"/>
      </w:rPr>
      <w:instrText xml:space="preserve"> NUMPAGES </w:instrText>
    </w:r>
    <w:r w:rsidRPr="0066661B">
      <w:rPr>
        <w:szCs w:val="22"/>
        <w:lang w:val="en-US"/>
      </w:rPr>
      <w:fldChar w:fldCharType="separate"/>
    </w:r>
    <w:r w:rsidR="00EA5B3D">
      <w:rPr>
        <w:noProof/>
        <w:szCs w:val="22"/>
        <w:lang w:val="en-US"/>
      </w:rPr>
      <w:t>19</w:t>
    </w:r>
    <w:r w:rsidRPr="0066661B">
      <w:rPr>
        <w:szCs w:val="22"/>
        <w:lang w:val="en-US"/>
      </w:rPr>
      <w:fldChar w:fldCharType="end"/>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CAF3" w14:textId="77777777" w:rsidR="00BF0034" w:rsidRDefault="00BF0034">
      <w:pPr>
        <w:spacing w:line="240" w:lineRule="auto"/>
      </w:pPr>
      <w:r>
        <w:separator/>
      </w:r>
    </w:p>
  </w:footnote>
  <w:footnote w:type="continuationSeparator" w:id="0">
    <w:p w14:paraId="7715846C" w14:textId="77777777" w:rsidR="00BF0034" w:rsidRDefault="00BF00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D95032"/>
    <w:multiLevelType w:val="hybridMultilevel"/>
    <w:tmpl w:val="8C36651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F18B7"/>
    <w:multiLevelType w:val="multilevel"/>
    <w:tmpl w:val="C6D8085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075D68"/>
    <w:multiLevelType w:val="hybridMultilevel"/>
    <w:tmpl w:val="079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87258F2"/>
    <w:multiLevelType w:val="hybridMultilevel"/>
    <w:tmpl w:val="59104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3D3706F"/>
    <w:multiLevelType w:val="hybridMultilevel"/>
    <w:tmpl w:val="2D9C37AA"/>
    <w:lvl w:ilvl="0" w:tplc="2C1A0001">
      <w:start w:val="1"/>
      <w:numFmt w:val="bullet"/>
      <w:lvlText w:val=""/>
      <w:lvlJc w:val="left"/>
      <w:pPr>
        <w:tabs>
          <w:tab w:val="num" w:pos="1497"/>
        </w:tabs>
        <w:ind w:left="149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47722DC"/>
    <w:multiLevelType w:val="hybridMultilevel"/>
    <w:tmpl w:val="7D5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8"/>
  </w:num>
  <w:num w:numId="7">
    <w:abstractNumId w:val="10"/>
  </w:num>
  <w:num w:numId="8">
    <w:abstractNumId w:val="13"/>
  </w:num>
  <w:num w:numId="9">
    <w:abstractNumId w:val="26"/>
  </w:num>
  <w:num w:numId="10">
    <w:abstractNumId w:val="1"/>
  </w:num>
  <w:num w:numId="11">
    <w:abstractNumId w:val="23"/>
  </w:num>
  <w:num w:numId="12">
    <w:abstractNumId w:val="12"/>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7"/>
  </w:num>
  <w:num w:numId="19">
    <w:abstractNumId w:val="27"/>
  </w:num>
  <w:num w:numId="20">
    <w:abstractNumId w:val="19"/>
  </w:num>
  <w:num w:numId="21">
    <w:abstractNumId w:val="25"/>
  </w:num>
  <w:num w:numId="22">
    <w:abstractNumId w:val="22"/>
  </w:num>
  <w:num w:numId="23">
    <w:abstractNumId w:val="9"/>
  </w:num>
  <w:num w:numId="24">
    <w:abstractNumId w:val="25"/>
  </w:num>
  <w:num w:numId="25">
    <w:abstractNumId w:val="4"/>
  </w:num>
  <w:num w:numId="26">
    <w:abstractNumId w:val="15"/>
  </w:num>
  <w:num w:numId="27">
    <w:abstractNumId w:val="5"/>
  </w:num>
  <w:num w:numId="28">
    <w:abstractNumId w:val="16"/>
  </w:num>
  <w:num w:numId="29">
    <w:abstractNumId w:val="6"/>
  </w:num>
  <w:num w:numId="30">
    <w:abstractNumId w:val="3"/>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C7B6F"/>
    <w:rsid w:val="00076DED"/>
    <w:rsid w:val="000C7B6F"/>
    <w:rsid w:val="001517A5"/>
    <w:rsid w:val="00181FD9"/>
    <w:rsid w:val="002343CF"/>
    <w:rsid w:val="00252EC6"/>
    <w:rsid w:val="00263612"/>
    <w:rsid w:val="002647CA"/>
    <w:rsid w:val="002932CA"/>
    <w:rsid w:val="00331136"/>
    <w:rsid w:val="00332BDA"/>
    <w:rsid w:val="003421B4"/>
    <w:rsid w:val="003F7FA3"/>
    <w:rsid w:val="0041512C"/>
    <w:rsid w:val="00500C33"/>
    <w:rsid w:val="00532A8A"/>
    <w:rsid w:val="005B51C6"/>
    <w:rsid w:val="005C71D1"/>
    <w:rsid w:val="00607D50"/>
    <w:rsid w:val="006353C2"/>
    <w:rsid w:val="00650F56"/>
    <w:rsid w:val="0066661B"/>
    <w:rsid w:val="00693BCE"/>
    <w:rsid w:val="007100D1"/>
    <w:rsid w:val="007813E6"/>
    <w:rsid w:val="0079549D"/>
    <w:rsid w:val="00804405"/>
    <w:rsid w:val="008F7659"/>
    <w:rsid w:val="00A30898"/>
    <w:rsid w:val="00A40BEC"/>
    <w:rsid w:val="00A527DF"/>
    <w:rsid w:val="00AD382D"/>
    <w:rsid w:val="00AD3F22"/>
    <w:rsid w:val="00AE2CE0"/>
    <w:rsid w:val="00BA69EB"/>
    <w:rsid w:val="00BE0955"/>
    <w:rsid w:val="00BF0034"/>
    <w:rsid w:val="00BF616F"/>
    <w:rsid w:val="00C311E8"/>
    <w:rsid w:val="00C346C6"/>
    <w:rsid w:val="00C76E61"/>
    <w:rsid w:val="00CB7E75"/>
    <w:rsid w:val="00D56942"/>
    <w:rsid w:val="00D61EB2"/>
    <w:rsid w:val="00D74088"/>
    <w:rsid w:val="00D94BC5"/>
    <w:rsid w:val="00DE287F"/>
    <w:rsid w:val="00DE6C04"/>
    <w:rsid w:val="00E90E79"/>
    <w:rsid w:val="00E92BC9"/>
    <w:rsid w:val="00EA0B9B"/>
    <w:rsid w:val="00EA5B3D"/>
    <w:rsid w:val="00F0524B"/>
    <w:rsid w:val="00F35F19"/>
    <w:rsid w:val="00F645E1"/>
    <w:rsid w:val="00F81047"/>
    <w:rsid w:val="00FE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7C48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rFonts w:eastAsia="Times New Roman"/>
      <w:color w:val="000000"/>
      <w:sz w:val="24"/>
      <w:szCs w:val="24"/>
    </w:rPr>
  </w:style>
  <w:style w:type="character" w:customStyle="1" w:styleId="BalloonTextChar">
    <w:name w:val="Balloon Text Char"/>
    <w:link w:val="BalloonText"/>
    <w:rPr>
      <w:rFonts w:ascii="Tahoma" w:eastAsia="Times New Roman" w:hAnsi="Tahoma" w:cs="Tahoma"/>
      <w:sz w:val="16"/>
      <w:szCs w:val="16"/>
      <w:lang w:eastAsia="en-US"/>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7205</Words>
  <Characters>41074</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Jonić-Popović</dc:creator>
  <cp:lastModifiedBy>Aleksandra Jonić-Popović</cp:lastModifiedBy>
  <cp:revision>4</cp:revision>
  <dcterms:created xsi:type="dcterms:W3CDTF">2024-12-10T07:11:00Z</dcterms:created>
  <dcterms:modified xsi:type="dcterms:W3CDTF">2024-12-10T07:19:00Z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